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png" ContentType="image/png"/>
  <Override PartName="/word/footer2.xml" ContentType="application/vnd.openxmlformats-officedocument.wordprocessingml.footer+xml"/>
  <Default Extension="jpeg" ContentType="image/jpeg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472" w:lineRule="auto" w:before="81"/>
        <w:ind w:left="756" w:right="722" w:hanging="67"/>
        <w:jc w:val="center"/>
        <w:rPr>
          <w:rFonts w:ascii="Arial"/>
          <w:b/>
          <w:sz w:val="26"/>
        </w:rPr>
      </w:pPr>
      <w:r>
        <w:rPr>
          <w:rFonts w:ascii="Arial"/>
          <w:b/>
          <w:sz w:val="26"/>
        </w:rPr>
        <w:t>ANTICONVULSANT</w:t>
      </w:r>
      <w:r>
        <w:rPr>
          <w:rFonts w:ascii="Arial"/>
          <w:b/>
          <w:spacing w:val="7"/>
          <w:sz w:val="26"/>
        </w:rPr>
        <w:t> </w:t>
      </w:r>
      <w:r>
        <w:rPr>
          <w:rFonts w:ascii="Arial"/>
          <w:b/>
          <w:sz w:val="26"/>
        </w:rPr>
        <w:t>AND</w:t>
      </w:r>
      <w:r>
        <w:rPr>
          <w:rFonts w:ascii="Arial"/>
          <w:b/>
          <w:spacing w:val="8"/>
          <w:sz w:val="26"/>
        </w:rPr>
        <w:t> </w:t>
      </w:r>
      <w:r>
        <w:rPr>
          <w:rFonts w:ascii="Arial"/>
          <w:b/>
          <w:sz w:val="26"/>
        </w:rPr>
        <w:t>SUB-CHRONIC</w:t>
      </w:r>
      <w:r>
        <w:rPr>
          <w:rFonts w:ascii="Arial"/>
          <w:b/>
          <w:spacing w:val="6"/>
          <w:sz w:val="26"/>
        </w:rPr>
        <w:t> </w:t>
      </w:r>
      <w:r>
        <w:rPr>
          <w:rFonts w:ascii="Arial"/>
          <w:b/>
          <w:sz w:val="26"/>
        </w:rPr>
        <w:t>TOXICITY</w:t>
      </w:r>
      <w:r>
        <w:rPr>
          <w:rFonts w:ascii="Arial"/>
          <w:b/>
          <w:spacing w:val="7"/>
          <w:sz w:val="26"/>
        </w:rPr>
        <w:t> </w:t>
      </w:r>
      <w:r>
        <w:rPr>
          <w:rFonts w:ascii="Arial"/>
          <w:b/>
          <w:sz w:val="26"/>
        </w:rPr>
        <w:t>STUDIES</w:t>
      </w:r>
      <w:r>
        <w:rPr>
          <w:rFonts w:ascii="Arial"/>
          <w:b/>
          <w:spacing w:val="6"/>
          <w:sz w:val="26"/>
        </w:rPr>
        <w:t> </w:t>
      </w:r>
      <w:r>
        <w:rPr>
          <w:rFonts w:ascii="Arial"/>
          <w:b/>
          <w:sz w:val="26"/>
        </w:rPr>
        <w:t>OF</w:t>
      </w:r>
      <w:r>
        <w:rPr>
          <w:rFonts w:ascii="Arial"/>
          <w:b/>
          <w:spacing w:val="6"/>
          <w:sz w:val="26"/>
        </w:rPr>
        <w:t> </w:t>
      </w:r>
      <w:r>
        <w:rPr>
          <w:rFonts w:ascii="Arial"/>
          <w:b/>
          <w:sz w:val="26"/>
        </w:rPr>
        <w:t>THE</w:t>
      </w:r>
      <w:r>
        <w:rPr>
          <w:rFonts w:ascii="Arial"/>
          <w:b/>
          <w:spacing w:val="1"/>
          <w:sz w:val="26"/>
        </w:rPr>
        <w:t> </w:t>
      </w:r>
      <w:r>
        <w:rPr>
          <w:rFonts w:ascii="Arial"/>
          <w:b/>
          <w:w w:val="95"/>
          <w:sz w:val="26"/>
        </w:rPr>
        <w:t>METHANOL</w:t>
      </w:r>
      <w:r>
        <w:rPr>
          <w:rFonts w:ascii="Arial"/>
          <w:b/>
          <w:spacing w:val="52"/>
          <w:w w:val="95"/>
          <w:sz w:val="26"/>
        </w:rPr>
        <w:t> </w:t>
      </w:r>
      <w:r>
        <w:rPr>
          <w:rFonts w:ascii="Arial"/>
          <w:b/>
          <w:w w:val="95"/>
          <w:sz w:val="26"/>
        </w:rPr>
        <w:t>LEAF</w:t>
      </w:r>
      <w:r>
        <w:rPr>
          <w:rFonts w:ascii="Arial"/>
          <w:b/>
          <w:spacing w:val="52"/>
          <w:w w:val="95"/>
          <w:sz w:val="26"/>
        </w:rPr>
        <w:t> </w:t>
      </w:r>
      <w:r>
        <w:rPr>
          <w:rFonts w:ascii="Arial"/>
          <w:b/>
          <w:w w:val="95"/>
          <w:sz w:val="26"/>
        </w:rPr>
        <w:t>EXTRACT</w:t>
      </w:r>
      <w:r>
        <w:rPr>
          <w:rFonts w:ascii="Arial"/>
          <w:b/>
          <w:spacing w:val="53"/>
          <w:w w:val="95"/>
          <w:sz w:val="26"/>
        </w:rPr>
        <w:t> </w:t>
      </w:r>
      <w:r>
        <w:rPr>
          <w:rFonts w:ascii="Arial"/>
          <w:b/>
          <w:w w:val="95"/>
          <w:sz w:val="26"/>
        </w:rPr>
        <w:t>OF</w:t>
      </w:r>
      <w:r>
        <w:rPr>
          <w:rFonts w:ascii="Arial"/>
          <w:b/>
          <w:spacing w:val="58"/>
          <w:w w:val="95"/>
          <w:sz w:val="26"/>
        </w:rPr>
        <w:t> </w:t>
      </w:r>
      <w:r>
        <w:rPr>
          <w:rFonts w:ascii="Arial"/>
          <w:b/>
          <w:i/>
          <w:w w:val="95"/>
          <w:sz w:val="27"/>
        </w:rPr>
        <w:t>DIOSPYROS</w:t>
      </w:r>
      <w:r>
        <w:rPr>
          <w:rFonts w:ascii="Arial"/>
          <w:b/>
          <w:i/>
          <w:spacing w:val="53"/>
          <w:w w:val="95"/>
          <w:sz w:val="27"/>
        </w:rPr>
        <w:t> </w:t>
      </w:r>
      <w:r>
        <w:rPr>
          <w:rFonts w:ascii="Arial"/>
          <w:b/>
          <w:i/>
          <w:w w:val="95"/>
          <w:sz w:val="27"/>
        </w:rPr>
        <w:t>MESPILIFORMIS</w:t>
      </w:r>
      <w:r>
        <w:rPr>
          <w:rFonts w:ascii="Arial"/>
          <w:b/>
          <w:i/>
          <w:spacing w:val="56"/>
          <w:w w:val="95"/>
          <w:sz w:val="27"/>
        </w:rPr>
        <w:t> </w:t>
      </w:r>
      <w:r>
        <w:rPr>
          <w:rFonts w:ascii="Arial"/>
          <w:b/>
          <w:w w:val="95"/>
          <w:sz w:val="26"/>
        </w:rPr>
        <w:t>HOCHST</w:t>
      </w:r>
      <w:r>
        <w:rPr>
          <w:rFonts w:ascii="Arial"/>
          <w:b/>
          <w:spacing w:val="-65"/>
          <w:w w:val="95"/>
          <w:sz w:val="26"/>
        </w:rPr>
        <w:t> </w:t>
      </w:r>
      <w:r>
        <w:rPr>
          <w:rFonts w:ascii="Arial"/>
          <w:b/>
          <w:sz w:val="26"/>
        </w:rPr>
        <w:t>(EBENACEAE)</w:t>
      </w:r>
      <w:r>
        <w:rPr>
          <w:rFonts w:ascii="Arial"/>
          <w:b/>
          <w:spacing w:val="-8"/>
          <w:sz w:val="26"/>
        </w:rPr>
        <w:t> </w:t>
      </w:r>
      <w:r>
        <w:rPr>
          <w:rFonts w:ascii="Arial"/>
          <w:b/>
          <w:sz w:val="26"/>
        </w:rPr>
        <w:t>IN</w:t>
      </w:r>
      <w:r>
        <w:rPr>
          <w:rFonts w:ascii="Arial"/>
          <w:b/>
          <w:spacing w:val="-7"/>
          <w:sz w:val="26"/>
        </w:rPr>
        <w:t> </w:t>
      </w:r>
      <w:r>
        <w:rPr>
          <w:rFonts w:ascii="Arial"/>
          <w:b/>
          <w:sz w:val="26"/>
        </w:rPr>
        <w:t>LABORATORY</w:t>
      </w:r>
      <w:r>
        <w:rPr>
          <w:rFonts w:ascii="Arial"/>
          <w:b/>
          <w:spacing w:val="-6"/>
          <w:sz w:val="26"/>
        </w:rPr>
        <w:t> </w:t>
      </w:r>
      <w:r>
        <w:rPr>
          <w:rFonts w:ascii="Arial"/>
          <w:b/>
          <w:sz w:val="26"/>
        </w:rPr>
        <w:t>ANIMALS</w:t>
      </w: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spacing w:before="7"/>
        <w:rPr>
          <w:rFonts w:ascii="Arial"/>
          <w:b/>
          <w:sz w:val="34"/>
        </w:rPr>
      </w:pPr>
    </w:p>
    <w:p>
      <w:pPr>
        <w:spacing w:before="0"/>
        <w:ind w:left="1498" w:right="1525" w:firstLine="0"/>
        <w:jc w:val="center"/>
        <w:rPr>
          <w:rFonts w:ascii="Arial"/>
          <w:b/>
          <w:sz w:val="26"/>
        </w:rPr>
      </w:pPr>
      <w:r>
        <w:rPr>
          <w:rFonts w:ascii="Arial"/>
          <w:b/>
          <w:sz w:val="26"/>
        </w:rPr>
        <w:t>BY</w:t>
      </w: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spacing w:before="10"/>
        <w:rPr>
          <w:rFonts w:ascii="Arial"/>
          <w:b/>
          <w:sz w:val="44"/>
        </w:rPr>
      </w:pPr>
    </w:p>
    <w:p>
      <w:pPr>
        <w:spacing w:before="0"/>
        <w:ind w:left="0" w:right="4093" w:firstLine="0"/>
        <w:jc w:val="right"/>
        <w:rPr>
          <w:rFonts w:ascii="Arial"/>
          <w:b/>
          <w:sz w:val="26"/>
        </w:rPr>
      </w:pPr>
      <w:r>
        <w:rPr>
          <w:rFonts w:ascii="Arial"/>
          <w:b/>
          <w:sz w:val="26"/>
        </w:rPr>
        <w:t>KASIMU</w:t>
      </w:r>
      <w:r>
        <w:rPr>
          <w:rFonts w:ascii="Arial"/>
          <w:b/>
          <w:spacing w:val="11"/>
          <w:sz w:val="26"/>
        </w:rPr>
        <w:t> </w:t>
      </w:r>
      <w:r>
        <w:rPr>
          <w:rFonts w:ascii="Arial"/>
          <w:b/>
          <w:sz w:val="26"/>
        </w:rPr>
        <w:t>MUHAMMAD</w:t>
      </w: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rPr>
          <w:rFonts w:ascii="Arial"/>
          <w:b/>
          <w:sz w:val="44"/>
        </w:rPr>
      </w:pPr>
    </w:p>
    <w:p>
      <w:pPr>
        <w:spacing w:line="482" w:lineRule="auto" w:before="0"/>
        <w:ind w:left="1498" w:right="1529" w:firstLine="0"/>
        <w:jc w:val="center"/>
        <w:rPr>
          <w:rFonts w:ascii="Arial"/>
          <w:b/>
          <w:sz w:val="26"/>
        </w:rPr>
      </w:pPr>
      <w:r>
        <w:rPr>
          <w:rFonts w:ascii="Arial"/>
          <w:b/>
          <w:sz w:val="26"/>
        </w:rPr>
        <w:t>DEPARTMENT</w:t>
      </w:r>
      <w:r>
        <w:rPr>
          <w:rFonts w:ascii="Arial"/>
          <w:b/>
          <w:spacing w:val="13"/>
          <w:sz w:val="26"/>
        </w:rPr>
        <w:t> </w:t>
      </w:r>
      <w:r>
        <w:rPr>
          <w:rFonts w:ascii="Arial"/>
          <w:b/>
          <w:sz w:val="26"/>
        </w:rPr>
        <w:t>OF</w:t>
      </w:r>
      <w:r>
        <w:rPr>
          <w:rFonts w:ascii="Arial"/>
          <w:b/>
          <w:spacing w:val="12"/>
          <w:sz w:val="26"/>
        </w:rPr>
        <w:t> </w:t>
      </w:r>
      <w:r>
        <w:rPr>
          <w:rFonts w:ascii="Arial"/>
          <w:b/>
          <w:sz w:val="26"/>
        </w:rPr>
        <w:t>PHARMACOLOGY</w:t>
      </w:r>
      <w:r>
        <w:rPr>
          <w:rFonts w:ascii="Arial"/>
          <w:b/>
          <w:spacing w:val="11"/>
          <w:sz w:val="26"/>
        </w:rPr>
        <w:t> </w:t>
      </w:r>
      <w:r>
        <w:rPr>
          <w:rFonts w:ascii="Arial"/>
          <w:b/>
          <w:sz w:val="26"/>
        </w:rPr>
        <w:t>AND</w:t>
      </w:r>
      <w:r>
        <w:rPr>
          <w:rFonts w:ascii="Arial"/>
          <w:b/>
          <w:spacing w:val="12"/>
          <w:sz w:val="26"/>
        </w:rPr>
        <w:t> </w:t>
      </w:r>
      <w:r>
        <w:rPr>
          <w:rFonts w:ascii="Arial"/>
          <w:b/>
          <w:sz w:val="26"/>
        </w:rPr>
        <w:t>THERAPEUTICS</w:t>
      </w:r>
      <w:r>
        <w:rPr>
          <w:rFonts w:ascii="Arial"/>
          <w:b/>
          <w:spacing w:val="-70"/>
          <w:sz w:val="26"/>
        </w:rPr>
        <w:t> </w:t>
      </w:r>
      <w:r>
        <w:rPr>
          <w:rFonts w:ascii="Arial"/>
          <w:b/>
          <w:sz w:val="26"/>
        </w:rPr>
        <w:t>AHMADU</w:t>
      </w:r>
      <w:r>
        <w:rPr>
          <w:rFonts w:ascii="Arial"/>
          <w:b/>
          <w:spacing w:val="-7"/>
          <w:sz w:val="26"/>
        </w:rPr>
        <w:t> </w:t>
      </w:r>
      <w:r>
        <w:rPr>
          <w:rFonts w:ascii="Arial"/>
          <w:b/>
          <w:sz w:val="26"/>
        </w:rPr>
        <w:t>BELLO</w:t>
      </w:r>
      <w:r>
        <w:rPr>
          <w:rFonts w:ascii="Arial"/>
          <w:b/>
          <w:spacing w:val="-6"/>
          <w:sz w:val="26"/>
        </w:rPr>
        <w:t> </w:t>
      </w:r>
      <w:r>
        <w:rPr>
          <w:rFonts w:ascii="Arial"/>
          <w:b/>
          <w:sz w:val="26"/>
        </w:rPr>
        <w:t>UNIVERSITY,</w:t>
      </w:r>
      <w:r>
        <w:rPr>
          <w:rFonts w:ascii="Arial"/>
          <w:b/>
          <w:spacing w:val="-6"/>
          <w:sz w:val="26"/>
        </w:rPr>
        <w:t> </w:t>
      </w:r>
      <w:r>
        <w:rPr>
          <w:rFonts w:ascii="Arial"/>
          <w:b/>
          <w:sz w:val="26"/>
        </w:rPr>
        <w:t>ZARIA</w:t>
      </w:r>
    </w:p>
    <w:p>
      <w:pPr>
        <w:spacing w:before="4"/>
        <w:ind w:left="1498" w:right="1523" w:firstLine="0"/>
        <w:jc w:val="center"/>
        <w:rPr>
          <w:rFonts w:ascii="Arial"/>
          <w:b/>
          <w:sz w:val="26"/>
        </w:rPr>
      </w:pPr>
      <w:r>
        <w:rPr>
          <w:rFonts w:ascii="Arial"/>
          <w:b/>
          <w:w w:val="105"/>
          <w:sz w:val="26"/>
        </w:rPr>
        <w:t>NIGERIA</w:t>
      </w: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spacing w:before="11"/>
        <w:rPr>
          <w:rFonts w:ascii="Arial"/>
          <w:b/>
          <w:sz w:val="40"/>
        </w:rPr>
      </w:pPr>
    </w:p>
    <w:p>
      <w:pPr>
        <w:spacing w:before="0"/>
        <w:ind w:left="0" w:right="4152" w:firstLine="0"/>
        <w:jc w:val="right"/>
        <w:rPr>
          <w:rFonts w:ascii="Arial"/>
          <w:b/>
          <w:sz w:val="26"/>
        </w:rPr>
      </w:pPr>
      <w:r>
        <w:rPr>
          <w:rFonts w:ascii="Arial"/>
          <w:b/>
          <w:sz w:val="26"/>
        </w:rPr>
        <w:t>FEBRUARY</w:t>
      </w:r>
      <w:r>
        <w:rPr>
          <w:rFonts w:ascii="Arial"/>
          <w:b/>
          <w:spacing w:val="6"/>
          <w:sz w:val="26"/>
        </w:rPr>
        <w:t> </w:t>
      </w:r>
      <w:r>
        <w:rPr>
          <w:rFonts w:ascii="Arial"/>
          <w:b/>
          <w:sz w:val="26"/>
        </w:rPr>
        <w:t>2014</w:t>
      </w:r>
    </w:p>
    <w:p>
      <w:pPr>
        <w:spacing w:after="0"/>
        <w:jc w:val="right"/>
        <w:rPr>
          <w:rFonts w:ascii="Arial"/>
          <w:sz w:val="26"/>
        </w:rPr>
        <w:sectPr>
          <w:footerReference w:type="default" r:id="rId5"/>
          <w:type w:val="continuous"/>
          <w:pgSz w:w="12240" w:h="15840"/>
          <w:pgMar w:footer="792" w:top="1360" w:bottom="980" w:left="1080" w:right="760"/>
          <w:pgNumType w:start="1"/>
        </w:sectPr>
      </w:pPr>
    </w:p>
    <w:p>
      <w:pPr>
        <w:spacing w:line="237" w:lineRule="auto" w:before="83"/>
        <w:ind w:left="725" w:right="753" w:hanging="5"/>
        <w:jc w:val="center"/>
        <w:rPr>
          <w:rFonts w:ascii="Arial"/>
          <w:b/>
          <w:sz w:val="26"/>
        </w:rPr>
      </w:pPr>
      <w:r>
        <w:rPr>
          <w:rFonts w:ascii="Arial"/>
          <w:b/>
          <w:sz w:val="26"/>
        </w:rPr>
        <w:t>ANTICONVULSANT</w:t>
      </w:r>
      <w:r>
        <w:rPr>
          <w:rFonts w:ascii="Arial"/>
          <w:b/>
          <w:spacing w:val="8"/>
          <w:sz w:val="26"/>
        </w:rPr>
        <w:t> </w:t>
      </w:r>
      <w:r>
        <w:rPr>
          <w:rFonts w:ascii="Arial"/>
          <w:b/>
          <w:sz w:val="26"/>
        </w:rPr>
        <w:t>AND</w:t>
      </w:r>
      <w:r>
        <w:rPr>
          <w:rFonts w:ascii="Arial"/>
          <w:b/>
          <w:spacing w:val="9"/>
          <w:sz w:val="26"/>
        </w:rPr>
        <w:t> </w:t>
      </w:r>
      <w:r>
        <w:rPr>
          <w:rFonts w:ascii="Arial"/>
          <w:b/>
          <w:sz w:val="26"/>
        </w:rPr>
        <w:t>SUB-CHRONIC</w:t>
      </w:r>
      <w:r>
        <w:rPr>
          <w:rFonts w:ascii="Arial"/>
          <w:b/>
          <w:spacing w:val="7"/>
          <w:sz w:val="26"/>
        </w:rPr>
        <w:t> </w:t>
      </w:r>
      <w:r>
        <w:rPr>
          <w:rFonts w:ascii="Arial"/>
          <w:b/>
          <w:sz w:val="26"/>
        </w:rPr>
        <w:t>TOXICITY</w:t>
      </w:r>
      <w:r>
        <w:rPr>
          <w:rFonts w:ascii="Arial"/>
          <w:b/>
          <w:spacing w:val="9"/>
          <w:sz w:val="26"/>
        </w:rPr>
        <w:t> </w:t>
      </w:r>
      <w:r>
        <w:rPr>
          <w:rFonts w:ascii="Arial"/>
          <w:b/>
          <w:sz w:val="26"/>
        </w:rPr>
        <w:t>STUDIES</w:t>
      </w:r>
      <w:r>
        <w:rPr>
          <w:rFonts w:ascii="Arial"/>
          <w:b/>
          <w:spacing w:val="7"/>
          <w:sz w:val="26"/>
        </w:rPr>
        <w:t> </w:t>
      </w:r>
      <w:r>
        <w:rPr>
          <w:rFonts w:ascii="Arial"/>
          <w:b/>
          <w:sz w:val="26"/>
        </w:rPr>
        <w:t>OF</w:t>
      </w:r>
      <w:r>
        <w:rPr>
          <w:rFonts w:ascii="Arial"/>
          <w:b/>
          <w:spacing w:val="7"/>
          <w:sz w:val="26"/>
        </w:rPr>
        <w:t> </w:t>
      </w:r>
      <w:r>
        <w:rPr>
          <w:rFonts w:ascii="Arial"/>
          <w:b/>
          <w:sz w:val="26"/>
        </w:rPr>
        <w:t>THE</w:t>
      </w:r>
      <w:r>
        <w:rPr>
          <w:rFonts w:ascii="Arial"/>
          <w:b/>
          <w:spacing w:val="1"/>
          <w:sz w:val="26"/>
        </w:rPr>
        <w:t> </w:t>
      </w:r>
      <w:r>
        <w:rPr>
          <w:rFonts w:ascii="Arial"/>
          <w:b/>
          <w:w w:val="95"/>
          <w:sz w:val="26"/>
        </w:rPr>
        <w:t>METHANOL</w:t>
      </w:r>
      <w:r>
        <w:rPr>
          <w:rFonts w:ascii="Arial"/>
          <w:b/>
          <w:spacing w:val="55"/>
          <w:w w:val="95"/>
          <w:sz w:val="26"/>
        </w:rPr>
        <w:t> </w:t>
      </w:r>
      <w:r>
        <w:rPr>
          <w:rFonts w:ascii="Arial"/>
          <w:b/>
          <w:w w:val="95"/>
          <w:sz w:val="26"/>
        </w:rPr>
        <w:t>LEAF</w:t>
      </w:r>
      <w:r>
        <w:rPr>
          <w:rFonts w:ascii="Arial"/>
          <w:b/>
          <w:spacing w:val="51"/>
          <w:w w:val="95"/>
          <w:sz w:val="26"/>
        </w:rPr>
        <w:t> </w:t>
      </w:r>
      <w:r>
        <w:rPr>
          <w:rFonts w:ascii="Arial"/>
          <w:b/>
          <w:w w:val="95"/>
          <w:sz w:val="26"/>
        </w:rPr>
        <w:t>EXTRACT</w:t>
      </w:r>
      <w:r>
        <w:rPr>
          <w:rFonts w:ascii="Arial"/>
          <w:b/>
          <w:spacing w:val="53"/>
          <w:w w:val="95"/>
          <w:sz w:val="26"/>
        </w:rPr>
        <w:t> </w:t>
      </w:r>
      <w:r>
        <w:rPr>
          <w:rFonts w:ascii="Arial"/>
          <w:b/>
          <w:w w:val="95"/>
          <w:sz w:val="26"/>
        </w:rPr>
        <w:t>OF</w:t>
      </w:r>
      <w:r>
        <w:rPr>
          <w:rFonts w:ascii="Arial"/>
          <w:b/>
          <w:spacing w:val="58"/>
          <w:w w:val="95"/>
          <w:sz w:val="26"/>
        </w:rPr>
        <w:t> </w:t>
      </w:r>
      <w:r>
        <w:rPr>
          <w:rFonts w:ascii="Arial"/>
          <w:b/>
          <w:i/>
          <w:w w:val="95"/>
          <w:sz w:val="27"/>
        </w:rPr>
        <w:t>DIOSPYROS</w:t>
      </w:r>
      <w:r>
        <w:rPr>
          <w:rFonts w:ascii="Arial"/>
          <w:b/>
          <w:i/>
          <w:spacing w:val="52"/>
          <w:w w:val="95"/>
          <w:sz w:val="27"/>
        </w:rPr>
        <w:t> </w:t>
      </w:r>
      <w:r>
        <w:rPr>
          <w:rFonts w:ascii="Arial"/>
          <w:b/>
          <w:i/>
          <w:w w:val="95"/>
          <w:sz w:val="27"/>
        </w:rPr>
        <w:t>MESPILIFORMIS</w:t>
      </w:r>
      <w:r>
        <w:rPr>
          <w:rFonts w:ascii="Arial"/>
          <w:b/>
          <w:i/>
          <w:spacing w:val="56"/>
          <w:w w:val="95"/>
          <w:sz w:val="27"/>
        </w:rPr>
        <w:t> </w:t>
      </w:r>
      <w:r>
        <w:rPr>
          <w:rFonts w:ascii="Arial"/>
          <w:b/>
          <w:w w:val="95"/>
          <w:sz w:val="26"/>
        </w:rPr>
        <w:t>HOCHST</w:t>
      </w:r>
      <w:r>
        <w:rPr>
          <w:rFonts w:ascii="Arial"/>
          <w:b/>
          <w:spacing w:val="-66"/>
          <w:w w:val="95"/>
          <w:sz w:val="26"/>
        </w:rPr>
        <w:t> </w:t>
      </w:r>
      <w:r>
        <w:rPr>
          <w:rFonts w:ascii="Arial"/>
          <w:b/>
          <w:sz w:val="26"/>
        </w:rPr>
        <w:t>(EBENACEAE)</w:t>
      </w:r>
      <w:r>
        <w:rPr>
          <w:rFonts w:ascii="Arial"/>
          <w:b/>
          <w:spacing w:val="-8"/>
          <w:sz w:val="26"/>
        </w:rPr>
        <w:t> </w:t>
      </w:r>
      <w:r>
        <w:rPr>
          <w:rFonts w:ascii="Arial"/>
          <w:b/>
          <w:sz w:val="26"/>
        </w:rPr>
        <w:t>IN</w:t>
      </w:r>
      <w:r>
        <w:rPr>
          <w:rFonts w:ascii="Arial"/>
          <w:b/>
          <w:spacing w:val="-5"/>
          <w:sz w:val="26"/>
        </w:rPr>
        <w:t> </w:t>
      </w:r>
      <w:r>
        <w:rPr>
          <w:rFonts w:ascii="Arial"/>
          <w:b/>
          <w:sz w:val="26"/>
        </w:rPr>
        <w:t>LABORATORY</w:t>
      </w:r>
      <w:r>
        <w:rPr>
          <w:rFonts w:ascii="Arial"/>
          <w:b/>
          <w:spacing w:val="-6"/>
          <w:sz w:val="26"/>
        </w:rPr>
        <w:t> </w:t>
      </w:r>
      <w:r>
        <w:rPr>
          <w:rFonts w:ascii="Arial"/>
          <w:b/>
          <w:sz w:val="26"/>
        </w:rPr>
        <w:t>ANIMALS</w:t>
      </w: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spacing w:before="11"/>
        <w:rPr>
          <w:rFonts w:ascii="Arial"/>
          <w:b/>
          <w:sz w:val="40"/>
        </w:rPr>
      </w:pPr>
    </w:p>
    <w:p>
      <w:pPr>
        <w:spacing w:before="0"/>
        <w:ind w:left="1498" w:right="1525" w:firstLine="0"/>
        <w:jc w:val="center"/>
        <w:rPr>
          <w:rFonts w:ascii="Arial"/>
          <w:b/>
          <w:sz w:val="26"/>
        </w:rPr>
      </w:pPr>
      <w:r>
        <w:rPr>
          <w:rFonts w:ascii="Arial"/>
          <w:b/>
          <w:sz w:val="26"/>
        </w:rPr>
        <w:t>BY</w:t>
      </w: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spacing w:before="10"/>
        <w:rPr>
          <w:rFonts w:ascii="Arial"/>
          <w:b/>
          <w:sz w:val="44"/>
        </w:rPr>
      </w:pPr>
    </w:p>
    <w:p>
      <w:pPr>
        <w:spacing w:before="1"/>
        <w:ind w:left="3121" w:right="2635" w:hanging="648"/>
        <w:jc w:val="left"/>
        <w:rPr>
          <w:rFonts w:ascii="Arial"/>
          <w:b/>
          <w:sz w:val="26"/>
        </w:rPr>
      </w:pPr>
      <w:r>
        <w:rPr>
          <w:rFonts w:ascii="Arial"/>
          <w:b/>
          <w:sz w:val="26"/>
        </w:rPr>
        <w:t>Kasimu</w:t>
      </w:r>
      <w:r>
        <w:rPr>
          <w:rFonts w:ascii="Arial"/>
          <w:b/>
          <w:spacing w:val="18"/>
          <w:sz w:val="26"/>
        </w:rPr>
        <w:t> </w:t>
      </w:r>
      <w:r>
        <w:rPr>
          <w:rFonts w:ascii="Arial"/>
          <w:b/>
          <w:sz w:val="26"/>
        </w:rPr>
        <w:t>MUHAMMAD</w:t>
      </w:r>
      <w:r>
        <w:rPr>
          <w:rFonts w:ascii="Arial"/>
          <w:b/>
          <w:spacing w:val="19"/>
          <w:sz w:val="26"/>
        </w:rPr>
        <w:t> </w:t>
      </w:r>
      <w:r>
        <w:rPr>
          <w:rFonts w:ascii="Arial"/>
          <w:b/>
          <w:sz w:val="26"/>
        </w:rPr>
        <w:t>B.Pharm</w:t>
      </w:r>
      <w:r>
        <w:rPr>
          <w:rFonts w:ascii="Arial"/>
          <w:b/>
          <w:spacing w:val="16"/>
          <w:sz w:val="26"/>
        </w:rPr>
        <w:t> </w:t>
      </w:r>
      <w:r>
        <w:rPr>
          <w:rFonts w:ascii="Arial"/>
          <w:b/>
          <w:sz w:val="26"/>
        </w:rPr>
        <w:t>(ABU)</w:t>
      </w:r>
      <w:r>
        <w:rPr>
          <w:rFonts w:ascii="Arial"/>
          <w:b/>
          <w:spacing w:val="17"/>
          <w:sz w:val="26"/>
        </w:rPr>
        <w:t> </w:t>
      </w:r>
      <w:r>
        <w:rPr>
          <w:rFonts w:ascii="Arial"/>
          <w:b/>
          <w:sz w:val="26"/>
        </w:rPr>
        <w:t>1998</w:t>
      </w:r>
      <w:r>
        <w:rPr>
          <w:rFonts w:ascii="Arial"/>
          <w:b/>
          <w:spacing w:val="-69"/>
          <w:sz w:val="26"/>
        </w:rPr>
        <w:t> </w:t>
      </w:r>
      <w:r>
        <w:rPr>
          <w:rFonts w:ascii="Arial"/>
          <w:b/>
          <w:w w:val="105"/>
          <w:sz w:val="26"/>
        </w:rPr>
        <w:t>M.Sc/PHARM.SCI/00127/2008-09</w:t>
      </w: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spacing w:before="3"/>
        <w:rPr>
          <w:rFonts w:ascii="Arial"/>
          <w:b/>
          <w:sz w:val="37"/>
        </w:rPr>
      </w:pPr>
    </w:p>
    <w:p>
      <w:pPr>
        <w:spacing w:before="0"/>
        <w:ind w:left="650" w:right="688" w:firstLine="0"/>
        <w:jc w:val="center"/>
        <w:rPr>
          <w:rFonts w:ascii="Arial"/>
          <w:b/>
          <w:sz w:val="26"/>
        </w:rPr>
      </w:pPr>
      <w:r>
        <w:rPr>
          <w:rFonts w:ascii="Arial"/>
          <w:b/>
          <w:sz w:val="26"/>
        </w:rPr>
        <w:t>A</w:t>
      </w:r>
      <w:r>
        <w:rPr>
          <w:rFonts w:ascii="Arial"/>
          <w:b/>
          <w:spacing w:val="10"/>
          <w:sz w:val="26"/>
        </w:rPr>
        <w:t> </w:t>
      </w:r>
      <w:r>
        <w:rPr>
          <w:rFonts w:ascii="Arial"/>
          <w:b/>
          <w:sz w:val="26"/>
        </w:rPr>
        <w:t>THESIS</w:t>
      </w:r>
      <w:r>
        <w:rPr>
          <w:rFonts w:ascii="Arial"/>
          <w:b/>
          <w:spacing w:val="12"/>
          <w:sz w:val="26"/>
        </w:rPr>
        <w:t> </w:t>
      </w:r>
      <w:r>
        <w:rPr>
          <w:rFonts w:ascii="Arial"/>
          <w:b/>
          <w:sz w:val="26"/>
        </w:rPr>
        <w:t>SUBMITTED</w:t>
      </w:r>
      <w:r>
        <w:rPr>
          <w:rFonts w:ascii="Arial"/>
          <w:b/>
          <w:spacing w:val="10"/>
          <w:sz w:val="26"/>
        </w:rPr>
        <w:t> </w:t>
      </w:r>
      <w:r>
        <w:rPr>
          <w:rFonts w:ascii="Arial"/>
          <w:b/>
          <w:sz w:val="26"/>
        </w:rPr>
        <w:t>TO</w:t>
      </w:r>
      <w:r>
        <w:rPr>
          <w:rFonts w:ascii="Arial"/>
          <w:b/>
          <w:spacing w:val="11"/>
          <w:sz w:val="26"/>
        </w:rPr>
        <w:t> </w:t>
      </w:r>
      <w:r>
        <w:rPr>
          <w:rFonts w:ascii="Arial"/>
          <w:b/>
          <w:sz w:val="26"/>
        </w:rPr>
        <w:t>THE</w:t>
      </w:r>
      <w:r>
        <w:rPr>
          <w:rFonts w:ascii="Arial"/>
          <w:b/>
          <w:spacing w:val="9"/>
          <w:sz w:val="26"/>
        </w:rPr>
        <w:t> </w:t>
      </w:r>
      <w:r>
        <w:rPr>
          <w:rFonts w:ascii="Arial"/>
          <w:b/>
          <w:sz w:val="26"/>
        </w:rPr>
        <w:t>SCHOOL</w:t>
      </w:r>
      <w:r>
        <w:rPr>
          <w:rFonts w:ascii="Arial"/>
          <w:b/>
          <w:spacing w:val="10"/>
          <w:sz w:val="26"/>
        </w:rPr>
        <w:t> </w:t>
      </w:r>
      <w:r>
        <w:rPr>
          <w:rFonts w:ascii="Arial"/>
          <w:b/>
          <w:sz w:val="26"/>
        </w:rPr>
        <w:t>OF</w:t>
      </w:r>
      <w:r>
        <w:rPr>
          <w:rFonts w:ascii="Arial"/>
          <w:b/>
          <w:spacing w:val="10"/>
          <w:sz w:val="26"/>
        </w:rPr>
        <w:t> </w:t>
      </w:r>
      <w:r>
        <w:rPr>
          <w:rFonts w:ascii="Arial"/>
          <w:b/>
          <w:sz w:val="26"/>
        </w:rPr>
        <w:t>POSTGRADUATE</w:t>
      </w:r>
      <w:r>
        <w:rPr>
          <w:rFonts w:ascii="Arial"/>
          <w:b/>
          <w:spacing w:val="12"/>
          <w:sz w:val="26"/>
        </w:rPr>
        <w:t> </w:t>
      </w:r>
      <w:r>
        <w:rPr>
          <w:rFonts w:ascii="Arial"/>
          <w:b/>
          <w:sz w:val="26"/>
        </w:rPr>
        <w:t>STUDIES,</w:t>
      </w:r>
      <w:r>
        <w:rPr>
          <w:rFonts w:ascii="Arial"/>
          <w:b/>
          <w:spacing w:val="-70"/>
          <w:sz w:val="26"/>
        </w:rPr>
        <w:t> </w:t>
      </w:r>
      <w:r>
        <w:rPr>
          <w:rFonts w:ascii="Arial"/>
          <w:b/>
          <w:sz w:val="26"/>
        </w:rPr>
        <w:t>AHMADU</w:t>
      </w:r>
      <w:r>
        <w:rPr>
          <w:rFonts w:ascii="Arial"/>
          <w:b/>
          <w:spacing w:val="-7"/>
          <w:sz w:val="26"/>
        </w:rPr>
        <w:t> </w:t>
      </w:r>
      <w:r>
        <w:rPr>
          <w:rFonts w:ascii="Arial"/>
          <w:b/>
          <w:sz w:val="26"/>
        </w:rPr>
        <w:t>BELLO</w:t>
      </w:r>
      <w:r>
        <w:rPr>
          <w:rFonts w:ascii="Arial"/>
          <w:b/>
          <w:spacing w:val="-7"/>
          <w:sz w:val="26"/>
        </w:rPr>
        <w:t> </w:t>
      </w:r>
      <w:r>
        <w:rPr>
          <w:rFonts w:ascii="Arial"/>
          <w:b/>
          <w:sz w:val="26"/>
        </w:rPr>
        <w:t>UNIVERSITY</w:t>
      </w:r>
      <w:r>
        <w:rPr>
          <w:rFonts w:ascii="Arial"/>
          <w:b/>
          <w:spacing w:val="-6"/>
          <w:sz w:val="26"/>
        </w:rPr>
        <w:t> </w:t>
      </w:r>
      <w:r>
        <w:rPr>
          <w:rFonts w:ascii="Arial"/>
          <w:b/>
          <w:sz w:val="26"/>
        </w:rPr>
        <w:t>ZARIA,</w:t>
      </w:r>
    </w:p>
    <w:p>
      <w:pPr>
        <w:pStyle w:val="BodyText"/>
        <w:spacing w:before="6"/>
        <w:rPr>
          <w:rFonts w:ascii="Arial"/>
          <w:b/>
          <w:sz w:val="26"/>
        </w:rPr>
      </w:pPr>
    </w:p>
    <w:p>
      <w:pPr>
        <w:spacing w:before="0"/>
        <w:ind w:left="650" w:right="619" w:firstLine="0"/>
        <w:jc w:val="center"/>
        <w:rPr>
          <w:rFonts w:ascii="Arial"/>
          <w:b/>
          <w:sz w:val="26"/>
        </w:rPr>
      </w:pPr>
      <w:r>
        <w:rPr>
          <w:rFonts w:ascii="Arial"/>
          <w:b/>
          <w:sz w:val="26"/>
        </w:rPr>
        <w:t>IN</w:t>
      </w:r>
      <w:r>
        <w:rPr>
          <w:rFonts w:ascii="Arial"/>
          <w:b/>
          <w:spacing w:val="6"/>
          <w:sz w:val="26"/>
        </w:rPr>
        <w:t> </w:t>
      </w:r>
      <w:r>
        <w:rPr>
          <w:rFonts w:ascii="Arial"/>
          <w:b/>
          <w:sz w:val="26"/>
        </w:rPr>
        <w:t>PARTIAL</w:t>
      </w:r>
      <w:r>
        <w:rPr>
          <w:rFonts w:ascii="Arial"/>
          <w:b/>
          <w:spacing w:val="7"/>
          <w:sz w:val="26"/>
        </w:rPr>
        <w:t> </w:t>
      </w:r>
      <w:r>
        <w:rPr>
          <w:rFonts w:ascii="Arial"/>
          <w:b/>
          <w:sz w:val="26"/>
        </w:rPr>
        <w:t>FULFILLMENT</w:t>
      </w:r>
      <w:r>
        <w:rPr>
          <w:rFonts w:ascii="Arial"/>
          <w:b/>
          <w:spacing w:val="6"/>
          <w:sz w:val="26"/>
        </w:rPr>
        <w:t> </w:t>
      </w:r>
      <w:r>
        <w:rPr>
          <w:rFonts w:ascii="Arial"/>
          <w:b/>
          <w:sz w:val="26"/>
        </w:rPr>
        <w:t>OF</w:t>
      </w:r>
      <w:r>
        <w:rPr>
          <w:rFonts w:ascii="Arial"/>
          <w:b/>
          <w:spacing w:val="4"/>
          <w:sz w:val="26"/>
        </w:rPr>
        <w:t> </w:t>
      </w:r>
      <w:r>
        <w:rPr>
          <w:rFonts w:ascii="Arial"/>
          <w:b/>
          <w:sz w:val="26"/>
        </w:rPr>
        <w:t>THE</w:t>
      </w:r>
      <w:r>
        <w:rPr>
          <w:rFonts w:ascii="Arial"/>
          <w:b/>
          <w:spacing w:val="4"/>
          <w:sz w:val="26"/>
        </w:rPr>
        <w:t> </w:t>
      </w:r>
      <w:r>
        <w:rPr>
          <w:rFonts w:ascii="Arial"/>
          <w:b/>
          <w:sz w:val="26"/>
        </w:rPr>
        <w:t>REQUIREMENTS</w:t>
      </w:r>
      <w:r>
        <w:rPr>
          <w:rFonts w:ascii="Arial"/>
          <w:b/>
          <w:spacing w:val="5"/>
          <w:sz w:val="26"/>
        </w:rPr>
        <w:t> </w:t>
      </w:r>
      <w:r>
        <w:rPr>
          <w:rFonts w:ascii="Arial"/>
          <w:b/>
          <w:sz w:val="26"/>
        </w:rPr>
        <w:t>FOR</w:t>
      </w:r>
      <w:r>
        <w:rPr>
          <w:rFonts w:ascii="Arial"/>
          <w:b/>
          <w:spacing w:val="5"/>
          <w:sz w:val="26"/>
        </w:rPr>
        <w:t> </w:t>
      </w:r>
      <w:r>
        <w:rPr>
          <w:rFonts w:ascii="Arial"/>
          <w:b/>
          <w:sz w:val="26"/>
        </w:rPr>
        <w:t>THE</w:t>
      </w:r>
      <w:r>
        <w:rPr>
          <w:rFonts w:ascii="Arial"/>
          <w:b/>
          <w:spacing w:val="5"/>
          <w:sz w:val="26"/>
        </w:rPr>
        <w:t> </w:t>
      </w:r>
      <w:r>
        <w:rPr>
          <w:rFonts w:ascii="Arial"/>
          <w:b/>
          <w:sz w:val="26"/>
        </w:rPr>
        <w:t>AWARD</w:t>
      </w:r>
      <w:r>
        <w:rPr>
          <w:rFonts w:ascii="Arial"/>
          <w:b/>
          <w:spacing w:val="-70"/>
          <w:sz w:val="26"/>
        </w:rPr>
        <w:t> </w:t>
      </w:r>
      <w:r>
        <w:rPr>
          <w:rFonts w:ascii="Arial"/>
          <w:b/>
          <w:sz w:val="26"/>
        </w:rPr>
        <w:t>OF</w:t>
      </w:r>
      <w:r>
        <w:rPr>
          <w:rFonts w:ascii="Arial"/>
          <w:b/>
          <w:spacing w:val="-8"/>
          <w:sz w:val="26"/>
        </w:rPr>
        <w:t> </w:t>
      </w:r>
      <w:r>
        <w:rPr>
          <w:rFonts w:ascii="Arial"/>
          <w:b/>
          <w:sz w:val="26"/>
        </w:rPr>
        <w:t>A</w:t>
      </w:r>
    </w:p>
    <w:p>
      <w:pPr>
        <w:spacing w:before="5"/>
        <w:ind w:left="1498" w:right="1528" w:firstLine="0"/>
        <w:jc w:val="center"/>
        <w:rPr>
          <w:rFonts w:ascii="Arial"/>
          <w:b/>
          <w:sz w:val="26"/>
        </w:rPr>
      </w:pPr>
      <w:r>
        <w:rPr>
          <w:rFonts w:ascii="Arial"/>
          <w:b/>
          <w:sz w:val="26"/>
        </w:rPr>
        <w:t>MASTER</w:t>
      </w:r>
      <w:r>
        <w:rPr>
          <w:rFonts w:ascii="Arial"/>
          <w:b/>
          <w:spacing w:val="-1"/>
          <w:sz w:val="26"/>
        </w:rPr>
        <w:t> </w:t>
      </w:r>
      <w:r>
        <w:rPr>
          <w:rFonts w:ascii="Arial"/>
          <w:b/>
          <w:sz w:val="26"/>
        </w:rPr>
        <w:t>DEGREE</w:t>
      </w:r>
      <w:r>
        <w:rPr>
          <w:rFonts w:ascii="Arial"/>
          <w:b/>
          <w:spacing w:val="2"/>
          <w:sz w:val="26"/>
        </w:rPr>
        <w:t> </w:t>
      </w:r>
      <w:r>
        <w:rPr>
          <w:rFonts w:ascii="Arial"/>
          <w:b/>
          <w:sz w:val="26"/>
        </w:rPr>
        <w:t>IN</w:t>
      </w:r>
      <w:r>
        <w:rPr>
          <w:rFonts w:ascii="Arial"/>
          <w:b/>
          <w:spacing w:val="2"/>
          <w:sz w:val="26"/>
        </w:rPr>
        <w:t> </w:t>
      </w:r>
      <w:r>
        <w:rPr>
          <w:rFonts w:ascii="Arial"/>
          <w:b/>
          <w:sz w:val="26"/>
        </w:rPr>
        <w:t>PHARMACOLOGY</w:t>
      </w: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spacing w:before="7"/>
        <w:rPr>
          <w:rFonts w:ascii="Arial"/>
          <w:b/>
          <w:sz w:val="44"/>
        </w:rPr>
      </w:pPr>
    </w:p>
    <w:p>
      <w:pPr>
        <w:spacing w:line="242" w:lineRule="auto" w:before="0"/>
        <w:ind w:left="1494" w:right="1529" w:firstLine="0"/>
        <w:jc w:val="center"/>
        <w:rPr>
          <w:rFonts w:ascii="Arial"/>
          <w:b/>
          <w:sz w:val="26"/>
        </w:rPr>
      </w:pPr>
      <w:r>
        <w:rPr>
          <w:rFonts w:ascii="Arial"/>
          <w:b/>
          <w:sz w:val="26"/>
        </w:rPr>
        <w:t>DEPARTMENT</w:t>
      </w:r>
      <w:r>
        <w:rPr>
          <w:rFonts w:ascii="Arial"/>
          <w:b/>
          <w:spacing w:val="11"/>
          <w:sz w:val="26"/>
        </w:rPr>
        <w:t> </w:t>
      </w:r>
      <w:r>
        <w:rPr>
          <w:rFonts w:ascii="Arial"/>
          <w:b/>
          <w:sz w:val="26"/>
        </w:rPr>
        <w:t>OF</w:t>
      </w:r>
      <w:r>
        <w:rPr>
          <w:rFonts w:ascii="Arial"/>
          <w:b/>
          <w:spacing w:val="9"/>
          <w:sz w:val="26"/>
        </w:rPr>
        <w:t> </w:t>
      </w:r>
      <w:r>
        <w:rPr>
          <w:rFonts w:ascii="Arial"/>
          <w:b/>
          <w:sz w:val="26"/>
        </w:rPr>
        <w:t>PHARMACOLGY</w:t>
      </w:r>
      <w:r>
        <w:rPr>
          <w:rFonts w:ascii="Arial"/>
          <w:b/>
          <w:spacing w:val="13"/>
          <w:sz w:val="26"/>
        </w:rPr>
        <w:t> </w:t>
      </w:r>
      <w:r>
        <w:rPr>
          <w:rFonts w:ascii="Arial"/>
          <w:b/>
          <w:sz w:val="26"/>
        </w:rPr>
        <w:t>AND</w:t>
      </w:r>
      <w:r>
        <w:rPr>
          <w:rFonts w:ascii="Arial"/>
          <w:b/>
          <w:spacing w:val="9"/>
          <w:sz w:val="26"/>
        </w:rPr>
        <w:t> </w:t>
      </w:r>
      <w:r>
        <w:rPr>
          <w:rFonts w:ascii="Arial"/>
          <w:b/>
          <w:sz w:val="26"/>
        </w:rPr>
        <w:t>THERAPEUTICS</w:t>
      </w:r>
      <w:r>
        <w:rPr>
          <w:rFonts w:ascii="Arial"/>
          <w:b/>
          <w:spacing w:val="-69"/>
          <w:sz w:val="26"/>
        </w:rPr>
        <w:t> </w:t>
      </w:r>
      <w:r>
        <w:rPr>
          <w:rFonts w:ascii="Arial"/>
          <w:b/>
          <w:sz w:val="26"/>
        </w:rPr>
        <w:t>FACULTY</w:t>
      </w:r>
      <w:r>
        <w:rPr>
          <w:rFonts w:ascii="Arial"/>
          <w:b/>
          <w:spacing w:val="-4"/>
          <w:sz w:val="26"/>
        </w:rPr>
        <w:t> </w:t>
      </w:r>
      <w:r>
        <w:rPr>
          <w:rFonts w:ascii="Arial"/>
          <w:b/>
          <w:sz w:val="26"/>
        </w:rPr>
        <w:t>OF</w:t>
      </w:r>
      <w:r>
        <w:rPr>
          <w:rFonts w:ascii="Arial"/>
          <w:b/>
          <w:spacing w:val="-6"/>
          <w:sz w:val="26"/>
        </w:rPr>
        <w:t> </w:t>
      </w:r>
      <w:r>
        <w:rPr>
          <w:rFonts w:ascii="Arial"/>
          <w:b/>
          <w:sz w:val="26"/>
        </w:rPr>
        <w:t>PHARMACEUTICAL</w:t>
      </w:r>
      <w:r>
        <w:rPr>
          <w:rFonts w:ascii="Arial"/>
          <w:b/>
          <w:spacing w:val="-6"/>
          <w:sz w:val="26"/>
        </w:rPr>
        <w:t> </w:t>
      </w:r>
      <w:r>
        <w:rPr>
          <w:rFonts w:ascii="Arial"/>
          <w:b/>
          <w:sz w:val="26"/>
        </w:rPr>
        <w:t>SCIENCES</w:t>
      </w:r>
    </w:p>
    <w:p>
      <w:pPr>
        <w:spacing w:before="0"/>
        <w:ind w:left="2811" w:right="2843" w:firstLine="0"/>
        <w:jc w:val="center"/>
        <w:rPr>
          <w:rFonts w:ascii="Arial"/>
          <w:b/>
          <w:sz w:val="26"/>
        </w:rPr>
      </w:pPr>
      <w:r>
        <w:rPr>
          <w:rFonts w:ascii="Arial"/>
          <w:b/>
          <w:sz w:val="26"/>
        </w:rPr>
        <w:t>AHMADU</w:t>
      </w:r>
      <w:r>
        <w:rPr>
          <w:rFonts w:ascii="Arial"/>
          <w:b/>
          <w:spacing w:val="16"/>
          <w:sz w:val="26"/>
        </w:rPr>
        <w:t> </w:t>
      </w:r>
      <w:r>
        <w:rPr>
          <w:rFonts w:ascii="Arial"/>
          <w:b/>
          <w:sz w:val="26"/>
        </w:rPr>
        <w:t>BELLO</w:t>
      </w:r>
      <w:r>
        <w:rPr>
          <w:rFonts w:ascii="Arial"/>
          <w:b/>
          <w:spacing w:val="16"/>
          <w:sz w:val="26"/>
        </w:rPr>
        <w:t> </w:t>
      </w:r>
      <w:r>
        <w:rPr>
          <w:rFonts w:ascii="Arial"/>
          <w:b/>
          <w:sz w:val="26"/>
        </w:rPr>
        <w:t>UNIVERSITY,</w:t>
      </w:r>
      <w:r>
        <w:rPr>
          <w:rFonts w:ascii="Arial"/>
          <w:b/>
          <w:spacing w:val="16"/>
          <w:sz w:val="26"/>
        </w:rPr>
        <w:t> </w:t>
      </w:r>
      <w:r>
        <w:rPr>
          <w:rFonts w:ascii="Arial"/>
          <w:b/>
          <w:sz w:val="26"/>
        </w:rPr>
        <w:t>ZARIA</w:t>
      </w:r>
      <w:r>
        <w:rPr>
          <w:rFonts w:ascii="Arial"/>
          <w:b/>
          <w:spacing w:val="-69"/>
          <w:sz w:val="26"/>
        </w:rPr>
        <w:t> </w:t>
      </w:r>
      <w:r>
        <w:rPr>
          <w:rFonts w:ascii="Arial"/>
          <w:b/>
          <w:sz w:val="26"/>
        </w:rPr>
        <w:t>NIGERIA</w:t>
      </w: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spacing w:before="3"/>
        <w:rPr>
          <w:rFonts w:ascii="Arial"/>
          <w:b/>
          <w:sz w:val="37"/>
        </w:rPr>
      </w:pPr>
    </w:p>
    <w:p>
      <w:pPr>
        <w:spacing w:before="0"/>
        <w:ind w:left="1498" w:right="1529" w:firstLine="0"/>
        <w:jc w:val="center"/>
        <w:rPr>
          <w:rFonts w:ascii="Arial"/>
          <w:b/>
          <w:sz w:val="26"/>
        </w:rPr>
      </w:pPr>
      <w:r>
        <w:rPr>
          <w:rFonts w:ascii="Arial"/>
          <w:b/>
          <w:sz w:val="26"/>
        </w:rPr>
        <w:t>FEBRUARY,</w:t>
      </w:r>
      <w:r>
        <w:rPr>
          <w:rFonts w:ascii="Arial"/>
          <w:b/>
          <w:spacing w:val="9"/>
          <w:sz w:val="26"/>
        </w:rPr>
        <w:t> </w:t>
      </w:r>
      <w:r>
        <w:rPr>
          <w:rFonts w:ascii="Arial"/>
          <w:b/>
          <w:sz w:val="26"/>
        </w:rPr>
        <w:t>2014</w:t>
      </w:r>
    </w:p>
    <w:p>
      <w:pPr>
        <w:spacing w:after="0"/>
        <w:jc w:val="center"/>
        <w:rPr>
          <w:rFonts w:ascii="Arial"/>
          <w:sz w:val="26"/>
        </w:rPr>
        <w:sectPr>
          <w:pgSz w:w="12240" w:h="15840"/>
          <w:pgMar w:header="0" w:footer="792" w:top="1360" w:bottom="980" w:left="1080" w:right="760"/>
        </w:sectPr>
      </w:pPr>
    </w:p>
    <w:p>
      <w:pPr>
        <w:pStyle w:val="BodyText"/>
        <w:spacing w:before="9"/>
        <w:rPr>
          <w:rFonts w:ascii="Arial"/>
          <w:b/>
          <w:sz w:val="12"/>
        </w:rPr>
      </w:pPr>
    </w:p>
    <w:p>
      <w:pPr>
        <w:pStyle w:val="Heading1"/>
        <w:spacing w:before="90"/>
        <w:ind w:left="1498" w:right="1526"/>
        <w:jc w:val="center"/>
      </w:pPr>
      <w:r>
        <w:rPr/>
        <w:t>DECLARATION</w:t>
      </w:r>
    </w:p>
    <w:p>
      <w:pPr>
        <w:pStyle w:val="BodyText"/>
        <w:spacing w:before="6"/>
        <w:rPr>
          <w:b/>
          <w:sz w:val="23"/>
        </w:rPr>
      </w:pPr>
    </w:p>
    <w:p>
      <w:pPr>
        <w:spacing w:line="480" w:lineRule="auto" w:before="1"/>
        <w:ind w:left="648" w:right="673" w:firstLine="0"/>
        <w:jc w:val="both"/>
        <w:rPr>
          <w:sz w:val="24"/>
        </w:rPr>
      </w:pPr>
      <w:r>
        <w:rPr>
          <w:sz w:val="24"/>
        </w:rPr>
        <w:t>I declare that the work in this thesis entitled “</w:t>
      </w:r>
      <w:r>
        <w:rPr>
          <w:b/>
          <w:sz w:val="24"/>
        </w:rPr>
        <w:t>Anticonvulsant and Sub-chronic toxicity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Studies of the methanol leaf extract of </w:t>
      </w:r>
      <w:r>
        <w:rPr>
          <w:b/>
          <w:i/>
          <w:sz w:val="24"/>
        </w:rPr>
        <w:t>Diospyros mespiliformis </w:t>
      </w:r>
      <w:r>
        <w:rPr>
          <w:b/>
          <w:sz w:val="24"/>
        </w:rPr>
        <w:t>Hochst (Ebenaceae) in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laboratory animals” </w:t>
      </w:r>
      <w:r>
        <w:rPr>
          <w:sz w:val="24"/>
        </w:rPr>
        <w:t>has been carried out by me in the Department of Pharmacology and</w:t>
      </w:r>
      <w:r>
        <w:rPr>
          <w:spacing w:val="1"/>
          <w:sz w:val="24"/>
        </w:rPr>
        <w:t> </w:t>
      </w:r>
      <w:r>
        <w:rPr>
          <w:sz w:val="24"/>
        </w:rPr>
        <w:t>Therapeutics. The information derived from the literature has been duly acknowledged in the</w:t>
      </w:r>
      <w:r>
        <w:rPr>
          <w:spacing w:val="1"/>
          <w:sz w:val="24"/>
        </w:rPr>
        <w:t> </w:t>
      </w:r>
      <w:r>
        <w:rPr>
          <w:sz w:val="24"/>
        </w:rPr>
        <w:t>text and a list of references provided. No part of this thesis was previously presented for</w:t>
      </w:r>
      <w:r>
        <w:rPr>
          <w:spacing w:val="1"/>
          <w:sz w:val="24"/>
        </w:rPr>
        <w:t> </w:t>
      </w:r>
      <w:r>
        <w:rPr>
          <w:sz w:val="24"/>
        </w:rPr>
        <w:t>another</w:t>
      </w:r>
      <w:r>
        <w:rPr>
          <w:spacing w:val="-2"/>
          <w:sz w:val="24"/>
        </w:rPr>
        <w:t> </w:t>
      </w:r>
      <w:r>
        <w:rPr>
          <w:sz w:val="24"/>
        </w:rPr>
        <w:t>degree</w:t>
      </w:r>
      <w:r>
        <w:rPr>
          <w:spacing w:val="-1"/>
          <w:sz w:val="24"/>
        </w:rPr>
        <w:t> </w:t>
      </w:r>
      <w:r>
        <w:rPr>
          <w:sz w:val="24"/>
        </w:rPr>
        <w:t>or diploma</w:t>
      </w:r>
      <w:r>
        <w:rPr>
          <w:spacing w:val="-1"/>
          <w:sz w:val="24"/>
        </w:rPr>
        <w:t> </w:t>
      </w:r>
      <w:r>
        <w:rPr>
          <w:sz w:val="24"/>
        </w:rPr>
        <w:t>at this or any</w:t>
      </w:r>
      <w:r>
        <w:rPr>
          <w:spacing w:val="-5"/>
          <w:sz w:val="24"/>
        </w:rPr>
        <w:t> </w:t>
      </w:r>
      <w:r>
        <w:rPr>
          <w:sz w:val="24"/>
        </w:rPr>
        <w:t>other</w:t>
      </w:r>
      <w:r>
        <w:rPr>
          <w:spacing w:val="-2"/>
          <w:sz w:val="24"/>
        </w:rPr>
        <w:t> </w:t>
      </w:r>
      <w:r>
        <w:rPr>
          <w:sz w:val="24"/>
        </w:rPr>
        <w:t>institution.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9"/>
        </w:rPr>
      </w:pPr>
      <w:r>
        <w:rPr/>
        <w:pict>
          <v:shape style="position:absolute;margin-left:86.424004pt;margin-top:13.625669pt;width:156pt;height:.1pt;mso-position-horizontal-relative:page;mso-position-vertical-relative:paragraph;z-index:-15728640;mso-wrap-distance-left:0;mso-wrap-distance-right:0" coordorigin="1728,273" coordsize="3120,0" path="m1728,273l4848,273e" filled="false" stroked="true" strokeweight=".48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302.470001pt;margin-top:13.625669pt;width:108pt;height:.1pt;mso-position-horizontal-relative:page;mso-position-vertical-relative:paragraph;z-index:-15728128;mso-wrap-distance-left:0;mso-wrap-distance-right:0" coordorigin="6049,273" coordsize="2160,0" path="m6049,273l8209,273e" filled="false" stroked="true" strokeweight=".48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446.5pt;margin-top:13.625669pt;width:72pt;height:.1pt;mso-position-horizontal-relative:page;mso-position-vertical-relative:paragraph;z-index:-15727616;mso-wrap-distance-left:0;mso-wrap-distance-right:0" coordorigin="8930,273" coordsize="1440,0" path="m8930,273l10370,273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tabs>
          <w:tab w:pos="4320" w:val="left" w:leader="none"/>
          <w:tab w:pos="7021" w:val="left" w:leader="none"/>
        </w:tabs>
        <w:spacing w:line="247" w:lineRule="exact"/>
        <w:ind w:right="187"/>
        <w:jc w:val="center"/>
      </w:pPr>
      <w:r>
        <w:rPr/>
        <w:t>Name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Student</w:t>
        <w:tab/>
        <w:t>Signature</w:t>
        <w:tab/>
        <w:t>Date</w:t>
      </w:r>
    </w:p>
    <w:p>
      <w:pPr>
        <w:spacing w:after="0" w:line="247" w:lineRule="exact"/>
        <w:jc w:val="center"/>
        <w:sectPr>
          <w:pgSz w:w="12240" w:h="15840"/>
          <w:pgMar w:header="0" w:footer="792" w:top="1500" w:bottom="980" w:left="1080" w:right="760"/>
        </w:sectPr>
      </w:pPr>
    </w:p>
    <w:p>
      <w:pPr>
        <w:pStyle w:val="Heading1"/>
        <w:spacing w:before="76"/>
        <w:ind w:left="1496" w:right="1529"/>
        <w:jc w:val="center"/>
      </w:pPr>
      <w:r>
        <w:rPr/>
        <w:t>CERTIFICATION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7"/>
        <w:rPr>
          <w:b/>
          <w:sz w:val="21"/>
        </w:rPr>
      </w:pPr>
    </w:p>
    <w:p>
      <w:pPr>
        <w:spacing w:line="480" w:lineRule="auto" w:before="1"/>
        <w:ind w:left="648" w:right="677" w:firstLine="0"/>
        <w:jc w:val="both"/>
        <w:rPr>
          <w:sz w:val="24"/>
        </w:rPr>
      </w:pPr>
      <w:r>
        <w:rPr>
          <w:sz w:val="24"/>
        </w:rPr>
        <w:t>This thesis entitled </w:t>
      </w:r>
      <w:r>
        <w:rPr>
          <w:b/>
          <w:sz w:val="24"/>
        </w:rPr>
        <w:t>“ANTICONVULSANT AND SUB-CHRONIC TOXICITY STUDIES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METHANOL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LEAF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EXTRACT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1"/>
          <w:sz w:val="24"/>
        </w:rPr>
        <w:t> </w:t>
      </w:r>
      <w:r>
        <w:rPr>
          <w:b/>
          <w:i/>
          <w:sz w:val="24"/>
        </w:rPr>
        <w:t>DIOSPYROS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MESPILIFORMIS</w:t>
      </w:r>
      <w:r>
        <w:rPr>
          <w:b/>
          <w:i/>
          <w:spacing w:val="1"/>
          <w:sz w:val="24"/>
        </w:rPr>
        <w:t> </w:t>
      </w:r>
      <w:r>
        <w:rPr>
          <w:b/>
          <w:sz w:val="24"/>
        </w:rPr>
        <w:t>HOCHST</w:t>
      </w:r>
      <w:r>
        <w:rPr>
          <w:b/>
          <w:spacing w:val="31"/>
          <w:sz w:val="24"/>
        </w:rPr>
        <w:t> </w:t>
      </w:r>
      <w:r>
        <w:rPr>
          <w:b/>
          <w:sz w:val="24"/>
        </w:rPr>
        <w:t>(EBENACEAE)</w:t>
      </w:r>
      <w:r>
        <w:rPr>
          <w:b/>
          <w:spacing w:val="31"/>
          <w:sz w:val="24"/>
        </w:rPr>
        <w:t> </w:t>
      </w:r>
      <w:r>
        <w:rPr>
          <w:b/>
          <w:sz w:val="24"/>
        </w:rPr>
        <w:t>IN</w:t>
      </w:r>
      <w:r>
        <w:rPr>
          <w:b/>
          <w:spacing w:val="31"/>
          <w:sz w:val="24"/>
        </w:rPr>
        <w:t> </w:t>
      </w:r>
      <w:r>
        <w:rPr>
          <w:b/>
          <w:sz w:val="24"/>
        </w:rPr>
        <w:t>LABORATORY</w:t>
      </w:r>
      <w:r>
        <w:rPr>
          <w:b/>
          <w:spacing w:val="29"/>
          <w:sz w:val="24"/>
        </w:rPr>
        <w:t> </w:t>
      </w:r>
      <w:r>
        <w:rPr>
          <w:b/>
          <w:sz w:val="24"/>
        </w:rPr>
        <w:t>ANIMALS”</w:t>
      </w:r>
      <w:r>
        <w:rPr>
          <w:b/>
          <w:spacing w:val="35"/>
          <w:sz w:val="24"/>
        </w:rPr>
        <w:t> </w:t>
      </w:r>
      <w:r>
        <w:rPr>
          <w:sz w:val="24"/>
        </w:rPr>
        <w:t>by</w:t>
      </w:r>
      <w:r>
        <w:rPr>
          <w:spacing w:val="26"/>
          <w:sz w:val="24"/>
        </w:rPr>
        <w:t> </w:t>
      </w:r>
      <w:r>
        <w:rPr>
          <w:sz w:val="24"/>
        </w:rPr>
        <w:t>Kasimu</w:t>
      </w:r>
      <w:r>
        <w:rPr>
          <w:spacing w:val="31"/>
          <w:sz w:val="24"/>
        </w:rPr>
        <w:t> </w:t>
      </w:r>
      <w:r>
        <w:rPr>
          <w:sz w:val="24"/>
        </w:rPr>
        <w:t>MUHAMMAD</w:t>
      </w:r>
    </w:p>
    <w:p>
      <w:pPr>
        <w:pStyle w:val="BodyText"/>
        <w:spacing w:line="480" w:lineRule="auto"/>
        <w:ind w:left="648" w:right="680"/>
        <w:jc w:val="both"/>
      </w:pPr>
      <w:r>
        <w:rPr/>
        <w:t>meets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Regulations</w:t>
      </w:r>
      <w:r>
        <w:rPr>
          <w:spacing w:val="1"/>
        </w:rPr>
        <w:t> </w:t>
      </w:r>
      <w:r>
        <w:rPr/>
        <w:t>governing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award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Degree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Master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Science</w:t>
      </w:r>
      <w:r>
        <w:rPr>
          <w:spacing w:val="1"/>
        </w:rPr>
        <w:t> </w:t>
      </w:r>
      <w:r>
        <w:rPr/>
        <w:t>(Pharmacology) of the</w:t>
      </w:r>
      <w:r>
        <w:rPr>
          <w:spacing w:val="1"/>
        </w:rPr>
        <w:t> </w:t>
      </w:r>
      <w:r>
        <w:rPr/>
        <w:t>Ahmadu</w:t>
      </w:r>
      <w:r>
        <w:rPr>
          <w:spacing w:val="1"/>
        </w:rPr>
        <w:t> </w:t>
      </w:r>
      <w:r>
        <w:rPr/>
        <w:t>Bello</w:t>
      </w:r>
      <w:r>
        <w:rPr>
          <w:spacing w:val="1"/>
        </w:rPr>
        <w:t> </w:t>
      </w:r>
      <w:r>
        <w:rPr/>
        <w:t>University and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approved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contribution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knowledge</w:t>
      </w:r>
      <w:r>
        <w:rPr>
          <w:spacing w:val="-2"/>
        </w:rPr>
        <w:t> </w:t>
      </w:r>
      <w:r>
        <w:rPr/>
        <w:t>and literary</w:t>
      </w:r>
      <w:r>
        <w:rPr>
          <w:spacing w:val="-5"/>
        </w:rPr>
        <w:t> </w:t>
      </w:r>
      <w:r>
        <w:rPr/>
        <w:t>presentation.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5"/>
        </w:rPr>
      </w:pPr>
      <w:r>
        <w:rPr/>
        <w:pict>
          <v:shape style="position:absolute;margin-left:86.424004pt;margin-top:11.2994pt;width:204pt;height:.1pt;mso-position-horizontal-relative:page;mso-position-vertical-relative:paragraph;z-index:-15727104;mso-wrap-distance-left:0;mso-wrap-distance-right:0" coordorigin="1728,226" coordsize="4080,0" path="m1728,226l5808,226e" filled="false" stroked="true" strokeweight=".48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410.5pt;margin-top:11.2994pt;width:108pt;height:.1pt;mso-position-horizontal-relative:page;mso-position-vertical-relative:paragraph;z-index:-15726592;mso-wrap-distance-left:0;mso-wrap-distance-right:0" coordorigin="8210,226" coordsize="2160,0" path="m8210,226l10370,226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pStyle w:val="Heading1"/>
        <w:tabs>
          <w:tab w:pos="6121" w:val="left" w:leader="none"/>
        </w:tabs>
        <w:spacing w:line="252" w:lineRule="exact"/>
        <w:ind w:left="0" w:right="341"/>
        <w:jc w:val="center"/>
      </w:pPr>
      <w:r>
        <w:rPr/>
        <w:t>Dr.</w:t>
      </w:r>
      <w:r>
        <w:rPr>
          <w:spacing w:val="-1"/>
        </w:rPr>
        <w:t> </w:t>
      </w:r>
      <w:r>
        <w:rPr/>
        <w:t>S.S.</w:t>
      </w:r>
      <w:r>
        <w:rPr>
          <w:spacing w:val="-1"/>
        </w:rPr>
        <w:t> </w:t>
      </w:r>
      <w:r>
        <w:rPr/>
        <w:t>Gyang</w:t>
        <w:tab/>
        <w:t>Date</w:t>
      </w:r>
    </w:p>
    <w:p>
      <w:pPr>
        <w:spacing w:before="0"/>
        <w:ind w:left="648" w:right="0" w:firstLine="0"/>
        <w:jc w:val="left"/>
        <w:rPr>
          <w:b/>
          <w:sz w:val="24"/>
        </w:rPr>
      </w:pPr>
      <w:r>
        <w:rPr>
          <w:b/>
          <w:sz w:val="24"/>
        </w:rPr>
        <w:t>Chairperson,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Supervisory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Committee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23"/>
        </w:rPr>
      </w:pPr>
      <w:r>
        <w:rPr/>
        <w:pict>
          <v:shape style="position:absolute;margin-left:86.424004pt;margin-top:15.644298pt;width:204pt;height:.1pt;mso-position-horizontal-relative:page;mso-position-vertical-relative:paragraph;z-index:-15726080;mso-wrap-distance-left:0;mso-wrap-distance-right:0" coordorigin="1728,313" coordsize="4080,0" path="m1728,313l5808,313e" filled="false" stroked="true" strokeweight=".48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410.5pt;margin-top:15.644298pt;width:108pt;height:.1pt;mso-position-horizontal-relative:page;mso-position-vertical-relative:paragraph;z-index:-15725568;mso-wrap-distance-left:0;mso-wrap-distance-right:0" coordorigin="8210,313" coordsize="2160,0" path="m8210,313l10370,313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pStyle w:val="Heading1"/>
        <w:tabs>
          <w:tab w:pos="6121" w:val="left" w:leader="none"/>
        </w:tabs>
        <w:spacing w:line="252" w:lineRule="exact"/>
        <w:ind w:left="0" w:right="341"/>
        <w:jc w:val="center"/>
      </w:pPr>
      <w:r>
        <w:rPr/>
        <w:t>Dr.</w:t>
      </w:r>
      <w:r>
        <w:rPr>
          <w:spacing w:val="-2"/>
        </w:rPr>
        <w:t> </w:t>
      </w:r>
      <w:r>
        <w:rPr/>
        <w:t>A.U.</w:t>
      </w:r>
      <w:r>
        <w:rPr>
          <w:spacing w:val="1"/>
        </w:rPr>
        <w:t> </w:t>
      </w:r>
      <w:r>
        <w:rPr/>
        <w:t>Zezi</w:t>
        <w:tab/>
        <w:t>Date</w:t>
      </w:r>
    </w:p>
    <w:p>
      <w:pPr>
        <w:spacing w:before="0"/>
        <w:ind w:left="768" w:right="0" w:firstLine="0"/>
        <w:jc w:val="left"/>
        <w:rPr>
          <w:b/>
          <w:sz w:val="24"/>
        </w:rPr>
      </w:pPr>
      <w:r>
        <w:rPr>
          <w:b/>
          <w:sz w:val="24"/>
        </w:rPr>
        <w:t>Member,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Supervisory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Committee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15"/>
        </w:rPr>
      </w:pPr>
      <w:r>
        <w:rPr/>
        <w:pict>
          <v:shape style="position:absolute;margin-left:86.424004pt;margin-top:11.022349pt;width:204pt;height:.1pt;mso-position-horizontal-relative:page;mso-position-vertical-relative:paragraph;z-index:-15725056;mso-wrap-distance-left:0;mso-wrap-distance-right:0" coordorigin="1728,220" coordsize="4080,0" path="m1728,220l5808,220e" filled="false" stroked="true" strokeweight=".48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410.5pt;margin-top:11.022349pt;width:108pt;height:.1pt;mso-position-horizontal-relative:page;mso-position-vertical-relative:paragraph;z-index:-15724544;mso-wrap-distance-left:0;mso-wrap-distance-right:0" coordorigin="8210,220" coordsize="2160,0" path="m8210,220l10370,220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pStyle w:val="Heading1"/>
        <w:tabs>
          <w:tab w:pos="6061" w:val="left" w:leader="none"/>
        </w:tabs>
        <w:spacing w:line="252" w:lineRule="exact"/>
        <w:ind w:left="0" w:right="281"/>
        <w:jc w:val="center"/>
      </w:pPr>
      <w:r>
        <w:rPr/>
        <w:t>Dr.</w:t>
      </w:r>
      <w:r>
        <w:rPr>
          <w:spacing w:val="-2"/>
        </w:rPr>
        <w:t> </w:t>
      </w:r>
      <w:r>
        <w:rPr/>
        <w:t>A.U.</w:t>
      </w:r>
      <w:r>
        <w:rPr>
          <w:spacing w:val="1"/>
        </w:rPr>
        <w:t> </w:t>
      </w:r>
      <w:r>
        <w:rPr/>
        <w:t>Zezi</w:t>
        <w:tab/>
        <w:t>Date</w:t>
      </w:r>
    </w:p>
    <w:p>
      <w:pPr>
        <w:spacing w:before="0"/>
        <w:ind w:left="1188" w:right="0" w:firstLine="0"/>
        <w:jc w:val="left"/>
        <w:rPr>
          <w:b/>
          <w:sz w:val="24"/>
        </w:rPr>
      </w:pPr>
      <w:r>
        <w:rPr>
          <w:b/>
          <w:sz w:val="24"/>
        </w:rPr>
        <w:t>Head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 Department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15"/>
        </w:rPr>
      </w:pPr>
      <w:r>
        <w:rPr/>
        <w:pict>
          <v:shape style="position:absolute;margin-left:86.424004pt;margin-top:11.052348pt;width:204pt;height:.1pt;mso-position-horizontal-relative:page;mso-position-vertical-relative:paragraph;z-index:-15724032;mso-wrap-distance-left:0;mso-wrap-distance-right:0" coordorigin="1728,221" coordsize="4080,0" path="m1728,221l5808,221e" filled="false" stroked="true" strokeweight=".48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410.5pt;margin-top:11.052348pt;width:108pt;height:.1pt;mso-position-horizontal-relative:page;mso-position-vertical-relative:paragraph;z-index:-15723520;mso-wrap-distance-left:0;mso-wrap-distance-right:0" coordorigin="8210,221" coordsize="2160,0" path="m8210,221l10370,221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pStyle w:val="Heading1"/>
        <w:tabs>
          <w:tab w:pos="7849" w:val="left" w:leader="none"/>
        </w:tabs>
        <w:spacing w:line="252" w:lineRule="exact"/>
        <w:ind w:left="1428"/>
      </w:pPr>
      <w:r>
        <w:rPr/>
        <w:t>Prof.</w:t>
      </w:r>
      <w:r>
        <w:rPr>
          <w:spacing w:val="87"/>
        </w:rPr>
        <w:t> </w:t>
      </w:r>
      <w:r>
        <w:rPr/>
        <w:t>A.A.</w:t>
      </w:r>
      <w:r>
        <w:rPr>
          <w:spacing w:val="-1"/>
        </w:rPr>
        <w:t> </w:t>
      </w:r>
      <w:r>
        <w:rPr/>
        <w:t>Joshua</w:t>
        <w:tab/>
        <w:t>Date</w:t>
      </w:r>
    </w:p>
    <w:p>
      <w:pPr>
        <w:spacing w:before="0"/>
        <w:ind w:left="888" w:right="0" w:firstLine="0"/>
        <w:jc w:val="left"/>
        <w:rPr>
          <w:b/>
          <w:sz w:val="24"/>
        </w:rPr>
      </w:pPr>
      <w:r>
        <w:rPr>
          <w:b/>
          <w:sz w:val="24"/>
        </w:rPr>
        <w:t>Dean,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School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Postgraduate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Studies</w:t>
      </w:r>
    </w:p>
    <w:p>
      <w:pPr>
        <w:spacing w:after="0"/>
        <w:jc w:val="left"/>
        <w:rPr>
          <w:sz w:val="24"/>
        </w:rPr>
        <w:sectPr>
          <w:pgSz w:w="12240" w:h="15840"/>
          <w:pgMar w:header="0" w:footer="792" w:top="1360" w:bottom="980" w:left="1080" w:right="760"/>
        </w:sectPr>
      </w:pPr>
    </w:p>
    <w:p>
      <w:pPr>
        <w:pStyle w:val="Heading1"/>
        <w:spacing w:before="76"/>
        <w:ind w:left="1498" w:right="1526"/>
        <w:jc w:val="center"/>
      </w:pPr>
      <w:r>
        <w:rPr/>
        <w:t>DEDICATION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 w:before="1"/>
        <w:ind w:left="648" w:right="678"/>
        <w:jc w:val="both"/>
      </w:pPr>
      <w:r>
        <w:rPr/>
        <w:t>This thesis is dedicated to my late father Alhaji Muhammad Ibrahim who died on 5</w:t>
      </w:r>
      <w:r>
        <w:rPr>
          <w:vertAlign w:val="superscript"/>
        </w:rPr>
        <w:t>th</w:t>
      </w:r>
      <w:r>
        <w:rPr>
          <w:vertAlign w:val="baseline"/>
        </w:rPr>
        <w:t> March</w:t>
      </w:r>
      <w:r>
        <w:rPr>
          <w:spacing w:val="1"/>
          <w:vertAlign w:val="baseline"/>
        </w:rPr>
        <w:t> </w:t>
      </w:r>
      <w:r>
        <w:rPr>
          <w:vertAlign w:val="baseline"/>
        </w:rPr>
        <w:t>2009 (9</w:t>
      </w:r>
      <w:r>
        <w:rPr>
          <w:vertAlign w:val="superscript"/>
        </w:rPr>
        <w:t>th</w:t>
      </w:r>
      <w:r>
        <w:rPr>
          <w:vertAlign w:val="baseline"/>
        </w:rPr>
        <w:t> Rabiul Awwal, 1430AH) may Allah (SWT) reward him with Aljannatul firdaus</w:t>
      </w:r>
      <w:r>
        <w:rPr>
          <w:spacing w:val="1"/>
          <w:vertAlign w:val="baseline"/>
        </w:rPr>
        <w:t> </w:t>
      </w:r>
      <w:r>
        <w:rPr>
          <w:vertAlign w:val="baseline"/>
        </w:rPr>
        <w:t>(Amin).</w:t>
      </w:r>
    </w:p>
    <w:p>
      <w:pPr>
        <w:spacing w:after="0" w:line="480" w:lineRule="auto"/>
        <w:jc w:val="both"/>
        <w:sectPr>
          <w:pgSz w:w="12240" w:h="15840"/>
          <w:pgMar w:header="0" w:footer="792" w:top="1360" w:bottom="980" w:left="1080" w:right="760"/>
        </w:sectPr>
      </w:pPr>
    </w:p>
    <w:p>
      <w:pPr>
        <w:pStyle w:val="Heading1"/>
        <w:spacing w:before="76"/>
        <w:ind w:left="1498" w:right="1527"/>
        <w:jc w:val="center"/>
      </w:pPr>
      <w:r>
        <w:rPr/>
        <w:t>ACKNOWLEDGEMENT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 w:before="1"/>
        <w:ind w:left="648" w:right="682"/>
        <w:jc w:val="both"/>
      </w:pPr>
      <w:r>
        <w:rPr/>
        <w:t>All praise is due to Allah (SWT), the Lord of the worlds, the beneficient, the merciful for</w:t>
      </w:r>
      <w:r>
        <w:rPr>
          <w:spacing w:val="1"/>
        </w:rPr>
        <w:t> </w:t>
      </w:r>
      <w:r>
        <w:rPr/>
        <w:t>keeping me alive and giving me the strength and the ability to cope with the rigours of the</w:t>
      </w:r>
      <w:r>
        <w:rPr>
          <w:spacing w:val="1"/>
        </w:rPr>
        <w:t> </w:t>
      </w:r>
      <w:r>
        <w:rPr/>
        <w:t>MSc Pharmacology Programme and May Allah‟s peace and blessings be upon His final</w:t>
      </w:r>
      <w:r>
        <w:rPr>
          <w:spacing w:val="1"/>
        </w:rPr>
        <w:t> </w:t>
      </w:r>
      <w:r>
        <w:rPr/>
        <w:t>Messenger Muhammad (S.A.W.), his progeny and all those who follow the right path till the</w:t>
      </w:r>
      <w:r>
        <w:rPr>
          <w:spacing w:val="1"/>
        </w:rPr>
        <w:t> </w:t>
      </w:r>
      <w:r>
        <w:rPr/>
        <w:t>last</w:t>
      </w:r>
      <w:r>
        <w:rPr>
          <w:spacing w:val="-1"/>
        </w:rPr>
        <w:t> </w:t>
      </w:r>
      <w:r>
        <w:rPr/>
        <w:t>day.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/>
        <w:ind w:left="648" w:right="674"/>
        <w:jc w:val="both"/>
      </w:pPr>
      <w:r>
        <w:rPr/>
        <w:t>My special thanks and gratitude go to my supervisors Dr. S.S. Gyang and Dr. A.U. Zezi for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understanding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untiring</w:t>
      </w:r>
      <w:r>
        <w:rPr>
          <w:spacing w:val="1"/>
        </w:rPr>
        <w:t> </w:t>
      </w:r>
      <w:r>
        <w:rPr/>
        <w:t>efforts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providing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necessary</w:t>
      </w:r>
      <w:r>
        <w:rPr>
          <w:spacing w:val="1"/>
        </w:rPr>
        <w:t> </w:t>
      </w:r>
      <w:r>
        <w:rPr/>
        <w:t>guidance</w:t>
      </w:r>
      <w:r>
        <w:rPr>
          <w:spacing w:val="60"/>
        </w:rPr>
        <w:t> </w:t>
      </w:r>
      <w:r>
        <w:rPr/>
        <w:t>and</w:t>
      </w:r>
      <w:r>
        <w:rPr>
          <w:spacing w:val="1"/>
        </w:rPr>
        <w:t> </w:t>
      </w:r>
      <w:r>
        <w:rPr/>
        <w:t>technical inputs throughout the course of this research work, for this sir, I‟ll remain eternally</w:t>
      </w:r>
      <w:r>
        <w:rPr>
          <w:spacing w:val="1"/>
        </w:rPr>
        <w:t> </w:t>
      </w:r>
      <w:r>
        <w:rPr/>
        <w:t>grateful.</w:t>
      </w:r>
      <w:r>
        <w:rPr>
          <w:spacing w:val="1"/>
        </w:rPr>
        <w:t> </w:t>
      </w:r>
      <w:r>
        <w:rPr/>
        <w:t>I‟ll also like to express my special appreciation to the staff of the Department whose</w:t>
      </w:r>
      <w:r>
        <w:rPr>
          <w:spacing w:val="-57"/>
        </w:rPr>
        <w:t> </w:t>
      </w:r>
      <w:r>
        <w:rPr/>
        <w:t>contribution has immensely impacted on the success of this work, notably Dr. N.M. Danjuma,</w:t>
      </w:r>
      <w:r>
        <w:rPr>
          <w:spacing w:val="-57"/>
        </w:rPr>
        <w:t> </w:t>
      </w:r>
      <w:r>
        <w:rPr/>
        <w:t>Dr.</w:t>
      </w:r>
      <w:r>
        <w:rPr>
          <w:spacing w:val="-4"/>
        </w:rPr>
        <w:t> </w:t>
      </w:r>
      <w:r>
        <w:rPr/>
        <w:t>M.G.</w:t>
      </w:r>
      <w:r>
        <w:rPr>
          <w:spacing w:val="-3"/>
        </w:rPr>
        <w:t> </w:t>
      </w:r>
      <w:r>
        <w:rPr/>
        <w:t>Magaji,</w:t>
      </w:r>
      <w:r>
        <w:rPr>
          <w:spacing w:val="-3"/>
        </w:rPr>
        <w:t> </w:t>
      </w:r>
      <w:r>
        <w:rPr/>
        <w:t>Dr.</w:t>
      </w:r>
      <w:r>
        <w:rPr>
          <w:spacing w:val="-3"/>
        </w:rPr>
        <w:t> </w:t>
      </w:r>
      <w:r>
        <w:rPr/>
        <w:t>Sani</w:t>
      </w:r>
      <w:r>
        <w:rPr>
          <w:spacing w:val="-4"/>
        </w:rPr>
        <w:t> </w:t>
      </w:r>
      <w:r>
        <w:rPr/>
        <w:t>Malami,</w:t>
      </w:r>
      <w:r>
        <w:rPr>
          <w:spacing w:val="-3"/>
        </w:rPr>
        <w:t> </w:t>
      </w:r>
      <w:r>
        <w:rPr/>
        <w:t>Dr.</w:t>
      </w:r>
      <w:r>
        <w:rPr>
          <w:spacing w:val="-3"/>
        </w:rPr>
        <w:t> </w:t>
      </w:r>
      <w:r>
        <w:rPr/>
        <w:t>Jamilu</w:t>
      </w:r>
      <w:r>
        <w:rPr>
          <w:spacing w:val="-3"/>
        </w:rPr>
        <w:t> </w:t>
      </w:r>
      <w:r>
        <w:rPr/>
        <w:t>Ya‟u,</w:t>
      </w:r>
      <w:r>
        <w:rPr>
          <w:spacing w:val="-4"/>
        </w:rPr>
        <w:t> </w:t>
      </w:r>
      <w:r>
        <w:rPr/>
        <w:t>Prof.</w:t>
      </w:r>
      <w:r>
        <w:rPr>
          <w:spacing w:val="-3"/>
        </w:rPr>
        <w:t> </w:t>
      </w:r>
      <w:r>
        <w:rPr/>
        <w:t>J.A.</w:t>
      </w:r>
      <w:r>
        <w:rPr>
          <w:spacing w:val="-3"/>
        </w:rPr>
        <w:t> </w:t>
      </w:r>
      <w:r>
        <w:rPr/>
        <w:t>Anuka,</w:t>
      </w:r>
      <w:r>
        <w:rPr>
          <w:spacing w:val="-1"/>
        </w:rPr>
        <w:t> </w:t>
      </w:r>
      <w:r>
        <w:rPr/>
        <w:t>Prof.</w:t>
      </w:r>
      <w:r>
        <w:rPr>
          <w:spacing w:val="-4"/>
        </w:rPr>
        <w:t> </w:t>
      </w:r>
      <w:r>
        <w:rPr/>
        <w:t>H.O.</w:t>
      </w:r>
      <w:r>
        <w:rPr>
          <w:spacing w:val="-3"/>
        </w:rPr>
        <w:t> </w:t>
      </w:r>
      <w:r>
        <w:rPr/>
        <w:t>Kwanashie,</w:t>
      </w:r>
      <w:r>
        <w:rPr>
          <w:spacing w:val="-57"/>
        </w:rPr>
        <w:t> </w:t>
      </w:r>
      <w:r>
        <w:rPr/>
        <w:t>Dr Oluritshe Temidayo, Mal. Muhammad Bashir Sani, Mal. Idris Maje, Mal. Mahdi, Mallam</w:t>
      </w:r>
      <w:r>
        <w:rPr>
          <w:spacing w:val="1"/>
        </w:rPr>
        <w:t> </w:t>
      </w:r>
      <w:r>
        <w:rPr/>
        <w:t>Muhammed Bomo, Mr. John Kono, and Alh. Ya‟u Dari, Dr. Abdullahi Yaro (B.U.K.), Dr.</w:t>
      </w:r>
      <w:r>
        <w:rPr>
          <w:spacing w:val="1"/>
        </w:rPr>
        <w:t> </w:t>
      </w:r>
      <w:r>
        <w:rPr/>
        <w:t>Aliyu</w:t>
      </w:r>
      <w:r>
        <w:rPr>
          <w:spacing w:val="-1"/>
        </w:rPr>
        <w:t> </w:t>
      </w:r>
      <w:r>
        <w:rPr/>
        <w:t>Musa (Pharm &amp;</w:t>
      </w:r>
      <w:r>
        <w:rPr>
          <w:spacing w:val="-3"/>
        </w:rPr>
        <w:t> </w:t>
      </w:r>
      <w:r>
        <w:rPr/>
        <w:t>Med. Chem.)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480" w:lineRule="auto"/>
        <w:ind w:left="648" w:right="673"/>
        <w:jc w:val="both"/>
      </w:pPr>
      <w:r>
        <w:rPr/>
        <w:t>This acknowledgement will not be complete without appreciating Dr. Mohammed Bisallah of</w:t>
      </w:r>
      <w:r>
        <w:rPr>
          <w:spacing w:val="1"/>
        </w:rPr>
        <w:t> </w:t>
      </w:r>
      <w:r>
        <w:rPr/>
        <w:t>the Department of Veterinary Pathology for taking his time to interpret the histopathology</w:t>
      </w:r>
      <w:r>
        <w:rPr>
          <w:spacing w:val="1"/>
        </w:rPr>
        <w:t> </w:t>
      </w:r>
      <w:r>
        <w:rPr/>
        <w:t>results and my big brother Dr. Yushau Usman Abubakar of the National Animal Production</w:t>
      </w:r>
      <w:r>
        <w:rPr>
          <w:spacing w:val="1"/>
        </w:rPr>
        <w:t> </w:t>
      </w:r>
      <w:r>
        <w:rPr/>
        <w:t>and Research Institute (NAPRI) for providing all necessary supports I‟m grateful, I really</w:t>
      </w:r>
      <w:r>
        <w:rPr>
          <w:spacing w:val="1"/>
        </w:rPr>
        <w:t> </w:t>
      </w:r>
      <w:r>
        <w:rPr/>
        <w:t>appreciate. My special thanks go to my late father of blessed memory Alhaji Muhammad</w:t>
      </w:r>
      <w:r>
        <w:rPr>
          <w:spacing w:val="1"/>
        </w:rPr>
        <w:t> </w:t>
      </w:r>
      <w:r>
        <w:rPr/>
        <w:t>Ibrahim.</w:t>
      </w:r>
      <w:r>
        <w:rPr>
          <w:spacing w:val="38"/>
        </w:rPr>
        <w:t> </w:t>
      </w:r>
      <w:r>
        <w:rPr/>
        <w:t>He</w:t>
      </w:r>
      <w:r>
        <w:rPr>
          <w:spacing w:val="36"/>
        </w:rPr>
        <w:t> </w:t>
      </w:r>
      <w:r>
        <w:rPr/>
        <w:t>showed</w:t>
      </w:r>
      <w:r>
        <w:rPr>
          <w:spacing w:val="38"/>
        </w:rPr>
        <w:t> </w:t>
      </w:r>
      <w:r>
        <w:rPr/>
        <w:t>me</w:t>
      </w:r>
      <w:r>
        <w:rPr>
          <w:spacing w:val="40"/>
        </w:rPr>
        <w:t> </w:t>
      </w:r>
      <w:r>
        <w:rPr/>
        <w:t>the</w:t>
      </w:r>
      <w:r>
        <w:rPr>
          <w:spacing w:val="37"/>
        </w:rPr>
        <w:t> </w:t>
      </w:r>
      <w:r>
        <w:rPr/>
        <w:t>value</w:t>
      </w:r>
      <w:r>
        <w:rPr>
          <w:spacing w:val="37"/>
        </w:rPr>
        <w:t> </w:t>
      </w:r>
      <w:r>
        <w:rPr/>
        <w:t>of</w:t>
      </w:r>
      <w:r>
        <w:rPr>
          <w:spacing w:val="39"/>
        </w:rPr>
        <w:t> </w:t>
      </w:r>
      <w:r>
        <w:rPr/>
        <w:t>education</w:t>
      </w:r>
      <w:r>
        <w:rPr>
          <w:spacing w:val="41"/>
        </w:rPr>
        <w:t> </w:t>
      </w:r>
      <w:r>
        <w:rPr/>
        <w:t>and</w:t>
      </w:r>
      <w:r>
        <w:rPr>
          <w:spacing w:val="38"/>
        </w:rPr>
        <w:t> </w:t>
      </w:r>
      <w:r>
        <w:rPr/>
        <w:t>supported</w:t>
      </w:r>
      <w:r>
        <w:rPr>
          <w:spacing w:val="38"/>
        </w:rPr>
        <w:t> </w:t>
      </w:r>
      <w:r>
        <w:rPr/>
        <w:t>me</w:t>
      </w:r>
      <w:r>
        <w:rPr>
          <w:spacing w:val="37"/>
        </w:rPr>
        <w:t> </w:t>
      </w:r>
      <w:r>
        <w:rPr/>
        <w:t>to</w:t>
      </w:r>
      <w:r>
        <w:rPr>
          <w:spacing w:val="39"/>
        </w:rPr>
        <w:t> </w:t>
      </w:r>
      <w:r>
        <w:rPr/>
        <w:t>pursue</w:t>
      </w:r>
      <w:r>
        <w:rPr>
          <w:spacing w:val="36"/>
        </w:rPr>
        <w:t> </w:t>
      </w:r>
      <w:r>
        <w:rPr/>
        <w:t>it</w:t>
      </w:r>
      <w:r>
        <w:rPr>
          <w:spacing w:val="38"/>
        </w:rPr>
        <w:t> </w:t>
      </w:r>
      <w:r>
        <w:rPr/>
        <w:t>May</w:t>
      </w:r>
      <w:r>
        <w:rPr>
          <w:spacing w:val="33"/>
        </w:rPr>
        <w:t> </w:t>
      </w:r>
      <w:r>
        <w:rPr/>
        <w:t>Allah</w:t>
      </w:r>
    </w:p>
    <w:p>
      <w:pPr>
        <w:spacing w:after="0" w:line="480" w:lineRule="auto"/>
        <w:jc w:val="both"/>
        <w:sectPr>
          <w:pgSz w:w="12240" w:h="15840"/>
          <w:pgMar w:header="0" w:footer="792" w:top="1360" w:bottom="980" w:left="1080" w:right="760"/>
        </w:sectPr>
      </w:pPr>
    </w:p>
    <w:p>
      <w:pPr>
        <w:pStyle w:val="BodyText"/>
        <w:spacing w:line="480" w:lineRule="auto" w:before="72"/>
        <w:ind w:left="648" w:right="678"/>
        <w:jc w:val="both"/>
      </w:pPr>
      <w:r>
        <w:rPr/>
        <w:t>reward</w:t>
      </w:r>
      <w:r>
        <w:rPr>
          <w:spacing w:val="1"/>
        </w:rPr>
        <w:t> </w:t>
      </w:r>
      <w:r>
        <w:rPr/>
        <w:t>him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Aljannatul</w:t>
      </w:r>
      <w:r>
        <w:rPr>
          <w:spacing w:val="1"/>
        </w:rPr>
        <w:t> </w:t>
      </w:r>
      <w:r>
        <w:rPr/>
        <w:t>Firdausi.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my</w:t>
      </w:r>
      <w:r>
        <w:rPr>
          <w:spacing w:val="1"/>
        </w:rPr>
        <w:t> </w:t>
      </w:r>
      <w:r>
        <w:rPr/>
        <w:t>Mother,</w:t>
      </w:r>
      <w:r>
        <w:rPr>
          <w:spacing w:val="1"/>
        </w:rPr>
        <w:t> </w:t>
      </w:r>
      <w:r>
        <w:rPr/>
        <w:t>Brothers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Sisters,</w:t>
      </w:r>
      <w:r>
        <w:rPr>
          <w:spacing w:val="1"/>
        </w:rPr>
        <w:t> </w:t>
      </w:r>
      <w:r>
        <w:rPr/>
        <w:t>I</w:t>
      </w:r>
      <w:r>
        <w:rPr>
          <w:spacing w:val="1"/>
        </w:rPr>
        <w:t> </w:t>
      </w:r>
      <w:r>
        <w:rPr/>
        <w:t>specially</w:t>
      </w:r>
      <w:r>
        <w:rPr>
          <w:spacing w:val="1"/>
        </w:rPr>
        <w:t> </w:t>
      </w:r>
      <w:r>
        <w:rPr/>
        <w:t>appreciate you all, May Allah (SWT) reward you abundantly.</w:t>
      </w:r>
      <w:r>
        <w:rPr>
          <w:spacing w:val="1"/>
        </w:rPr>
        <w:t> </w:t>
      </w:r>
      <w:r>
        <w:rPr/>
        <w:t>To my wife and children, you</w:t>
      </w:r>
      <w:r>
        <w:rPr>
          <w:spacing w:val="1"/>
        </w:rPr>
        <w:t> </w:t>
      </w:r>
      <w:r>
        <w:rPr/>
        <w:t>deserve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special</w:t>
      </w:r>
      <w:r>
        <w:rPr>
          <w:spacing w:val="-1"/>
        </w:rPr>
        <w:t> </w:t>
      </w:r>
      <w:r>
        <w:rPr/>
        <w:t>appreciation for</w:t>
      </w:r>
      <w:r>
        <w:rPr>
          <w:spacing w:val="3"/>
        </w:rPr>
        <w:t> </w:t>
      </w:r>
      <w:r>
        <w:rPr/>
        <w:t>your</w:t>
      </w:r>
      <w:r>
        <w:rPr>
          <w:spacing w:val="-1"/>
        </w:rPr>
        <w:t> </w:t>
      </w:r>
      <w:r>
        <w:rPr/>
        <w:t>understanding</w:t>
      </w:r>
      <w:r>
        <w:rPr>
          <w:spacing w:val="-2"/>
        </w:rPr>
        <w:t> </w:t>
      </w:r>
      <w:r>
        <w:rPr/>
        <w:t>and</w:t>
      </w:r>
      <w:r>
        <w:rPr>
          <w:spacing w:val="2"/>
        </w:rPr>
        <w:t> </w:t>
      </w:r>
      <w:r>
        <w:rPr/>
        <w:t>encouragement</w:t>
      </w:r>
    </w:p>
    <w:p>
      <w:pPr>
        <w:pStyle w:val="BodyText"/>
        <w:ind w:left="648"/>
      </w:pPr>
      <w:r>
        <w:rPr/>
        <w:t>.</w:t>
      </w:r>
    </w:p>
    <w:p>
      <w:pPr>
        <w:pStyle w:val="BodyText"/>
      </w:pPr>
    </w:p>
    <w:p>
      <w:pPr>
        <w:pStyle w:val="BodyText"/>
        <w:spacing w:line="480" w:lineRule="auto"/>
        <w:ind w:left="648" w:right="675" w:firstLine="62"/>
        <w:jc w:val="both"/>
      </w:pPr>
      <w:r>
        <w:rPr/>
        <w:t>I‟ll also like to express my gratitude to my former and present Directors of Pharmaceutical</w:t>
      </w:r>
      <w:r>
        <w:rPr>
          <w:spacing w:val="1"/>
        </w:rPr>
        <w:t> </w:t>
      </w:r>
      <w:r>
        <w:rPr/>
        <w:t>Services (DPS), Pharm (Hajiya) Sa‟adatu Ahmed for approving my study leave. Pharm. Akus</w:t>
      </w:r>
      <w:r>
        <w:rPr>
          <w:spacing w:val="-57"/>
        </w:rPr>
        <w:t> </w:t>
      </w:r>
      <w:r>
        <w:rPr/>
        <w:t>Gayya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Pharm.</w:t>
      </w:r>
      <w:r>
        <w:rPr>
          <w:spacing w:val="1"/>
        </w:rPr>
        <w:t> </w:t>
      </w:r>
      <w:r>
        <w:rPr/>
        <w:t>Barnabas</w:t>
      </w:r>
      <w:r>
        <w:rPr>
          <w:spacing w:val="1"/>
        </w:rPr>
        <w:t> </w:t>
      </w:r>
      <w:r>
        <w:rPr/>
        <w:t>Bonat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encouraging,</w:t>
      </w:r>
      <w:r>
        <w:rPr>
          <w:spacing w:val="1"/>
        </w:rPr>
        <w:t> </w:t>
      </w:r>
      <w:r>
        <w:rPr/>
        <w:t>supporting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facilitating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completion of the programme and Kaduna state ministry of health for granting the leave to</w:t>
      </w:r>
      <w:r>
        <w:rPr>
          <w:spacing w:val="1"/>
        </w:rPr>
        <w:t> </w:t>
      </w:r>
      <w:r>
        <w:rPr/>
        <w:t>undertake</w:t>
      </w:r>
      <w:r>
        <w:rPr>
          <w:spacing w:val="-2"/>
        </w:rPr>
        <w:t> </w:t>
      </w:r>
      <w:r>
        <w:rPr/>
        <w:t>the study.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480" w:lineRule="auto"/>
        <w:ind w:left="648" w:right="680"/>
        <w:jc w:val="both"/>
      </w:pPr>
      <w:r>
        <w:rPr/>
        <w:t>I</w:t>
      </w:r>
      <w:r>
        <w:rPr>
          <w:spacing w:val="1"/>
        </w:rPr>
        <w:t> </w:t>
      </w:r>
      <w:r>
        <w:rPr/>
        <w:t>am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grateful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my</w:t>
      </w:r>
      <w:r>
        <w:rPr>
          <w:spacing w:val="1"/>
        </w:rPr>
        <w:t> </w:t>
      </w:r>
      <w:r>
        <w:rPr/>
        <w:t>friends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colleagues</w:t>
      </w:r>
      <w:r>
        <w:rPr>
          <w:spacing w:val="1"/>
        </w:rPr>
        <w:t> </w:t>
      </w:r>
      <w:r>
        <w:rPr/>
        <w:t>whose</w:t>
      </w:r>
      <w:r>
        <w:rPr>
          <w:spacing w:val="1"/>
        </w:rPr>
        <w:t> </w:t>
      </w:r>
      <w:r>
        <w:rPr/>
        <w:t>contributions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various</w:t>
      </w:r>
      <w:r>
        <w:rPr>
          <w:spacing w:val="1"/>
        </w:rPr>
        <w:t> </w:t>
      </w:r>
      <w:r>
        <w:rPr/>
        <w:t>ways</w:t>
      </w:r>
      <w:r>
        <w:rPr>
          <w:spacing w:val="1"/>
        </w:rPr>
        <w:t> </w:t>
      </w:r>
      <w:r>
        <w:rPr/>
        <w:t>contributed to the success of this work, Pharm Isa Abubakar Balarabe, (SMS Kaduna) Alhaji</w:t>
      </w:r>
      <w:r>
        <w:rPr>
          <w:spacing w:val="1"/>
        </w:rPr>
        <w:t> </w:t>
      </w:r>
      <w:r>
        <w:rPr/>
        <w:t>Muhammad Sani Abubakar (Sick Bay A.B.U. Samaru), Pharm Jibril Abubakar Dattijo (PCN),</w:t>
      </w:r>
      <w:r>
        <w:rPr>
          <w:spacing w:val="-57"/>
        </w:rPr>
        <w:t> </w:t>
      </w:r>
      <w:r>
        <w:rPr/>
        <w:t>Kaduna Zonal Office), Abdulhameed Jumare, for providing the Plant and Pharm. Abdulrazaq</w:t>
      </w:r>
      <w:r>
        <w:rPr>
          <w:spacing w:val="1"/>
        </w:rPr>
        <w:t> </w:t>
      </w:r>
      <w:r>
        <w:rPr/>
        <w:t>Ayuba</w:t>
      </w:r>
      <w:r>
        <w:rPr>
          <w:spacing w:val="-2"/>
        </w:rPr>
        <w:t> </w:t>
      </w:r>
      <w:r>
        <w:rPr/>
        <w:t>(ABUTH) to mention a</w:t>
      </w:r>
      <w:r>
        <w:rPr>
          <w:spacing w:val="-1"/>
        </w:rPr>
        <w:t> </w:t>
      </w:r>
      <w:r>
        <w:rPr/>
        <w:t>few.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480" w:lineRule="auto"/>
        <w:ind w:left="648" w:right="683"/>
        <w:jc w:val="both"/>
      </w:pPr>
      <w:r>
        <w:rPr/>
        <w:t>Lastly my appreciation goes to Mrs. Grace of the community market for her efforts in seeing</w:t>
      </w:r>
      <w:r>
        <w:rPr>
          <w:spacing w:val="1"/>
        </w:rPr>
        <w:t> </w:t>
      </w:r>
      <w:r>
        <w:rPr/>
        <w:t>that</w:t>
      </w:r>
      <w:r>
        <w:rPr>
          <w:spacing w:val="-1"/>
        </w:rPr>
        <w:t> </w:t>
      </w:r>
      <w:r>
        <w:rPr/>
        <w:t>the thesis is typesetted appropriately.</w:t>
      </w:r>
    </w:p>
    <w:p>
      <w:pPr>
        <w:spacing w:after="0" w:line="480" w:lineRule="auto"/>
        <w:jc w:val="both"/>
        <w:sectPr>
          <w:pgSz w:w="12240" w:h="15840"/>
          <w:pgMar w:header="0" w:footer="792" w:top="1360" w:bottom="980" w:left="1080" w:right="760"/>
        </w:sectPr>
      </w:pPr>
    </w:p>
    <w:p>
      <w:pPr>
        <w:pStyle w:val="Heading1"/>
        <w:spacing w:before="76"/>
        <w:ind w:left="1498" w:right="1528"/>
        <w:jc w:val="center"/>
      </w:pPr>
      <w:r>
        <w:rPr/>
        <w:t>ABSTRACT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before="1"/>
        <w:ind w:left="648" w:right="676"/>
        <w:jc w:val="both"/>
      </w:pPr>
      <w:r>
        <w:rPr>
          <w:i/>
        </w:rPr>
        <w:t>Diospyros mespiliformis</w:t>
      </w:r>
      <w:r>
        <w:rPr>
          <w:i/>
          <w:spacing w:val="60"/>
        </w:rPr>
        <w:t> </w:t>
      </w:r>
      <w:r>
        <w:rPr/>
        <w:t>hochst (Ebenaceae) known in English as ebony is a plant that is</w:t>
      </w:r>
      <w:r>
        <w:rPr>
          <w:spacing w:val="1"/>
        </w:rPr>
        <w:t> </w:t>
      </w:r>
      <w:r>
        <w:rPr/>
        <w:t>found throughout West Africa. The Plant was reported to have wide ethnomedical application</w:t>
      </w:r>
      <w:r>
        <w:rPr>
          <w:spacing w:val="1"/>
        </w:rPr>
        <w:t> </w:t>
      </w:r>
      <w:r>
        <w:rPr/>
        <w:t>notably in fever, whooping cough, wounds, pneumonia, syphilis, leprosy and epilepsy among</w:t>
      </w:r>
      <w:r>
        <w:rPr>
          <w:spacing w:val="1"/>
        </w:rPr>
        <w:t> </w:t>
      </w:r>
      <w:r>
        <w:rPr/>
        <w:t>others.</w:t>
      </w:r>
      <w:r>
        <w:rPr>
          <w:spacing w:val="27"/>
        </w:rPr>
        <w:t> </w:t>
      </w:r>
      <w:r>
        <w:rPr/>
        <w:t>This</w:t>
      </w:r>
      <w:r>
        <w:rPr>
          <w:spacing w:val="28"/>
        </w:rPr>
        <w:t> </w:t>
      </w:r>
      <w:r>
        <w:rPr/>
        <w:t>study</w:t>
      </w:r>
      <w:r>
        <w:rPr>
          <w:spacing w:val="23"/>
        </w:rPr>
        <w:t> </w:t>
      </w:r>
      <w:r>
        <w:rPr/>
        <w:t>examined</w:t>
      </w:r>
      <w:r>
        <w:rPr>
          <w:spacing w:val="27"/>
        </w:rPr>
        <w:t> </w:t>
      </w:r>
      <w:r>
        <w:rPr/>
        <w:t>the</w:t>
      </w:r>
      <w:r>
        <w:rPr>
          <w:spacing w:val="28"/>
        </w:rPr>
        <w:t> </w:t>
      </w:r>
      <w:r>
        <w:rPr/>
        <w:t>anticonvulsant</w:t>
      </w:r>
      <w:r>
        <w:rPr>
          <w:spacing w:val="28"/>
        </w:rPr>
        <w:t> </w:t>
      </w:r>
      <w:r>
        <w:rPr/>
        <w:t>activity</w:t>
      </w:r>
      <w:r>
        <w:rPr>
          <w:spacing w:val="21"/>
        </w:rPr>
        <w:t> </w:t>
      </w:r>
      <w:r>
        <w:rPr/>
        <w:t>of</w:t>
      </w:r>
      <w:r>
        <w:rPr>
          <w:spacing w:val="26"/>
        </w:rPr>
        <w:t> </w:t>
      </w:r>
      <w:r>
        <w:rPr/>
        <w:t>its</w:t>
      </w:r>
      <w:r>
        <w:rPr>
          <w:spacing w:val="28"/>
        </w:rPr>
        <w:t> </w:t>
      </w:r>
      <w:r>
        <w:rPr/>
        <w:t>methanol</w:t>
      </w:r>
      <w:r>
        <w:rPr>
          <w:spacing w:val="28"/>
        </w:rPr>
        <w:t> </w:t>
      </w:r>
      <w:r>
        <w:rPr/>
        <w:t>leaf</w:t>
      </w:r>
      <w:r>
        <w:rPr>
          <w:spacing w:val="27"/>
        </w:rPr>
        <w:t> </w:t>
      </w:r>
      <w:r>
        <w:rPr/>
        <w:t>extract</w:t>
      </w:r>
      <w:r>
        <w:rPr>
          <w:spacing w:val="28"/>
        </w:rPr>
        <w:t> </w:t>
      </w:r>
      <w:r>
        <w:rPr/>
        <w:t>in</w:t>
      </w:r>
      <w:r>
        <w:rPr>
          <w:spacing w:val="29"/>
        </w:rPr>
        <w:t> </w:t>
      </w:r>
      <w:r>
        <w:rPr/>
        <w:t>mice</w:t>
      </w:r>
      <w:r>
        <w:rPr>
          <w:spacing w:val="-58"/>
        </w:rPr>
        <w:t> </w:t>
      </w:r>
      <w:r>
        <w:rPr/>
        <w:t>and day old chicks against pentylenetetrazole, maximal electroshock, strychnine and 4 amino</w:t>
      </w:r>
      <w:r>
        <w:rPr>
          <w:spacing w:val="1"/>
        </w:rPr>
        <w:t> </w:t>
      </w:r>
      <w:r>
        <w:rPr/>
        <w:t>pyridine induced seizure tests.   Valproic acid, phenytoin and phenobarbitone respectively</w:t>
      </w:r>
      <w:r>
        <w:rPr>
          <w:spacing w:val="1"/>
        </w:rPr>
        <w:t> </w:t>
      </w:r>
      <w:r>
        <w:rPr/>
        <w:t>were used as reference anticonvulsant drugs for comparison.</w:t>
      </w:r>
      <w:r>
        <w:rPr>
          <w:spacing w:val="1"/>
        </w:rPr>
        <w:t> </w:t>
      </w:r>
      <w:r>
        <w:rPr/>
        <w:t>The sub-chronic toxicity studies</w:t>
      </w:r>
      <w:r>
        <w:rPr>
          <w:spacing w:val="-57"/>
        </w:rPr>
        <w:t> </w:t>
      </w:r>
      <w:r>
        <w:rPr/>
        <w:t>was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carried</w:t>
      </w:r>
      <w:r>
        <w:rPr>
          <w:spacing w:val="1"/>
        </w:rPr>
        <w:t> </w:t>
      </w:r>
      <w:r>
        <w:rPr/>
        <w:t>out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rats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determine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twenty</w:t>
      </w:r>
      <w:r>
        <w:rPr>
          <w:spacing w:val="1"/>
        </w:rPr>
        <w:t> </w:t>
      </w:r>
      <w:r>
        <w:rPr/>
        <w:t>eight</w:t>
      </w:r>
      <w:r>
        <w:rPr>
          <w:spacing w:val="1"/>
        </w:rPr>
        <w:t> </w:t>
      </w:r>
      <w:r>
        <w:rPr/>
        <w:t>days</w:t>
      </w:r>
      <w:r>
        <w:rPr>
          <w:spacing w:val="1"/>
        </w:rPr>
        <w:t> </w:t>
      </w:r>
      <w:r>
        <w:rPr/>
        <w:t>p.o.(per</w:t>
      </w:r>
      <w:r>
        <w:rPr>
          <w:spacing w:val="1"/>
        </w:rPr>
        <w:t> </w:t>
      </w:r>
      <w:r>
        <w:rPr/>
        <w:t>oral)</w:t>
      </w:r>
      <w:r>
        <w:rPr>
          <w:spacing w:val="-57"/>
        </w:rPr>
        <w:t> </w:t>
      </w:r>
      <w:r>
        <w:rPr/>
        <w:t>administration of the methanol leaf extract of </w:t>
      </w:r>
      <w:r>
        <w:rPr>
          <w:i/>
        </w:rPr>
        <w:t>D.mespiliformis </w:t>
      </w:r>
      <w:r>
        <w:rPr/>
        <w:t>on renal and hepatic function</w:t>
      </w:r>
      <w:r>
        <w:rPr>
          <w:spacing w:val="1"/>
        </w:rPr>
        <w:t> </w:t>
      </w:r>
      <w:r>
        <w:rPr/>
        <w:t>parameters</w:t>
      </w:r>
      <w:r>
        <w:rPr>
          <w:spacing w:val="1"/>
        </w:rPr>
        <w:t> </w:t>
      </w:r>
      <w:r>
        <w:rPr/>
        <w:t>followed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histopathological</w:t>
      </w:r>
      <w:r>
        <w:rPr>
          <w:spacing w:val="1"/>
        </w:rPr>
        <w:t> </w:t>
      </w:r>
      <w:r>
        <w:rPr/>
        <w:t>examination.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extract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i.p.(intraperitoneal)</w:t>
      </w:r>
      <w:r>
        <w:rPr>
          <w:spacing w:val="-57"/>
        </w:rPr>
        <w:t> </w:t>
      </w:r>
      <w:r>
        <w:rPr/>
        <w:t>doses of 50, 100 and 200mg/kg</w:t>
      </w:r>
      <w:r>
        <w:rPr>
          <w:spacing w:val="1"/>
        </w:rPr>
        <w:t> </w:t>
      </w:r>
      <w:r>
        <w:rPr/>
        <w:t>protected the mice (50%, 66.67% and 66.67%) against</w:t>
      </w:r>
      <w:r>
        <w:rPr>
          <w:spacing w:val="1"/>
        </w:rPr>
        <w:t> </w:t>
      </w:r>
      <w:r>
        <w:rPr/>
        <w:t>pentylenetetrazole induced seizures respectively the mean onset of seizure was however not</w:t>
      </w:r>
      <w:r>
        <w:rPr>
          <w:spacing w:val="1"/>
        </w:rPr>
        <w:t> </w:t>
      </w:r>
      <w:r>
        <w:rPr/>
        <w:t>significantly increased when compared with the negative control at P&lt;0.05.</w:t>
      </w:r>
      <w:r>
        <w:rPr>
          <w:spacing w:val="1"/>
        </w:rPr>
        <w:t> </w:t>
      </w:r>
      <w:r>
        <w:rPr/>
        <w:t>The extract at i.p</w:t>
      </w:r>
      <w:r>
        <w:rPr>
          <w:spacing w:val="1"/>
        </w:rPr>
        <w:t> </w:t>
      </w:r>
      <w:r>
        <w:rPr/>
        <w:t>doses of 250, 500 and 1000 mg/kg did not produced any significant anticonvulsant activity</w:t>
      </w:r>
      <w:r>
        <w:rPr>
          <w:spacing w:val="1"/>
        </w:rPr>
        <w:t> </w:t>
      </w:r>
      <w:r>
        <w:rPr/>
        <w:t>against maximal electroshock induced seizure, similarly, at i.p doses of 50, 100 and 200</w:t>
      </w:r>
      <w:r>
        <w:rPr>
          <w:spacing w:val="1"/>
        </w:rPr>
        <w:t> </w:t>
      </w:r>
      <w:r>
        <w:rPr/>
        <w:t>mg/kg, the extract also did not show any significant activity against 4-amino pyridine induced</w:t>
      </w:r>
      <w:r>
        <w:rPr>
          <w:spacing w:val="-57"/>
        </w:rPr>
        <w:t> </w:t>
      </w:r>
      <w:r>
        <w:rPr/>
        <w:t>seizure even though it showed only 16.67% protection with the 200mg/kg dose.</w:t>
      </w:r>
      <w:r>
        <w:rPr>
          <w:spacing w:val="1"/>
        </w:rPr>
        <w:t> </w:t>
      </w:r>
      <w:r>
        <w:rPr/>
        <w:t>Also no</w:t>
      </w:r>
      <w:r>
        <w:rPr>
          <w:spacing w:val="1"/>
        </w:rPr>
        <w:t> </w:t>
      </w:r>
      <w:r>
        <w:rPr/>
        <w:t>significant activity against strychnine induced seizure even though it significantly (P&lt;0.05)</w:t>
      </w:r>
      <w:r>
        <w:rPr>
          <w:spacing w:val="1"/>
        </w:rPr>
        <w:t> </w:t>
      </w:r>
      <w:r>
        <w:rPr/>
        <w:t>prolonged the onset of seizure induced by strychnine but failed to protect the animals against</w:t>
      </w:r>
      <w:r>
        <w:rPr>
          <w:spacing w:val="1"/>
        </w:rPr>
        <w:t> </w:t>
      </w:r>
      <w:r>
        <w:rPr/>
        <w:t>strychnine induced lethality.</w:t>
      </w:r>
      <w:r>
        <w:rPr>
          <w:spacing w:val="1"/>
        </w:rPr>
        <w:t> </w:t>
      </w:r>
      <w:r>
        <w:rPr/>
        <w:t>The methanol leaf extract of </w:t>
      </w:r>
      <w:r>
        <w:rPr>
          <w:i/>
        </w:rPr>
        <w:t>D.mespiliformis</w:t>
      </w:r>
      <w:r>
        <w:rPr>
          <w:i/>
          <w:spacing w:val="1"/>
        </w:rPr>
        <w:t> </w:t>
      </w:r>
      <w:r>
        <w:rPr/>
        <w:t>causes significant</w:t>
      </w:r>
      <w:r>
        <w:rPr>
          <w:spacing w:val="1"/>
        </w:rPr>
        <w:t> </w:t>
      </w:r>
      <w:r>
        <w:rPr/>
        <w:t>elevation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alkaline</w:t>
      </w:r>
      <w:r>
        <w:rPr>
          <w:spacing w:val="1"/>
        </w:rPr>
        <w:t> </w:t>
      </w:r>
      <w:r>
        <w:rPr/>
        <w:t>phosphatase</w:t>
      </w:r>
      <w:r>
        <w:rPr>
          <w:spacing w:val="1"/>
        </w:rPr>
        <w:t> </w:t>
      </w:r>
      <w:r>
        <w:rPr/>
        <w:t>(ALP)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p.o.</w:t>
      </w:r>
      <w:r>
        <w:rPr>
          <w:spacing w:val="1"/>
        </w:rPr>
        <w:t> </w:t>
      </w:r>
      <w:r>
        <w:rPr/>
        <w:t>doses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50</w:t>
      </w:r>
      <w:r>
        <w:rPr>
          <w:spacing w:val="1"/>
        </w:rPr>
        <w:t> </w:t>
      </w:r>
      <w:r>
        <w:rPr/>
        <w:t>mg/kg</w:t>
      </w:r>
      <w:r>
        <w:rPr>
          <w:spacing w:val="1"/>
        </w:rPr>
        <w:t> </w:t>
      </w:r>
      <w:r>
        <w:rPr/>
        <w:t>(P&lt;0.05),</w:t>
      </w:r>
      <w:r>
        <w:rPr>
          <w:spacing w:val="1"/>
        </w:rPr>
        <w:t> </w:t>
      </w:r>
      <w:r>
        <w:rPr/>
        <w:t>500mg/kg</w:t>
      </w:r>
      <w:r>
        <w:rPr>
          <w:spacing w:val="-57"/>
        </w:rPr>
        <w:t> </w:t>
      </w:r>
      <w:r>
        <w:rPr/>
        <w:t>(P&lt;0.05) and</w:t>
      </w:r>
      <w:r>
        <w:rPr>
          <w:spacing w:val="1"/>
        </w:rPr>
        <w:t> </w:t>
      </w:r>
      <w:r>
        <w:rPr/>
        <w:t>1000 mg/kg (P&lt;0.001), the values of Alanine aminotransferase (ALT) and</w:t>
      </w:r>
      <w:r>
        <w:rPr>
          <w:spacing w:val="1"/>
        </w:rPr>
        <w:t> </w:t>
      </w:r>
      <w:r>
        <w:rPr/>
        <w:t>Aspartate</w:t>
      </w:r>
      <w:r>
        <w:rPr>
          <w:spacing w:val="11"/>
        </w:rPr>
        <w:t> </w:t>
      </w:r>
      <w:r>
        <w:rPr/>
        <w:t>aminotransferase</w:t>
      </w:r>
      <w:r>
        <w:rPr>
          <w:spacing w:val="12"/>
        </w:rPr>
        <w:t> </w:t>
      </w:r>
      <w:r>
        <w:rPr/>
        <w:t>(AST),</w:t>
      </w:r>
      <w:r>
        <w:rPr>
          <w:spacing w:val="12"/>
        </w:rPr>
        <w:t> </w:t>
      </w:r>
      <w:r>
        <w:rPr/>
        <w:t>Total</w:t>
      </w:r>
      <w:r>
        <w:rPr>
          <w:spacing w:val="13"/>
        </w:rPr>
        <w:t> </w:t>
      </w:r>
      <w:r>
        <w:rPr/>
        <w:t>bilirubin</w:t>
      </w:r>
      <w:r>
        <w:rPr>
          <w:spacing w:val="11"/>
        </w:rPr>
        <w:t> </w:t>
      </w:r>
      <w:r>
        <w:rPr/>
        <w:t>were</w:t>
      </w:r>
      <w:r>
        <w:rPr>
          <w:spacing w:val="10"/>
        </w:rPr>
        <w:t> </w:t>
      </w:r>
      <w:r>
        <w:rPr/>
        <w:t>however</w:t>
      </w:r>
      <w:r>
        <w:rPr>
          <w:spacing w:val="12"/>
        </w:rPr>
        <w:t> </w:t>
      </w:r>
      <w:r>
        <w:rPr/>
        <w:t>not</w:t>
      </w:r>
      <w:r>
        <w:rPr>
          <w:spacing w:val="12"/>
        </w:rPr>
        <w:t> </w:t>
      </w:r>
      <w:r>
        <w:rPr/>
        <w:t>significantly</w:t>
      </w:r>
      <w:r>
        <w:rPr>
          <w:spacing w:val="8"/>
        </w:rPr>
        <w:t> </w:t>
      </w:r>
      <w:r>
        <w:rPr/>
        <w:t>elevated</w:t>
      </w:r>
      <w:r>
        <w:rPr>
          <w:spacing w:val="12"/>
        </w:rPr>
        <w:t> </w:t>
      </w:r>
      <w:r>
        <w:rPr/>
        <w:t>at</w:t>
      </w:r>
    </w:p>
    <w:p>
      <w:pPr>
        <w:pStyle w:val="BodyText"/>
        <w:spacing w:before="1"/>
        <w:ind w:left="648" w:right="675"/>
        <w:jc w:val="both"/>
      </w:pPr>
      <w:r>
        <w:rPr/>
        <w:t>p.o doses of 50, 250, 500 and 1000 mg/kg. In the renal function tests, the result showed</w:t>
      </w:r>
      <w:r>
        <w:rPr>
          <w:spacing w:val="1"/>
        </w:rPr>
        <w:t> </w:t>
      </w:r>
      <w:r>
        <w:rPr/>
        <w:t>significantly elevated potassium levels at p.o dose of 250 mg/kg P&lt;0.05 and also significant</w:t>
      </w:r>
      <w:r>
        <w:rPr>
          <w:spacing w:val="1"/>
        </w:rPr>
        <w:t> </w:t>
      </w:r>
      <w:r>
        <w:rPr/>
        <w:t>decrease in creatinine values at p.o. doses of 250, 500 and 1000 mg/kg at P&lt;0.01 respectively.</w:t>
      </w:r>
      <w:r>
        <w:rPr>
          <w:spacing w:val="-57"/>
        </w:rPr>
        <w:t> </w:t>
      </w:r>
      <w:r>
        <w:rPr/>
        <w:t>No significant changes in the values of sodium, total calcium, glucose, total cholesterol, urea,</w:t>
      </w:r>
      <w:r>
        <w:rPr>
          <w:spacing w:val="1"/>
        </w:rPr>
        <w:t> </w:t>
      </w:r>
      <w:r>
        <w:rPr/>
        <w:t>total protein and albumin at P&lt;0.05.</w:t>
      </w:r>
      <w:r>
        <w:rPr>
          <w:spacing w:val="1"/>
        </w:rPr>
        <w:t> </w:t>
      </w:r>
      <w:r>
        <w:rPr/>
        <w:t>Histopathological studies on the other hand revealed</w:t>
      </w:r>
      <w:r>
        <w:rPr>
          <w:spacing w:val="1"/>
        </w:rPr>
        <w:t> </w:t>
      </w:r>
      <w:r>
        <w:rPr/>
        <w:t>moderate (with 500 mg/kg p.o dose) to severe (with 1000 mg/kg p.o. dose) degeneration of</w:t>
      </w:r>
      <w:r>
        <w:rPr>
          <w:spacing w:val="1"/>
        </w:rPr>
        <w:t> </w:t>
      </w:r>
      <w:r>
        <w:rPr/>
        <w:t>hepatocytes,</w:t>
      </w:r>
      <w:r>
        <w:rPr>
          <w:spacing w:val="1"/>
        </w:rPr>
        <w:t> </w:t>
      </w:r>
      <w:r>
        <w:rPr/>
        <w:t>hepatocellular</w:t>
      </w:r>
      <w:r>
        <w:rPr>
          <w:spacing w:val="1"/>
        </w:rPr>
        <w:t> </w:t>
      </w:r>
      <w:r>
        <w:rPr/>
        <w:t>necrosis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lose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hepatic</w:t>
      </w:r>
      <w:r>
        <w:rPr>
          <w:spacing w:val="1"/>
        </w:rPr>
        <w:t> </w:t>
      </w:r>
      <w:r>
        <w:rPr/>
        <w:t>architecture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liver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moderate (with 500 mg/kg p.o. dose) to severe (with 1000 mg/kg p.o dose) loss of renal</w:t>
      </w:r>
      <w:r>
        <w:rPr>
          <w:spacing w:val="1"/>
        </w:rPr>
        <w:t> </w:t>
      </w:r>
      <w:r>
        <w:rPr/>
        <w:t>tubular architecture and</w:t>
      </w:r>
      <w:r>
        <w:rPr>
          <w:spacing w:val="1"/>
        </w:rPr>
        <w:t> </w:t>
      </w:r>
      <w:r>
        <w:rPr/>
        <w:t>degeneration of renal tubules but with intact</w:t>
      </w:r>
      <w:r>
        <w:rPr>
          <w:spacing w:val="1"/>
        </w:rPr>
        <w:t> </w:t>
      </w:r>
      <w:r>
        <w:rPr/>
        <w:t>glomerali with the</w:t>
      </w:r>
      <w:r>
        <w:rPr>
          <w:spacing w:val="1"/>
        </w:rPr>
        <w:t> </w:t>
      </w:r>
      <w:r>
        <w:rPr/>
        <w:t>kidney. The median lethal dose (LD</w:t>
      </w:r>
      <w:r>
        <w:rPr>
          <w:vertAlign w:val="subscript"/>
        </w:rPr>
        <w:t>50</w:t>
      </w:r>
      <w:r>
        <w:rPr>
          <w:vertAlign w:val="baseline"/>
        </w:rPr>
        <w:t>) values of </w:t>
      </w:r>
      <w:r>
        <w:rPr>
          <w:i/>
          <w:vertAlign w:val="baseline"/>
        </w:rPr>
        <w:t>D.mespiliformis </w:t>
      </w:r>
      <w:r>
        <w:rPr>
          <w:vertAlign w:val="baseline"/>
        </w:rPr>
        <w:t>methanol leaf extract were</w:t>
      </w:r>
      <w:r>
        <w:rPr>
          <w:spacing w:val="1"/>
          <w:vertAlign w:val="baseline"/>
        </w:rPr>
        <w:t> </w:t>
      </w:r>
      <w:r>
        <w:rPr>
          <w:vertAlign w:val="baseline"/>
        </w:rPr>
        <w:t>found to be 774.6mg/kg i.p. and &gt;5000 mg/kg p.o. in both rats and mice.</w:t>
      </w:r>
      <w:r>
        <w:rPr>
          <w:spacing w:val="1"/>
          <w:vertAlign w:val="baseline"/>
        </w:rPr>
        <w:t> </w:t>
      </w:r>
      <w:r>
        <w:rPr>
          <w:vertAlign w:val="baseline"/>
        </w:rPr>
        <w:t>While in chicks, the</w:t>
      </w:r>
      <w:r>
        <w:rPr>
          <w:spacing w:val="-57"/>
          <w:vertAlign w:val="baseline"/>
        </w:rPr>
        <w:t> </w:t>
      </w:r>
      <w:r>
        <w:rPr>
          <w:vertAlign w:val="baseline"/>
        </w:rPr>
        <w:t>value</w:t>
      </w:r>
      <w:r>
        <w:rPr>
          <w:spacing w:val="1"/>
          <w:vertAlign w:val="baseline"/>
        </w:rPr>
        <w:t> </w:t>
      </w:r>
      <w:r>
        <w:rPr>
          <w:vertAlign w:val="baseline"/>
        </w:rPr>
        <w:t>was</w:t>
      </w:r>
      <w:r>
        <w:rPr>
          <w:spacing w:val="1"/>
          <w:vertAlign w:val="baseline"/>
        </w:rPr>
        <w:t> </w:t>
      </w:r>
      <w:r>
        <w:rPr>
          <w:vertAlign w:val="baseline"/>
        </w:rPr>
        <w:t>found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be</w:t>
      </w:r>
      <w:r>
        <w:rPr>
          <w:spacing w:val="1"/>
          <w:vertAlign w:val="baseline"/>
        </w:rPr>
        <w:t> </w:t>
      </w:r>
      <w:r>
        <w:rPr>
          <w:vertAlign w:val="baseline"/>
        </w:rPr>
        <w:t>&gt;5000</w:t>
      </w:r>
      <w:r>
        <w:rPr>
          <w:spacing w:val="1"/>
          <w:vertAlign w:val="baseline"/>
        </w:rPr>
        <w:t> </w:t>
      </w:r>
      <w:r>
        <w:rPr>
          <w:vertAlign w:val="baseline"/>
        </w:rPr>
        <w:t>mg/kg</w:t>
      </w:r>
      <w:r>
        <w:rPr>
          <w:spacing w:val="1"/>
          <w:vertAlign w:val="baseline"/>
        </w:rPr>
        <w:t> </w:t>
      </w:r>
      <w:r>
        <w:rPr>
          <w:vertAlign w:val="baseline"/>
        </w:rPr>
        <w:t>intraperitoneally.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preliminary</w:t>
      </w:r>
      <w:r>
        <w:rPr>
          <w:spacing w:val="1"/>
          <w:vertAlign w:val="baseline"/>
        </w:rPr>
        <w:t> </w:t>
      </w:r>
      <w:r>
        <w:rPr>
          <w:vertAlign w:val="baseline"/>
        </w:rPr>
        <w:t>phytochemical</w:t>
      </w:r>
      <w:r>
        <w:rPr>
          <w:spacing w:val="1"/>
          <w:vertAlign w:val="baseline"/>
        </w:rPr>
        <w:t> </w:t>
      </w:r>
      <w:r>
        <w:rPr>
          <w:vertAlign w:val="baseline"/>
        </w:rPr>
        <w:t>screening revealed the presence of alkaloids, saponins, flavonoids, tannins, carbohydrates,</w:t>
      </w:r>
      <w:r>
        <w:rPr>
          <w:spacing w:val="1"/>
          <w:vertAlign w:val="baseline"/>
        </w:rPr>
        <w:t> </w:t>
      </w:r>
      <w:r>
        <w:rPr>
          <w:vertAlign w:val="baseline"/>
        </w:rPr>
        <w:t>cardiac glycosides, and combined anthracene type of anthraquinones. These results suggests</w:t>
      </w:r>
      <w:r>
        <w:rPr>
          <w:spacing w:val="1"/>
          <w:vertAlign w:val="baseline"/>
        </w:rPr>
        <w:t> </w:t>
      </w:r>
      <w:r>
        <w:rPr>
          <w:vertAlign w:val="baseline"/>
        </w:rPr>
        <w:t>that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D.mespiliformis</w:t>
      </w:r>
      <w:r>
        <w:rPr>
          <w:i/>
          <w:spacing w:val="1"/>
          <w:vertAlign w:val="baseline"/>
        </w:rPr>
        <w:t> </w:t>
      </w:r>
      <w:r>
        <w:rPr>
          <w:vertAlign w:val="baseline"/>
        </w:rPr>
        <w:t>leaf</w:t>
      </w:r>
      <w:r>
        <w:rPr>
          <w:spacing w:val="1"/>
          <w:vertAlign w:val="baseline"/>
        </w:rPr>
        <w:t> </w:t>
      </w:r>
      <w:r>
        <w:rPr>
          <w:vertAlign w:val="baseline"/>
        </w:rPr>
        <w:t>extract</w:t>
      </w:r>
      <w:r>
        <w:rPr>
          <w:spacing w:val="1"/>
          <w:vertAlign w:val="baseline"/>
        </w:rPr>
        <w:t> </w:t>
      </w:r>
      <w:r>
        <w:rPr>
          <w:vertAlign w:val="baseline"/>
        </w:rPr>
        <w:t>posses</w:t>
      </w:r>
      <w:r>
        <w:rPr>
          <w:spacing w:val="1"/>
          <w:vertAlign w:val="baseline"/>
        </w:rPr>
        <w:t> </w:t>
      </w:r>
      <w:r>
        <w:rPr>
          <w:vertAlign w:val="baseline"/>
        </w:rPr>
        <w:t>biologically</w:t>
      </w:r>
      <w:r>
        <w:rPr>
          <w:spacing w:val="1"/>
          <w:vertAlign w:val="baseline"/>
        </w:rPr>
        <w:t> </w:t>
      </w:r>
      <w:r>
        <w:rPr>
          <w:vertAlign w:val="baseline"/>
        </w:rPr>
        <w:t>active</w:t>
      </w:r>
      <w:r>
        <w:rPr>
          <w:spacing w:val="1"/>
          <w:vertAlign w:val="baseline"/>
        </w:rPr>
        <w:t> </w:t>
      </w:r>
      <w:r>
        <w:rPr>
          <w:vertAlign w:val="baseline"/>
        </w:rPr>
        <w:t>phytoconstituents</w:t>
      </w:r>
      <w:r>
        <w:rPr>
          <w:spacing w:val="1"/>
          <w:vertAlign w:val="baseline"/>
        </w:rPr>
        <w:t> </w:t>
      </w:r>
      <w:r>
        <w:rPr>
          <w:vertAlign w:val="baseline"/>
        </w:rPr>
        <w:t>that</w:t>
      </w:r>
      <w:r>
        <w:rPr>
          <w:spacing w:val="1"/>
          <w:vertAlign w:val="baseline"/>
        </w:rPr>
        <w:t> </w:t>
      </w:r>
      <w:r>
        <w:rPr>
          <w:vertAlign w:val="baseline"/>
        </w:rPr>
        <w:t>have</w:t>
      </w:r>
      <w:r>
        <w:rPr>
          <w:spacing w:val="1"/>
          <w:vertAlign w:val="baseline"/>
        </w:rPr>
        <w:t> </w:t>
      </w:r>
      <w:r>
        <w:rPr>
          <w:vertAlign w:val="baseline"/>
        </w:rPr>
        <w:t>anticonvulsant</w:t>
      </w:r>
      <w:r>
        <w:rPr>
          <w:spacing w:val="-1"/>
          <w:vertAlign w:val="baseline"/>
        </w:rPr>
        <w:t> </w:t>
      </w:r>
      <w:r>
        <w:rPr>
          <w:vertAlign w:val="baseline"/>
        </w:rPr>
        <w:t>activity</w:t>
      </w:r>
      <w:r>
        <w:rPr>
          <w:spacing w:val="-3"/>
          <w:vertAlign w:val="baseline"/>
        </w:rPr>
        <w:t> </w:t>
      </w:r>
      <w:r>
        <w:rPr>
          <w:vertAlign w:val="baseline"/>
        </w:rPr>
        <w:t>and are</w:t>
      </w:r>
      <w:r>
        <w:rPr>
          <w:spacing w:val="-2"/>
          <w:vertAlign w:val="baseline"/>
        </w:rPr>
        <w:t> </w:t>
      </w:r>
      <w:r>
        <w:rPr>
          <w:vertAlign w:val="baseline"/>
        </w:rPr>
        <w:t>hepatotoxic and</w:t>
      </w:r>
      <w:r>
        <w:rPr>
          <w:spacing w:val="-1"/>
          <w:vertAlign w:val="baseline"/>
        </w:rPr>
        <w:t> </w:t>
      </w:r>
      <w:r>
        <w:rPr>
          <w:vertAlign w:val="baseline"/>
        </w:rPr>
        <w:t>nephrotoxic at higher doses.</w:t>
      </w:r>
    </w:p>
    <w:p>
      <w:pPr>
        <w:spacing w:after="0"/>
        <w:jc w:val="both"/>
        <w:sectPr>
          <w:pgSz w:w="12240" w:h="15840"/>
          <w:pgMar w:header="0" w:footer="792" w:top="1360" w:bottom="980" w:left="1080" w:right="760"/>
        </w:sectPr>
      </w:pPr>
    </w:p>
    <w:tbl>
      <w:tblPr>
        <w:tblW w:w="0" w:type="auto"/>
        <w:jc w:val="left"/>
        <w:tblInd w:w="60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97"/>
        <w:gridCol w:w="4198"/>
        <w:gridCol w:w="1790"/>
      </w:tblGrid>
      <w:tr>
        <w:trPr>
          <w:trHeight w:val="958" w:hRule="atLeast"/>
        </w:trPr>
        <w:tc>
          <w:tcPr>
            <w:tcW w:w="2697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"/>
              <w:rPr>
                <w:sz w:val="21"/>
              </w:rPr>
            </w:pPr>
          </w:p>
          <w:p>
            <w:pPr>
              <w:pStyle w:val="TableParagraph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</w:p>
        </w:tc>
        <w:tc>
          <w:tcPr>
            <w:tcW w:w="4198" w:type="dxa"/>
          </w:tcPr>
          <w:p>
            <w:pPr>
              <w:pStyle w:val="TableParagraph"/>
              <w:spacing w:line="266" w:lineRule="exact"/>
              <w:ind w:left="595"/>
              <w:rPr>
                <w:b/>
                <w:sz w:val="24"/>
              </w:rPr>
            </w:pPr>
            <w:r>
              <w:rPr>
                <w:b/>
                <w:sz w:val="24"/>
              </w:rPr>
              <w:t>TABLE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CONTENTS</w:t>
            </w:r>
          </w:p>
        </w:tc>
        <w:tc>
          <w:tcPr>
            <w:tcW w:w="1790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"/>
              <w:rPr>
                <w:sz w:val="21"/>
              </w:rPr>
            </w:pPr>
          </w:p>
          <w:p>
            <w:pPr>
              <w:pStyle w:val="TableParagraph"/>
              <w:ind w:left="1076"/>
              <w:rPr>
                <w:b/>
                <w:sz w:val="24"/>
              </w:rPr>
            </w:pPr>
            <w:r>
              <w:rPr>
                <w:b/>
                <w:sz w:val="24"/>
              </w:rPr>
              <w:t>PAGE</w:t>
            </w:r>
          </w:p>
        </w:tc>
      </w:tr>
      <w:tr>
        <w:trPr>
          <w:trHeight w:val="549" w:hRule="atLeast"/>
        </w:trPr>
        <w:tc>
          <w:tcPr>
            <w:tcW w:w="2697" w:type="dxa"/>
          </w:tcPr>
          <w:p>
            <w:pPr>
              <w:pStyle w:val="TableParagraph"/>
              <w:spacing w:before="130"/>
              <w:ind w:left="50"/>
              <w:rPr>
                <w:sz w:val="24"/>
              </w:rPr>
            </w:pPr>
            <w:r>
              <w:rPr>
                <w:sz w:val="24"/>
              </w:rPr>
              <w:t>Title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Page</w:t>
            </w:r>
          </w:p>
        </w:tc>
        <w:tc>
          <w:tcPr>
            <w:tcW w:w="419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790" w:type="dxa"/>
          </w:tcPr>
          <w:p>
            <w:pPr>
              <w:pStyle w:val="TableParagraph"/>
              <w:spacing w:before="130"/>
              <w:ind w:left="429"/>
              <w:jc w:val="center"/>
              <w:rPr>
                <w:sz w:val="24"/>
              </w:rPr>
            </w:pPr>
            <w:r>
              <w:rPr>
                <w:sz w:val="24"/>
              </w:rPr>
              <w:t>i</w:t>
            </w:r>
          </w:p>
        </w:tc>
      </w:tr>
      <w:tr>
        <w:trPr>
          <w:trHeight w:val="552" w:hRule="atLeast"/>
        </w:trPr>
        <w:tc>
          <w:tcPr>
            <w:tcW w:w="2697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Declaration</w:t>
            </w:r>
          </w:p>
        </w:tc>
        <w:tc>
          <w:tcPr>
            <w:tcW w:w="419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790" w:type="dxa"/>
          </w:tcPr>
          <w:p>
            <w:pPr>
              <w:pStyle w:val="TableParagraph"/>
              <w:spacing w:before="133"/>
              <w:ind w:left="1076"/>
              <w:rPr>
                <w:sz w:val="24"/>
              </w:rPr>
            </w:pPr>
            <w:r>
              <w:rPr>
                <w:sz w:val="24"/>
              </w:rPr>
              <w:t>ii</w:t>
            </w:r>
          </w:p>
        </w:tc>
      </w:tr>
      <w:tr>
        <w:trPr>
          <w:trHeight w:val="551" w:hRule="atLeast"/>
        </w:trPr>
        <w:tc>
          <w:tcPr>
            <w:tcW w:w="2697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Certification</w:t>
            </w:r>
          </w:p>
        </w:tc>
        <w:tc>
          <w:tcPr>
            <w:tcW w:w="419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790" w:type="dxa"/>
          </w:tcPr>
          <w:p>
            <w:pPr>
              <w:pStyle w:val="TableParagraph"/>
              <w:spacing w:before="133"/>
              <w:ind w:left="1076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</w:tr>
      <w:tr>
        <w:trPr>
          <w:trHeight w:val="552" w:hRule="atLeast"/>
        </w:trPr>
        <w:tc>
          <w:tcPr>
            <w:tcW w:w="2697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Acknowledgement</w:t>
            </w:r>
          </w:p>
        </w:tc>
        <w:tc>
          <w:tcPr>
            <w:tcW w:w="419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790" w:type="dxa"/>
          </w:tcPr>
          <w:p>
            <w:pPr>
              <w:pStyle w:val="TableParagraph"/>
              <w:spacing w:before="133"/>
              <w:ind w:left="1076"/>
              <w:rPr>
                <w:sz w:val="24"/>
              </w:rPr>
            </w:pPr>
            <w:r>
              <w:rPr>
                <w:sz w:val="24"/>
              </w:rPr>
              <w:t>vi</w:t>
            </w:r>
          </w:p>
        </w:tc>
      </w:tr>
      <w:tr>
        <w:trPr>
          <w:trHeight w:val="552" w:hRule="atLeast"/>
        </w:trPr>
        <w:tc>
          <w:tcPr>
            <w:tcW w:w="2697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Abstract</w:t>
            </w:r>
          </w:p>
        </w:tc>
        <w:tc>
          <w:tcPr>
            <w:tcW w:w="419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790" w:type="dxa"/>
          </w:tcPr>
          <w:p>
            <w:pPr>
              <w:pStyle w:val="TableParagraph"/>
              <w:spacing w:before="133"/>
              <w:ind w:left="1016"/>
              <w:rPr>
                <w:sz w:val="24"/>
              </w:rPr>
            </w:pPr>
            <w:r>
              <w:rPr>
                <w:sz w:val="24"/>
              </w:rPr>
              <w:t>viii</w:t>
            </w:r>
          </w:p>
        </w:tc>
      </w:tr>
      <w:tr>
        <w:trPr>
          <w:trHeight w:val="552" w:hRule="atLeast"/>
        </w:trPr>
        <w:tc>
          <w:tcPr>
            <w:tcW w:w="2697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Contents</w:t>
            </w:r>
          </w:p>
        </w:tc>
        <w:tc>
          <w:tcPr>
            <w:tcW w:w="419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790" w:type="dxa"/>
          </w:tcPr>
          <w:p>
            <w:pPr>
              <w:pStyle w:val="TableParagraph"/>
              <w:spacing w:before="133"/>
              <w:ind w:left="1076"/>
              <w:rPr>
                <w:sz w:val="24"/>
              </w:rPr>
            </w:pPr>
            <w:r>
              <w:rPr>
                <w:sz w:val="24"/>
              </w:rPr>
              <w:t>ix</w:t>
            </w:r>
          </w:p>
        </w:tc>
      </w:tr>
      <w:tr>
        <w:trPr>
          <w:trHeight w:val="552" w:hRule="atLeast"/>
        </w:trPr>
        <w:tc>
          <w:tcPr>
            <w:tcW w:w="2697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List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Tables</w:t>
            </w:r>
          </w:p>
        </w:tc>
        <w:tc>
          <w:tcPr>
            <w:tcW w:w="419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790" w:type="dxa"/>
          </w:tcPr>
          <w:p>
            <w:pPr>
              <w:pStyle w:val="TableParagraph"/>
              <w:spacing w:before="133"/>
              <w:ind w:left="1076"/>
              <w:rPr>
                <w:sz w:val="24"/>
              </w:rPr>
            </w:pPr>
            <w:r>
              <w:rPr>
                <w:sz w:val="24"/>
              </w:rPr>
              <w:t>xiii</w:t>
            </w:r>
          </w:p>
        </w:tc>
      </w:tr>
      <w:tr>
        <w:trPr>
          <w:trHeight w:val="552" w:hRule="atLeast"/>
        </w:trPr>
        <w:tc>
          <w:tcPr>
            <w:tcW w:w="2697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List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Figures</w:t>
            </w:r>
          </w:p>
        </w:tc>
        <w:tc>
          <w:tcPr>
            <w:tcW w:w="419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790" w:type="dxa"/>
          </w:tcPr>
          <w:p>
            <w:pPr>
              <w:pStyle w:val="TableParagraph"/>
              <w:spacing w:before="133"/>
              <w:ind w:left="1076"/>
              <w:rPr>
                <w:sz w:val="24"/>
              </w:rPr>
            </w:pPr>
            <w:r>
              <w:rPr>
                <w:sz w:val="24"/>
              </w:rPr>
              <w:t>xiv</w:t>
            </w:r>
          </w:p>
        </w:tc>
      </w:tr>
      <w:tr>
        <w:trPr>
          <w:trHeight w:val="551" w:hRule="atLeast"/>
        </w:trPr>
        <w:tc>
          <w:tcPr>
            <w:tcW w:w="2697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List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Plates</w:t>
            </w:r>
          </w:p>
        </w:tc>
        <w:tc>
          <w:tcPr>
            <w:tcW w:w="419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790" w:type="dxa"/>
          </w:tcPr>
          <w:p>
            <w:pPr>
              <w:pStyle w:val="TableParagraph"/>
              <w:spacing w:before="133"/>
              <w:ind w:left="1076"/>
              <w:rPr>
                <w:sz w:val="24"/>
              </w:rPr>
            </w:pPr>
            <w:r>
              <w:rPr>
                <w:sz w:val="24"/>
              </w:rPr>
              <w:t>xv</w:t>
            </w:r>
          </w:p>
        </w:tc>
      </w:tr>
      <w:tr>
        <w:trPr>
          <w:trHeight w:val="552" w:hRule="atLeast"/>
        </w:trPr>
        <w:tc>
          <w:tcPr>
            <w:tcW w:w="2697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Appendix</w:t>
            </w:r>
          </w:p>
        </w:tc>
        <w:tc>
          <w:tcPr>
            <w:tcW w:w="419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790" w:type="dxa"/>
          </w:tcPr>
          <w:p>
            <w:pPr>
              <w:pStyle w:val="TableParagraph"/>
              <w:spacing w:before="133"/>
              <w:ind w:left="1076"/>
              <w:rPr>
                <w:sz w:val="24"/>
              </w:rPr>
            </w:pPr>
            <w:r>
              <w:rPr>
                <w:sz w:val="24"/>
              </w:rPr>
              <w:t>xvi</w:t>
            </w:r>
          </w:p>
        </w:tc>
      </w:tr>
      <w:tr>
        <w:trPr>
          <w:trHeight w:val="408" w:hRule="atLeast"/>
        </w:trPr>
        <w:tc>
          <w:tcPr>
            <w:tcW w:w="2697" w:type="dxa"/>
          </w:tcPr>
          <w:p>
            <w:pPr>
              <w:pStyle w:val="TableParagraph"/>
              <w:spacing w:line="256" w:lineRule="exact" w:before="133"/>
              <w:ind w:left="50"/>
              <w:rPr>
                <w:sz w:val="24"/>
              </w:rPr>
            </w:pPr>
            <w:r>
              <w:rPr>
                <w:sz w:val="24"/>
              </w:rPr>
              <w:t>List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Abbreviations</w:t>
            </w:r>
          </w:p>
        </w:tc>
        <w:tc>
          <w:tcPr>
            <w:tcW w:w="419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790" w:type="dxa"/>
          </w:tcPr>
          <w:p>
            <w:pPr>
              <w:pStyle w:val="TableParagraph"/>
              <w:spacing w:line="256" w:lineRule="exact" w:before="133"/>
              <w:ind w:left="1076"/>
              <w:rPr>
                <w:sz w:val="24"/>
              </w:rPr>
            </w:pPr>
            <w:r>
              <w:rPr>
                <w:sz w:val="24"/>
              </w:rPr>
              <w:t>xvii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5"/>
        </w:rPr>
      </w:pPr>
    </w:p>
    <w:p>
      <w:pPr>
        <w:pStyle w:val="Heading1"/>
        <w:numPr>
          <w:ilvl w:val="1"/>
          <w:numId w:val="1"/>
        </w:numPr>
        <w:tabs>
          <w:tab w:pos="1368" w:val="left" w:leader="none"/>
          <w:tab w:pos="1369" w:val="left" w:leader="none"/>
        </w:tabs>
        <w:spacing w:line="240" w:lineRule="auto" w:before="90" w:after="0"/>
        <w:ind w:left="1368" w:right="0" w:hanging="721"/>
        <w:jc w:val="left"/>
      </w:pPr>
      <w:r>
        <w:rPr/>
        <w:t>INTRODUCTION</w:t>
      </w:r>
    </w:p>
    <w:p>
      <w:pPr>
        <w:spacing w:after="0" w:line="240" w:lineRule="auto"/>
        <w:jc w:val="left"/>
        <w:sectPr>
          <w:pgSz w:w="12240" w:h="15840"/>
          <w:pgMar w:header="0" w:footer="792" w:top="1440" w:bottom="1966" w:left="1080" w:right="760"/>
        </w:sect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2"/>
            <w:numPr>
              <w:ilvl w:val="1"/>
              <w:numId w:val="1"/>
            </w:numPr>
            <w:tabs>
              <w:tab w:pos="1368" w:val="left" w:leader="none"/>
              <w:tab w:pos="1369" w:val="left" w:leader="none"/>
              <w:tab w:pos="8689" w:val="right" w:leader="none"/>
            </w:tabs>
            <w:spacing w:line="240" w:lineRule="auto" w:before="272" w:after="0"/>
            <w:ind w:left="1368" w:right="0" w:hanging="721"/>
            <w:jc w:val="left"/>
          </w:pPr>
          <w:hyperlink w:history="true" w:anchor="_TOC_250060">
            <w:r>
              <w:rPr/>
              <w:t>Statement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Research</w:t>
            </w:r>
            <w:r>
              <w:rPr>
                <w:spacing w:val="1"/>
              </w:rPr>
              <w:t> </w:t>
            </w:r>
            <w:r>
              <w:rPr/>
              <w:t>Problem</w:t>
              <w:tab/>
              <w:t>3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368" w:val="left" w:leader="none"/>
              <w:tab w:pos="1369" w:val="left" w:leader="none"/>
              <w:tab w:pos="8689" w:val="right" w:leader="none"/>
            </w:tabs>
            <w:spacing w:line="240" w:lineRule="auto" w:before="276" w:after="0"/>
            <w:ind w:left="1368" w:right="0" w:hanging="721"/>
            <w:jc w:val="left"/>
          </w:pPr>
          <w:hyperlink w:history="true" w:anchor="_TOC_250059">
            <w:r>
              <w:rPr/>
              <w:t>Justification of</w:t>
            </w:r>
            <w:r>
              <w:rPr>
                <w:spacing w:val="-1"/>
              </w:rPr>
              <w:t> </w:t>
            </w:r>
            <w:r>
              <w:rPr/>
              <w:t>the study</w:t>
              <w:tab/>
              <w:t>3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368" w:val="left" w:leader="none"/>
              <w:tab w:pos="1369" w:val="left" w:leader="none"/>
              <w:tab w:pos="8689" w:val="right" w:leader="none"/>
            </w:tabs>
            <w:spacing w:line="240" w:lineRule="auto" w:before="276" w:after="0"/>
            <w:ind w:left="1368" w:right="0" w:hanging="721"/>
            <w:jc w:val="left"/>
          </w:pPr>
          <w:hyperlink w:history="true" w:anchor="_TOC_250058">
            <w:r>
              <w:rPr/>
              <w:t>Theoretical</w:t>
            </w:r>
            <w:r>
              <w:rPr>
                <w:spacing w:val="-1"/>
              </w:rPr>
              <w:t> </w:t>
            </w:r>
            <w:r>
              <w:rPr/>
              <w:t>framework</w:t>
              <w:tab/>
              <w:t>4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368" w:val="left" w:leader="none"/>
              <w:tab w:pos="1369" w:val="left" w:leader="none"/>
              <w:tab w:pos="8689" w:val="right" w:leader="none"/>
            </w:tabs>
            <w:spacing w:line="240" w:lineRule="auto" w:before="276" w:after="0"/>
            <w:ind w:left="1368" w:right="0" w:hanging="721"/>
            <w:jc w:val="left"/>
          </w:pPr>
          <w:hyperlink w:history="true" w:anchor="_TOC_250057">
            <w:r>
              <w:rPr/>
              <w:t>Objectives of the</w:t>
            </w:r>
            <w:r>
              <w:rPr>
                <w:spacing w:val="-1"/>
              </w:rPr>
              <w:t> </w:t>
            </w:r>
            <w:r>
              <w:rPr/>
              <w:t>Study</w:t>
              <w:tab/>
              <w:t>6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368" w:val="left" w:leader="none"/>
              <w:tab w:pos="1369" w:val="left" w:leader="none"/>
              <w:tab w:pos="8689" w:val="right" w:leader="none"/>
            </w:tabs>
            <w:spacing w:line="240" w:lineRule="auto" w:before="276" w:after="0"/>
            <w:ind w:left="1368" w:right="0" w:hanging="721"/>
            <w:jc w:val="left"/>
          </w:pPr>
          <w:r>
            <w:rPr/>
            <w:t>Hypothesis</w:t>
            <w:tab/>
            <w:t>6</w:t>
          </w:r>
        </w:p>
        <w:p>
          <w:pPr>
            <w:pStyle w:val="TOC1"/>
            <w:numPr>
              <w:ilvl w:val="1"/>
              <w:numId w:val="2"/>
            </w:numPr>
            <w:tabs>
              <w:tab w:pos="1368" w:val="left" w:leader="none"/>
              <w:tab w:pos="1369" w:val="left" w:leader="none"/>
            </w:tabs>
            <w:spacing w:line="240" w:lineRule="auto" w:before="281" w:after="0"/>
            <w:ind w:left="1368" w:right="0" w:hanging="721"/>
            <w:jc w:val="left"/>
          </w:pPr>
          <w:hyperlink w:history="true" w:anchor="_TOC_250056">
            <w:r>
              <w:rPr/>
              <w:t>LITERATURE</w:t>
            </w:r>
            <w:r>
              <w:rPr>
                <w:spacing w:val="-2"/>
              </w:rPr>
              <w:t> </w:t>
            </w:r>
            <w:r>
              <w:rPr/>
              <w:t>REVIEW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1368" w:val="left" w:leader="none"/>
              <w:tab w:pos="1369" w:val="left" w:leader="none"/>
              <w:tab w:pos="8689" w:val="right" w:leader="none"/>
            </w:tabs>
            <w:spacing w:line="240" w:lineRule="auto" w:before="271" w:after="0"/>
            <w:ind w:left="1368" w:right="0" w:hanging="721"/>
            <w:jc w:val="left"/>
          </w:pPr>
          <w:r>
            <w:rPr/>
            <w:t>Tradition</w:t>
          </w:r>
          <w:r>
            <w:rPr>
              <w:spacing w:val="-1"/>
            </w:rPr>
            <w:t> </w:t>
          </w:r>
          <w:r>
            <w:rPr/>
            <w:t>Medicine</w:t>
            <w:tab/>
            <w:t>7</w:t>
          </w:r>
        </w:p>
        <w:p>
          <w:pPr>
            <w:pStyle w:val="TOC3"/>
            <w:numPr>
              <w:ilvl w:val="1"/>
              <w:numId w:val="2"/>
            </w:numPr>
            <w:tabs>
              <w:tab w:pos="1368" w:val="left" w:leader="none"/>
              <w:tab w:pos="1369" w:val="left" w:leader="none"/>
              <w:tab w:pos="8689" w:val="right" w:leader="none"/>
            </w:tabs>
            <w:spacing w:line="240" w:lineRule="auto" w:before="276" w:after="20"/>
            <w:ind w:left="1368" w:right="0" w:hanging="721"/>
            <w:jc w:val="left"/>
            <w:rPr>
              <w:i w:val="0"/>
            </w:rPr>
          </w:pPr>
          <w:hyperlink w:history="true" w:anchor="_TOC_250055">
            <w:r>
              <w:rPr/>
              <w:t>Diospyros</w:t>
            </w:r>
            <w:r>
              <w:rPr>
                <w:spacing w:val="-1"/>
              </w:rPr>
              <w:t> </w:t>
            </w:r>
            <w:r>
              <w:rPr/>
              <w:t>mespiliformis</w:t>
              <w:tab/>
            </w:r>
            <w:r>
              <w:rPr>
                <w:i w:val="0"/>
              </w:rPr>
              <w:t>8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368" w:val="left" w:leader="none"/>
              <w:tab w:pos="1369" w:val="left" w:leader="none"/>
              <w:tab w:pos="8689" w:val="right" w:leader="none"/>
            </w:tabs>
            <w:spacing w:line="240" w:lineRule="auto" w:before="72" w:after="0"/>
            <w:ind w:left="1368" w:right="0" w:hanging="721"/>
            <w:jc w:val="left"/>
          </w:pPr>
          <w:hyperlink w:history="true" w:anchor="_TOC_250054">
            <w:r>
              <w:rPr/>
              <w:t>Plant</w:t>
            </w:r>
            <w:r>
              <w:rPr>
                <w:spacing w:val="-1"/>
              </w:rPr>
              <w:t> </w:t>
            </w:r>
            <w:r>
              <w:rPr/>
              <w:t>description</w:t>
              <w:tab/>
              <w:t>8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368" w:val="left" w:leader="none"/>
              <w:tab w:pos="1369" w:val="left" w:leader="none"/>
              <w:tab w:pos="8689" w:val="right" w:leader="none"/>
            </w:tabs>
            <w:spacing w:line="240" w:lineRule="auto" w:before="276" w:after="0"/>
            <w:ind w:left="1368" w:right="0" w:hanging="721"/>
            <w:jc w:val="left"/>
          </w:pPr>
          <w:hyperlink w:history="true" w:anchor="_TOC_250053">
            <w:r>
              <w:rPr/>
              <w:t>Plant taxonomy</w:t>
              <w:tab/>
              <w:t>8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368" w:val="left" w:leader="none"/>
              <w:tab w:pos="1369" w:val="left" w:leader="none"/>
              <w:tab w:pos="8689" w:val="right" w:leader="none"/>
            </w:tabs>
            <w:spacing w:line="240" w:lineRule="auto" w:before="276" w:after="0"/>
            <w:ind w:left="1368" w:right="0" w:hanging="721"/>
            <w:jc w:val="left"/>
          </w:pPr>
          <w:hyperlink w:history="true" w:anchor="_TOC_250052">
            <w:r>
              <w:rPr/>
              <w:t>Common</w:t>
            </w:r>
            <w:r>
              <w:rPr>
                <w:spacing w:val="-1"/>
              </w:rPr>
              <w:t> </w:t>
            </w:r>
            <w:r>
              <w:rPr/>
              <w:t>and local names</w:t>
              <w:tab/>
              <w:t>9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368" w:val="left" w:leader="none"/>
              <w:tab w:pos="1369" w:val="left" w:leader="none"/>
              <w:tab w:pos="8689" w:val="right" w:leader="none"/>
            </w:tabs>
            <w:spacing w:line="240" w:lineRule="auto" w:before="276" w:after="0"/>
            <w:ind w:left="1368" w:right="0" w:hanging="721"/>
            <w:jc w:val="left"/>
          </w:pPr>
          <w:hyperlink w:history="true" w:anchor="_TOC_250051">
            <w:r>
              <w:rPr/>
              <w:t>Ethnomedical</w:t>
            </w:r>
            <w:r>
              <w:rPr>
                <w:spacing w:val="-1"/>
              </w:rPr>
              <w:t> </w:t>
            </w:r>
            <w:r>
              <w:rPr/>
              <w:t>uses</w:t>
              <w:tab/>
              <w:t>9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368" w:val="left" w:leader="none"/>
              <w:tab w:pos="1369" w:val="left" w:leader="none"/>
              <w:tab w:pos="8809" w:val="right" w:leader="none"/>
            </w:tabs>
            <w:spacing w:line="240" w:lineRule="auto" w:before="276" w:after="0"/>
            <w:ind w:left="1368" w:right="0" w:hanging="721"/>
            <w:jc w:val="left"/>
          </w:pPr>
          <w:hyperlink w:history="true" w:anchor="_TOC_250050">
            <w:r>
              <w:rPr/>
              <w:t>Non</w:t>
            </w:r>
            <w:r>
              <w:rPr>
                <w:spacing w:val="-1"/>
              </w:rPr>
              <w:t> </w:t>
            </w:r>
            <w:r>
              <w:rPr/>
              <w:t>medical uses</w:t>
              <w:tab/>
              <w:t>10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1368" w:val="left" w:leader="none"/>
              <w:tab w:pos="1369" w:val="left" w:leader="none"/>
              <w:tab w:pos="8809" w:val="right" w:leader="none"/>
            </w:tabs>
            <w:spacing w:line="240" w:lineRule="auto" w:before="276" w:after="0"/>
            <w:ind w:left="1368" w:right="0" w:hanging="721"/>
            <w:jc w:val="left"/>
          </w:pPr>
          <w:hyperlink w:history="true" w:anchor="_TOC_250049">
            <w:r>
              <w:rPr/>
              <w:t>Epilepsy</w:t>
              <w:tab/>
              <w:t>12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368" w:val="left" w:leader="none"/>
              <w:tab w:pos="1369" w:val="left" w:leader="none"/>
              <w:tab w:pos="8809" w:val="right" w:leader="none"/>
            </w:tabs>
            <w:spacing w:line="240" w:lineRule="auto" w:before="276" w:after="0"/>
            <w:ind w:left="1368" w:right="0" w:hanging="721"/>
            <w:jc w:val="left"/>
          </w:pPr>
          <w:hyperlink w:history="true" w:anchor="_TOC_250048">
            <w:r>
              <w:rPr/>
              <w:t>History</w:t>
              <w:tab/>
              <w:t>12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368" w:val="left" w:leader="none"/>
              <w:tab w:pos="1369" w:val="left" w:leader="none"/>
              <w:tab w:pos="8809" w:val="right" w:leader="none"/>
            </w:tabs>
            <w:spacing w:line="240" w:lineRule="auto" w:before="277" w:after="0"/>
            <w:ind w:left="1368" w:right="0" w:hanging="721"/>
            <w:jc w:val="left"/>
          </w:pPr>
          <w:hyperlink w:history="true" w:anchor="_TOC_250047">
            <w:r>
              <w:rPr/>
              <w:t>Etiology</w:t>
              <w:tab/>
              <w:t>13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368" w:val="left" w:leader="none"/>
              <w:tab w:pos="1369" w:val="left" w:leader="none"/>
              <w:tab w:pos="8809" w:val="right" w:leader="none"/>
            </w:tabs>
            <w:spacing w:line="240" w:lineRule="auto" w:before="276" w:after="0"/>
            <w:ind w:left="1368" w:right="0" w:hanging="721"/>
            <w:jc w:val="left"/>
          </w:pPr>
          <w:hyperlink w:history="true" w:anchor="_TOC_250046">
            <w:r>
              <w:rPr/>
              <w:t>Pathophysiology</w:t>
            </w:r>
            <w:r>
              <w:rPr>
                <w:spacing w:val="-5"/>
              </w:rPr>
              <w:t> </w:t>
            </w:r>
            <w:r>
              <w:rPr/>
              <w:t>of Epilepsy</w:t>
              <w:tab/>
              <w:t>16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368" w:val="left" w:leader="none"/>
              <w:tab w:pos="1369" w:val="left" w:leader="none"/>
              <w:tab w:pos="8809" w:val="right" w:leader="none"/>
            </w:tabs>
            <w:spacing w:line="240" w:lineRule="auto" w:before="276" w:after="0"/>
            <w:ind w:left="1368" w:right="0" w:hanging="721"/>
            <w:jc w:val="left"/>
          </w:pPr>
          <w:hyperlink w:history="true" w:anchor="_TOC_250045">
            <w:r>
              <w:rPr/>
              <w:t>Primary</w:t>
            </w:r>
            <w:r>
              <w:rPr>
                <w:spacing w:val="-6"/>
              </w:rPr>
              <w:t> </w:t>
            </w:r>
            <w:r>
              <w:rPr/>
              <w:t>physiologic mechanisms involved in epilepsy</w:t>
              <w:tab/>
              <w:t>24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368" w:val="left" w:leader="none"/>
              <w:tab w:pos="1369" w:val="left" w:leader="none"/>
              <w:tab w:pos="8809" w:val="right" w:leader="none"/>
            </w:tabs>
            <w:spacing w:line="240" w:lineRule="auto" w:before="276" w:after="0"/>
            <w:ind w:left="1368" w:right="0" w:hanging="721"/>
            <w:jc w:val="left"/>
          </w:pPr>
          <w:hyperlink w:history="true" w:anchor="_TOC_250044">
            <w:r>
              <w:rPr/>
              <w:t>Pathophysiology</w:t>
            </w:r>
            <w:r>
              <w:rPr>
                <w:spacing w:val="-6"/>
              </w:rPr>
              <w:t> </w:t>
            </w:r>
            <w:r>
              <w:rPr/>
              <w:t>of Specific Epileptic</w:t>
            </w:r>
            <w:r>
              <w:rPr>
                <w:spacing w:val="-1"/>
              </w:rPr>
              <w:t> </w:t>
            </w:r>
            <w:r>
              <w:rPr/>
              <w:t>disorders</w:t>
              <w:tab/>
              <w:t>28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368" w:val="left" w:leader="none"/>
              <w:tab w:pos="1369" w:val="left" w:leader="none"/>
              <w:tab w:pos="8809" w:val="right" w:leader="none"/>
            </w:tabs>
            <w:spacing w:line="240" w:lineRule="auto" w:before="276" w:after="0"/>
            <w:ind w:left="1368" w:right="0" w:hanging="721"/>
            <w:jc w:val="left"/>
          </w:pPr>
          <w:hyperlink w:history="true" w:anchor="_TOC_250043">
            <w:r>
              <w:rPr/>
              <w:t>Seizure</w:t>
            </w:r>
            <w:r>
              <w:rPr>
                <w:spacing w:val="-2"/>
              </w:rPr>
              <w:t> </w:t>
            </w:r>
            <w:r>
              <w:rPr/>
              <w:t>types</w:t>
              <w:tab/>
              <w:t>29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368" w:val="left" w:leader="none"/>
              <w:tab w:pos="1369" w:val="left" w:leader="none"/>
              <w:tab w:pos="8809" w:val="right" w:leader="none"/>
            </w:tabs>
            <w:spacing w:line="240" w:lineRule="auto" w:before="276" w:after="0"/>
            <w:ind w:left="1368" w:right="0" w:hanging="721"/>
            <w:jc w:val="left"/>
          </w:pPr>
          <w:hyperlink w:history="true" w:anchor="_TOC_250042">
            <w:r>
              <w:rPr/>
              <w:t>Epilepsy</w:t>
            </w:r>
            <w:r>
              <w:rPr>
                <w:spacing w:val="-6"/>
              </w:rPr>
              <w:t> </w:t>
            </w:r>
            <w:r>
              <w:rPr/>
              <w:t>syndromes</w:t>
              <w:tab/>
              <w:t>31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368" w:val="left" w:leader="none"/>
              <w:tab w:pos="1369" w:val="left" w:leader="none"/>
              <w:tab w:pos="8809" w:val="right" w:leader="none"/>
            </w:tabs>
            <w:spacing w:line="240" w:lineRule="auto" w:before="276" w:after="0"/>
            <w:ind w:left="1368" w:right="0" w:hanging="721"/>
            <w:jc w:val="left"/>
          </w:pPr>
          <w:hyperlink w:history="true" w:anchor="_TOC_250041">
            <w:r>
              <w:rPr/>
              <w:t>Management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1"/>
              </w:rPr>
              <w:t> </w:t>
            </w:r>
            <w:r>
              <w:rPr/>
              <w:t>epilepsy</w:t>
              <w:tab/>
              <w:t>33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309" w:val="left" w:leader="none"/>
              <w:tab w:pos="8809" w:val="right" w:leader="none"/>
            </w:tabs>
            <w:spacing w:line="240" w:lineRule="auto" w:before="276" w:after="0"/>
            <w:ind w:left="1308" w:right="0" w:hanging="661"/>
            <w:jc w:val="left"/>
          </w:pPr>
          <w:hyperlink w:history="true" w:anchor="_TOC_250040">
            <w:r>
              <w:rPr/>
              <w:t>Non</w:t>
            </w:r>
            <w:r>
              <w:rPr>
                <w:spacing w:val="-1"/>
              </w:rPr>
              <w:t> </w:t>
            </w:r>
            <w:r>
              <w:rPr/>
              <w:t>pharmacological management of</w:t>
            </w:r>
            <w:r>
              <w:rPr>
                <w:spacing w:val="-1"/>
              </w:rPr>
              <w:t> </w:t>
            </w:r>
            <w:r>
              <w:rPr/>
              <w:t>epilepsy</w:t>
              <w:tab/>
              <w:t>43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369" w:val="left" w:leader="none"/>
              <w:tab w:pos="8809" w:val="right" w:leader="none"/>
            </w:tabs>
            <w:spacing w:line="240" w:lineRule="auto" w:before="276" w:after="0"/>
            <w:ind w:left="1368" w:right="0" w:hanging="721"/>
            <w:jc w:val="left"/>
          </w:pPr>
          <w:hyperlink w:history="true" w:anchor="_TOC_250039">
            <w:r>
              <w:rPr/>
              <w:t>Plants</w:t>
            </w:r>
            <w:r>
              <w:rPr>
                <w:spacing w:val="-1"/>
              </w:rPr>
              <w:t> </w:t>
            </w:r>
            <w:r>
              <w:rPr/>
              <w:t>with antiepileptic</w:t>
            </w:r>
            <w:r>
              <w:rPr>
                <w:spacing w:val="-1"/>
              </w:rPr>
              <w:t> </w:t>
            </w:r>
            <w:r>
              <w:rPr/>
              <w:t>activity</w:t>
              <w:tab/>
              <w:t>45</w:t>
            </w:r>
          </w:hyperlink>
        </w:p>
        <w:p>
          <w:pPr>
            <w:pStyle w:val="TOC4"/>
            <w:numPr>
              <w:ilvl w:val="2"/>
              <w:numId w:val="2"/>
            </w:numPr>
            <w:tabs>
              <w:tab w:pos="1369" w:val="left" w:leader="none"/>
              <w:tab w:pos="8809" w:val="right" w:leader="none"/>
            </w:tabs>
            <w:spacing w:line="240" w:lineRule="auto" w:before="276" w:after="0"/>
            <w:ind w:left="1368" w:right="0" w:hanging="721"/>
            <w:jc w:val="left"/>
            <w:rPr>
              <w:b w:val="0"/>
              <w:i w:val="0"/>
              <w:sz w:val="24"/>
            </w:rPr>
          </w:pPr>
          <w:r>
            <w:rPr>
              <w:b w:val="0"/>
              <w:i w:val="0"/>
              <w:sz w:val="24"/>
            </w:rPr>
            <w:t>Previous</w:t>
          </w:r>
          <w:r>
            <w:rPr>
              <w:b w:val="0"/>
              <w:i w:val="0"/>
              <w:spacing w:val="-1"/>
              <w:sz w:val="24"/>
            </w:rPr>
            <w:t> </w:t>
          </w:r>
          <w:r>
            <w:rPr>
              <w:b w:val="0"/>
              <w:i w:val="0"/>
              <w:sz w:val="24"/>
            </w:rPr>
            <w:t>Studies done</w:t>
          </w:r>
          <w:r>
            <w:rPr>
              <w:b w:val="0"/>
              <w:i w:val="0"/>
              <w:spacing w:val="-1"/>
              <w:sz w:val="24"/>
            </w:rPr>
            <w:t> </w:t>
          </w:r>
          <w:r>
            <w:rPr>
              <w:b w:val="0"/>
              <w:i w:val="0"/>
              <w:sz w:val="24"/>
            </w:rPr>
            <w:t>on</w:t>
          </w:r>
          <w:r>
            <w:rPr>
              <w:b w:val="0"/>
              <w:i w:val="0"/>
              <w:spacing w:val="1"/>
              <w:sz w:val="24"/>
            </w:rPr>
            <w:t> </w:t>
          </w:r>
          <w:r>
            <w:rPr>
              <w:b w:val="0"/>
              <w:sz w:val="24"/>
            </w:rPr>
            <w:t>Diospyros Mespiliformis</w:t>
            <w:tab/>
          </w:r>
          <w:r>
            <w:rPr>
              <w:b w:val="0"/>
              <w:i w:val="0"/>
              <w:sz w:val="24"/>
            </w:rPr>
            <w:t>46</w:t>
          </w:r>
        </w:p>
        <w:p>
          <w:pPr>
            <w:pStyle w:val="TOC2"/>
            <w:numPr>
              <w:ilvl w:val="2"/>
              <w:numId w:val="2"/>
            </w:numPr>
            <w:tabs>
              <w:tab w:pos="1369" w:val="left" w:leader="none"/>
              <w:tab w:pos="8809" w:val="right" w:leader="none"/>
            </w:tabs>
            <w:spacing w:line="240" w:lineRule="auto" w:before="276" w:after="0"/>
            <w:ind w:left="1368" w:right="0" w:hanging="721"/>
            <w:jc w:val="left"/>
          </w:pPr>
          <w:hyperlink w:history="true" w:anchor="_TOC_250038">
            <w:r>
              <w:rPr/>
              <w:t>Anticonvulsant</w:t>
            </w:r>
            <w:r>
              <w:rPr>
                <w:spacing w:val="-1"/>
              </w:rPr>
              <w:t> </w:t>
            </w:r>
            <w:r>
              <w:rPr/>
              <w:t>Studies</w:t>
              <w:tab/>
              <w:t>46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369" w:val="left" w:leader="none"/>
              <w:tab w:pos="8809" w:val="right" w:leader="none"/>
            </w:tabs>
            <w:spacing w:line="240" w:lineRule="auto" w:before="276" w:after="0"/>
            <w:ind w:left="1368" w:right="0" w:hanging="721"/>
            <w:jc w:val="left"/>
          </w:pPr>
          <w:hyperlink w:history="true" w:anchor="_TOC_250037">
            <w:r>
              <w:rPr/>
              <w:t>Toxicity</w:t>
            </w:r>
            <w:r>
              <w:rPr>
                <w:spacing w:val="-8"/>
              </w:rPr>
              <w:t> </w:t>
            </w:r>
            <w:r>
              <w:rPr/>
              <w:t>Studies</w:t>
              <w:tab/>
              <w:t>50</w:t>
            </w:r>
          </w:hyperlink>
        </w:p>
        <w:p>
          <w:pPr>
            <w:pStyle w:val="TOC1"/>
            <w:numPr>
              <w:ilvl w:val="1"/>
              <w:numId w:val="3"/>
            </w:numPr>
            <w:tabs>
              <w:tab w:pos="1368" w:val="left" w:leader="none"/>
              <w:tab w:pos="1369" w:val="left" w:leader="none"/>
            </w:tabs>
            <w:spacing w:line="240" w:lineRule="auto" w:before="282" w:after="0"/>
            <w:ind w:left="1368" w:right="0" w:hanging="721"/>
            <w:jc w:val="left"/>
          </w:pPr>
          <w:hyperlink w:history="true" w:anchor="_TOC_250036">
            <w:r>
              <w:rPr/>
              <w:t>MATERIALS</w:t>
            </w:r>
            <w:r>
              <w:rPr>
                <w:spacing w:val="-1"/>
              </w:rPr>
              <w:t> </w:t>
            </w:r>
            <w:r>
              <w:rPr/>
              <w:t>AND</w:t>
            </w:r>
            <w:r>
              <w:rPr>
                <w:spacing w:val="-1"/>
              </w:rPr>
              <w:t> </w:t>
            </w:r>
            <w:r>
              <w:rPr/>
              <w:t>METHOD</w:t>
            </w:r>
          </w:hyperlink>
        </w:p>
        <w:p>
          <w:pPr>
            <w:pStyle w:val="TOC2"/>
            <w:numPr>
              <w:ilvl w:val="1"/>
              <w:numId w:val="3"/>
            </w:numPr>
            <w:tabs>
              <w:tab w:pos="1368" w:val="left" w:leader="none"/>
              <w:tab w:pos="1369" w:val="left" w:leader="none"/>
              <w:tab w:pos="8809" w:val="right" w:leader="none"/>
            </w:tabs>
            <w:spacing w:line="240" w:lineRule="auto" w:before="271" w:after="0"/>
            <w:ind w:left="1368" w:right="0" w:hanging="721"/>
            <w:jc w:val="left"/>
          </w:pPr>
          <w:hyperlink w:history="true" w:anchor="_TOC_250035">
            <w:r>
              <w:rPr/>
              <w:t>Materials,</w:t>
            </w:r>
            <w:r>
              <w:rPr>
                <w:spacing w:val="-1"/>
              </w:rPr>
              <w:t> </w:t>
            </w:r>
            <w:r>
              <w:rPr/>
              <w:t>equipments, chemicals and animals</w:t>
              <w:tab/>
              <w:t>58</w:t>
            </w:r>
          </w:hyperlink>
        </w:p>
        <w:p>
          <w:pPr>
            <w:pStyle w:val="TOC2"/>
            <w:numPr>
              <w:ilvl w:val="2"/>
              <w:numId w:val="3"/>
            </w:numPr>
            <w:tabs>
              <w:tab w:pos="1368" w:val="left" w:leader="none"/>
              <w:tab w:pos="1369" w:val="left" w:leader="none"/>
              <w:tab w:pos="8809" w:val="right" w:leader="none"/>
            </w:tabs>
            <w:spacing w:line="240" w:lineRule="auto" w:before="276" w:after="0"/>
            <w:ind w:left="1368" w:right="0" w:hanging="721"/>
            <w:jc w:val="left"/>
          </w:pPr>
          <w:r>
            <w:rPr/>
            <w:t>Material</w:t>
          </w:r>
          <w:r>
            <w:rPr>
              <w:spacing w:val="-1"/>
            </w:rPr>
            <w:t> </w:t>
          </w:r>
          <w:r>
            <w:rPr/>
            <w:t>and Equipments</w:t>
            <w:tab/>
            <w:t>58</w:t>
          </w:r>
        </w:p>
        <w:p>
          <w:pPr>
            <w:pStyle w:val="TOC2"/>
            <w:numPr>
              <w:ilvl w:val="2"/>
              <w:numId w:val="3"/>
            </w:numPr>
            <w:tabs>
              <w:tab w:pos="1368" w:val="left" w:leader="none"/>
              <w:tab w:pos="1369" w:val="left" w:leader="none"/>
              <w:tab w:pos="8809" w:val="right" w:leader="none"/>
            </w:tabs>
            <w:spacing w:line="240" w:lineRule="auto" w:before="276" w:after="20"/>
            <w:ind w:left="1368" w:right="0" w:hanging="721"/>
            <w:jc w:val="left"/>
          </w:pPr>
          <w:hyperlink w:history="true" w:anchor="_TOC_250034">
            <w:r>
              <w:rPr/>
              <w:t>Chemicals/drugs</w:t>
              <w:tab/>
              <w:t>59</w:t>
            </w:r>
          </w:hyperlink>
        </w:p>
        <w:p>
          <w:pPr>
            <w:pStyle w:val="TOC2"/>
            <w:numPr>
              <w:ilvl w:val="2"/>
              <w:numId w:val="3"/>
            </w:numPr>
            <w:tabs>
              <w:tab w:pos="1368" w:val="left" w:leader="none"/>
              <w:tab w:pos="1369" w:val="left" w:leader="none"/>
              <w:tab w:pos="8809" w:val="right" w:leader="none"/>
            </w:tabs>
            <w:spacing w:line="240" w:lineRule="auto" w:before="72" w:after="0"/>
            <w:ind w:left="1368" w:right="0" w:hanging="721"/>
            <w:jc w:val="left"/>
          </w:pPr>
          <w:hyperlink w:history="true" w:anchor="_TOC_250033">
            <w:r>
              <w:rPr/>
              <w:t>Animals</w:t>
              <w:tab/>
              <w:t>59</w:t>
            </w:r>
          </w:hyperlink>
        </w:p>
        <w:p>
          <w:pPr>
            <w:pStyle w:val="TOC2"/>
            <w:numPr>
              <w:ilvl w:val="1"/>
              <w:numId w:val="3"/>
            </w:numPr>
            <w:tabs>
              <w:tab w:pos="1368" w:val="left" w:leader="none"/>
              <w:tab w:pos="1369" w:val="left" w:leader="none"/>
              <w:tab w:pos="8809" w:val="right" w:leader="none"/>
            </w:tabs>
            <w:spacing w:line="240" w:lineRule="auto" w:before="276" w:after="0"/>
            <w:ind w:left="1368" w:right="0" w:hanging="721"/>
            <w:jc w:val="left"/>
          </w:pPr>
          <w:r>
            <w:rPr/>
            <w:t>Preparation</w:t>
          </w:r>
          <w:r>
            <w:rPr>
              <w:spacing w:val="-1"/>
            </w:rPr>
            <w:t> </w:t>
          </w:r>
          <w:r>
            <w:rPr/>
            <w:t>of</w:t>
          </w:r>
          <w:r>
            <w:rPr>
              <w:spacing w:val="-1"/>
            </w:rPr>
            <w:t> </w:t>
          </w:r>
          <w:r>
            <w:rPr/>
            <w:t>plant</w:t>
          </w:r>
          <w:r>
            <w:rPr>
              <w:spacing w:val="2"/>
            </w:rPr>
            <w:t> </w:t>
          </w:r>
          <w:r>
            <w:rPr/>
            <w:t>extracts</w:t>
            <w:tab/>
            <w:t>59</w:t>
          </w:r>
        </w:p>
        <w:p>
          <w:pPr>
            <w:pStyle w:val="TOC2"/>
            <w:numPr>
              <w:ilvl w:val="2"/>
              <w:numId w:val="3"/>
            </w:numPr>
            <w:tabs>
              <w:tab w:pos="1368" w:val="left" w:leader="none"/>
              <w:tab w:pos="1369" w:val="left" w:leader="none"/>
              <w:tab w:pos="8809" w:val="right" w:leader="none"/>
            </w:tabs>
            <w:spacing w:line="240" w:lineRule="auto" w:before="276" w:after="0"/>
            <w:ind w:left="1368" w:right="0" w:hanging="721"/>
            <w:jc w:val="left"/>
          </w:pPr>
          <w:hyperlink w:history="true" w:anchor="_TOC_250032">
            <w:r>
              <w:rPr/>
              <w:t>Collection</w:t>
            </w:r>
            <w:r>
              <w:rPr>
                <w:spacing w:val="-1"/>
              </w:rPr>
              <w:t> </w:t>
            </w:r>
            <w:r>
              <w:rPr/>
              <w:t>and identification of plant materials</w:t>
              <w:tab/>
              <w:t>59</w:t>
            </w:r>
          </w:hyperlink>
        </w:p>
        <w:p>
          <w:pPr>
            <w:pStyle w:val="TOC2"/>
            <w:numPr>
              <w:ilvl w:val="2"/>
              <w:numId w:val="3"/>
            </w:numPr>
            <w:tabs>
              <w:tab w:pos="1368" w:val="left" w:leader="none"/>
              <w:tab w:pos="1369" w:val="left" w:leader="none"/>
              <w:tab w:pos="8809" w:val="right" w:leader="none"/>
            </w:tabs>
            <w:spacing w:line="240" w:lineRule="auto" w:before="276" w:after="0"/>
            <w:ind w:left="1368" w:right="0" w:hanging="721"/>
            <w:jc w:val="left"/>
          </w:pPr>
          <w:r>
            <w:rPr/>
            <w:t>Preparation</w:t>
          </w:r>
          <w:r>
            <w:rPr>
              <w:spacing w:val="-1"/>
            </w:rPr>
            <w:t> </w:t>
          </w:r>
          <w:r>
            <w:rPr/>
            <w:t>of</w:t>
          </w:r>
          <w:r>
            <w:rPr>
              <w:spacing w:val="-1"/>
            </w:rPr>
            <w:t> </w:t>
          </w:r>
          <w:r>
            <w:rPr/>
            <w:t>plant</w:t>
          </w:r>
          <w:r>
            <w:rPr>
              <w:spacing w:val="2"/>
            </w:rPr>
            <w:t> </w:t>
          </w:r>
          <w:r>
            <w:rPr/>
            <w:t>extracts</w:t>
            <w:tab/>
            <w:t>60</w:t>
          </w:r>
        </w:p>
        <w:p>
          <w:pPr>
            <w:pStyle w:val="TOC2"/>
            <w:numPr>
              <w:ilvl w:val="1"/>
              <w:numId w:val="3"/>
            </w:numPr>
            <w:tabs>
              <w:tab w:pos="1368" w:val="left" w:leader="none"/>
              <w:tab w:pos="1369" w:val="left" w:leader="none"/>
              <w:tab w:pos="8809" w:val="right" w:leader="none"/>
            </w:tabs>
            <w:spacing w:line="240" w:lineRule="auto" w:before="276" w:after="0"/>
            <w:ind w:left="1368" w:right="0" w:hanging="721"/>
            <w:jc w:val="left"/>
          </w:pPr>
          <w:hyperlink w:history="true" w:anchor="_TOC_250031">
            <w:r>
              <w:rPr/>
              <w:t>Study</w:t>
            </w:r>
            <w:r>
              <w:rPr>
                <w:spacing w:val="-6"/>
              </w:rPr>
              <w:t> </w:t>
            </w:r>
            <w:r>
              <w:rPr/>
              <w:t>animals</w:t>
              <w:tab/>
              <w:t>60</w:t>
            </w:r>
          </w:hyperlink>
        </w:p>
        <w:p>
          <w:pPr>
            <w:pStyle w:val="TOC2"/>
            <w:numPr>
              <w:ilvl w:val="2"/>
              <w:numId w:val="3"/>
            </w:numPr>
            <w:tabs>
              <w:tab w:pos="1368" w:val="left" w:leader="none"/>
              <w:tab w:pos="1369" w:val="left" w:leader="none"/>
              <w:tab w:pos="8809" w:val="right" w:leader="none"/>
            </w:tabs>
            <w:spacing w:line="240" w:lineRule="auto" w:before="276" w:after="0"/>
            <w:ind w:left="1368" w:right="0" w:hanging="721"/>
            <w:jc w:val="left"/>
          </w:pPr>
          <w:hyperlink w:history="true" w:anchor="_TOC_250030">
            <w:r>
              <w:rPr/>
              <w:t>Experimental</w:t>
            </w:r>
            <w:r>
              <w:rPr>
                <w:spacing w:val="-1"/>
              </w:rPr>
              <w:t> </w:t>
            </w:r>
            <w:r>
              <w:rPr/>
              <w:t>groupings</w:t>
              <w:tab/>
              <w:t>60</w:t>
            </w:r>
          </w:hyperlink>
        </w:p>
        <w:p>
          <w:pPr>
            <w:pStyle w:val="TOC2"/>
            <w:numPr>
              <w:ilvl w:val="1"/>
              <w:numId w:val="3"/>
            </w:numPr>
            <w:tabs>
              <w:tab w:pos="1368" w:val="left" w:leader="none"/>
              <w:tab w:pos="1369" w:val="left" w:leader="none"/>
              <w:tab w:pos="8809" w:val="right" w:leader="none"/>
            </w:tabs>
            <w:spacing w:line="240" w:lineRule="auto" w:before="276" w:after="0"/>
            <w:ind w:left="1368" w:right="0" w:hanging="721"/>
            <w:jc w:val="left"/>
          </w:pPr>
          <w:hyperlink w:history="true" w:anchor="_TOC_250029">
            <w:r>
              <w:rPr/>
              <w:t>Preliminary</w:t>
            </w:r>
            <w:r>
              <w:rPr>
                <w:spacing w:val="-6"/>
              </w:rPr>
              <w:t> </w:t>
            </w:r>
            <w:r>
              <w:rPr/>
              <w:t>studies</w:t>
              <w:tab/>
              <w:t>61</w:t>
            </w:r>
          </w:hyperlink>
        </w:p>
        <w:p>
          <w:pPr>
            <w:pStyle w:val="TOC2"/>
            <w:numPr>
              <w:ilvl w:val="2"/>
              <w:numId w:val="3"/>
            </w:numPr>
            <w:tabs>
              <w:tab w:pos="1368" w:val="left" w:leader="none"/>
              <w:tab w:pos="1369" w:val="left" w:leader="none"/>
              <w:tab w:pos="8809" w:val="right" w:leader="none"/>
            </w:tabs>
            <w:spacing w:line="240" w:lineRule="auto" w:before="277" w:after="0"/>
            <w:ind w:left="1368" w:right="0" w:hanging="721"/>
            <w:jc w:val="left"/>
          </w:pPr>
          <w:hyperlink w:history="true" w:anchor="_TOC_250028">
            <w:r>
              <w:rPr/>
              <w:t>Phytochemical</w:t>
            </w:r>
            <w:r>
              <w:rPr>
                <w:spacing w:val="-1"/>
              </w:rPr>
              <w:t> </w:t>
            </w:r>
            <w:r>
              <w:rPr/>
              <w:t>screening</w:t>
              <w:tab/>
              <w:t>61</w:t>
            </w:r>
          </w:hyperlink>
        </w:p>
        <w:p>
          <w:pPr>
            <w:pStyle w:val="TOC2"/>
            <w:numPr>
              <w:ilvl w:val="2"/>
              <w:numId w:val="3"/>
            </w:numPr>
            <w:tabs>
              <w:tab w:pos="1368" w:val="left" w:leader="none"/>
              <w:tab w:pos="1369" w:val="left" w:leader="none"/>
              <w:tab w:pos="8809" w:val="right" w:leader="none"/>
            </w:tabs>
            <w:spacing w:line="240" w:lineRule="auto" w:before="276" w:after="0"/>
            <w:ind w:left="1368" w:right="0" w:hanging="721"/>
            <w:jc w:val="left"/>
          </w:pPr>
          <w:hyperlink w:history="true" w:anchor="_TOC_250027">
            <w:r>
              <w:rPr/>
              <w:t>Preparation</w:t>
            </w:r>
            <w:r>
              <w:rPr>
                <w:spacing w:val="-1"/>
              </w:rPr>
              <w:t> </w:t>
            </w:r>
            <w:r>
              <w:rPr/>
              <w:t>and</w:t>
            </w:r>
            <w:r>
              <w:rPr>
                <w:spacing w:val="2"/>
              </w:rPr>
              <w:t> </w:t>
            </w:r>
            <w:r>
              <w:rPr/>
              <w:t>administration of</w:t>
            </w:r>
            <w:r>
              <w:rPr>
                <w:spacing w:val="-1"/>
              </w:rPr>
              <w:t> </w:t>
            </w:r>
            <w:r>
              <w:rPr/>
              <w:t>drugs</w:t>
              <w:tab/>
              <w:t>63</w:t>
            </w:r>
          </w:hyperlink>
        </w:p>
        <w:p>
          <w:pPr>
            <w:pStyle w:val="TOC2"/>
            <w:numPr>
              <w:ilvl w:val="2"/>
              <w:numId w:val="3"/>
            </w:numPr>
            <w:tabs>
              <w:tab w:pos="1368" w:val="left" w:leader="none"/>
              <w:tab w:pos="1369" w:val="left" w:leader="none"/>
              <w:tab w:pos="8809" w:val="right" w:leader="none"/>
            </w:tabs>
            <w:spacing w:line="240" w:lineRule="auto" w:before="276" w:after="0"/>
            <w:ind w:left="1368" w:right="0" w:hanging="721"/>
            <w:jc w:val="left"/>
          </w:pPr>
          <w:hyperlink w:history="true" w:anchor="_TOC_250026">
            <w:r>
              <w:rPr/>
              <w:t>Acute toxicity</w:t>
            </w:r>
            <w:r>
              <w:rPr>
                <w:spacing w:val="-8"/>
              </w:rPr>
              <w:t> </w:t>
            </w:r>
            <w:r>
              <w:rPr/>
              <w:t>studies</w:t>
              <w:tab/>
              <w:t>64</w:t>
            </w:r>
          </w:hyperlink>
        </w:p>
        <w:p>
          <w:pPr>
            <w:pStyle w:val="TOC2"/>
            <w:numPr>
              <w:ilvl w:val="1"/>
              <w:numId w:val="3"/>
            </w:numPr>
            <w:tabs>
              <w:tab w:pos="1368" w:val="left" w:leader="none"/>
              <w:tab w:pos="1369" w:val="left" w:leader="none"/>
              <w:tab w:pos="8809" w:val="right" w:leader="none"/>
            </w:tabs>
            <w:spacing w:line="240" w:lineRule="auto" w:before="276" w:after="0"/>
            <w:ind w:left="1368" w:right="0" w:hanging="721"/>
            <w:jc w:val="left"/>
          </w:pPr>
          <w:hyperlink w:history="true" w:anchor="_TOC_250025">
            <w:r>
              <w:rPr/>
              <w:t>Anticonvulsant</w:t>
            </w:r>
            <w:r>
              <w:rPr>
                <w:spacing w:val="-1"/>
              </w:rPr>
              <w:t> </w:t>
            </w:r>
            <w:r>
              <w:rPr/>
              <w:t>studies</w:t>
              <w:tab/>
              <w:t>65</w:t>
            </w:r>
          </w:hyperlink>
        </w:p>
        <w:p>
          <w:pPr>
            <w:pStyle w:val="TOC2"/>
            <w:numPr>
              <w:ilvl w:val="2"/>
              <w:numId w:val="3"/>
            </w:numPr>
            <w:tabs>
              <w:tab w:pos="1368" w:val="left" w:leader="none"/>
              <w:tab w:pos="1369" w:val="left" w:leader="none"/>
              <w:tab w:pos="8809" w:val="right" w:leader="none"/>
            </w:tabs>
            <w:spacing w:line="240" w:lineRule="auto" w:before="276" w:after="0"/>
            <w:ind w:left="1368" w:right="0" w:hanging="721"/>
            <w:jc w:val="left"/>
          </w:pPr>
          <w:hyperlink w:history="true" w:anchor="_TOC_250024">
            <w:r>
              <w:rPr/>
              <w:t>General</w:t>
            </w:r>
            <w:r>
              <w:rPr>
                <w:spacing w:val="-1"/>
              </w:rPr>
              <w:t> </w:t>
            </w:r>
            <w:r>
              <w:rPr/>
              <w:t>study</w:t>
            </w:r>
            <w:r>
              <w:rPr>
                <w:spacing w:val="-5"/>
              </w:rPr>
              <w:t> </w:t>
            </w:r>
            <w:r>
              <w:rPr/>
              <w:t>design</w:t>
              <w:tab/>
              <w:t>65</w:t>
            </w:r>
          </w:hyperlink>
        </w:p>
        <w:p>
          <w:pPr>
            <w:pStyle w:val="TOC2"/>
            <w:numPr>
              <w:ilvl w:val="2"/>
              <w:numId w:val="3"/>
            </w:numPr>
            <w:tabs>
              <w:tab w:pos="1368" w:val="left" w:leader="none"/>
              <w:tab w:pos="1369" w:val="left" w:leader="none"/>
              <w:tab w:pos="8809" w:val="right" w:leader="none"/>
            </w:tabs>
            <w:spacing w:line="240" w:lineRule="auto" w:before="276" w:after="0"/>
            <w:ind w:left="1368" w:right="0" w:hanging="721"/>
            <w:jc w:val="left"/>
          </w:pPr>
          <w:r>
            <w:rPr/>
            <w:t>Pentylenetetrazole</w:t>
          </w:r>
          <w:r>
            <w:rPr>
              <w:spacing w:val="-1"/>
            </w:rPr>
            <w:t> </w:t>
          </w:r>
          <w:r>
            <w:rPr/>
            <w:t>induce</w:t>
          </w:r>
          <w:r>
            <w:rPr>
              <w:spacing w:val="-1"/>
            </w:rPr>
            <w:t> </w:t>
          </w:r>
          <w:r>
            <w:rPr/>
            <w:t>seizure</w:t>
          </w:r>
          <w:r>
            <w:rPr>
              <w:spacing w:val="-1"/>
            </w:rPr>
            <w:t> </w:t>
          </w:r>
          <w:r>
            <w:rPr/>
            <w:t>model</w:t>
            <w:tab/>
            <w:t>65</w:t>
          </w:r>
        </w:p>
        <w:p>
          <w:pPr>
            <w:pStyle w:val="TOC2"/>
            <w:numPr>
              <w:ilvl w:val="2"/>
              <w:numId w:val="3"/>
            </w:numPr>
            <w:tabs>
              <w:tab w:pos="1368" w:val="left" w:leader="none"/>
              <w:tab w:pos="1369" w:val="left" w:leader="none"/>
              <w:tab w:pos="8809" w:val="right" w:leader="none"/>
            </w:tabs>
            <w:spacing w:line="240" w:lineRule="auto" w:before="276" w:after="0"/>
            <w:ind w:left="1368" w:right="0" w:hanging="721"/>
            <w:jc w:val="left"/>
          </w:pPr>
          <w:hyperlink w:history="true" w:anchor="_TOC_250023">
            <w:r>
              <w:rPr/>
              <w:t>Maximal</w:t>
            </w:r>
            <w:r>
              <w:rPr>
                <w:spacing w:val="-1"/>
              </w:rPr>
              <w:t> </w:t>
            </w:r>
            <w:r>
              <w:rPr/>
              <w:t>electroshock test</w:t>
              <w:tab/>
              <w:t>65</w:t>
            </w:r>
          </w:hyperlink>
        </w:p>
        <w:p>
          <w:pPr>
            <w:pStyle w:val="TOC2"/>
            <w:numPr>
              <w:ilvl w:val="2"/>
              <w:numId w:val="3"/>
            </w:numPr>
            <w:tabs>
              <w:tab w:pos="1368" w:val="left" w:leader="none"/>
              <w:tab w:pos="1369" w:val="left" w:leader="none"/>
              <w:tab w:pos="8809" w:val="right" w:leader="none"/>
            </w:tabs>
            <w:spacing w:line="240" w:lineRule="auto" w:before="276" w:after="0"/>
            <w:ind w:left="1368" w:right="0" w:hanging="721"/>
            <w:jc w:val="left"/>
          </w:pPr>
          <w:r>
            <w:rPr/>
            <w:t>Strychnine</w:t>
          </w:r>
          <w:r>
            <w:rPr>
              <w:spacing w:val="-1"/>
            </w:rPr>
            <w:t> </w:t>
          </w:r>
          <w:r>
            <w:rPr/>
            <w:t>induce seizure</w:t>
          </w:r>
          <w:r>
            <w:rPr>
              <w:spacing w:val="-1"/>
            </w:rPr>
            <w:t> </w:t>
          </w:r>
          <w:r>
            <w:rPr/>
            <w:t>model</w:t>
            <w:tab/>
            <w:t>66</w:t>
          </w:r>
        </w:p>
        <w:p>
          <w:pPr>
            <w:pStyle w:val="TOC2"/>
            <w:numPr>
              <w:ilvl w:val="2"/>
              <w:numId w:val="3"/>
            </w:numPr>
            <w:tabs>
              <w:tab w:pos="1368" w:val="left" w:leader="none"/>
              <w:tab w:pos="1369" w:val="left" w:leader="none"/>
              <w:tab w:pos="8809" w:val="right" w:leader="none"/>
            </w:tabs>
            <w:spacing w:line="240" w:lineRule="auto" w:before="276" w:after="0"/>
            <w:ind w:left="1368" w:right="0" w:hanging="721"/>
            <w:jc w:val="left"/>
          </w:pPr>
          <w:r>
            <w:rPr/>
            <w:t>4-aminopyridine</w:t>
          </w:r>
          <w:r>
            <w:rPr>
              <w:spacing w:val="-2"/>
            </w:rPr>
            <w:t> </w:t>
          </w:r>
          <w:r>
            <w:rPr/>
            <w:t>induce</w:t>
          </w:r>
          <w:r>
            <w:rPr>
              <w:spacing w:val="-2"/>
            </w:rPr>
            <w:t> </w:t>
          </w:r>
          <w:r>
            <w:rPr/>
            <w:t>seizure</w:t>
          </w:r>
          <w:r>
            <w:rPr>
              <w:spacing w:val="-1"/>
            </w:rPr>
            <w:t> </w:t>
          </w:r>
          <w:r>
            <w:rPr/>
            <w:t>model</w:t>
            <w:tab/>
            <w:t>66</w:t>
          </w:r>
        </w:p>
        <w:p>
          <w:pPr>
            <w:pStyle w:val="TOC2"/>
            <w:numPr>
              <w:ilvl w:val="1"/>
              <w:numId w:val="3"/>
            </w:numPr>
            <w:tabs>
              <w:tab w:pos="1368" w:val="left" w:leader="none"/>
              <w:tab w:pos="1369" w:val="left" w:leader="none"/>
              <w:tab w:pos="8809" w:val="right" w:leader="none"/>
            </w:tabs>
            <w:spacing w:line="240" w:lineRule="auto" w:before="276" w:after="0"/>
            <w:ind w:left="1368" w:right="0" w:hanging="721"/>
            <w:jc w:val="left"/>
          </w:pPr>
          <w:hyperlink w:history="true" w:anchor="_TOC_250022">
            <w:r>
              <w:rPr/>
              <w:t>Subchronic Toxicity</w:t>
            </w:r>
            <w:r>
              <w:rPr>
                <w:spacing w:val="-8"/>
              </w:rPr>
              <w:t> </w:t>
            </w:r>
            <w:r>
              <w:rPr/>
              <w:t>Studies</w:t>
              <w:tab/>
              <w:t>67</w:t>
            </w:r>
          </w:hyperlink>
        </w:p>
        <w:p>
          <w:pPr>
            <w:pStyle w:val="TOC2"/>
            <w:numPr>
              <w:ilvl w:val="2"/>
              <w:numId w:val="3"/>
            </w:numPr>
            <w:tabs>
              <w:tab w:pos="1368" w:val="left" w:leader="none"/>
              <w:tab w:pos="1369" w:val="left" w:leader="none"/>
              <w:tab w:pos="8809" w:val="right" w:leader="none"/>
            </w:tabs>
            <w:spacing w:line="240" w:lineRule="auto" w:before="276" w:after="0"/>
            <w:ind w:left="1368" w:right="0" w:hanging="721"/>
            <w:jc w:val="left"/>
          </w:pPr>
          <w:hyperlink w:history="true" w:anchor="_TOC_250021">
            <w:r>
              <w:rPr/>
              <w:t>Measurement</w:t>
            </w:r>
            <w:r>
              <w:rPr>
                <w:spacing w:val="-1"/>
              </w:rPr>
              <w:t> </w:t>
            </w:r>
            <w:r>
              <w:rPr/>
              <w:t>of liver function</w:t>
              <w:tab/>
              <w:t>67</w:t>
            </w:r>
          </w:hyperlink>
        </w:p>
        <w:p>
          <w:pPr>
            <w:pStyle w:val="TOC2"/>
            <w:numPr>
              <w:ilvl w:val="2"/>
              <w:numId w:val="3"/>
            </w:numPr>
            <w:tabs>
              <w:tab w:pos="1368" w:val="left" w:leader="none"/>
              <w:tab w:pos="1369" w:val="left" w:leader="none"/>
              <w:tab w:pos="8809" w:val="right" w:leader="none"/>
            </w:tabs>
            <w:spacing w:line="240" w:lineRule="auto" w:before="276" w:after="0"/>
            <w:ind w:left="1368" w:right="0" w:hanging="721"/>
            <w:jc w:val="left"/>
          </w:pPr>
          <w:hyperlink w:history="true" w:anchor="_TOC_250020">
            <w:r>
              <w:rPr/>
              <w:t>Measurement</w:t>
            </w:r>
            <w:r>
              <w:rPr>
                <w:spacing w:val="-1"/>
              </w:rPr>
              <w:t> </w:t>
            </w:r>
            <w:r>
              <w:rPr/>
              <w:t>of Kidney</w:t>
            </w:r>
            <w:r>
              <w:rPr>
                <w:spacing w:val="-3"/>
              </w:rPr>
              <w:t> </w:t>
            </w:r>
            <w:r>
              <w:rPr/>
              <w:t>function</w:t>
              <w:tab/>
              <w:t>68</w:t>
            </w:r>
          </w:hyperlink>
        </w:p>
        <w:p>
          <w:pPr>
            <w:pStyle w:val="TOC2"/>
            <w:numPr>
              <w:ilvl w:val="2"/>
              <w:numId w:val="3"/>
            </w:numPr>
            <w:tabs>
              <w:tab w:pos="1368" w:val="left" w:leader="none"/>
              <w:tab w:pos="1369" w:val="left" w:leader="none"/>
              <w:tab w:pos="8809" w:val="right" w:leader="none"/>
            </w:tabs>
            <w:spacing w:line="240" w:lineRule="auto" w:before="277" w:after="0"/>
            <w:ind w:left="1368" w:right="0" w:hanging="721"/>
            <w:jc w:val="left"/>
          </w:pPr>
          <w:hyperlink w:history="true" w:anchor="_TOC_250019">
            <w:r>
              <w:rPr/>
              <w:t>Clinical chemistry</w:t>
            </w:r>
            <w:r>
              <w:rPr>
                <w:spacing w:val="-5"/>
              </w:rPr>
              <w:t> </w:t>
            </w:r>
            <w:r>
              <w:rPr/>
              <w:t>methods</w:t>
              <w:tab/>
              <w:t>68</w:t>
            </w:r>
          </w:hyperlink>
        </w:p>
        <w:p>
          <w:pPr>
            <w:pStyle w:val="TOC2"/>
            <w:numPr>
              <w:ilvl w:val="2"/>
              <w:numId w:val="3"/>
            </w:numPr>
            <w:tabs>
              <w:tab w:pos="1368" w:val="left" w:leader="none"/>
              <w:tab w:pos="1369" w:val="left" w:leader="none"/>
              <w:tab w:pos="8809" w:val="right" w:leader="none"/>
            </w:tabs>
            <w:spacing w:line="240" w:lineRule="auto" w:before="276" w:after="0"/>
            <w:ind w:left="1368" w:right="0" w:hanging="721"/>
            <w:jc w:val="left"/>
          </w:pPr>
          <w:r>
            <w:rPr/>
            <w:t>Histopathological</w:t>
          </w:r>
          <w:r>
            <w:rPr>
              <w:spacing w:val="-1"/>
            </w:rPr>
            <w:t> </w:t>
          </w:r>
          <w:r>
            <w:rPr/>
            <w:t>study</w:t>
            <w:tab/>
            <w:t>69</w:t>
          </w:r>
        </w:p>
        <w:p>
          <w:pPr>
            <w:pStyle w:val="TOC2"/>
            <w:numPr>
              <w:ilvl w:val="1"/>
              <w:numId w:val="3"/>
            </w:numPr>
            <w:tabs>
              <w:tab w:pos="1368" w:val="left" w:leader="none"/>
              <w:tab w:pos="1369" w:val="left" w:leader="none"/>
              <w:tab w:pos="8809" w:val="right" w:leader="none"/>
            </w:tabs>
            <w:spacing w:line="240" w:lineRule="auto" w:before="276" w:after="240"/>
            <w:ind w:left="1368" w:right="0" w:hanging="721"/>
            <w:jc w:val="left"/>
          </w:pPr>
          <w:hyperlink w:history="true" w:anchor="_TOC_250018">
            <w:r>
              <w:rPr/>
              <w:t>Statistical</w:t>
            </w:r>
            <w:r>
              <w:rPr>
                <w:spacing w:val="-1"/>
              </w:rPr>
              <w:t> </w:t>
            </w:r>
            <w:r>
              <w:rPr/>
              <w:t>analysis</w:t>
              <w:tab/>
              <w:t>69</w:t>
            </w:r>
          </w:hyperlink>
        </w:p>
        <w:p>
          <w:pPr>
            <w:pStyle w:val="TOC1"/>
            <w:numPr>
              <w:ilvl w:val="1"/>
              <w:numId w:val="4"/>
            </w:numPr>
            <w:tabs>
              <w:tab w:pos="1368" w:val="left" w:leader="none"/>
              <w:tab w:pos="1369" w:val="left" w:leader="none"/>
            </w:tabs>
            <w:spacing w:line="240" w:lineRule="auto" w:before="76" w:after="0"/>
            <w:ind w:left="1368" w:right="0" w:hanging="721"/>
            <w:jc w:val="left"/>
          </w:pPr>
          <w:hyperlink w:history="true" w:anchor="_TOC_250017">
            <w:r>
              <w:rPr/>
              <w:t>RESULTS</w:t>
            </w:r>
          </w:hyperlink>
        </w:p>
        <w:p>
          <w:pPr>
            <w:pStyle w:val="TOC4"/>
            <w:numPr>
              <w:ilvl w:val="1"/>
              <w:numId w:val="4"/>
            </w:numPr>
            <w:tabs>
              <w:tab w:pos="1368" w:val="left" w:leader="none"/>
              <w:tab w:pos="1369" w:val="left" w:leader="none"/>
              <w:tab w:pos="8569" w:val="left" w:leader="none"/>
            </w:tabs>
            <w:spacing w:line="240" w:lineRule="auto" w:before="272" w:after="0"/>
            <w:ind w:left="1368" w:right="0" w:hanging="721"/>
            <w:jc w:val="left"/>
            <w:rPr>
              <w:b w:val="0"/>
              <w:i w:val="0"/>
              <w:sz w:val="24"/>
            </w:rPr>
          </w:pPr>
          <w:hyperlink w:history="true" w:anchor="_TOC_250016">
            <w:r>
              <w:rPr>
                <w:b w:val="0"/>
                <w:i w:val="0"/>
                <w:sz w:val="24"/>
              </w:rPr>
              <w:t>Phytochemical</w:t>
            </w:r>
            <w:r>
              <w:rPr>
                <w:b w:val="0"/>
                <w:i w:val="0"/>
                <w:spacing w:val="-2"/>
                <w:sz w:val="24"/>
              </w:rPr>
              <w:t> </w:t>
            </w:r>
            <w:r>
              <w:rPr>
                <w:b w:val="0"/>
                <w:i w:val="0"/>
                <w:sz w:val="24"/>
              </w:rPr>
              <w:t>constituents</w:t>
            </w:r>
            <w:r>
              <w:rPr>
                <w:b w:val="0"/>
                <w:i w:val="0"/>
                <w:spacing w:val="-1"/>
                <w:sz w:val="24"/>
              </w:rPr>
              <w:t> </w:t>
            </w:r>
            <w:r>
              <w:rPr>
                <w:b w:val="0"/>
                <w:i w:val="0"/>
                <w:sz w:val="24"/>
              </w:rPr>
              <w:t>of </w:t>
            </w:r>
            <w:r>
              <w:rPr>
                <w:b w:val="0"/>
                <w:sz w:val="24"/>
              </w:rPr>
              <w:t>Diospyros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mespiliformis</w:t>
              <w:tab/>
            </w:r>
            <w:r>
              <w:rPr>
                <w:b w:val="0"/>
                <w:i w:val="0"/>
                <w:sz w:val="24"/>
              </w:rPr>
              <w:t>70</w:t>
            </w:r>
          </w:hyperlink>
        </w:p>
        <w:p>
          <w:pPr>
            <w:pStyle w:val="TOC2"/>
            <w:numPr>
              <w:ilvl w:val="1"/>
              <w:numId w:val="4"/>
            </w:numPr>
            <w:tabs>
              <w:tab w:pos="1368" w:val="left" w:leader="none"/>
              <w:tab w:pos="1369" w:val="left" w:leader="none"/>
              <w:tab w:pos="8569" w:val="left" w:leader="none"/>
            </w:tabs>
            <w:spacing w:line="240" w:lineRule="auto" w:before="276" w:after="0"/>
            <w:ind w:left="1368" w:right="0" w:hanging="721"/>
            <w:jc w:val="left"/>
          </w:pPr>
          <w:hyperlink w:history="true" w:anchor="_TOC_250015">
            <w:r>
              <w:rPr/>
              <w:t>Acute</w:t>
            </w:r>
            <w:r>
              <w:rPr>
                <w:spacing w:val="-1"/>
              </w:rPr>
              <w:t> </w:t>
            </w:r>
            <w:r>
              <w:rPr/>
              <w:t>Toxicity</w:t>
            </w:r>
            <w:r>
              <w:rPr>
                <w:spacing w:val="-5"/>
              </w:rPr>
              <w:t> </w:t>
            </w:r>
            <w:r>
              <w:rPr/>
              <w:t>Studies</w:t>
              <w:tab/>
              <w:t>72</w:t>
            </w:r>
          </w:hyperlink>
        </w:p>
        <w:p>
          <w:pPr>
            <w:pStyle w:val="TOC2"/>
            <w:numPr>
              <w:ilvl w:val="1"/>
              <w:numId w:val="4"/>
            </w:numPr>
            <w:tabs>
              <w:tab w:pos="1368" w:val="left" w:leader="none"/>
              <w:tab w:pos="1369" w:val="left" w:leader="none"/>
              <w:tab w:pos="8569" w:val="left" w:leader="none"/>
            </w:tabs>
            <w:spacing w:line="240" w:lineRule="auto" w:before="276" w:after="0"/>
            <w:ind w:left="1368" w:right="0" w:hanging="721"/>
            <w:jc w:val="left"/>
          </w:pPr>
          <w:hyperlink w:history="true" w:anchor="_TOC_250014">
            <w:r>
              <w:rPr/>
              <w:t>Anticonvulsant</w:t>
            </w:r>
            <w:r>
              <w:rPr>
                <w:spacing w:val="-1"/>
              </w:rPr>
              <w:t> </w:t>
            </w:r>
            <w:r>
              <w:rPr/>
              <w:t>Studies</w:t>
              <w:tab/>
              <w:t>74</w:t>
            </w:r>
          </w:hyperlink>
        </w:p>
        <w:p>
          <w:pPr>
            <w:pStyle w:val="TOC2"/>
            <w:numPr>
              <w:ilvl w:val="2"/>
              <w:numId w:val="4"/>
            </w:numPr>
            <w:tabs>
              <w:tab w:pos="1368" w:val="left" w:leader="none"/>
              <w:tab w:pos="1369" w:val="left" w:leader="none"/>
              <w:tab w:pos="8569" w:val="left" w:leader="none"/>
            </w:tabs>
            <w:spacing w:line="240" w:lineRule="auto" w:before="276" w:after="0"/>
            <w:ind w:left="1368" w:right="0" w:hanging="721"/>
            <w:jc w:val="left"/>
          </w:pPr>
          <w:hyperlink w:history="true" w:anchor="_TOC_250013">
            <w:r>
              <w:rPr/>
              <w:t>Pentylenetetrazole</w:t>
            </w:r>
            <w:r>
              <w:rPr>
                <w:spacing w:val="-2"/>
              </w:rPr>
              <w:t> </w:t>
            </w:r>
            <w:r>
              <w:rPr/>
              <w:t>(PTZ)-induced</w:t>
            </w:r>
            <w:r>
              <w:rPr>
                <w:spacing w:val="-2"/>
              </w:rPr>
              <w:t> </w:t>
            </w:r>
            <w:r>
              <w:rPr/>
              <w:t>seizure</w:t>
            </w:r>
            <w:r>
              <w:rPr>
                <w:spacing w:val="-2"/>
              </w:rPr>
              <w:t> </w:t>
            </w:r>
            <w:r>
              <w:rPr/>
              <w:t>in</w:t>
            </w:r>
            <w:r>
              <w:rPr>
                <w:spacing w:val="-2"/>
              </w:rPr>
              <w:t> </w:t>
            </w:r>
            <w:r>
              <w:rPr/>
              <w:t>mice</w:t>
              <w:tab/>
              <w:t>74</w:t>
            </w:r>
          </w:hyperlink>
        </w:p>
        <w:p>
          <w:pPr>
            <w:pStyle w:val="TOC2"/>
            <w:numPr>
              <w:ilvl w:val="2"/>
              <w:numId w:val="4"/>
            </w:numPr>
            <w:tabs>
              <w:tab w:pos="1368" w:val="left" w:leader="none"/>
              <w:tab w:pos="1369" w:val="left" w:leader="none"/>
              <w:tab w:pos="8569" w:val="left" w:leader="none"/>
            </w:tabs>
            <w:spacing w:line="240" w:lineRule="auto" w:before="276" w:after="0"/>
            <w:ind w:left="1368" w:right="0" w:hanging="721"/>
            <w:jc w:val="left"/>
          </w:pPr>
          <w:r>
            <w:rPr/>
            <w:t>Maximal</w:t>
          </w:r>
          <w:r>
            <w:rPr>
              <w:spacing w:val="-1"/>
            </w:rPr>
            <w:t> </w:t>
          </w:r>
          <w:r>
            <w:rPr/>
            <w:t>electroshocl</w:t>
          </w:r>
          <w:r>
            <w:rPr>
              <w:spacing w:val="-1"/>
            </w:rPr>
            <w:t> </w:t>
          </w:r>
          <w:r>
            <w:rPr/>
            <w:t>(MES)-induced</w:t>
          </w:r>
          <w:r>
            <w:rPr>
              <w:spacing w:val="-1"/>
            </w:rPr>
            <w:t> </w:t>
          </w:r>
          <w:r>
            <w:rPr/>
            <w:t>seizure</w:t>
          </w:r>
          <w:r>
            <w:rPr>
              <w:spacing w:val="-2"/>
            </w:rPr>
            <w:t> </w:t>
          </w:r>
          <w:r>
            <w:rPr/>
            <w:t>in</w:t>
          </w:r>
          <w:r>
            <w:rPr>
              <w:spacing w:val="-1"/>
            </w:rPr>
            <w:t> </w:t>
          </w:r>
          <w:r>
            <w:rPr/>
            <w:t>chicks</w:t>
            <w:tab/>
            <w:t>76</w:t>
          </w:r>
        </w:p>
        <w:p>
          <w:pPr>
            <w:pStyle w:val="TOC2"/>
            <w:numPr>
              <w:ilvl w:val="2"/>
              <w:numId w:val="4"/>
            </w:numPr>
            <w:tabs>
              <w:tab w:pos="1368" w:val="left" w:leader="none"/>
              <w:tab w:pos="1369" w:val="left" w:leader="none"/>
              <w:tab w:pos="8569" w:val="left" w:leader="none"/>
            </w:tabs>
            <w:spacing w:line="240" w:lineRule="auto" w:before="276" w:after="0"/>
            <w:ind w:left="1368" w:right="0" w:hanging="721"/>
            <w:jc w:val="left"/>
          </w:pPr>
          <w:hyperlink w:history="true" w:anchor="_TOC_250012">
            <w:r>
              <w:rPr/>
              <w:t>Strychnine</w:t>
            </w:r>
            <w:r>
              <w:rPr>
                <w:spacing w:val="-1"/>
              </w:rPr>
              <w:t> </w:t>
            </w:r>
            <w:r>
              <w:rPr/>
              <w:t>induced</w:t>
            </w:r>
            <w:r>
              <w:rPr>
                <w:spacing w:val="-1"/>
              </w:rPr>
              <w:t> </w:t>
            </w:r>
            <w:r>
              <w:rPr/>
              <w:t>seizure</w:t>
            </w:r>
            <w:r>
              <w:rPr>
                <w:spacing w:val="-2"/>
              </w:rPr>
              <w:t> </w:t>
            </w:r>
            <w:r>
              <w:rPr/>
              <w:t>in</w:t>
            </w:r>
            <w:r>
              <w:rPr>
                <w:spacing w:val="-1"/>
              </w:rPr>
              <w:t> </w:t>
            </w:r>
            <w:r>
              <w:rPr/>
              <w:t>mice</w:t>
              <w:tab/>
              <w:t>78</w:t>
            </w:r>
          </w:hyperlink>
        </w:p>
        <w:p>
          <w:pPr>
            <w:pStyle w:val="TOC2"/>
            <w:numPr>
              <w:ilvl w:val="2"/>
              <w:numId w:val="4"/>
            </w:numPr>
            <w:tabs>
              <w:tab w:pos="1368" w:val="left" w:leader="none"/>
              <w:tab w:pos="1369" w:val="left" w:leader="none"/>
              <w:tab w:pos="8569" w:val="left" w:leader="none"/>
            </w:tabs>
            <w:spacing w:line="240" w:lineRule="auto" w:before="277" w:after="0"/>
            <w:ind w:left="1368" w:right="0" w:hanging="721"/>
            <w:jc w:val="left"/>
          </w:pPr>
          <w:hyperlink w:history="true" w:anchor="_TOC_250011">
            <w:r>
              <w:rPr/>
              <w:t>4-aminopyridine</w:t>
            </w:r>
            <w:r>
              <w:rPr>
                <w:spacing w:val="-2"/>
              </w:rPr>
              <w:t> </w:t>
            </w:r>
            <w:r>
              <w:rPr/>
              <w:t>induced</w:t>
            </w:r>
            <w:r>
              <w:rPr>
                <w:spacing w:val="1"/>
              </w:rPr>
              <w:t> </w:t>
            </w:r>
            <w:r>
              <w:rPr/>
              <w:t>seizure</w:t>
            </w:r>
            <w:r>
              <w:rPr>
                <w:spacing w:val="-2"/>
              </w:rPr>
              <w:t> </w:t>
            </w:r>
            <w:r>
              <w:rPr/>
              <w:t>in</w:t>
            </w:r>
            <w:r>
              <w:rPr>
                <w:spacing w:val="-1"/>
              </w:rPr>
              <w:t> </w:t>
            </w:r>
            <w:r>
              <w:rPr/>
              <w:t>mice</w:t>
              <w:tab/>
              <w:t>80</w:t>
            </w:r>
          </w:hyperlink>
        </w:p>
        <w:p>
          <w:pPr>
            <w:pStyle w:val="TOC2"/>
            <w:numPr>
              <w:ilvl w:val="1"/>
              <w:numId w:val="4"/>
            </w:numPr>
            <w:tabs>
              <w:tab w:pos="1368" w:val="left" w:leader="none"/>
              <w:tab w:pos="1369" w:val="left" w:leader="none"/>
              <w:tab w:pos="8569" w:val="left" w:leader="none"/>
            </w:tabs>
            <w:spacing w:line="240" w:lineRule="auto" w:before="276" w:after="0"/>
            <w:ind w:left="1368" w:right="0" w:hanging="721"/>
            <w:jc w:val="left"/>
          </w:pPr>
          <w:hyperlink w:history="true" w:anchor="_TOC_250010">
            <w:r>
              <w:rPr/>
              <w:t>Results of sub-chronic toxicity</w:t>
            </w:r>
            <w:r>
              <w:rPr>
                <w:spacing w:val="-8"/>
              </w:rPr>
              <w:t> </w:t>
            </w:r>
            <w:r>
              <w:rPr/>
              <w:t>studies</w:t>
              <w:tab/>
              <w:t>82</w:t>
            </w:r>
          </w:hyperlink>
        </w:p>
        <w:p>
          <w:pPr>
            <w:pStyle w:val="TOC2"/>
            <w:numPr>
              <w:ilvl w:val="2"/>
              <w:numId w:val="4"/>
            </w:numPr>
            <w:tabs>
              <w:tab w:pos="1368" w:val="left" w:leader="none"/>
              <w:tab w:pos="1369" w:val="left" w:leader="none"/>
              <w:tab w:pos="8569" w:val="left" w:leader="none"/>
            </w:tabs>
            <w:spacing w:line="240" w:lineRule="auto" w:before="276" w:after="0"/>
            <w:ind w:left="1368" w:right="0" w:hanging="721"/>
            <w:jc w:val="left"/>
          </w:pPr>
          <w:hyperlink w:history="true" w:anchor="_TOC_250009">
            <w:r>
              <w:rPr/>
              <w:t>Liver</w:t>
            </w:r>
            <w:r>
              <w:rPr>
                <w:spacing w:val="-2"/>
              </w:rPr>
              <w:t> </w:t>
            </w:r>
            <w:r>
              <w:rPr/>
              <w:t>function</w:t>
            </w:r>
            <w:r>
              <w:rPr>
                <w:spacing w:val="-1"/>
              </w:rPr>
              <w:t> </w:t>
            </w:r>
            <w:r>
              <w:rPr/>
              <w:t>tests</w:t>
              <w:tab/>
              <w:t>82</w:t>
            </w:r>
          </w:hyperlink>
        </w:p>
        <w:p>
          <w:pPr>
            <w:pStyle w:val="TOC2"/>
            <w:numPr>
              <w:ilvl w:val="2"/>
              <w:numId w:val="4"/>
            </w:numPr>
            <w:tabs>
              <w:tab w:pos="1368" w:val="left" w:leader="none"/>
              <w:tab w:pos="1369" w:val="left" w:leader="none"/>
              <w:tab w:pos="8569" w:val="left" w:leader="none"/>
            </w:tabs>
            <w:spacing w:line="240" w:lineRule="auto" w:before="276" w:after="0"/>
            <w:ind w:left="1368" w:right="0" w:hanging="721"/>
            <w:jc w:val="left"/>
          </w:pPr>
          <w:r>
            <w:rPr/>
            <w:t>Kidney</w:t>
          </w:r>
          <w:r>
            <w:rPr>
              <w:spacing w:val="-4"/>
            </w:rPr>
            <w:t> </w:t>
          </w:r>
          <w:r>
            <w:rPr/>
            <w:t>Function</w:t>
          </w:r>
          <w:r>
            <w:rPr>
              <w:spacing w:val="-1"/>
            </w:rPr>
            <w:t> </w:t>
          </w:r>
          <w:r>
            <w:rPr/>
            <w:t>Tests</w:t>
            <w:tab/>
            <w:t>87</w:t>
          </w:r>
        </w:p>
        <w:p>
          <w:pPr>
            <w:pStyle w:val="TOC2"/>
            <w:numPr>
              <w:ilvl w:val="1"/>
              <w:numId w:val="4"/>
            </w:numPr>
            <w:tabs>
              <w:tab w:pos="1368" w:val="left" w:leader="none"/>
              <w:tab w:pos="1369" w:val="left" w:leader="none"/>
              <w:tab w:pos="8569" w:val="left" w:leader="none"/>
            </w:tabs>
            <w:spacing w:line="240" w:lineRule="auto" w:before="276" w:after="0"/>
            <w:ind w:left="1368" w:right="0" w:hanging="721"/>
            <w:jc w:val="left"/>
          </w:pPr>
          <w:hyperlink w:history="true" w:anchor="_TOC_250008">
            <w:r>
              <w:rPr/>
              <w:t>Histopathological</w:t>
            </w:r>
            <w:r>
              <w:rPr>
                <w:spacing w:val="-2"/>
              </w:rPr>
              <w:t> </w:t>
            </w:r>
            <w:r>
              <w:rPr/>
              <w:t>Studies</w:t>
              <w:tab/>
              <w:t>93</w:t>
            </w:r>
          </w:hyperlink>
        </w:p>
        <w:p>
          <w:pPr>
            <w:pStyle w:val="TOC2"/>
            <w:numPr>
              <w:ilvl w:val="2"/>
              <w:numId w:val="4"/>
            </w:numPr>
            <w:tabs>
              <w:tab w:pos="1368" w:val="left" w:leader="none"/>
              <w:tab w:pos="1369" w:val="left" w:leader="none"/>
              <w:tab w:pos="8569" w:val="left" w:leader="none"/>
            </w:tabs>
            <w:spacing w:line="240" w:lineRule="auto" w:before="276" w:after="0"/>
            <w:ind w:left="1368" w:right="0" w:hanging="721"/>
            <w:jc w:val="left"/>
          </w:pPr>
          <w:hyperlink w:history="true" w:anchor="_TOC_250007">
            <w:r>
              <w:rPr/>
              <w:t>Liver</w:t>
              <w:tab/>
              <w:t>93</w:t>
            </w:r>
          </w:hyperlink>
        </w:p>
        <w:p>
          <w:pPr>
            <w:pStyle w:val="TOC2"/>
            <w:numPr>
              <w:ilvl w:val="2"/>
              <w:numId w:val="4"/>
            </w:numPr>
            <w:tabs>
              <w:tab w:pos="1368" w:val="left" w:leader="none"/>
              <w:tab w:pos="1369" w:val="left" w:leader="none"/>
              <w:tab w:pos="8569" w:val="left" w:leader="none"/>
            </w:tabs>
            <w:spacing w:line="240" w:lineRule="auto" w:before="276" w:after="0"/>
            <w:ind w:left="1368" w:right="0" w:hanging="721"/>
            <w:jc w:val="left"/>
          </w:pPr>
          <w:hyperlink w:history="true" w:anchor="_TOC_250006">
            <w:r>
              <w:rPr/>
              <w:t>Kidney</w:t>
              <w:tab/>
              <w:t>98</w:t>
            </w:r>
          </w:hyperlink>
        </w:p>
        <w:p>
          <w:pPr>
            <w:pStyle w:val="TOC2"/>
            <w:tabs>
              <w:tab w:pos="1368" w:val="left" w:leader="none"/>
              <w:tab w:pos="8569" w:val="left" w:leader="none"/>
            </w:tabs>
            <w:ind w:left="648" w:firstLine="0"/>
          </w:pPr>
          <w:hyperlink w:history="true" w:anchor="_TOC_250005">
            <w:r>
              <w:rPr/>
              <w:t>5.0</w:t>
              <w:tab/>
              <w:t>DISCUSSION</w:t>
              <w:tab/>
              <w:t>103</w:t>
            </w:r>
          </w:hyperlink>
        </w:p>
        <w:p>
          <w:pPr>
            <w:pStyle w:val="TOC2"/>
            <w:numPr>
              <w:ilvl w:val="1"/>
              <w:numId w:val="5"/>
            </w:numPr>
            <w:tabs>
              <w:tab w:pos="1368" w:val="left" w:leader="none"/>
              <w:tab w:pos="1369" w:val="left" w:leader="none"/>
            </w:tabs>
            <w:spacing w:line="240" w:lineRule="auto" w:before="276" w:after="0"/>
            <w:ind w:left="1368" w:right="0" w:hanging="721"/>
            <w:jc w:val="left"/>
          </w:pPr>
          <w:hyperlink w:history="true" w:anchor="_TOC_250004">
            <w:r>
              <w:rPr/>
              <w:t>SUMMARY,</w:t>
            </w:r>
            <w:r>
              <w:rPr>
                <w:spacing w:val="-3"/>
              </w:rPr>
              <w:t> </w:t>
            </w:r>
            <w:r>
              <w:rPr/>
              <w:t>CONCLUSION</w:t>
            </w:r>
            <w:r>
              <w:rPr>
                <w:spacing w:val="-1"/>
              </w:rPr>
              <w:t> </w:t>
            </w:r>
            <w:r>
              <w:rPr/>
              <w:t>AND</w:t>
            </w:r>
            <w:r>
              <w:rPr>
                <w:spacing w:val="-2"/>
              </w:rPr>
              <w:t> </w:t>
            </w:r>
            <w:r>
              <w:rPr/>
              <w:t>RECOMMENDATIONS</w:t>
            </w:r>
          </w:hyperlink>
        </w:p>
        <w:p>
          <w:pPr>
            <w:pStyle w:val="TOC2"/>
            <w:numPr>
              <w:ilvl w:val="1"/>
              <w:numId w:val="5"/>
            </w:numPr>
            <w:tabs>
              <w:tab w:pos="1368" w:val="left" w:leader="none"/>
              <w:tab w:pos="1369" w:val="left" w:leader="none"/>
              <w:tab w:pos="8569" w:val="left" w:leader="none"/>
            </w:tabs>
            <w:spacing w:line="240" w:lineRule="auto" w:before="276" w:after="0"/>
            <w:ind w:left="1368" w:right="0" w:hanging="721"/>
            <w:jc w:val="left"/>
          </w:pPr>
          <w:hyperlink w:history="true" w:anchor="_TOC_250003">
            <w:r>
              <w:rPr/>
              <w:t>Summary</w:t>
              <w:tab/>
              <w:t>116</w:t>
            </w:r>
          </w:hyperlink>
        </w:p>
        <w:p>
          <w:pPr>
            <w:pStyle w:val="TOC2"/>
            <w:numPr>
              <w:ilvl w:val="1"/>
              <w:numId w:val="5"/>
            </w:numPr>
            <w:tabs>
              <w:tab w:pos="1368" w:val="left" w:leader="none"/>
              <w:tab w:pos="1369" w:val="left" w:leader="none"/>
              <w:tab w:pos="8569" w:val="left" w:leader="none"/>
            </w:tabs>
            <w:spacing w:line="240" w:lineRule="auto" w:before="276" w:after="0"/>
            <w:ind w:left="1368" w:right="0" w:hanging="721"/>
            <w:jc w:val="left"/>
          </w:pPr>
          <w:hyperlink w:history="true" w:anchor="_TOC_250002">
            <w:r>
              <w:rPr/>
              <w:t>Conclusion</w:t>
              <w:tab/>
              <w:t>118</w:t>
            </w:r>
          </w:hyperlink>
        </w:p>
        <w:p>
          <w:pPr>
            <w:pStyle w:val="TOC2"/>
            <w:numPr>
              <w:ilvl w:val="1"/>
              <w:numId w:val="5"/>
            </w:numPr>
            <w:tabs>
              <w:tab w:pos="1368" w:val="left" w:leader="none"/>
              <w:tab w:pos="1369" w:val="left" w:leader="none"/>
              <w:tab w:pos="8569" w:val="left" w:leader="none"/>
            </w:tabs>
            <w:spacing w:line="240" w:lineRule="auto" w:before="276" w:after="0"/>
            <w:ind w:left="1368" w:right="0" w:hanging="721"/>
            <w:jc w:val="left"/>
          </w:pPr>
          <w:hyperlink w:history="true" w:anchor="_TOC_250001">
            <w:r>
              <w:rPr/>
              <w:t>Recommendations</w:t>
              <w:tab/>
              <w:t>118</w:t>
            </w:r>
          </w:hyperlink>
        </w:p>
        <w:p>
          <w:pPr>
            <w:pStyle w:val="TOC5"/>
            <w:tabs>
              <w:tab w:pos="8569" w:val="left" w:leader="none"/>
            </w:tabs>
            <w:spacing w:before="277"/>
          </w:pPr>
          <w:hyperlink w:history="true" w:anchor="_TOC_250000">
            <w:r>
              <w:rPr/>
              <w:t>References</w:t>
              <w:tab/>
              <w:t>120</w:t>
            </w:r>
          </w:hyperlink>
        </w:p>
        <w:p>
          <w:pPr>
            <w:pStyle w:val="TOC5"/>
            <w:tabs>
              <w:tab w:pos="8569" w:val="left" w:leader="none"/>
            </w:tabs>
          </w:pPr>
          <w:r>
            <w:rPr/>
            <w:t>Appendices</w:t>
            <w:tab/>
            <w:t>141</w:t>
          </w:r>
        </w:p>
      </w:sdtContent>
    </w:sdt>
    <w:p>
      <w:pPr>
        <w:spacing w:after="0"/>
        <w:sectPr>
          <w:type w:val="continuous"/>
          <w:pgSz w:w="12240" w:h="15840"/>
          <w:pgMar w:top="1359" w:bottom="1966" w:left="1080" w:right="760"/>
        </w:sectPr>
      </w:pPr>
    </w:p>
    <w:p>
      <w:pPr>
        <w:spacing w:before="76"/>
        <w:ind w:left="1498" w:right="1528" w:firstLine="0"/>
        <w:jc w:val="center"/>
        <w:rPr>
          <w:b/>
          <w:sz w:val="24"/>
        </w:rPr>
      </w:pPr>
      <w:r>
        <w:rPr>
          <w:b/>
          <w:sz w:val="24"/>
        </w:rPr>
        <w:t>LIST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TABLES</w:t>
      </w:r>
    </w:p>
    <w:p>
      <w:pPr>
        <w:pStyle w:val="BodyText"/>
        <w:spacing w:before="6"/>
        <w:rPr>
          <w:b/>
        </w:rPr>
      </w:pPr>
    </w:p>
    <w:tbl>
      <w:tblPr>
        <w:tblW w:w="0" w:type="auto"/>
        <w:jc w:val="left"/>
        <w:tblInd w:w="60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56"/>
        <w:gridCol w:w="6852"/>
        <w:gridCol w:w="875"/>
      </w:tblGrid>
      <w:tr>
        <w:trPr>
          <w:trHeight w:val="270" w:hRule="atLeast"/>
        </w:trPr>
        <w:tc>
          <w:tcPr>
            <w:tcW w:w="1256" w:type="dxa"/>
          </w:tcPr>
          <w:p>
            <w:pPr>
              <w:pStyle w:val="TableParagraph"/>
              <w:spacing w:line="251" w:lineRule="exact"/>
              <w:ind w:left="50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4.1:</w:t>
            </w:r>
          </w:p>
        </w:tc>
        <w:tc>
          <w:tcPr>
            <w:tcW w:w="6852" w:type="dxa"/>
          </w:tcPr>
          <w:p>
            <w:pPr>
              <w:pStyle w:val="TableParagraph"/>
              <w:spacing w:line="251" w:lineRule="exact"/>
              <w:ind w:left="293"/>
              <w:rPr>
                <w:sz w:val="24"/>
              </w:rPr>
            </w:pPr>
            <w:r>
              <w:rPr>
                <w:sz w:val="24"/>
              </w:rPr>
              <w:t>Phytochemical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constituents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methanol Leaf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extract</w:t>
            </w:r>
          </w:p>
        </w:tc>
        <w:tc>
          <w:tcPr>
            <w:tcW w:w="875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414" w:hRule="atLeast"/>
        </w:trPr>
        <w:tc>
          <w:tcPr>
            <w:tcW w:w="125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852" w:type="dxa"/>
          </w:tcPr>
          <w:p>
            <w:pPr>
              <w:pStyle w:val="TableParagraph"/>
              <w:spacing w:line="271" w:lineRule="exact"/>
              <w:ind w:left="293"/>
              <w:rPr>
                <w:i/>
                <w:sz w:val="24"/>
              </w:rPr>
            </w:pP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Diospyros mespiliformis</w:t>
            </w:r>
          </w:p>
        </w:tc>
        <w:tc>
          <w:tcPr>
            <w:tcW w:w="875" w:type="dxa"/>
          </w:tcPr>
          <w:p>
            <w:pPr>
              <w:pStyle w:val="TableParagraph"/>
              <w:spacing w:line="271" w:lineRule="exact"/>
              <w:ind w:right="49"/>
              <w:jc w:val="right"/>
              <w:rPr>
                <w:sz w:val="24"/>
              </w:rPr>
            </w:pPr>
            <w:r>
              <w:rPr>
                <w:sz w:val="24"/>
              </w:rPr>
              <w:t>71</w:t>
            </w:r>
          </w:p>
        </w:tc>
      </w:tr>
      <w:tr>
        <w:trPr>
          <w:trHeight w:val="690" w:hRule="atLeast"/>
        </w:trPr>
        <w:tc>
          <w:tcPr>
            <w:tcW w:w="1256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4.2:</w:t>
            </w:r>
          </w:p>
        </w:tc>
        <w:tc>
          <w:tcPr>
            <w:tcW w:w="6852" w:type="dxa"/>
          </w:tcPr>
          <w:p>
            <w:pPr>
              <w:pStyle w:val="TableParagraph"/>
              <w:spacing w:line="270" w:lineRule="atLeast" w:before="118"/>
              <w:ind w:left="233" w:right="1673"/>
              <w:rPr>
                <w:sz w:val="24"/>
              </w:rPr>
            </w:pPr>
            <w:r>
              <w:rPr>
                <w:sz w:val="24"/>
              </w:rPr>
              <w:t>LD</w:t>
            </w:r>
            <w:r>
              <w:rPr>
                <w:sz w:val="24"/>
                <w:vertAlign w:val="subscript"/>
              </w:rPr>
              <w:t>50</w:t>
            </w:r>
            <w:r>
              <w:rPr>
                <w:sz w:val="24"/>
                <w:vertAlign w:val="baseline"/>
              </w:rPr>
              <w:t> values of methanol Leaf Extract of </w:t>
            </w:r>
            <w:r>
              <w:rPr>
                <w:i/>
                <w:sz w:val="24"/>
                <w:vertAlign w:val="baseline"/>
              </w:rPr>
              <w:t>Diospyros</w:t>
            </w:r>
            <w:r>
              <w:rPr>
                <w:i/>
                <w:spacing w:val="-58"/>
                <w:sz w:val="24"/>
                <w:vertAlign w:val="baseline"/>
              </w:rPr>
              <w:t> </w:t>
            </w:r>
            <w:r>
              <w:rPr>
                <w:i/>
                <w:sz w:val="24"/>
                <w:vertAlign w:val="baseline"/>
              </w:rPr>
              <w:t>Mespiliformis </w:t>
            </w:r>
            <w:r>
              <w:rPr>
                <w:sz w:val="24"/>
                <w:vertAlign w:val="baseline"/>
              </w:rPr>
              <w:t>via</w:t>
            </w:r>
            <w:r>
              <w:rPr>
                <w:spacing w:val="-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intraperitoneal</w:t>
            </w:r>
            <w:r>
              <w:rPr>
                <w:spacing w:val="-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and</w:t>
            </w:r>
            <w:r>
              <w:rPr>
                <w:spacing w:val="-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oral</w:t>
            </w:r>
            <w:r>
              <w:rPr>
                <w:spacing w:val="-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routes</w:t>
            </w:r>
          </w:p>
        </w:tc>
        <w:tc>
          <w:tcPr>
            <w:tcW w:w="875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14" w:hRule="atLeast"/>
        </w:trPr>
        <w:tc>
          <w:tcPr>
            <w:tcW w:w="125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852" w:type="dxa"/>
          </w:tcPr>
          <w:p>
            <w:pPr>
              <w:pStyle w:val="TableParagraph"/>
              <w:spacing w:line="271" w:lineRule="exact"/>
              <w:ind w:left="233"/>
              <w:rPr>
                <w:sz w:val="24"/>
              </w:rPr>
            </w:pP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Administration</w:t>
            </w:r>
          </w:p>
        </w:tc>
        <w:tc>
          <w:tcPr>
            <w:tcW w:w="875" w:type="dxa"/>
          </w:tcPr>
          <w:p>
            <w:pPr>
              <w:pStyle w:val="TableParagraph"/>
              <w:spacing w:line="271" w:lineRule="exact"/>
              <w:ind w:right="49"/>
              <w:jc w:val="right"/>
              <w:rPr>
                <w:sz w:val="24"/>
              </w:rPr>
            </w:pPr>
            <w:r>
              <w:rPr>
                <w:sz w:val="24"/>
              </w:rPr>
              <w:t>73</w:t>
            </w:r>
          </w:p>
        </w:tc>
      </w:tr>
      <w:tr>
        <w:trPr>
          <w:trHeight w:val="414" w:hRule="atLeast"/>
        </w:trPr>
        <w:tc>
          <w:tcPr>
            <w:tcW w:w="1256" w:type="dxa"/>
          </w:tcPr>
          <w:p>
            <w:pPr>
              <w:pStyle w:val="TableParagraph"/>
              <w:spacing w:line="261" w:lineRule="exact" w:before="133"/>
              <w:ind w:left="50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4.3:</w:t>
            </w:r>
          </w:p>
        </w:tc>
        <w:tc>
          <w:tcPr>
            <w:tcW w:w="6852" w:type="dxa"/>
          </w:tcPr>
          <w:p>
            <w:pPr>
              <w:pStyle w:val="TableParagraph"/>
              <w:spacing w:line="261" w:lineRule="exact" w:before="133"/>
              <w:ind w:left="233"/>
              <w:rPr>
                <w:i/>
                <w:sz w:val="24"/>
              </w:rPr>
            </w:pPr>
            <w:r>
              <w:rPr>
                <w:sz w:val="24"/>
              </w:rPr>
              <w:t>Effect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methanol leaf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extract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Diospyros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mespiliformis</w:t>
            </w:r>
          </w:p>
        </w:tc>
        <w:tc>
          <w:tcPr>
            <w:tcW w:w="875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75" w:hRule="atLeast"/>
        </w:trPr>
        <w:tc>
          <w:tcPr>
            <w:tcW w:w="125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852" w:type="dxa"/>
          </w:tcPr>
          <w:p>
            <w:pPr>
              <w:pStyle w:val="TableParagraph"/>
              <w:spacing w:line="256" w:lineRule="exact"/>
              <w:ind w:left="233"/>
              <w:rPr>
                <w:sz w:val="24"/>
              </w:rPr>
            </w:pPr>
            <w:r>
              <w:rPr>
                <w:sz w:val="24"/>
              </w:rPr>
              <w:t>(DM)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valproic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(VA)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pentylenetetrazole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(PTZ)</w:t>
            </w:r>
          </w:p>
        </w:tc>
        <w:tc>
          <w:tcPr>
            <w:tcW w:w="875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414" w:hRule="atLeast"/>
        </w:trPr>
        <w:tc>
          <w:tcPr>
            <w:tcW w:w="125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852" w:type="dxa"/>
          </w:tcPr>
          <w:p>
            <w:pPr>
              <w:pStyle w:val="TableParagraph"/>
              <w:spacing w:line="271" w:lineRule="exact"/>
              <w:ind w:left="233"/>
              <w:rPr>
                <w:sz w:val="24"/>
              </w:rPr>
            </w:pPr>
            <w:r>
              <w:rPr>
                <w:sz w:val="24"/>
              </w:rPr>
              <w:t>-induced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seizure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mice</w:t>
            </w:r>
          </w:p>
        </w:tc>
        <w:tc>
          <w:tcPr>
            <w:tcW w:w="875" w:type="dxa"/>
          </w:tcPr>
          <w:p>
            <w:pPr>
              <w:pStyle w:val="TableParagraph"/>
              <w:spacing w:line="271" w:lineRule="exact"/>
              <w:ind w:right="49"/>
              <w:jc w:val="right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</w:tr>
      <w:tr>
        <w:trPr>
          <w:trHeight w:val="414" w:hRule="atLeast"/>
        </w:trPr>
        <w:tc>
          <w:tcPr>
            <w:tcW w:w="1256" w:type="dxa"/>
          </w:tcPr>
          <w:p>
            <w:pPr>
              <w:pStyle w:val="TableParagraph"/>
              <w:spacing w:line="261" w:lineRule="exact" w:before="133"/>
              <w:ind w:left="50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4.4:</w:t>
            </w:r>
          </w:p>
        </w:tc>
        <w:tc>
          <w:tcPr>
            <w:tcW w:w="6852" w:type="dxa"/>
          </w:tcPr>
          <w:p>
            <w:pPr>
              <w:pStyle w:val="TableParagraph"/>
              <w:spacing w:line="261" w:lineRule="exact" w:before="133"/>
              <w:ind w:left="233"/>
              <w:rPr>
                <w:i/>
                <w:sz w:val="24"/>
              </w:rPr>
            </w:pPr>
            <w:r>
              <w:rPr>
                <w:sz w:val="24"/>
              </w:rPr>
              <w:t>Effect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 methanol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leaf extract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Diospyros mespiliformis</w:t>
            </w:r>
          </w:p>
        </w:tc>
        <w:tc>
          <w:tcPr>
            <w:tcW w:w="875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76" w:hRule="atLeast"/>
        </w:trPr>
        <w:tc>
          <w:tcPr>
            <w:tcW w:w="125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852" w:type="dxa"/>
          </w:tcPr>
          <w:p>
            <w:pPr>
              <w:pStyle w:val="TableParagraph"/>
              <w:spacing w:line="256" w:lineRule="exact"/>
              <w:ind w:left="233"/>
              <w:rPr>
                <w:sz w:val="24"/>
              </w:rPr>
            </w:pPr>
            <w:r>
              <w:rPr>
                <w:sz w:val="24"/>
              </w:rPr>
              <w:t>(DM)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phenytoin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(PHT)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maximal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electroshock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(MES)</w:t>
            </w:r>
          </w:p>
        </w:tc>
        <w:tc>
          <w:tcPr>
            <w:tcW w:w="875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413" w:hRule="atLeast"/>
        </w:trPr>
        <w:tc>
          <w:tcPr>
            <w:tcW w:w="125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852" w:type="dxa"/>
          </w:tcPr>
          <w:p>
            <w:pPr>
              <w:pStyle w:val="TableParagraph"/>
              <w:spacing w:line="271" w:lineRule="exact"/>
              <w:ind w:left="233"/>
              <w:rPr>
                <w:sz w:val="24"/>
              </w:rPr>
            </w:pPr>
            <w:r>
              <w:rPr>
                <w:sz w:val="24"/>
              </w:rPr>
              <w:t>-induced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Seizure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chicks</w:t>
            </w:r>
          </w:p>
        </w:tc>
        <w:tc>
          <w:tcPr>
            <w:tcW w:w="875" w:type="dxa"/>
          </w:tcPr>
          <w:p>
            <w:pPr>
              <w:pStyle w:val="TableParagraph"/>
              <w:spacing w:line="271" w:lineRule="exact"/>
              <w:ind w:right="49"/>
              <w:jc w:val="right"/>
              <w:rPr>
                <w:sz w:val="24"/>
              </w:rPr>
            </w:pPr>
            <w:r>
              <w:rPr>
                <w:sz w:val="24"/>
              </w:rPr>
              <w:t>77</w:t>
            </w:r>
          </w:p>
        </w:tc>
      </w:tr>
      <w:tr>
        <w:trPr>
          <w:trHeight w:val="414" w:hRule="atLeast"/>
        </w:trPr>
        <w:tc>
          <w:tcPr>
            <w:tcW w:w="1256" w:type="dxa"/>
          </w:tcPr>
          <w:p>
            <w:pPr>
              <w:pStyle w:val="TableParagraph"/>
              <w:spacing w:line="261" w:lineRule="exact" w:before="133"/>
              <w:ind w:left="50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4.5:</w:t>
            </w:r>
          </w:p>
        </w:tc>
        <w:tc>
          <w:tcPr>
            <w:tcW w:w="6852" w:type="dxa"/>
          </w:tcPr>
          <w:p>
            <w:pPr>
              <w:pStyle w:val="TableParagraph"/>
              <w:spacing w:line="261" w:lineRule="exact" w:before="133"/>
              <w:ind w:left="233"/>
              <w:rPr>
                <w:i/>
                <w:sz w:val="24"/>
              </w:rPr>
            </w:pPr>
            <w:r>
              <w:rPr>
                <w:sz w:val="24"/>
              </w:rPr>
              <w:t>Effect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methanol leaf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extract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Diospyros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mespiliformis</w:t>
            </w:r>
          </w:p>
        </w:tc>
        <w:tc>
          <w:tcPr>
            <w:tcW w:w="875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75" w:hRule="atLeast"/>
        </w:trPr>
        <w:tc>
          <w:tcPr>
            <w:tcW w:w="125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852" w:type="dxa"/>
          </w:tcPr>
          <w:p>
            <w:pPr>
              <w:pStyle w:val="TableParagraph"/>
              <w:spacing w:line="256" w:lineRule="exact"/>
              <w:ind w:left="233"/>
              <w:rPr>
                <w:sz w:val="24"/>
              </w:rPr>
            </w:pPr>
            <w:r>
              <w:rPr>
                <w:sz w:val="24"/>
              </w:rPr>
              <w:t>(DM)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phenobarbitone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(PHB)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on strychnine-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induced</w:t>
            </w:r>
          </w:p>
        </w:tc>
        <w:tc>
          <w:tcPr>
            <w:tcW w:w="875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414" w:hRule="atLeast"/>
        </w:trPr>
        <w:tc>
          <w:tcPr>
            <w:tcW w:w="125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852" w:type="dxa"/>
          </w:tcPr>
          <w:p>
            <w:pPr>
              <w:pStyle w:val="TableParagraph"/>
              <w:spacing w:line="271" w:lineRule="exact"/>
              <w:ind w:left="233"/>
              <w:rPr>
                <w:sz w:val="24"/>
              </w:rPr>
            </w:pPr>
            <w:r>
              <w:rPr>
                <w:sz w:val="24"/>
              </w:rPr>
              <w:t>seizure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 Mice</w:t>
            </w:r>
          </w:p>
        </w:tc>
        <w:tc>
          <w:tcPr>
            <w:tcW w:w="875" w:type="dxa"/>
          </w:tcPr>
          <w:p>
            <w:pPr>
              <w:pStyle w:val="TableParagraph"/>
              <w:spacing w:line="271" w:lineRule="exact"/>
              <w:ind w:right="49"/>
              <w:jc w:val="right"/>
              <w:rPr>
                <w:sz w:val="24"/>
              </w:rPr>
            </w:pPr>
            <w:r>
              <w:rPr>
                <w:sz w:val="24"/>
              </w:rPr>
              <w:t>79</w:t>
            </w:r>
          </w:p>
        </w:tc>
      </w:tr>
      <w:tr>
        <w:trPr>
          <w:trHeight w:val="413" w:hRule="atLeast"/>
        </w:trPr>
        <w:tc>
          <w:tcPr>
            <w:tcW w:w="1256" w:type="dxa"/>
          </w:tcPr>
          <w:p>
            <w:pPr>
              <w:pStyle w:val="TableParagraph"/>
              <w:spacing w:line="261" w:lineRule="exact" w:before="133"/>
              <w:ind w:left="50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4.6:</w:t>
            </w:r>
          </w:p>
        </w:tc>
        <w:tc>
          <w:tcPr>
            <w:tcW w:w="6852" w:type="dxa"/>
          </w:tcPr>
          <w:p>
            <w:pPr>
              <w:pStyle w:val="TableParagraph"/>
              <w:spacing w:line="261" w:lineRule="exact" w:before="133"/>
              <w:ind w:left="233"/>
              <w:rPr>
                <w:i/>
                <w:sz w:val="24"/>
              </w:rPr>
            </w:pPr>
            <w:r>
              <w:rPr>
                <w:sz w:val="24"/>
              </w:rPr>
              <w:t>Effect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methanol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Leaf Extract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Diospyros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mespiliformis</w:t>
            </w:r>
          </w:p>
        </w:tc>
        <w:tc>
          <w:tcPr>
            <w:tcW w:w="875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76" w:hRule="atLeast"/>
        </w:trPr>
        <w:tc>
          <w:tcPr>
            <w:tcW w:w="125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852" w:type="dxa"/>
          </w:tcPr>
          <w:p>
            <w:pPr>
              <w:pStyle w:val="TableParagraph"/>
              <w:spacing w:line="256" w:lineRule="exact"/>
              <w:ind w:left="233"/>
              <w:rPr>
                <w:sz w:val="24"/>
              </w:rPr>
            </w:pPr>
            <w:r>
              <w:rPr>
                <w:sz w:val="24"/>
              </w:rPr>
              <w:t>(DM)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phenobarbitone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(PHB)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aminopyridine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-induced</w:t>
            </w:r>
          </w:p>
        </w:tc>
        <w:tc>
          <w:tcPr>
            <w:tcW w:w="875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0" w:hRule="atLeast"/>
        </w:trPr>
        <w:tc>
          <w:tcPr>
            <w:tcW w:w="125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852" w:type="dxa"/>
          </w:tcPr>
          <w:p>
            <w:pPr>
              <w:pStyle w:val="TableParagraph"/>
              <w:spacing w:line="251" w:lineRule="exact"/>
              <w:ind w:left="233"/>
              <w:rPr>
                <w:sz w:val="24"/>
              </w:rPr>
            </w:pPr>
            <w:r>
              <w:rPr>
                <w:sz w:val="24"/>
              </w:rPr>
              <w:t>seizure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 mice</w:t>
            </w:r>
          </w:p>
        </w:tc>
        <w:tc>
          <w:tcPr>
            <w:tcW w:w="875" w:type="dxa"/>
          </w:tcPr>
          <w:p>
            <w:pPr>
              <w:pStyle w:val="TableParagraph"/>
              <w:spacing w:line="251" w:lineRule="exact"/>
              <w:ind w:right="49"/>
              <w:jc w:val="right"/>
              <w:rPr>
                <w:sz w:val="24"/>
              </w:rPr>
            </w:pPr>
            <w:r>
              <w:rPr>
                <w:sz w:val="24"/>
              </w:rPr>
              <w:t>81</w:t>
            </w:r>
          </w:p>
        </w:tc>
      </w:tr>
    </w:tbl>
    <w:p>
      <w:pPr>
        <w:spacing w:after="0" w:line="251" w:lineRule="exact"/>
        <w:jc w:val="right"/>
        <w:rPr>
          <w:sz w:val="24"/>
        </w:rPr>
        <w:sectPr>
          <w:pgSz w:w="12240" w:h="15840"/>
          <w:pgMar w:header="0" w:footer="792" w:top="1360" w:bottom="980" w:left="1080" w:right="760"/>
        </w:sectPr>
      </w:pPr>
    </w:p>
    <w:p>
      <w:pPr>
        <w:pStyle w:val="Heading1"/>
        <w:spacing w:before="76"/>
        <w:ind w:left="1497" w:right="1529"/>
        <w:jc w:val="center"/>
      </w:pPr>
      <w:r>
        <w:rPr/>
        <w:t>LIST</w:t>
      </w:r>
      <w:r>
        <w:rPr>
          <w:spacing w:val="-2"/>
        </w:rPr>
        <w:t> </w:t>
      </w:r>
      <w:r>
        <w:rPr/>
        <w:t>OF</w:t>
      </w:r>
      <w:r>
        <w:rPr>
          <w:spacing w:val="-4"/>
        </w:rPr>
        <w:t> </w:t>
      </w:r>
      <w:r>
        <w:rPr/>
        <w:t>FIGURES</w:t>
      </w:r>
    </w:p>
    <w:p>
      <w:pPr>
        <w:pStyle w:val="BodyText"/>
        <w:spacing w:before="6"/>
        <w:rPr>
          <w:b/>
        </w:rPr>
      </w:pPr>
    </w:p>
    <w:tbl>
      <w:tblPr>
        <w:tblW w:w="0" w:type="auto"/>
        <w:jc w:val="left"/>
        <w:tblInd w:w="60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72"/>
        <w:gridCol w:w="7113"/>
        <w:gridCol w:w="698"/>
      </w:tblGrid>
      <w:tr>
        <w:trPr>
          <w:trHeight w:val="684" w:hRule="atLeast"/>
        </w:trPr>
        <w:tc>
          <w:tcPr>
            <w:tcW w:w="1172" w:type="dxa"/>
          </w:tcPr>
          <w:p>
            <w:pPr>
              <w:pStyle w:val="TableParagraph"/>
              <w:spacing w:line="266" w:lineRule="exact"/>
              <w:ind w:left="50"/>
              <w:rPr>
                <w:sz w:val="24"/>
              </w:rPr>
            </w:pPr>
            <w:r>
              <w:rPr>
                <w:sz w:val="24"/>
              </w:rPr>
              <w:t>Fig.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4.1:</w:t>
            </w:r>
          </w:p>
        </w:tc>
        <w:tc>
          <w:tcPr>
            <w:tcW w:w="7113" w:type="dxa"/>
          </w:tcPr>
          <w:p>
            <w:pPr>
              <w:pStyle w:val="TableParagraph"/>
              <w:ind w:left="317" w:right="1523"/>
              <w:rPr>
                <w:sz w:val="24"/>
              </w:rPr>
            </w:pPr>
            <w:r>
              <w:rPr>
                <w:sz w:val="24"/>
              </w:rPr>
              <w:t>Effect of 28 days administration of </w:t>
            </w:r>
            <w:r>
              <w:rPr>
                <w:i/>
                <w:sz w:val="24"/>
              </w:rPr>
              <w:t>D.mespiliformis </w:t>
            </w:r>
            <w:r>
              <w:rPr>
                <w:sz w:val="24"/>
              </w:rPr>
              <w:t>on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serum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AST and ALT</w:t>
            </w:r>
          </w:p>
        </w:tc>
        <w:tc>
          <w:tcPr>
            <w:tcW w:w="698" w:type="dxa"/>
          </w:tcPr>
          <w:p>
            <w:pPr>
              <w:pStyle w:val="TableParagraph"/>
              <w:spacing w:before="1"/>
              <w:rPr>
                <w:b/>
                <w:sz w:val="23"/>
              </w:rPr>
            </w:pPr>
          </w:p>
          <w:p>
            <w:pPr>
              <w:pStyle w:val="TableParagraph"/>
              <w:ind w:right="49"/>
              <w:jc w:val="right"/>
              <w:rPr>
                <w:sz w:val="24"/>
              </w:rPr>
            </w:pPr>
            <w:r>
              <w:rPr>
                <w:sz w:val="24"/>
              </w:rPr>
              <w:t>83</w:t>
            </w:r>
          </w:p>
        </w:tc>
      </w:tr>
      <w:tr>
        <w:trPr>
          <w:trHeight w:val="828" w:hRule="atLeast"/>
        </w:trPr>
        <w:tc>
          <w:tcPr>
            <w:tcW w:w="1172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Fig.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4.2:</w:t>
            </w:r>
          </w:p>
        </w:tc>
        <w:tc>
          <w:tcPr>
            <w:tcW w:w="7113" w:type="dxa"/>
          </w:tcPr>
          <w:p>
            <w:pPr>
              <w:pStyle w:val="TableParagraph"/>
              <w:spacing w:before="133"/>
              <w:ind w:left="317" w:right="1523"/>
              <w:rPr>
                <w:sz w:val="24"/>
              </w:rPr>
            </w:pPr>
            <w:r>
              <w:rPr>
                <w:sz w:val="24"/>
              </w:rPr>
              <w:t>Effect of 28 days administration of </w:t>
            </w:r>
            <w:r>
              <w:rPr>
                <w:i/>
                <w:sz w:val="24"/>
              </w:rPr>
              <w:t>D.mespiliformis </w:t>
            </w:r>
            <w:r>
              <w:rPr>
                <w:sz w:val="24"/>
              </w:rPr>
              <w:t>on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serum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ALP</w:t>
            </w:r>
          </w:p>
        </w:tc>
        <w:tc>
          <w:tcPr>
            <w:tcW w:w="698" w:type="dxa"/>
          </w:tcPr>
          <w:p>
            <w:pPr>
              <w:pStyle w:val="TableParagraph"/>
              <w:spacing w:before="6"/>
              <w:rPr>
                <w:b/>
                <w:sz w:val="35"/>
              </w:rPr>
            </w:pPr>
          </w:p>
          <w:p>
            <w:pPr>
              <w:pStyle w:val="TableParagraph"/>
              <w:ind w:right="49"/>
              <w:jc w:val="right"/>
              <w:rPr>
                <w:sz w:val="24"/>
              </w:rPr>
            </w:pPr>
            <w:r>
              <w:rPr>
                <w:sz w:val="24"/>
              </w:rPr>
              <w:t>85</w:t>
            </w:r>
          </w:p>
        </w:tc>
      </w:tr>
      <w:tr>
        <w:trPr>
          <w:trHeight w:val="827" w:hRule="atLeast"/>
        </w:trPr>
        <w:tc>
          <w:tcPr>
            <w:tcW w:w="1172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Fig.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4.3:</w:t>
            </w:r>
          </w:p>
        </w:tc>
        <w:tc>
          <w:tcPr>
            <w:tcW w:w="7113" w:type="dxa"/>
          </w:tcPr>
          <w:p>
            <w:pPr>
              <w:pStyle w:val="TableParagraph"/>
              <w:spacing w:before="133"/>
              <w:ind w:left="317" w:right="1523"/>
              <w:rPr>
                <w:sz w:val="24"/>
              </w:rPr>
            </w:pPr>
            <w:r>
              <w:rPr>
                <w:sz w:val="24"/>
              </w:rPr>
              <w:t>Effect of 28 days administration of </w:t>
            </w:r>
            <w:r>
              <w:rPr>
                <w:i/>
                <w:sz w:val="24"/>
              </w:rPr>
              <w:t>D.mespiliformis </w:t>
            </w:r>
            <w:r>
              <w:rPr>
                <w:sz w:val="24"/>
              </w:rPr>
              <w:t>on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serum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TB</w:t>
            </w:r>
          </w:p>
        </w:tc>
        <w:tc>
          <w:tcPr>
            <w:tcW w:w="698" w:type="dxa"/>
          </w:tcPr>
          <w:p>
            <w:pPr>
              <w:pStyle w:val="TableParagraph"/>
              <w:spacing w:before="6"/>
              <w:rPr>
                <w:b/>
                <w:sz w:val="35"/>
              </w:rPr>
            </w:pPr>
          </w:p>
          <w:p>
            <w:pPr>
              <w:pStyle w:val="TableParagraph"/>
              <w:ind w:right="49"/>
              <w:jc w:val="right"/>
              <w:rPr>
                <w:sz w:val="24"/>
              </w:rPr>
            </w:pPr>
            <w:r>
              <w:rPr>
                <w:sz w:val="24"/>
              </w:rPr>
              <w:t>86</w:t>
            </w:r>
          </w:p>
        </w:tc>
      </w:tr>
      <w:tr>
        <w:trPr>
          <w:trHeight w:val="828" w:hRule="atLeast"/>
        </w:trPr>
        <w:tc>
          <w:tcPr>
            <w:tcW w:w="1172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Fig.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4.4:</w:t>
            </w:r>
          </w:p>
        </w:tc>
        <w:tc>
          <w:tcPr>
            <w:tcW w:w="7113" w:type="dxa"/>
          </w:tcPr>
          <w:p>
            <w:pPr>
              <w:pStyle w:val="TableParagraph"/>
              <w:spacing w:before="133"/>
              <w:ind w:left="317" w:right="1523"/>
              <w:rPr>
                <w:sz w:val="24"/>
              </w:rPr>
            </w:pPr>
            <w:r>
              <w:rPr>
                <w:sz w:val="24"/>
              </w:rPr>
              <w:t>Effect of 28 days administration of </w:t>
            </w:r>
            <w:r>
              <w:rPr>
                <w:i/>
                <w:sz w:val="24"/>
              </w:rPr>
              <w:t>D.mespiliformis </w:t>
            </w:r>
            <w:r>
              <w:rPr>
                <w:sz w:val="24"/>
              </w:rPr>
              <w:t>on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serum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sodium level</w:t>
            </w:r>
          </w:p>
        </w:tc>
        <w:tc>
          <w:tcPr>
            <w:tcW w:w="698" w:type="dxa"/>
          </w:tcPr>
          <w:p>
            <w:pPr>
              <w:pStyle w:val="TableParagraph"/>
              <w:spacing w:before="6"/>
              <w:rPr>
                <w:b/>
                <w:sz w:val="35"/>
              </w:rPr>
            </w:pPr>
          </w:p>
          <w:p>
            <w:pPr>
              <w:pStyle w:val="TableParagraph"/>
              <w:ind w:right="49"/>
              <w:jc w:val="right"/>
              <w:rPr>
                <w:sz w:val="24"/>
              </w:rPr>
            </w:pPr>
            <w:r>
              <w:rPr>
                <w:sz w:val="24"/>
              </w:rPr>
              <w:t>88</w:t>
            </w:r>
          </w:p>
        </w:tc>
      </w:tr>
      <w:tr>
        <w:trPr>
          <w:trHeight w:val="828" w:hRule="atLeast"/>
        </w:trPr>
        <w:tc>
          <w:tcPr>
            <w:tcW w:w="1172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Fig.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4.5:</w:t>
            </w:r>
          </w:p>
        </w:tc>
        <w:tc>
          <w:tcPr>
            <w:tcW w:w="7113" w:type="dxa"/>
          </w:tcPr>
          <w:p>
            <w:pPr>
              <w:pStyle w:val="TableParagraph"/>
              <w:spacing w:before="133"/>
              <w:ind w:left="317"/>
              <w:rPr>
                <w:sz w:val="24"/>
              </w:rPr>
            </w:pPr>
            <w:r>
              <w:rPr>
                <w:sz w:val="24"/>
              </w:rPr>
              <w:t>Effect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28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days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administration</w:t>
            </w:r>
          </w:p>
          <w:p>
            <w:pPr>
              <w:pStyle w:val="TableParagraph"/>
              <w:ind w:left="317"/>
              <w:rPr>
                <w:sz w:val="24"/>
              </w:rPr>
            </w:pP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D.mespiliformis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serum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potassium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level</w:t>
            </w:r>
          </w:p>
        </w:tc>
        <w:tc>
          <w:tcPr>
            <w:tcW w:w="698" w:type="dxa"/>
          </w:tcPr>
          <w:p>
            <w:pPr>
              <w:pStyle w:val="TableParagraph"/>
              <w:spacing w:before="6"/>
              <w:rPr>
                <w:b/>
                <w:sz w:val="35"/>
              </w:rPr>
            </w:pPr>
          </w:p>
          <w:p>
            <w:pPr>
              <w:pStyle w:val="TableParagraph"/>
              <w:ind w:right="49"/>
              <w:jc w:val="right"/>
              <w:rPr>
                <w:sz w:val="24"/>
              </w:rPr>
            </w:pPr>
            <w:r>
              <w:rPr>
                <w:sz w:val="24"/>
              </w:rPr>
              <w:t>89</w:t>
            </w:r>
          </w:p>
        </w:tc>
      </w:tr>
      <w:tr>
        <w:trPr>
          <w:trHeight w:val="1104" w:hRule="atLeast"/>
        </w:trPr>
        <w:tc>
          <w:tcPr>
            <w:tcW w:w="1172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Fig.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4.6:</w:t>
            </w:r>
          </w:p>
        </w:tc>
        <w:tc>
          <w:tcPr>
            <w:tcW w:w="7113" w:type="dxa"/>
          </w:tcPr>
          <w:p>
            <w:pPr>
              <w:pStyle w:val="TableParagraph"/>
              <w:spacing w:before="133"/>
              <w:ind w:left="317" w:right="470"/>
              <w:rPr>
                <w:sz w:val="24"/>
              </w:rPr>
            </w:pPr>
            <w:r>
              <w:rPr>
                <w:sz w:val="24"/>
              </w:rPr>
              <w:t>Graph showing the effect of 28 days administration of</w:t>
            </w:r>
            <w:r>
              <w:rPr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D.mespiliformis </w:t>
            </w:r>
            <w:r>
              <w:rPr>
                <w:sz w:val="24"/>
              </w:rPr>
              <w:t>on serum total calcium, glucose, total cholesterol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urea</w:t>
            </w:r>
          </w:p>
        </w:tc>
        <w:tc>
          <w:tcPr>
            <w:tcW w:w="698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6"/>
              <w:rPr>
                <w:b/>
                <w:sz w:val="33"/>
              </w:rPr>
            </w:pPr>
          </w:p>
          <w:p>
            <w:pPr>
              <w:pStyle w:val="TableParagraph"/>
              <w:ind w:right="49"/>
              <w:jc w:val="right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</w:tr>
      <w:tr>
        <w:trPr>
          <w:trHeight w:val="827" w:hRule="atLeast"/>
        </w:trPr>
        <w:tc>
          <w:tcPr>
            <w:tcW w:w="1172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Fig.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4.7:</w:t>
            </w:r>
          </w:p>
        </w:tc>
        <w:tc>
          <w:tcPr>
            <w:tcW w:w="7113" w:type="dxa"/>
          </w:tcPr>
          <w:p>
            <w:pPr>
              <w:pStyle w:val="TableParagraph"/>
              <w:spacing w:before="133"/>
              <w:ind w:left="317" w:right="1523"/>
              <w:rPr>
                <w:sz w:val="24"/>
              </w:rPr>
            </w:pPr>
            <w:r>
              <w:rPr>
                <w:sz w:val="24"/>
              </w:rPr>
              <w:t>Effect of 28 days administration of </w:t>
            </w:r>
            <w:r>
              <w:rPr>
                <w:i/>
                <w:sz w:val="24"/>
              </w:rPr>
              <w:t>D.mespiliformis </w:t>
            </w:r>
            <w:r>
              <w:rPr>
                <w:sz w:val="24"/>
              </w:rPr>
              <w:t>on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serum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creatinine level</w:t>
            </w:r>
          </w:p>
        </w:tc>
        <w:tc>
          <w:tcPr>
            <w:tcW w:w="698" w:type="dxa"/>
          </w:tcPr>
          <w:p>
            <w:pPr>
              <w:pStyle w:val="TableParagraph"/>
              <w:spacing w:before="6"/>
              <w:rPr>
                <w:b/>
                <w:sz w:val="35"/>
              </w:rPr>
            </w:pPr>
          </w:p>
          <w:p>
            <w:pPr>
              <w:pStyle w:val="TableParagraph"/>
              <w:ind w:right="49"/>
              <w:jc w:val="right"/>
              <w:rPr>
                <w:sz w:val="24"/>
              </w:rPr>
            </w:pPr>
            <w:r>
              <w:rPr>
                <w:sz w:val="24"/>
              </w:rPr>
              <w:t>91</w:t>
            </w:r>
          </w:p>
        </w:tc>
      </w:tr>
      <w:tr>
        <w:trPr>
          <w:trHeight w:val="685" w:hRule="atLeast"/>
        </w:trPr>
        <w:tc>
          <w:tcPr>
            <w:tcW w:w="1172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Fig.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4.8</w:t>
            </w:r>
          </w:p>
        </w:tc>
        <w:tc>
          <w:tcPr>
            <w:tcW w:w="7113" w:type="dxa"/>
          </w:tcPr>
          <w:p>
            <w:pPr>
              <w:pStyle w:val="TableParagraph"/>
              <w:spacing w:line="270" w:lineRule="atLeast" w:before="113"/>
              <w:ind w:left="317" w:right="390"/>
              <w:rPr>
                <w:sz w:val="24"/>
              </w:rPr>
            </w:pPr>
            <w:r>
              <w:rPr>
                <w:sz w:val="24"/>
              </w:rPr>
              <w:t>Effect of 28 days administration of </w:t>
            </w:r>
            <w:r>
              <w:rPr>
                <w:i/>
                <w:sz w:val="24"/>
              </w:rPr>
              <w:t>D.mespiliformis </w:t>
            </w:r>
            <w:r>
              <w:rPr>
                <w:sz w:val="24"/>
              </w:rPr>
              <w:t>on serum total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protein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 albumin</w:t>
            </w:r>
          </w:p>
        </w:tc>
        <w:tc>
          <w:tcPr>
            <w:tcW w:w="698" w:type="dxa"/>
          </w:tcPr>
          <w:p>
            <w:pPr>
              <w:pStyle w:val="TableParagraph"/>
              <w:spacing w:before="6"/>
              <w:rPr>
                <w:b/>
                <w:sz w:val="35"/>
              </w:rPr>
            </w:pPr>
          </w:p>
          <w:p>
            <w:pPr>
              <w:pStyle w:val="TableParagraph"/>
              <w:spacing w:line="256" w:lineRule="exact" w:before="1"/>
              <w:ind w:right="49"/>
              <w:jc w:val="right"/>
              <w:rPr>
                <w:sz w:val="24"/>
              </w:rPr>
            </w:pPr>
            <w:r>
              <w:rPr>
                <w:sz w:val="24"/>
              </w:rPr>
              <w:t>92</w:t>
            </w:r>
          </w:p>
        </w:tc>
      </w:tr>
    </w:tbl>
    <w:p>
      <w:pPr>
        <w:spacing w:after="0" w:line="256" w:lineRule="exact"/>
        <w:jc w:val="right"/>
        <w:rPr>
          <w:sz w:val="24"/>
        </w:rPr>
        <w:sectPr>
          <w:pgSz w:w="12240" w:h="15840"/>
          <w:pgMar w:header="0" w:footer="792" w:top="1360" w:bottom="980" w:left="1080" w:right="760"/>
        </w:sectPr>
      </w:pPr>
    </w:p>
    <w:p>
      <w:pPr>
        <w:spacing w:before="76"/>
        <w:ind w:left="1498" w:right="1528" w:firstLine="0"/>
        <w:jc w:val="center"/>
        <w:rPr>
          <w:b/>
          <w:sz w:val="24"/>
        </w:rPr>
      </w:pPr>
      <w:r>
        <w:rPr>
          <w:b/>
          <w:sz w:val="24"/>
        </w:rPr>
        <w:t>LIST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PLATES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28"/>
        </w:rPr>
      </w:pPr>
    </w:p>
    <w:tbl>
      <w:tblPr>
        <w:tblW w:w="0" w:type="auto"/>
        <w:jc w:val="left"/>
        <w:tblInd w:w="60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53"/>
        <w:gridCol w:w="6545"/>
        <w:gridCol w:w="1183"/>
      </w:tblGrid>
      <w:tr>
        <w:trPr>
          <w:trHeight w:val="684" w:hRule="atLeast"/>
        </w:trPr>
        <w:tc>
          <w:tcPr>
            <w:tcW w:w="1253" w:type="dxa"/>
          </w:tcPr>
          <w:p>
            <w:pPr>
              <w:pStyle w:val="TableParagraph"/>
              <w:spacing w:line="266" w:lineRule="exact"/>
              <w:ind w:left="50"/>
              <w:rPr>
                <w:sz w:val="24"/>
              </w:rPr>
            </w:pPr>
            <w:r>
              <w:rPr>
                <w:sz w:val="24"/>
              </w:rPr>
              <w:t>Plate.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2.1:</w:t>
            </w:r>
          </w:p>
        </w:tc>
        <w:tc>
          <w:tcPr>
            <w:tcW w:w="6545" w:type="dxa"/>
          </w:tcPr>
          <w:p>
            <w:pPr>
              <w:pStyle w:val="TableParagraph"/>
              <w:ind w:left="236" w:right="1902"/>
              <w:rPr>
                <w:sz w:val="24"/>
              </w:rPr>
            </w:pPr>
            <w:r>
              <w:rPr>
                <w:i/>
                <w:sz w:val="24"/>
              </w:rPr>
              <w:t>Diospyros mespiliformis </w:t>
            </w:r>
            <w:r>
              <w:rPr>
                <w:sz w:val="24"/>
              </w:rPr>
              <w:t>in its natural habitat,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showing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the trunk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and the leaves</w:t>
            </w:r>
          </w:p>
        </w:tc>
        <w:tc>
          <w:tcPr>
            <w:tcW w:w="1183" w:type="dxa"/>
          </w:tcPr>
          <w:p>
            <w:pPr>
              <w:pStyle w:val="TableParagraph"/>
              <w:spacing w:before="1"/>
              <w:rPr>
                <w:b/>
                <w:sz w:val="23"/>
              </w:rPr>
            </w:pPr>
          </w:p>
          <w:p>
            <w:pPr>
              <w:pStyle w:val="TableParagraph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  <w:tr>
        <w:trPr>
          <w:trHeight w:val="1104" w:hRule="atLeast"/>
        </w:trPr>
        <w:tc>
          <w:tcPr>
            <w:tcW w:w="1253" w:type="dxa"/>
          </w:tcPr>
          <w:p>
            <w:pPr>
              <w:pStyle w:val="TableParagraph"/>
              <w:spacing w:before="133"/>
              <w:ind w:left="110"/>
              <w:rPr>
                <w:sz w:val="24"/>
              </w:rPr>
            </w:pPr>
            <w:r>
              <w:rPr>
                <w:sz w:val="24"/>
              </w:rPr>
              <w:t>Plate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4.1:</w:t>
            </w:r>
          </w:p>
        </w:tc>
        <w:tc>
          <w:tcPr>
            <w:tcW w:w="6545" w:type="dxa"/>
          </w:tcPr>
          <w:p>
            <w:pPr>
              <w:pStyle w:val="TableParagraph"/>
              <w:spacing w:before="133"/>
              <w:ind w:left="236" w:right="1186"/>
              <w:jc w:val="both"/>
              <w:rPr>
                <w:sz w:val="24"/>
              </w:rPr>
            </w:pPr>
            <w:r>
              <w:rPr>
                <w:sz w:val="24"/>
              </w:rPr>
              <w:t>hotomicrograph of a section of rat liver administered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distilled water (A) and 50 mg/kg </w:t>
            </w:r>
            <w:r>
              <w:rPr>
                <w:i/>
                <w:sz w:val="24"/>
              </w:rPr>
              <w:t>D.mespiliformis </w:t>
            </w:r>
            <w:r>
              <w:rPr>
                <w:sz w:val="24"/>
              </w:rPr>
              <w:t>(B)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28 days</w:t>
            </w:r>
          </w:p>
        </w:tc>
        <w:tc>
          <w:tcPr>
            <w:tcW w:w="1183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6"/>
              <w:rPr>
                <w:b/>
                <w:sz w:val="33"/>
              </w:rPr>
            </w:pPr>
          </w:p>
          <w:p>
            <w:pPr>
              <w:pStyle w:val="TableParagraph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83</w:t>
            </w:r>
          </w:p>
        </w:tc>
      </w:tr>
      <w:tr>
        <w:trPr>
          <w:trHeight w:val="1104" w:hRule="atLeast"/>
        </w:trPr>
        <w:tc>
          <w:tcPr>
            <w:tcW w:w="1253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Plate.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4.2:</w:t>
            </w:r>
          </w:p>
        </w:tc>
        <w:tc>
          <w:tcPr>
            <w:tcW w:w="6545" w:type="dxa"/>
          </w:tcPr>
          <w:p>
            <w:pPr>
              <w:pStyle w:val="TableParagraph"/>
              <w:spacing w:before="133"/>
              <w:ind w:left="236" w:right="1066"/>
              <w:jc w:val="both"/>
              <w:rPr>
                <w:sz w:val="24"/>
              </w:rPr>
            </w:pPr>
            <w:r>
              <w:rPr>
                <w:sz w:val="24"/>
              </w:rPr>
              <w:t>Photomicrograph of a section of rat liver administered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distilled water (A) and 250 mg/kg </w:t>
            </w:r>
            <w:r>
              <w:rPr>
                <w:i/>
                <w:sz w:val="24"/>
              </w:rPr>
              <w:t>D.mespiliformis </w:t>
            </w:r>
            <w:r>
              <w:rPr>
                <w:sz w:val="24"/>
              </w:rPr>
              <w:t>(B)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28 days</w:t>
            </w:r>
          </w:p>
        </w:tc>
        <w:tc>
          <w:tcPr>
            <w:tcW w:w="1183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6"/>
              <w:rPr>
                <w:b/>
                <w:sz w:val="33"/>
              </w:rPr>
            </w:pPr>
          </w:p>
          <w:p>
            <w:pPr>
              <w:pStyle w:val="TableParagraph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85</w:t>
            </w:r>
          </w:p>
        </w:tc>
      </w:tr>
      <w:tr>
        <w:trPr>
          <w:trHeight w:val="1104" w:hRule="atLeast"/>
        </w:trPr>
        <w:tc>
          <w:tcPr>
            <w:tcW w:w="1253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Plate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4.3:</w:t>
            </w:r>
          </w:p>
        </w:tc>
        <w:tc>
          <w:tcPr>
            <w:tcW w:w="6545" w:type="dxa"/>
          </w:tcPr>
          <w:p>
            <w:pPr>
              <w:pStyle w:val="TableParagraph"/>
              <w:spacing w:before="133"/>
              <w:ind w:left="236" w:right="929"/>
              <w:rPr>
                <w:sz w:val="24"/>
              </w:rPr>
            </w:pPr>
            <w:r>
              <w:rPr>
                <w:sz w:val="24"/>
              </w:rPr>
              <w:t>Photomicrograph of a section of rat liver administered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distilled water (A) and 500 mg/kg</w:t>
            </w:r>
            <w:r>
              <w:rPr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D.mespiliformis </w:t>
            </w:r>
            <w:r>
              <w:rPr>
                <w:sz w:val="24"/>
              </w:rPr>
              <w:t>(B)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28 days</w:t>
            </w:r>
          </w:p>
        </w:tc>
        <w:tc>
          <w:tcPr>
            <w:tcW w:w="1183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6"/>
              <w:rPr>
                <w:b/>
                <w:sz w:val="33"/>
              </w:rPr>
            </w:pPr>
          </w:p>
          <w:p>
            <w:pPr>
              <w:pStyle w:val="TableParagraph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86</w:t>
            </w:r>
          </w:p>
        </w:tc>
      </w:tr>
      <w:tr>
        <w:trPr>
          <w:trHeight w:val="1103" w:hRule="atLeast"/>
        </w:trPr>
        <w:tc>
          <w:tcPr>
            <w:tcW w:w="1253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Plate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4.4:</w:t>
            </w:r>
          </w:p>
        </w:tc>
        <w:tc>
          <w:tcPr>
            <w:tcW w:w="6545" w:type="dxa"/>
          </w:tcPr>
          <w:p>
            <w:pPr>
              <w:pStyle w:val="TableParagraph"/>
              <w:spacing w:before="133"/>
              <w:ind w:left="236" w:right="929"/>
              <w:rPr>
                <w:sz w:val="24"/>
              </w:rPr>
            </w:pPr>
            <w:r>
              <w:rPr>
                <w:sz w:val="24"/>
              </w:rPr>
              <w:t>Photomicrograph of a section of rat liver administered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distilled water (A) and 1000 mg/kg </w:t>
            </w:r>
            <w:r>
              <w:rPr>
                <w:i/>
                <w:sz w:val="24"/>
              </w:rPr>
              <w:t>D.mespiliformis </w:t>
            </w:r>
            <w:r>
              <w:rPr>
                <w:sz w:val="24"/>
              </w:rPr>
              <w:t>(B)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28 days</w:t>
            </w:r>
          </w:p>
        </w:tc>
        <w:tc>
          <w:tcPr>
            <w:tcW w:w="1183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6"/>
              <w:rPr>
                <w:b/>
                <w:sz w:val="33"/>
              </w:rPr>
            </w:pPr>
          </w:p>
          <w:p>
            <w:pPr>
              <w:pStyle w:val="TableParagraph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88</w:t>
            </w:r>
          </w:p>
        </w:tc>
      </w:tr>
      <w:tr>
        <w:trPr>
          <w:trHeight w:val="1104" w:hRule="atLeast"/>
        </w:trPr>
        <w:tc>
          <w:tcPr>
            <w:tcW w:w="1253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Plate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4.5:</w:t>
            </w:r>
          </w:p>
        </w:tc>
        <w:tc>
          <w:tcPr>
            <w:tcW w:w="6545" w:type="dxa"/>
          </w:tcPr>
          <w:p>
            <w:pPr>
              <w:pStyle w:val="TableParagraph"/>
              <w:spacing w:before="133"/>
              <w:ind w:left="236" w:right="892"/>
              <w:rPr>
                <w:sz w:val="24"/>
              </w:rPr>
            </w:pPr>
            <w:r>
              <w:rPr>
                <w:sz w:val="24"/>
              </w:rPr>
              <w:t>Photomicrograph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section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kidney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administered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distilled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water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(A)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50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mg/kg</w:t>
            </w:r>
            <w:r>
              <w:rPr>
                <w:spacing w:val="2"/>
                <w:sz w:val="24"/>
              </w:rPr>
              <w:t> </w:t>
            </w:r>
            <w:r>
              <w:rPr>
                <w:i/>
                <w:sz w:val="24"/>
              </w:rPr>
              <w:t>D.mespiliformis</w:t>
            </w:r>
            <w:r>
              <w:rPr>
                <w:i/>
                <w:spacing w:val="3"/>
                <w:sz w:val="24"/>
              </w:rPr>
              <w:t> </w:t>
            </w:r>
            <w:r>
              <w:rPr>
                <w:sz w:val="24"/>
              </w:rPr>
              <w:t>(B)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28 days</w:t>
            </w:r>
          </w:p>
        </w:tc>
        <w:tc>
          <w:tcPr>
            <w:tcW w:w="1183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6"/>
              <w:rPr>
                <w:b/>
                <w:sz w:val="33"/>
              </w:rPr>
            </w:pPr>
          </w:p>
          <w:p>
            <w:pPr>
              <w:pStyle w:val="TableParagraph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89</w:t>
            </w:r>
          </w:p>
        </w:tc>
      </w:tr>
      <w:tr>
        <w:trPr>
          <w:trHeight w:val="1104" w:hRule="atLeast"/>
        </w:trPr>
        <w:tc>
          <w:tcPr>
            <w:tcW w:w="1253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Plate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4.6.:</w:t>
            </w:r>
          </w:p>
        </w:tc>
        <w:tc>
          <w:tcPr>
            <w:tcW w:w="6545" w:type="dxa"/>
          </w:tcPr>
          <w:p>
            <w:pPr>
              <w:pStyle w:val="TableParagraph"/>
              <w:spacing w:before="133"/>
              <w:ind w:left="236" w:right="883"/>
              <w:rPr>
                <w:sz w:val="24"/>
              </w:rPr>
            </w:pPr>
            <w:r>
              <w:rPr>
                <w:sz w:val="24"/>
              </w:rPr>
              <w:t>Photomicrograph 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section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kidney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administered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distilled water (A) and 250 mg/kg </w:t>
            </w:r>
            <w:r>
              <w:rPr>
                <w:i/>
                <w:sz w:val="24"/>
              </w:rPr>
              <w:t>D.mespiliformis </w:t>
            </w:r>
            <w:r>
              <w:rPr>
                <w:sz w:val="24"/>
              </w:rPr>
              <w:t>(B)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28 days</w:t>
            </w:r>
          </w:p>
        </w:tc>
        <w:tc>
          <w:tcPr>
            <w:tcW w:w="1183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6"/>
              <w:rPr>
                <w:b/>
                <w:sz w:val="33"/>
              </w:rPr>
            </w:pPr>
          </w:p>
          <w:p>
            <w:pPr>
              <w:pStyle w:val="TableParagraph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</w:tr>
      <w:tr>
        <w:trPr>
          <w:trHeight w:val="1103" w:hRule="atLeast"/>
        </w:trPr>
        <w:tc>
          <w:tcPr>
            <w:tcW w:w="1253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Plate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4.7:</w:t>
            </w:r>
          </w:p>
        </w:tc>
        <w:tc>
          <w:tcPr>
            <w:tcW w:w="6545" w:type="dxa"/>
          </w:tcPr>
          <w:p>
            <w:pPr>
              <w:pStyle w:val="TableParagraph"/>
              <w:spacing w:before="133"/>
              <w:ind w:left="236" w:right="884"/>
              <w:rPr>
                <w:sz w:val="24"/>
              </w:rPr>
            </w:pPr>
            <w:r>
              <w:rPr>
                <w:sz w:val="24"/>
              </w:rPr>
              <w:t>Photomicrograph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section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kidney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administered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distilled water (A) and 500 mg/kg </w:t>
            </w:r>
            <w:r>
              <w:rPr>
                <w:i/>
                <w:sz w:val="24"/>
              </w:rPr>
              <w:t>D.mespiliformis </w:t>
            </w:r>
            <w:r>
              <w:rPr>
                <w:sz w:val="24"/>
              </w:rPr>
              <w:t>(B)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28 days</w:t>
            </w:r>
          </w:p>
        </w:tc>
        <w:tc>
          <w:tcPr>
            <w:tcW w:w="1183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6"/>
              <w:rPr>
                <w:b/>
                <w:sz w:val="33"/>
              </w:rPr>
            </w:pPr>
          </w:p>
          <w:p>
            <w:pPr>
              <w:pStyle w:val="TableParagraph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91</w:t>
            </w:r>
          </w:p>
        </w:tc>
      </w:tr>
      <w:tr>
        <w:trPr>
          <w:trHeight w:val="960" w:hRule="atLeast"/>
        </w:trPr>
        <w:tc>
          <w:tcPr>
            <w:tcW w:w="1253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Plate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4.8:</w:t>
            </w:r>
          </w:p>
        </w:tc>
        <w:tc>
          <w:tcPr>
            <w:tcW w:w="6545" w:type="dxa"/>
          </w:tcPr>
          <w:p>
            <w:pPr>
              <w:pStyle w:val="TableParagraph"/>
              <w:spacing w:line="270" w:lineRule="atLeast" w:before="113"/>
              <w:ind w:left="236" w:right="892"/>
              <w:jc w:val="both"/>
              <w:rPr>
                <w:sz w:val="24"/>
              </w:rPr>
            </w:pPr>
            <w:r>
              <w:rPr>
                <w:sz w:val="24"/>
              </w:rPr>
              <w:t>Photomicrograph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section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kidney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administered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distilled water (A) and 1000 mg/kg </w:t>
            </w:r>
            <w:r>
              <w:rPr>
                <w:i/>
                <w:sz w:val="24"/>
              </w:rPr>
              <w:t>D.mespiliformis </w:t>
            </w:r>
            <w:r>
              <w:rPr>
                <w:sz w:val="24"/>
              </w:rPr>
              <w:t>(B)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28 days</w:t>
            </w:r>
          </w:p>
        </w:tc>
        <w:tc>
          <w:tcPr>
            <w:tcW w:w="1183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6"/>
              <w:rPr>
                <w:b/>
                <w:sz w:val="33"/>
              </w:rPr>
            </w:pPr>
          </w:p>
          <w:p>
            <w:pPr>
              <w:pStyle w:val="TableParagraph"/>
              <w:spacing w:line="256" w:lineRule="exact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92</w:t>
            </w:r>
          </w:p>
        </w:tc>
      </w:tr>
    </w:tbl>
    <w:p>
      <w:pPr>
        <w:spacing w:after="0" w:line="256" w:lineRule="exact"/>
        <w:jc w:val="right"/>
        <w:rPr>
          <w:sz w:val="24"/>
        </w:rPr>
        <w:sectPr>
          <w:pgSz w:w="12240" w:h="15840"/>
          <w:pgMar w:header="0" w:footer="792" w:top="1360" w:bottom="980" w:left="1080" w:right="760"/>
        </w:sectPr>
      </w:pPr>
    </w:p>
    <w:tbl>
      <w:tblPr>
        <w:tblW w:w="0" w:type="auto"/>
        <w:jc w:val="left"/>
        <w:tblInd w:w="60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32"/>
        <w:gridCol w:w="5707"/>
        <w:gridCol w:w="1243"/>
      </w:tblGrid>
      <w:tr>
        <w:trPr>
          <w:trHeight w:val="544" w:hRule="atLeast"/>
        </w:trPr>
        <w:tc>
          <w:tcPr>
            <w:tcW w:w="143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707" w:type="dxa"/>
          </w:tcPr>
          <w:p>
            <w:pPr>
              <w:pStyle w:val="TableParagraph"/>
              <w:spacing w:line="266" w:lineRule="exact"/>
              <w:ind w:left="1887"/>
              <w:rPr>
                <w:b/>
                <w:sz w:val="24"/>
              </w:rPr>
            </w:pPr>
            <w:r>
              <w:rPr>
                <w:b/>
                <w:sz w:val="24"/>
              </w:rPr>
              <w:t>LIST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APPENDICES</w:t>
            </w:r>
          </w:p>
        </w:tc>
        <w:tc>
          <w:tcPr>
            <w:tcW w:w="1243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687" w:hRule="atLeast"/>
        </w:trPr>
        <w:tc>
          <w:tcPr>
            <w:tcW w:w="1432" w:type="dxa"/>
          </w:tcPr>
          <w:p>
            <w:pPr>
              <w:pStyle w:val="TableParagraph"/>
              <w:spacing w:before="4"/>
              <w:rPr>
                <w:b/>
                <w:sz w:val="23"/>
              </w:rPr>
            </w:pPr>
          </w:p>
          <w:p>
            <w:pPr>
              <w:pStyle w:val="TableParagraph"/>
              <w:ind w:left="29" w:right="208"/>
              <w:jc w:val="center"/>
              <w:rPr>
                <w:sz w:val="24"/>
              </w:rPr>
            </w:pPr>
            <w:r>
              <w:rPr>
                <w:sz w:val="24"/>
              </w:rPr>
              <w:t>Appendix I:</w:t>
            </w:r>
          </w:p>
        </w:tc>
        <w:tc>
          <w:tcPr>
            <w:tcW w:w="5707" w:type="dxa"/>
          </w:tcPr>
          <w:p>
            <w:pPr>
              <w:pStyle w:val="TableParagraph"/>
              <w:spacing w:before="4"/>
              <w:rPr>
                <w:b/>
                <w:sz w:val="23"/>
              </w:rPr>
            </w:pPr>
          </w:p>
          <w:p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Percentage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yield</w:t>
            </w:r>
          </w:p>
        </w:tc>
        <w:tc>
          <w:tcPr>
            <w:tcW w:w="1243" w:type="dxa"/>
          </w:tcPr>
          <w:p>
            <w:pPr>
              <w:pStyle w:val="TableParagraph"/>
              <w:spacing w:before="4"/>
              <w:rPr>
                <w:b/>
                <w:sz w:val="23"/>
              </w:rPr>
            </w:pPr>
          </w:p>
          <w:p>
            <w:pPr>
              <w:pStyle w:val="TableParagraph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141</w:t>
            </w:r>
          </w:p>
        </w:tc>
      </w:tr>
      <w:tr>
        <w:trPr>
          <w:trHeight w:val="559" w:hRule="atLeast"/>
        </w:trPr>
        <w:tc>
          <w:tcPr>
            <w:tcW w:w="1432" w:type="dxa"/>
          </w:tcPr>
          <w:p>
            <w:pPr>
              <w:pStyle w:val="TableParagraph"/>
              <w:spacing w:before="133"/>
              <w:ind w:left="14" w:right="113"/>
              <w:jc w:val="center"/>
              <w:rPr>
                <w:sz w:val="24"/>
              </w:rPr>
            </w:pPr>
            <w:r>
              <w:rPr>
                <w:sz w:val="24"/>
              </w:rPr>
              <w:t>Appendix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II:</w:t>
            </w:r>
          </w:p>
        </w:tc>
        <w:tc>
          <w:tcPr>
            <w:tcW w:w="5707" w:type="dxa"/>
          </w:tcPr>
          <w:p>
            <w:pPr>
              <w:pStyle w:val="TableParagraph"/>
              <w:spacing w:before="133"/>
              <w:ind w:left="57"/>
              <w:rPr>
                <w:sz w:val="24"/>
              </w:rPr>
            </w:pPr>
            <w:r>
              <w:rPr>
                <w:sz w:val="24"/>
              </w:rPr>
              <w:t>LD</w:t>
            </w:r>
            <w:r>
              <w:rPr>
                <w:sz w:val="24"/>
                <w:vertAlign w:val="subscript"/>
              </w:rPr>
              <w:t>50</w:t>
            </w:r>
            <w:r>
              <w:rPr>
                <w:spacing w:val="-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determination</w:t>
            </w:r>
            <w:r>
              <w:rPr>
                <w:spacing w:val="-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in</w:t>
            </w:r>
            <w:r>
              <w:rPr>
                <w:spacing w:val="-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rats,</w:t>
            </w:r>
            <w:r>
              <w:rPr>
                <w:spacing w:val="-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mice</w:t>
            </w:r>
            <w:r>
              <w:rPr>
                <w:spacing w:val="-2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and</w:t>
            </w:r>
            <w:r>
              <w:rPr>
                <w:spacing w:val="-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chicks</w:t>
            </w:r>
          </w:p>
        </w:tc>
        <w:tc>
          <w:tcPr>
            <w:tcW w:w="1243" w:type="dxa"/>
          </w:tcPr>
          <w:p>
            <w:pPr>
              <w:pStyle w:val="TableParagraph"/>
              <w:spacing w:before="133"/>
              <w:ind w:right="108"/>
              <w:jc w:val="right"/>
              <w:rPr>
                <w:sz w:val="24"/>
              </w:rPr>
            </w:pPr>
            <w:r>
              <w:rPr>
                <w:sz w:val="24"/>
              </w:rPr>
              <w:t>142</w:t>
            </w:r>
          </w:p>
        </w:tc>
      </w:tr>
      <w:tr>
        <w:trPr>
          <w:trHeight w:val="544" w:hRule="atLeast"/>
        </w:trPr>
        <w:tc>
          <w:tcPr>
            <w:tcW w:w="1432" w:type="dxa"/>
          </w:tcPr>
          <w:p>
            <w:pPr>
              <w:pStyle w:val="TableParagraph"/>
              <w:spacing w:before="126"/>
              <w:ind w:left="15" w:right="35"/>
              <w:jc w:val="center"/>
              <w:rPr>
                <w:sz w:val="24"/>
              </w:rPr>
            </w:pPr>
            <w:r>
              <w:rPr>
                <w:sz w:val="24"/>
              </w:rPr>
              <w:t>Appendix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III:</w:t>
            </w:r>
          </w:p>
        </w:tc>
        <w:tc>
          <w:tcPr>
            <w:tcW w:w="5707" w:type="dxa"/>
          </w:tcPr>
          <w:p>
            <w:pPr>
              <w:pStyle w:val="TableParagraph"/>
              <w:spacing w:before="126"/>
              <w:ind w:left="57"/>
              <w:rPr>
                <w:sz w:val="24"/>
              </w:rPr>
            </w:pPr>
            <w:r>
              <w:rPr>
                <w:sz w:val="24"/>
              </w:rPr>
              <w:t>Liver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enzymes;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hepatocellular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function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parameters</w:t>
            </w:r>
          </w:p>
        </w:tc>
        <w:tc>
          <w:tcPr>
            <w:tcW w:w="1243" w:type="dxa"/>
          </w:tcPr>
          <w:p>
            <w:pPr>
              <w:pStyle w:val="TableParagraph"/>
              <w:spacing w:before="126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147</w:t>
            </w:r>
          </w:p>
        </w:tc>
      </w:tr>
      <w:tr>
        <w:trPr>
          <w:trHeight w:val="551" w:hRule="atLeast"/>
        </w:trPr>
        <w:tc>
          <w:tcPr>
            <w:tcW w:w="1432" w:type="dxa"/>
          </w:tcPr>
          <w:p>
            <w:pPr>
              <w:pStyle w:val="TableParagraph"/>
              <w:spacing w:before="133"/>
              <w:ind w:left="29" w:right="34"/>
              <w:jc w:val="center"/>
              <w:rPr>
                <w:sz w:val="24"/>
              </w:rPr>
            </w:pPr>
            <w:r>
              <w:rPr>
                <w:sz w:val="24"/>
              </w:rPr>
              <w:t>Appendix IV:</w:t>
            </w:r>
          </w:p>
        </w:tc>
        <w:tc>
          <w:tcPr>
            <w:tcW w:w="5707" w:type="dxa"/>
          </w:tcPr>
          <w:p>
            <w:pPr>
              <w:pStyle w:val="TableParagraph"/>
              <w:spacing w:before="133"/>
              <w:ind w:left="57"/>
              <w:rPr>
                <w:sz w:val="24"/>
              </w:rPr>
            </w:pPr>
            <w:r>
              <w:rPr>
                <w:sz w:val="24"/>
              </w:rPr>
              <w:t>Liver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enzymes;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hepatobiliary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function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parameters</w:t>
            </w:r>
          </w:p>
        </w:tc>
        <w:tc>
          <w:tcPr>
            <w:tcW w:w="1243" w:type="dxa"/>
          </w:tcPr>
          <w:p>
            <w:pPr>
              <w:pStyle w:val="TableParagraph"/>
              <w:spacing w:before="133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148</w:t>
            </w:r>
          </w:p>
        </w:tc>
      </w:tr>
      <w:tr>
        <w:trPr>
          <w:trHeight w:val="408" w:hRule="atLeast"/>
        </w:trPr>
        <w:tc>
          <w:tcPr>
            <w:tcW w:w="1432" w:type="dxa"/>
          </w:tcPr>
          <w:p>
            <w:pPr>
              <w:pStyle w:val="TableParagraph"/>
              <w:spacing w:line="256" w:lineRule="exact" w:before="133"/>
              <w:ind w:left="29" w:right="111"/>
              <w:jc w:val="center"/>
              <w:rPr>
                <w:sz w:val="24"/>
              </w:rPr>
            </w:pPr>
            <w:r>
              <w:rPr>
                <w:sz w:val="24"/>
              </w:rPr>
              <w:t>Appendix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V:</w:t>
            </w:r>
          </w:p>
        </w:tc>
        <w:tc>
          <w:tcPr>
            <w:tcW w:w="5707" w:type="dxa"/>
          </w:tcPr>
          <w:p>
            <w:pPr>
              <w:pStyle w:val="TableParagraph"/>
              <w:spacing w:line="256" w:lineRule="exact" w:before="133"/>
              <w:ind w:left="57"/>
              <w:rPr>
                <w:sz w:val="24"/>
              </w:rPr>
            </w:pPr>
            <w:r>
              <w:rPr>
                <w:sz w:val="24"/>
              </w:rPr>
              <w:t>Kidney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function parameters</w:t>
            </w:r>
          </w:p>
        </w:tc>
        <w:tc>
          <w:tcPr>
            <w:tcW w:w="1243" w:type="dxa"/>
          </w:tcPr>
          <w:p>
            <w:pPr>
              <w:pStyle w:val="TableParagraph"/>
              <w:spacing w:line="256" w:lineRule="exact" w:before="133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149</w:t>
            </w:r>
          </w:p>
        </w:tc>
      </w:tr>
    </w:tbl>
    <w:p>
      <w:pPr>
        <w:spacing w:after="0" w:line="256" w:lineRule="exact"/>
        <w:jc w:val="right"/>
        <w:rPr>
          <w:sz w:val="24"/>
        </w:rPr>
        <w:sectPr>
          <w:pgSz w:w="12240" w:h="15840"/>
          <w:pgMar w:header="0" w:footer="792" w:top="1440" w:bottom="980" w:left="1080" w:right="760"/>
        </w:sectPr>
      </w:pPr>
    </w:p>
    <w:p>
      <w:pPr>
        <w:pStyle w:val="Heading1"/>
        <w:spacing w:before="76"/>
        <w:ind w:left="1498" w:right="1526"/>
        <w:jc w:val="center"/>
      </w:pPr>
      <w:r>
        <w:rPr/>
        <w:drawing>
          <wp:anchor distT="0" distB="0" distL="0" distR="0" allowOverlap="1" layoutInCell="1" locked="0" behindDoc="1" simplePos="0" relativeHeight="484911104">
            <wp:simplePos x="0" y="0"/>
            <wp:positionH relativeFrom="page">
              <wp:posOffset>2469514</wp:posOffset>
            </wp:positionH>
            <wp:positionV relativeFrom="paragraph">
              <wp:posOffset>1449618</wp:posOffset>
            </wp:positionV>
            <wp:extent cx="188975" cy="187451"/>
            <wp:effectExtent l="0" t="0" r="0" b="0"/>
            <wp:wrapNone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975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LIST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ABBREVIATION</w:t>
      </w:r>
    </w:p>
    <w:p>
      <w:pPr>
        <w:pStyle w:val="BodyText"/>
        <w:spacing w:before="8" w:after="1"/>
        <w:rPr>
          <w:b/>
        </w:rPr>
      </w:pPr>
    </w:p>
    <w:tbl>
      <w:tblPr>
        <w:tblW w:w="0" w:type="auto"/>
        <w:jc w:val="left"/>
        <w:tblInd w:w="60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95"/>
        <w:gridCol w:w="6168"/>
      </w:tblGrid>
      <w:tr>
        <w:trPr>
          <w:trHeight w:val="339" w:hRule="atLeast"/>
        </w:trPr>
        <w:tc>
          <w:tcPr>
            <w:tcW w:w="1595" w:type="dxa"/>
          </w:tcPr>
          <w:p>
            <w:pPr>
              <w:pStyle w:val="TableParagraph"/>
              <w:spacing w:line="266" w:lineRule="exact"/>
              <w:ind w:left="50"/>
              <w:rPr>
                <w:sz w:val="24"/>
              </w:rPr>
            </w:pPr>
            <w:r>
              <w:rPr>
                <w:sz w:val="24"/>
              </w:rPr>
              <w:t>ABC:</w:t>
            </w:r>
          </w:p>
        </w:tc>
        <w:tc>
          <w:tcPr>
            <w:tcW w:w="6168" w:type="dxa"/>
          </w:tcPr>
          <w:p>
            <w:pPr>
              <w:pStyle w:val="TableParagraph"/>
              <w:spacing w:line="266" w:lineRule="exact"/>
              <w:ind w:left="615"/>
              <w:rPr>
                <w:sz w:val="24"/>
              </w:rPr>
            </w:pPr>
            <w:r>
              <w:rPr>
                <w:sz w:val="24"/>
              </w:rPr>
              <w:t>ATP-Binding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Cassette</w:t>
            </w:r>
          </w:p>
        </w:tc>
      </w:tr>
      <w:tr>
        <w:trPr>
          <w:trHeight w:val="414" w:hRule="atLeast"/>
        </w:trPr>
        <w:tc>
          <w:tcPr>
            <w:tcW w:w="1595" w:type="dxa"/>
          </w:tcPr>
          <w:p>
            <w:pPr>
              <w:pStyle w:val="TableParagraph"/>
              <w:spacing w:before="63"/>
              <w:ind w:left="50"/>
              <w:rPr>
                <w:sz w:val="24"/>
              </w:rPr>
            </w:pPr>
            <w:r>
              <w:rPr>
                <w:sz w:val="24"/>
              </w:rPr>
              <w:t>AEDs:</w:t>
            </w:r>
          </w:p>
        </w:tc>
        <w:tc>
          <w:tcPr>
            <w:tcW w:w="6168" w:type="dxa"/>
          </w:tcPr>
          <w:p>
            <w:pPr>
              <w:pStyle w:val="TableParagraph"/>
              <w:spacing w:before="63"/>
              <w:ind w:left="615"/>
              <w:rPr>
                <w:sz w:val="24"/>
              </w:rPr>
            </w:pPr>
            <w:r>
              <w:rPr>
                <w:sz w:val="24"/>
              </w:rPr>
              <w:t>Antiepileptic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Drugs</w:t>
            </w:r>
          </w:p>
        </w:tc>
      </w:tr>
      <w:tr>
        <w:trPr>
          <w:trHeight w:val="414" w:hRule="atLeast"/>
        </w:trPr>
        <w:tc>
          <w:tcPr>
            <w:tcW w:w="1595" w:type="dxa"/>
          </w:tcPr>
          <w:p>
            <w:pPr>
              <w:pStyle w:val="TableParagraph"/>
              <w:spacing w:before="64"/>
              <w:ind w:left="50"/>
              <w:rPr>
                <w:sz w:val="24"/>
              </w:rPr>
            </w:pPr>
            <w:r>
              <w:rPr>
                <w:sz w:val="24"/>
              </w:rPr>
              <w:t>ALP:</w:t>
            </w:r>
          </w:p>
        </w:tc>
        <w:tc>
          <w:tcPr>
            <w:tcW w:w="6168" w:type="dxa"/>
          </w:tcPr>
          <w:p>
            <w:pPr>
              <w:pStyle w:val="TableParagraph"/>
              <w:spacing w:before="64"/>
              <w:ind w:left="615"/>
              <w:rPr>
                <w:sz w:val="24"/>
              </w:rPr>
            </w:pPr>
            <w:r>
              <w:rPr>
                <w:sz w:val="24"/>
              </w:rPr>
              <w:t>Alkaline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phosphatase</w:t>
            </w:r>
          </w:p>
        </w:tc>
      </w:tr>
      <w:tr>
        <w:trPr>
          <w:trHeight w:val="422" w:hRule="atLeast"/>
        </w:trPr>
        <w:tc>
          <w:tcPr>
            <w:tcW w:w="1595" w:type="dxa"/>
          </w:tcPr>
          <w:p>
            <w:pPr>
              <w:pStyle w:val="TableParagraph"/>
              <w:spacing w:before="63"/>
              <w:ind w:left="50"/>
              <w:rPr>
                <w:sz w:val="24"/>
              </w:rPr>
            </w:pPr>
            <w:r>
              <w:rPr>
                <w:sz w:val="24"/>
              </w:rPr>
              <w:t>ALT:</w:t>
            </w:r>
          </w:p>
        </w:tc>
        <w:tc>
          <w:tcPr>
            <w:tcW w:w="6168" w:type="dxa"/>
          </w:tcPr>
          <w:p>
            <w:pPr>
              <w:pStyle w:val="TableParagraph"/>
              <w:spacing w:before="63"/>
              <w:ind w:left="615"/>
              <w:rPr>
                <w:sz w:val="24"/>
              </w:rPr>
            </w:pPr>
            <w:r>
              <w:rPr>
                <w:sz w:val="24"/>
              </w:rPr>
              <w:t>Alanine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Aminotransferase</w:t>
            </w:r>
          </w:p>
        </w:tc>
      </w:tr>
      <w:tr>
        <w:trPr>
          <w:trHeight w:val="428" w:hRule="atLeast"/>
        </w:trPr>
        <w:tc>
          <w:tcPr>
            <w:tcW w:w="1595" w:type="dxa"/>
          </w:tcPr>
          <w:p>
            <w:pPr>
              <w:pStyle w:val="TableParagraph"/>
              <w:spacing w:before="73"/>
              <w:ind w:left="50"/>
              <w:rPr>
                <w:sz w:val="24"/>
              </w:rPr>
            </w:pPr>
            <w:r>
              <w:rPr>
                <w:sz w:val="24"/>
              </w:rPr>
              <w:t>AMPA:</w:t>
            </w:r>
          </w:p>
        </w:tc>
        <w:tc>
          <w:tcPr>
            <w:tcW w:w="6168" w:type="dxa"/>
          </w:tcPr>
          <w:p>
            <w:pPr>
              <w:pStyle w:val="TableParagraph"/>
              <w:spacing w:before="73"/>
              <w:ind w:left="764"/>
              <w:rPr>
                <w:sz w:val="24"/>
              </w:rPr>
            </w:pPr>
            <w:r>
              <w:rPr>
                <w:sz w:val="24"/>
              </w:rPr>
              <w:t>-amino-3-hydroxy-5-methyl-4-isoxazole-propionic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acid</w:t>
            </w:r>
          </w:p>
        </w:tc>
      </w:tr>
      <w:tr>
        <w:trPr>
          <w:trHeight w:val="418" w:hRule="atLeast"/>
        </w:trPr>
        <w:tc>
          <w:tcPr>
            <w:tcW w:w="1595" w:type="dxa"/>
          </w:tcPr>
          <w:p>
            <w:pPr>
              <w:pStyle w:val="TableParagraph"/>
              <w:spacing w:before="69"/>
              <w:ind w:left="50"/>
              <w:rPr>
                <w:sz w:val="24"/>
              </w:rPr>
            </w:pPr>
            <w:r>
              <w:rPr>
                <w:sz w:val="24"/>
              </w:rPr>
              <w:t>ANOVA:</w:t>
            </w:r>
          </w:p>
        </w:tc>
        <w:tc>
          <w:tcPr>
            <w:tcW w:w="6168" w:type="dxa"/>
          </w:tcPr>
          <w:p>
            <w:pPr>
              <w:pStyle w:val="TableParagraph"/>
              <w:spacing w:before="69"/>
              <w:ind w:left="615"/>
              <w:rPr>
                <w:sz w:val="24"/>
              </w:rPr>
            </w:pPr>
            <w:r>
              <w:rPr>
                <w:sz w:val="24"/>
              </w:rPr>
              <w:t>Analysis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Variance</w:t>
            </w:r>
          </w:p>
        </w:tc>
      </w:tr>
      <w:tr>
        <w:trPr>
          <w:trHeight w:val="414" w:hRule="atLeast"/>
        </w:trPr>
        <w:tc>
          <w:tcPr>
            <w:tcW w:w="1595" w:type="dxa"/>
          </w:tcPr>
          <w:p>
            <w:pPr>
              <w:pStyle w:val="TableParagraph"/>
              <w:spacing w:before="63"/>
              <w:ind w:left="50"/>
              <w:rPr>
                <w:sz w:val="24"/>
              </w:rPr>
            </w:pPr>
            <w:r>
              <w:rPr>
                <w:sz w:val="24"/>
              </w:rPr>
              <w:t>AST:</w:t>
            </w:r>
          </w:p>
        </w:tc>
        <w:tc>
          <w:tcPr>
            <w:tcW w:w="6168" w:type="dxa"/>
          </w:tcPr>
          <w:p>
            <w:pPr>
              <w:pStyle w:val="TableParagraph"/>
              <w:spacing w:before="63"/>
              <w:ind w:left="615"/>
              <w:rPr>
                <w:sz w:val="24"/>
              </w:rPr>
            </w:pPr>
            <w:r>
              <w:rPr>
                <w:sz w:val="24"/>
              </w:rPr>
              <w:t>Aspartate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Aminotransferase</w:t>
            </w:r>
          </w:p>
        </w:tc>
      </w:tr>
      <w:tr>
        <w:trPr>
          <w:trHeight w:val="414" w:hRule="atLeast"/>
        </w:trPr>
        <w:tc>
          <w:tcPr>
            <w:tcW w:w="1595" w:type="dxa"/>
          </w:tcPr>
          <w:p>
            <w:pPr>
              <w:pStyle w:val="TableParagraph"/>
              <w:spacing w:before="65"/>
              <w:ind w:left="50"/>
              <w:rPr>
                <w:sz w:val="24"/>
              </w:rPr>
            </w:pPr>
            <w:r>
              <w:rPr>
                <w:sz w:val="24"/>
              </w:rPr>
              <w:t>ATP:</w:t>
            </w:r>
          </w:p>
        </w:tc>
        <w:tc>
          <w:tcPr>
            <w:tcW w:w="6168" w:type="dxa"/>
          </w:tcPr>
          <w:p>
            <w:pPr>
              <w:pStyle w:val="TableParagraph"/>
              <w:spacing w:before="65"/>
              <w:ind w:left="615"/>
              <w:rPr>
                <w:sz w:val="24"/>
              </w:rPr>
            </w:pPr>
            <w:r>
              <w:rPr>
                <w:sz w:val="24"/>
              </w:rPr>
              <w:t>Adenosine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Triphosphate</w:t>
            </w:r>
          </w:p>
        </w:tc>
      </w:tr>
      <w:tr>
        <w:trPr>
          <w:trHeight w:val="413" w:hRule="atLeast"/>
        </w:trPr>
        <w:tc>
          <w:tcPr>
            <w:tcW w:w="1595" w:type="dxa"/>
          </w:tcPr>
          <w:p>
            <w:pPr>
              <w:pStyle w:val="TableParagraph"/>
              <w:spacing w:before="63"/>
              <w:ind w:left="50"/>
              <w:rPr>
                <w:sz w:val="24"/>
              </w:rPr>
            </w:pPr>
            <w:r>
              <w:rPr>
                <w:sz w:val="24"/>
              </w:rPr>
              <w:t>BCG:</w:t>
            </w:r>
          </w:p>
        </w:tc>
        <w:tc>
          <w:tcPr>
            <w:tcW w:w="6168" w:type="dxa"/>
          </w:tcPr>
          <w:p>
            <w:pPr>
              <w:pStyle w:val="TableParagraph"/>
              <w:spacing w:before="63"/>
              <w:ind w:left="615"/>
              <w:rPr>
                <w:sz w:val="24"/>
              </w:rPr>
            </w:pPr>
            <w:r>
              <w:rPr>
                <w:sz w:val="24"/>
              </w:rPr>
              <w:t>Bromocresol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Green</w:t>
            </w:r>
          </w:p>
        </w:tc>
      </w:tr>
      <w:tr>
        <w:trPr>
          <w:trHeight w:val="394" w:hRule="atLeast"/>
        </w:trPr>
        <w:tc>
          <w:tcPr>
            <w:tcW w:w="1595" w:type="dxa"/>
          </w:tcPr>
          <w:p>
            <w:pPr>
              <w:pStyle w:val="TableParagraph"/>
              <w:spacing w:before="64"/>
              <w:ind w:left="50"/>
              <w:rPr>
                <w:sz w:val="24"/>
              </w:rPr>
            </w:pPr>
            <w:r>
              <w:rPr>
                <w:sz w:val="24"/>
              </w:rPr>
              <w:t>BCRP:</w:t>
            </w:r>
          </w:p>
        </w:tc>
        <w:tc>
          <w:tcPr>
            <w:tcW w:w="6168" w:type="dxa"/>
          </w:tcPr>
          <w:p>
            <w:pPr>
              <w:pStyle w:val="TableParagraph"/>
              <w:spacing w:before="64"/>
              <w:ind w:left="615"/>
              <w:rPr>
                <w:sz w:val="24"/>
              </w:rPr>
            </w:pPr>
            <w:r>
              <w:rPr>
                <w:sz w:val="24"/>
              </w:rPr>
              <w:t>Breast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Cancer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Resistant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Protein</w:t>
            </w:r>
          </w:p>
        </w:tc>
      </w:tr>
      <w:tr>
        <w:trPr>
          <w:trHeight w:val="413" w:hRule="atLeast"/>
        </w:trPr>
        <w:tc>
          <w:tcPr>
            <w:tcW w:w="1595" w:type="dxa"/>
          </w:tcPr>
          <w:p>
            <w:pPr>
              <w:pStyle w:val="TableParagraph"/>
              <w:spacing w:before="83"/>
              <w:ind w:left="50"/>
              <w:rPr>
                <w:sz w:val="24"/>
              </w:rPr>
            </w:pPr>
            <w:r>
              <w:rPr>
                <w:sz w:val="24"/>
              </w:rPr>
              <w:t>Ca</w:t>
            </w:r>
            <w:r>
              <w:rPr>
                <w:sz w:val="24"/>
                <w:vertAlign w:val="superscript"/>
              </w:rPr>
              <w:t>++</w:t>
            </w:r>
            <w:r>
              <w:rPr>
                <w:sz w:val="24"/>
                <w:vertAlign w:val="baseline"/>
              </w:rPr>
              <w:t>:</w:t>
            </w:r>
          </w:p>
        </w:tc>
        <w:tc>
          <w:tcPr>
            <w:tcW w:w="6168" w:type="dxa"/>
          </w:tcPr>
          <w:p>
            <w:pPr>
              <w:pStyle w:val="TableParagraph"/>
              <w:spacing w:before="83"/>
              <w:ind w:left="615"/>
              <w:rPr>
                <w:sz w:val="24"/>
              </w:rPr>
            </w:pPr>
            <w:r>
              <w:rPr>
                <w:sz w:val="24"/>
              </w:rPr>
              <w:t>Calcium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ions</w:t>
            </w:r>
          </w:p>
        </w:tc>
      </w:tr>
      <w:tr>
        <w:trPr>
          <w:trHeight w:val="433" w:hRule="atLeast"/>
        </w:trPr>
        <w:tc>
          <w:tcPr>
            <w:tcW w:w="1595" w:type="dxa"/>
          </w:tcPr>
          <w:p>
            <w:pPr>
              <w:pStyle w:val="TableParagraph"/>
              <w:spacing w:before="84"/>
              <w:ind w:left="50"/>
              <w:rPr>
                <w:sz w:val="24"/>
              </w:rPr>
            </w:pPr>
            <w:r>
              <w:rPr>
                <w:sz w:val="24"/>
              </w:rPr>
              <w:t>Cl</w:t>
            </w:r>
            <w:r>
              <w:rPr>
                <w:sz w:val="24"/>
                <w:vertAlign w:val="superscript"/>
              </w:rPr>
              <w:t>-</w:t>
            </w:r>
            <w:r>
              <w:rPr>
                <w:sz w:val="24"/>
                <w:vertAlign w:val="baseline"/>
              </w:rPr>
              <w:t>:</w:t>
            </w:r>
          </w:p>
        </w:tc>
        <w:tc>
          <w:tcPr>
            <w:tcW w:w="6168" w:type="dxa"/>
          </w:tcPr>
          <w:p>
            <w:pPr>
              <w:pStyle w:val="TableParagraph"/>
              <w:spacing w:before="84"/>
              <w:ind w:left="615"/>
              <w:rPr>
                <w:sz w:val="24"/>
              </w:rPr>
            </w:pPr>
            <w:r>
              <w:rPr>
                <w:sz w:val="24"/>
              </w:rPr>
              <w:t>Chloride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ions</w:t>
            </w:r>
          </w:p>
        </w:tc>
      </w:tr>
      <w:tr>
        <w:trPr>
          <w:trHeight w:val="413" w:hRule="atLeast"/>
        </w:trPr>
        <w:tc>
          <w:tcPr>
            <w:tcW w:w="1595" w:type="dxa"/>
          </w:tcPr>
          <w:p>
            <w:pPr>
              <w:pStyle w:val="TableParagraph"/>
              <w:spacing w:before="63"/>
              <w:ind w:left="50"/>
              <w:rPr>
                <w:sz w:val="24"/>
              </w:rPr>
            </w:pPr>
            <w:r>
              <w:rPr>
                <w:sz w:val="24"/>
              </w:rPr>
              <w:t>CNS:</w:t>
            </w:r>
          </w:p>
        </w:tc>
        <w:tc>
          <w:tcPr>
            <w:tcW w:w="6168" w:type="dxa"/>
          </w:tcPr>
          <w:p>
            <w:pPr>
              <w:pStyle w:val="TableParagraph"/>
              <w:spacing w:before="63"/>
              <w:ind w:left="615"/>
              <w:rPr>
                <w:sz w:val="24"/>
              </w:rPr>
            </w:pPr>
            <w:r>
              <w:rPr>
                <w:sz w:val="24"/>
              </w:rPr>
              <w:t>Central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Nervous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System</w:t>
            </w:r>
          </w:p>
        </w:tc>
      </w:tr>
      <w:tr>
        <w:trPr>
          <w:trHeight w:val="413" w:hRule="atLeast"/>
        </w:trPr>
        <w:tc>
          <w:tcPr>
            <w:tcW w:w="1595" w:type="dxa"/>
          </w:tcPr>
          <w:p>
            <w:pPr>
              <w:pStyle w:val="TableParagraph"/>
              <w:spacing w:before="64"/>
              <w:ind w:left="50"/>
              <w:rPr>
                <w:sz w:val="24"/>
              </w:rPr>
            </w:pPr>
            <w:r>
              <w:rPr>
                <w:sz w:val="24"/>
              </w:rPr>
              <w:t>CRH:</w:t>
            </w:r>
          </w:p>
        </w:tc>
        <w:tc>
          <w:tcPr>
            <w:tcW w:w="6168" w:type="dxa"/>
          </w:tcPr>
          <w:p>
            <w:pPr>
              <w:pStyle w:val="TableParagraph"/>
              <w:spacing w:before="64"/>
              <w:ind w:left="615"/>
              <w:rPr>
                <w:sz w:val="24"/>
              </w:rPr>
            </w:pPr>
            <w:r>
              <w:rPr>
                <w:sz w:val="24"/>
              </w:rPr>
              <w:t>Corticotrophin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Releasing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Hormone</w:t>
            </w:r>
          </w:p>
        </w:tc>
      </w:tr>
      <w:tr>
        <w:trPr>
          <w:trHeight w:val="414" w:hRule="atLeast"/>
        </w:trPr>
        <w:tc>
          <w:tcPr>
            <w:tcW w:w="1595" w:type="dxa"/>
          </w:tcPr>
          <w:p>
            <w:pPr>
              <w:pStyle w:val="TableParagraph"/>
              <w:spacing w:before="63"/>
              <w:ind w:left="50"/>
              <w:rPr>
                <w:sz w:val="24"/>
              </w:rPr>
            </w:pPr>
            <w:r>
              <w:rPr>
                <w:sz w:val="24"/>
              </w:rPr>
              <w:t>CSF:</w:t>
            </w:r>
          </w:p>
        </w:tc>
        <w:tc>
          <w:tcPr>
            <w:tcW w:w="6168" w:type="dxa"/>
          </w:tcPr>
          <w:p>
            <w:pPr>
              <w:pStyle w:val="TableParagraph"/>
              <w:spacing w:before="63"/>
              <w:ind w:left="615"/>
              <w:rPr>
                <w:sz w:val="24"/>
              </w:rPr>
            </w:pPr>
            <w:r>
              <w:rPr>
                <w:sz w:val="24"/>
              </w:rPr>
              <w:t>Cerebrospinal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fluid</w:t>
            </w:r>
          </w:p>
        </w:tc>
      </w:tr>
      <w:tr>
        <w:trPr>
          <w:trHeight w:val="414" w:hRule="atLeast"/>
        </w:trPr>
        <w:tc>
          <w:tcPr>
            <w:tcW w:w="1595" w:type="dxa"/>
          </w:tcPr>
          <w:p>
            <w:pPr>
              <w:pStyle w:val="TableParagraph"/>
              <w:spacing w:before="64"/>
              <w:ind w:left="50"/>
              <w:rPr>
                <w:sz w:val="24"/>
              </w:rPr>
            </w:pPr>
            <w:r>
              <w:rPr>
                <w:sz w:val="24"/>
              </w:rPr>
              <w:t>DBS:</w:t>
            </w:r>
          </w:p>
        </w:tc>
        <w:tc>
          <w:tcPr>
            <w:tcW w:w="6168" w:type="dxa"/>
          </w:tcPr>
          <w:p>
            <w:pPr>
              <w:pStyle w:val="TableParagraph"/>
              <w:spacing w:before="64"/>
              <w:ind w:left="615"/>
              <w:rPr>
                <w:sz w:val="24"/>
              </w:rPr>
            </w:pPr>
            <w:r>
              <w:rPr>
                <w:sz w:val="24"/>
              </w:rPr>
              <w:t>Deep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Brain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Stimulation</w:t>
            </w:r>
          </w:p>
        </w:tc>
      </w:tr>
      <w:tr>
        <w:trPr>
          <w:trHeight w:val="413" w:hRule="atLeast"/>
        </w:trPr>
        <w:tc>
          <w:tcPr>
            <w:tcW w:w="1595" w:type="dxa"/>
          </w:tcPr>
          <w:p>
            <w:pPr>
              <w:pStyle w:val="TableParagraph"/>
              <w:spacing w:before="63"/>
              <w:ind w:left="50"/>
              <w:rPr>
                <w:sz w:val="24"/>
              </w:rPr>
            </w:pPr>
            <w:r>
              <w:rPr>
                <w:sz w:val="24"/>
              </w:rPr>
              <w:t>DM:</w:t>
            </w:r>
          </w:p>
        </w:tc>
        <w:tc>
          <w:tcPr>
            <w:tcW w:w="6168" w:type="dxa"/>
          </w:tcPr>
          <w:p>
            <w:pPr>
              <w:pStyle w:val="TableParagraph"/>
              <w:spacing w:before="63"/>
              <w:ind w:left="615"/>
              <w:rPr>
                <w:i/>
                <w:sz w:val="24"/>
              </w:rPr>
            </w:pPr>
            <w:r>
              <w:rPr>
                <w:i/>
                <w:sz w:val="24"/>
              </w:rPr>
              <w:t>Diospyros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mespiliformis</w:t>
            </w:r>
          </w:p>
        </w:tc>
      </w:tr>
      <w:tr>
        <w:trPr>
          <w:trHeight w:val="413" w:hRule="atLeast"/>
        </w:trPr>
        <w:tc>
          <w:tcPr>
            <w:tcW w:w="1595" w:type="dxa"/>
          </w:tcPr>
          <w:p>
            <w:pPr>
              <w:pStyle w:val="TableParagraph"/>
              <w:spacing w:before="64"/>
              <w:ind w:left="50"/>
              <w:rPr>
                <w:sz w:val="24"/>
              </w:rPr>
            </w:pPr>
            <w:r>
              <w:rPr>
                <w:sz w:val="24"/>
              </w:rPr>
              <w:t>EEG:</w:t>
            </w:r>
          </w:p>
        </w:tc>
        <w:tc>
          <w:tcPr>
            <w:tcW w:w="6168" w:type="dxa"/>
          </w:tcPr>
          <w:p>
            <w:pPr>
              <w:pStyle w:val="TableParagraph"/>
              <w:spacing w:before="64"/>
              <w:ind w:left="615"/>
              <w:rPr>
                <w:sz w:val="24"/>
              </w:rPr>
            </w:pPr>
            <w:r>
              <w:rPr>
                <w:sz w:val="24"/>
              </w:rPr>
              <w:t>Electro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Encephalograph</w:t>
            </w:r>
          </w:p>
        </w:tc>
      </w:tr>
      <w:tr>
        <w:trPr>
          <w:trHeight w:val="412" w:hRule="atLeast"/>
        </w:trPr>
        <w:tc>
          <w:tcPr>
            <w:tcW w:w="1595" w:type="dxa"/>
          </w:tcPr>
          <w:p>
            <w:pPr>
              <w:pStyle w:val="TableParagraph"/>
              <w:spacing w:before="63"/>
              <w:ind w:left="50"/>
              <w:rPr>
                <w:sz w:val="24"/>
              </w:rPr>
            </w:pPr>
            <w:r>
              <w:rPr>
                <w:sz w:val="24"/>
              </w:rPr>
              <w:t>EHC:</w:t>
            </w:r>
          </w:p>
        </w:tc>
        <w:tc>
          <w:tcPr>
            <w:tcW w:w="6168" w:type="dxa"/>
          </w:tcPr>
          <w:p>
            <w:pPr>
              <w:pStyle w:val="TableParagraph"/>
              <w:spacing w:before="63"/>
              <w:ind w:left="615"/>
              <w:rPr>
                <w:sz w:val="24"/>
              </w:rPr>
            </w:pPr>
            <w:r>
              <w:rPr>
                <w:sz w:val="24"/>
              </w:rPr>
              <w:t>Environmental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Health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Criteria</w:t>
            </w:r>
          </w:p>
        </w:tc>
      </w:tr>
      <w:tr>
        <w:trPr>
          <w:trHeight w:val="413" w:hRule="atLeast"/>
        </w:trPr>
        <w:tc>
          <w:tcPr>
            <w:tcW w:w="1595" w:type="dxa"/>
          </w:tcPr>
          <w:p>
            <w:pPr>
              <w:pStyle w:val="TableParagraph"/>
              <w:spacing w:before="63"/>
              <w:ind w:left="50"/>
              <w:rPr>
                <w:sz w:val="24"/>
              </w:rPr>
            </w:pPr>
            <w:r>
              <w:rPr>
                <w:sz w:val="24"/>
              </w:rPr>
              <w:t>GABA:</w:t>
            </w:r>
          </w:p>
        </w:tc>
        <w:tc>
          <w:tcPr>
            <w:tcW w:w="6168" w:type="dxa"/>
          </w:tcPr>
          <w:p>
            <w:pPr>
              <w:pStyle w:val="TableParagraph"/>
              <w:spacing w:before="63"/>
              <w:ind w:left="615"/>
              <w:rPr>
                <w:sz w:val="24"/>
              </w:rPr>
            </w:pPr>
            <w:r>
              <w:rPr>
                <w:sz w:val="24"/>
              </w:rPr>
              <w:t>Gamma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Amino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Butyric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Acid</w:t>
            </w:r>
          </w:p>
        </w:tc>
      </w:tr>
      <w:tr>
        <w:trPr>
          <w:trHeight w:val="414" w:hRule="atLeast"/>
        </w:trPr>
        <w:tc>
          <w:tcPr>
            <w:tcW w:w="1595" w:type="dxa"/>
          </w:tcPr>
          <w:p>
            <w:pPr>
              <w:pStyle w:val="TableParagraph"/>
              <w:spacing w:before="64"/>
              <w:ind w:left="50"/>
              <w:rPr>
                <w:sz w:val="24"/>
              </w:rPr>
            </w:pPr>
            <w:r>
              <w:rPr>
                <w:sz w:val="24"/>
              </w:rPr>
              <w:t>GAT:</w:t>
            </w:r>
          </w:p>
        </w:tc>
        <w:tc>
          <w:tcPr>
            <w:tcW w:w="6168" w:type="dxa"/>
          </w:tcPr>
          <w:p>
            <w:pPr>
              <w:pStyle w:val="TableParagraph"/>
              <w:spacing w:before="64"/>
              <w:ind w:left="615"/>
              <w:rPr>
                <w:sz w:val="24"/>
              </w:rPr>
            </w:pPr>
            <w:r>
              <w:rPr>
                <w:sz w:val="24"/>
              </w:rPr>
              <w:t>GABA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transporters</w:t>
            </w:r>
          </w:p>
        </w:tc>
      </w:tr>
      <w:tr>
        <w:trPr>
          <w:trHeight w:val="413" w:hRule="atLeast"/>
        </w:trPr>
        <w:tc>
          <w:tcPr>
            <w:tcW w:w="1595" w:type="dxa"/>
          </w:tcPr>
          <w:p>
            <w:pPr>
              <w:pStyle w:val="TableParagraph"/>
              <w:spacing w:before="63"/>
              <w:ind w:left="50"/>
              <w:rPr>
                <w:sz w:val="24"/>
              </w:rPr>
            </w:pPr>
            <w:r>
              <w:rPr>
                <w:sz w:val="24"/>
              </w:rPr>
              <w:t>GFR:</w:t>
            </w:r>
          </w:p>
        </w:tc>
        <w:tc>
          <w:tcPr>
            <w:tcW w:w="6168" w:type="dxa"/>
          </w:tcPr>
          <w:p>
            <w:pPr>
              <w:pStyle w:val="TableParagraph"/>
              <w:spacing w:before="63"/>
              <w:ind w:left="615"/>
              <w:rPr>
                <w:sz w:val="24"/>
              </w:rPr>
            </w:pPr>
            <w:r>
              <w:rPr>
                <w:sz w:val="24"/>
              </w:rPr>
              <w:t>Glomerular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Filteration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Rate</w:t>
            </w:r>
          </w:p>
        </w:tc>
      </w:tr>
      <w:tr>
        <w:trPr>
          <w:trHeight w:val="413" w:hRule="atLeast"/>
        </w:trPr>
        <w:tc>
          <w:tcPr>
            <w:tcW w:w="1595" w:type="dxa"/>
          </w:tcPr>
          <w:p>
            <w:pPr>
              <w:pStyle w:val="TableParagraph"/>
              <w:spacing w:before="64"/>
              <w:ind w:left="50"/>
              <w:rPr>
                <w:sz w:val="24"/>
              </w:rPr>
            </w:pPr>
            <w:r>
              <w:rPr>
                <w:sz w:val="24"/>
              </w:rPr>
              <w:t>i.p.:</w:t>
            </w:r>
          </w:p>
        </w:tc>
        <w:tc>
          <w:tcPr>
            <w:tcW w:w="6168" w:type="dxa"/>
          </w:tcPr>
          <w:p>
            <w:pPr>
              <w:pStyle w:val="TableParagraph"/>
              <w:spacing w:before="64"/>
              <w:ind w:left="615"/>
              <w:rPr>
                <w:sz w:val="24"/>
              </w:rPr>
            </w:pPr>
            <w:r>
              <w:rPr>
                <w:sz w:val="24"/>
              </w:rPr>
              <w:t>intraperitoneal</w:t>
            </w:r>
          </w:p>
        </w:tc>
      </w:tr>
      <w:tr>
        <w:trPr>
          <w:trHeight w:val="394" w:hRule="atLeast"/>
        </w:trPr>
        <w:tc>
          <w:tcPr>
            <w:tcW w:w="1595" w:type="dxa"/>
          </w:tcPr>
          <w:p>
            <w:pPr>
              <w:pStyle w:val="TableParagraph"/>
              <w:spacing w:before="63"/>
              <w:ind w:left="50"/>
              <w:rPr>
                <w:sz w:val="24"/>
              </w:rPr>
            </w:pPr>
            <w:r>
              <w:rPr>
                <w:sz w:val="24"/>
              </w:rPr>
              <w:t>ILAE:</w:t>
            </w:r>
          </w:p>
        </w:tc>
        <w:tc>
          <w:tcPr>
            <w:tcW w:w="6168" w:type="dxa"/>
          </w:tcPr>
          <w:p>
            <w:pPr>
              <w:pStyle w:val="TableParagraph"/>
              <w:spacing w:before="63"/>
              <w:ind w:left="615"/>
              <w:rPr>
                <w:sz w:val="24"/>
              </w:rPr>
            </w:pPr>
            <w:r>
              <w:rPr>
                <w:sz w:val="24"/>
              </w:rPr>
              <w:t>International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League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against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epilepsy</w:t>
            </w:r>
          </w:p>
        </w:tc>
      </w:tr>
      <w:tr>
        <w:trPr>
          <w:trHeight w:val="434" w:hRule="atLeast"/>
        </w:trPr>
        <w:tc>
          <w:tcPr>
            <w:tcW w:w="1595" w:type="dxa"/>
          </w:tcPr>
          <w:p>
            <w:pPr>
              <w:pStyle w:val="TableParagraph"/>
              <w:spacing w:before="84"/>
              <w:ind w:left="50"/>
              <w:rPr>
                <w:sz w:val="24"/>
              </w:rPr>
            </w:pPr>
            <w:r>
              <w:rPr>
                <w:sz w:val="24"/>
              </w:rPr>
              <w:t>K</w:t>
            </w:r>
            <w:r>
              <w:rPr>
                <w:sz w:val="24"/>
                <w:vertAlign w:val="superscript"/>
              </w:rPr>
              <w:t>+</w:t>
            </w:r>
            <w:r>
              <w:rPr>
                <w:sz w:val="24"/>
                <w:vertAlign w:val="baseline"/>
              </w:rPr>
              <w:t>:</w:t>
            </w:r>
          </w:p>
        </w:tc>
        <w:tc>
          <w:tcPr>
            <w:tcW w:w="6168" w:type="dxa"/>
          </w:tcPr>
          <w:p>
            <w:pPr>
              <w:pStyle w:val="TableParagraph"/>
              <w:spacing w:before="84"/>
              <w:ind w:left="615"/>
              <w:rPr>
                <w:sz w:val="24"/>
              </w:rPr>
            </w:pPr>
            <w:r>
              <w:rPr>
                <w:sz w:val="24"/>
              </w:rPr>
              <w:t>Potassium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ions</w:t>
            </w:r>
          </w:p>
        </w:tc>
      </w:tr>
      <w:tr>
        <w:trPr>
          <w:trHeight w:val="413" w:hRule="atLeast"/>
        </w:trPr>
        <w:tc>
          <w:tcPr>
            <w:tcW w:w="1595" w:type="dxa"/>
          </w:tcPr>
          <w:p>
            <w:pPr>
              <w:pStyle w:val="TableParagraph"/>
              <w:spacing w:before="63"/>
              <w:ind w:left="50"/>
              <w:rPr>
                <w:sz w:val="24"/>
              </w:rPr>
            </w:pPr>
            <w:r>
              <w:rPr>
                <w:sz w:val="24"/>
              </w:rPr>
              <w:t>KA:</w:t>
            </w:r>
          </w:p>
        </w:tc>
        <w:tc>
          <w:tcPr>
            <w:tcW w:w="6168" w:type="dxa"/>
          </w:tcPr>
          <w:p>
            <w:pPr>
              <w:pStyle w:val="TableParagraph"/>
              <w:spacing w:before="63"/>
              <w:ind w:left="615"/>
              <w:rPr>
                <w:sz w:val="24"/>
              </w:rPr>
            </w:pPr>
            <w:r>
              <w:rPr>
                <w:sz w:val="24"/>
              </w:rPr>
              <w:t>Kainate</w:t>
            </w:r>
          </w:p>
        </w:tc>
      </w:tr>
      <w:tr>
        <w:trPr>
          <w:trHeight w:val="421" w:hRule="atLeast"/>
        </w:trPr>
        <w:tc>
          <w:tcPr>
            <w:tcW w:w="1595" w:type="dxa"/>
          </w:tcPr>
          <w:p>
            <w:pPr>
              <w:pStyle w:val="TableParagraph"/>
              <w:spacing w:before="64"/>
              <w:ind w:left="50"/>
              <w:rPr>
                <w:sz w:val="24"/>
              </w:rPr>
            </w:pPr>
            <w:r>
              <w:rPr>
                <w:sz w:val="24"/>
              </w:rPr>
              <w:t>LD</w:t>
            </w:r>
            <w:r>
              <w:rPr>
                <w:sz w:val="24"/>
                <w:vertAlign w:val="subscript"/>
              </w:rPr>
              <w:t>50</w:t>
            </w:r>
            <w:r>
              <w:rPr>
                <w:sz w:val="24"/>
                <w:vertAlign w:val="baseline"/>
              </w:rPr>
              <w:t>:</w:t>
            </w:r>
          </w:p>
        </w:tc>
        <w:tc>
          <w:tcPr>
            <w:tcW w:w="6168" w:type="dxa"/>
          </w:tcPr>
          <w:p>
            <w:pPr>
              <w:pStyle w:val="TableParagraph"/>
              <w:spacing w:before="64"/>
              <w:ind w:left="615"/>
              <w:rPr>
                <w:sz w:val="24"/>
              </w:rPr>
            </w:pPr>
            <w:r>
              <w:rPr>
                <w:sz w:val="24"/>
              </w:rPr>
              <w:t>Lethal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dose</w:t>
            </w:r>
          </w:p>
        </w:tc>
      </w:tr>
      <w:tr>
        <w:trPr>
          <w:trHeight w:val="406" w:hRule="atLeast"/>
        </w:trPr>
        <w:tc>
          <w:tcPr>
            <w:tcW w:w="1595" w:type="dxa"/>
          </w:tcPr>
          <w:p>
            <w:pPr>
              <w:pStyle w:val="TableParagraph"/>
              <w:spacing w:before="56"/>
              <w:ind w:left="50"/>
              <w:rPr>
                <w:sz w:val="24"/>
              </w:rPr>
            </w:pPr>
            <w:r>
              <w:rPr>
                <w:sz w:val="24"/>
              </w:rPr>
              <w:t>MES:</w:t>
            </w:r>
          </w:p>
        </w:tc>
        <w:tc>
          <w:tcPr>
            <w:tcW w:w="6168" w:type="dxa"/>
          </w:tcPr>
          <w:p>
            <w:pPr>
              <w:pStyle w:val="TableParagraph"/>
              <w:spacing w:before="56"/>
              <w:ind w:left="615"/>
              <w:rPr>
                <w:sz w:val="24"/>
              </w:rPr>
            </w:pPr>
            <w:r>
              <w:rPr>
                <w:sz w:val="24"/>
              </w:rPr>
              <w:t>Maximal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Electroshock</w:t>
            </w:r>
          </w:p>
        </w:tc>
      </w:tr>
      <w:tr>
        <w:trPr>
          <w:trHeight w:val="394" w:hRule="atLeast"/>
        </w:trPr>
        <w:tc>
          <w:tcPr>
            <w:tcW w:w="1595" w:type="dxa"/>
          </w:tcPr>
          <w:p>
            <w:pPr>
              <w:pStyle w:val="TableParagraph"/>
              <w:spacing w:before="64"/>
              <w:ind w:left="50"/>
              <w:rPr>
                <w:sz w:val="24"/>
              </w:rPr>
            </w:pPr>
            <w:r>
              <w:rPr>
                <w:sz w:val="24"/>
              </w:rPr>
              <w:t>MRP-1:</w:t>
            </w:r>
          </w:p>
        </w:tc>
        <w:tc>
          <w:tcPr>
            <w:tcW w:w="6168" w:type="dxa"/>
          </w:tcPr>
          <w:p>
            <w:pPr>
              <w:pStyle w:val="TableParagraph"/>
              <w:spacing w:before="64"/>
              <w:ind w:left="615"/>
              <w:rPr>
                <w:sz w:val="24"/>
              </w:rPr>
            </w:pPr>
            <w:r>
              <w:rPr>
                <w:sz w:val="24"/>
              </w:rPr>
              <w:t>Multi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Resistant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Proteins</w:t>
            </w:r>
          </w:p>
        </w:tc>
      </w:tr>
      <w:tr>
        <w:trPr>
          <w:trHeight w:val="359" w:hRule="atLeast"/>
        </w:trPr>
        <w:tc>
          <w:tcPr>
            <w:tcW w:w="1595" w:type="dxa"/>
          </w:tcPr>
          <w:p>
            <w:pPr>
              <w:pStyle w:val="TableParagraph"/>
              <w:spacing w:line="256" w:lineRule="exact" w:before="83"/>
              <w:ind w:left="50"/>
              <w:rPr>
                <w:sz w:val="24"/>
              </w:rPr>
            </w:pPr>
            <w:r>
              <w:rPr>
                <w:sz w:val="24"/>
              </w:rPr>
              <w:t>Na</w:t>
            </w:r>
            <w:r>
              <w:rPr>
                <w:sz w:val="24"/>
                <w:vertAlign w:val="superscript"/>
              </w:rPr>
              <w:t>+</w:t>
            </w:r>
            <w:r>
              <w:rPr>
                <w:sz w:val="24"/>
                <w:vertAlign w:val="baseline"/>
              </w:rPr>
              <w:t>:</w:t>
            </w:r>
          </w:p>
        </w:tc>
        <w:tc>
          <w:tcPr>
            <w:tcW w:w="6168" w:type="dxa"/>
          </w:tcPr>
          <w:p>
            <w:pPr>
              <w:pStyle w:val="TableParagraph"/>
              <w:spacing w:line="256" w:lineRule="exact" w:before="83"/>
              <w:ind w:left="615"/>
              <w:rPr>
                <w:sz w:val="24"/>
              </w:rPr>
            </w:pPr>
            <w:r>
              <w:rPr>
                <w:sz w:val="24"/>
              </w:rPr>
              <w:t>Sodium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ions</w:t>
            </w:r>
          </w:p>
        </w:tc>
      </w:tr>
    </w:tbl>
    <w:p>
      <w:pPr>
        <w:spacing w:after="0" w:line="256" w:lineRule="exact"/>
        <w:rPr>
          <w:sz w:val="24"/>
        </w:rPr>
        <w:sectPr>
          <w:pgSz w:w="12240" w:h="15840"/>
          <w:pgMar w:header="0" w:footer="792" w:top="1360" w:bottom="980" w:left="1080" w:right="760"/>
        </w:sectPr>
      </w:pPr>
    </w:p>
    <w:p>
      <w:pPr>
        <w:pStyle w:val="BodyText"/>
        <w:tabs>
          <w:tab w:pos="2808" w:val="left" w:leader="none"/>
        </w:tabs>
        <w:spacing w:before="74"/>
        <w:ind w:left="648"/>
      </w:pPr>
      <w:r>
        <w:rPr/>
        <w:t>NMDA:</w:t>
        <w:tab/>
        <w:t>N-Methyl-D-Aspartate</w:t>
      </w:r>
    </w:p>
    <w:p>
      <w:pPr>
        <w:pStyle w:val="BodyText"/>
        <w:tabs>
          <w:tab w:pos="2808" w:val="left" w:leader="none"/>
        </w:tabs>
        <w:spacing w:before="137"/>
        <w:ind w:left="648"/>
      </w:pPr>
      <w:r>
        <w:rPr/>
        <w:t>nRT:</w:t>
        <w:tab/>
        <w:t>nucleus</w:t>
      </w:r>
      <w:r>
        <w:rPr>
          <w:spacing w:val="-1"/>
        </w:rPr>
        <w:t> </w:t>
      </w:r>
      <w:r>
        <w:rPr/>
        <w:t>Reticularis</w:t>
      </w:r>
      <w:r>
        <w:rPr>
          <w:spacing w:val="-1"/>
        </w:rPr>
        <w:t> </w:t>
      </w:r>
      <w:r>
        <w:rPr/>
        <w:t>Thalami</w:t>
      </w:r>
    </w:p>
    <w:p>
      <w:pPr>
        <w:pStyle w:val="BodyText"/>
        <w:tabs>
          <w:tab w:pos="2808" w:val="left" w:leader="none"/>
        </w:tabs>
        <w:spacing w:line="360" w:lineRule="auto" w:before="139"/>
        <w:ind w:left="648" w:right="1958"/>
      </w:pPr>
      <w:r>
        <w:rPr/>
        <w:t>OECD:</w:t>
        <w:tab/>
        <w:t>Organization for Economic Cooperation and Development</w:t>
      </w:r>
      <w:r>
        <w:rPr>
          <w:spacing w:val="-58"/>
        </w:rPr>
        <w:t> </w:t>
      </w:r>
      <w:r>
        <w:rPr/>
        <w:t>P.O.:</w:t>
        <w:tab/>
        <w:t>Per</w:t>
      </w:r>
      <w:r>
        <w:rPr>
          <w:spacing w:val="-1"/>
        </w:rPr>
        <w:t> </w:t>
      </w:r>
      <w:r>
        <w:rPr/>
        <w:t>oral</w:t>
      </w:r>
    </w:p>
    <w:p>
      <w:pPr>
        <w:pStyle w:val="BodyText"/>
        <w:tabs>
          <w:tab w:pos="2808" w:val="left" w:leader="none"/>
        </w:tabs>
        <w:spacing w:before="1"/>
        <w:ind w:left="648"/>
      </w:pPr>
      <w:r>
        <w:rPr/>
        <w:t>PDS:</w:t>
        <w:tab/>
        <w:t>Paroxysmal</w:t>
      </w:r>
      <w:r>
        <w:rPr>
          <w:spacing w:val="-2"/>
        </w:rPr>
        <w:t> </w:t>
      </w:r>
      <w:r>
        <w:rPr/>
        <w:t>Depolarizing</w:t>
      </w:r>
      <w:r>
        <w:rPr>
          <w:spacing w:val="-2"/>
        </w:rPr>
        <w:t> </w:t>
      </w:r>
      <w:r>
        <w:rPr/>
        <w:t>Shift</w:t>
      </w:r>
    </w:p>
    <w:p>
      <w:pPr>
        <w:pStyle w:val="BodyText"/>
        <w:tabs>
          <w:tab w:pos="2808" w:val="left" w:leader="none"/>
        </w:tabs>
        <w:spacing w:before="136"/>
        <w:ind w:left="648"/>
      </w:pPr>
      <w:r>
        <w:rPr/>
        <w:t>PHB:</w:t>
        <w:tab/>
        <w:t>Phenobarbitone</w:t>
      </w:r>
    </w:p>
    <w:p>
      <w:pPr>
        <w:pStyle w:val="BodyText"/>
        <w:tabs>
          <w:tab w:pos="2808" w:val="left" w:leader="none"/>
        </w:tabs>
        <w:spacing w:before="140"/>
        <w:ind w:left="648"/>
      </w:pPr>
      <w:r>
        <w:rPr/>
        <w:t>PHT:</w:t>
        <w:tab/>
        <w:t>Phenytoin</w:t>
      </w:r>
    </w:p>
    <w:p>
      <w:pPr>
        <w:pStyle w:val="BodyText"/>
        <w:tabs>
          <w:tab w:pos="2808" w:val="left" w:leader="none"/>
        </w:tabs>
        <w:spacing w:before="136"/>
        <w:ind w:left="648"/>
      </w:pPr>
      <w:r>
        <w:rPr/>
        <w:t>PTZ:</w:t>
        <w:tab/>
        <w:t>Pentylenetetrazole</w:t>
      </w:r>
    </w:p>
    <w:p>
      <w:pPr>
        <w:pStyle w:val="BodyText"/>
        <w:tabs>
          <w:tab w:pos="2808" w:val="left" w:leader="none"/>
        </w:tabs>
        <w:spacing w:before="140"/>
        <w:ind w:left="648"/>
      </w:pPr>
      <w:r>
        <w:rPr/>
        <w:t>RNS:</w:t>
        <w:tab/>
        <w:t>Responsive</w:t>
      </w:r>
      <w:r>
        <w:rPr>
          <w:spacing w:val="-4"/>
        </w:rPr>
        <w:t> </w:t>
      </w:r>
      <w:r>
        <w:rPr/>
        <w:t>Neurostimulator</w:t>
      </w:r>
      <w:r>
        <w:rPr>
          <w:spacing w:val="-2"/>
        </w:rPr>
        <w:t> </w:t>
      </w:r>
      <w:r>
        <w:rPr/>
        <w:t>System</w:t>
      </w:r>
    </w:p>
    <w:p>
      <w:pPr>
        <w:pStyle w:val="BodyText"/>
        <w:tabs>
          <w:tab w:pos="2808" w:val="left" w:leader="none"/>
        </w:tabs>
        <w:spacing w:before="137"/>
        <w:ind w:left="648"/>
      </w:pPr>
      <w:r>
        <w:rPr/>
        <w:t>ScPTZ:</w:t>
        <w:tab/>
        <w:t>Subcutaneous</w:t>
      </w:r>
      <w:r>
        <w:rPr>
          <w:spacing w:val="-4"/>
        </w:rPr>
        <w:t> </w:t>
      </w:r>
      <w:r>
        <w:rPr/>
        <w:t>Pentylenetetrazole</w:t>
      </w:r>
    </w:p>
    <w:p>
      <w:pPr>
        <w:pStyle w:val="BodyText"/>
        <w:tabs>
          <w:tab w:pos="2808" w:val="left" w:leader="none"/>
        </w:tabs>
        <w:spacing w:before="139"/>
        <w:ind w:left="648"/>
      </w:pPr>
      <w:r>
        <w:rPr/>
        <w:t>TB:</w:t>
        <w:tab/>
        <w:t>Total</w:t>
      </w:r>
      <w:r>
        <w:rPr>
          <w:spacing w:val="-2"/>
        </w:rPr>
        <w:t> </w:t>
      </w:r>
      <w:r>
        <w:rPr/>
        <w:t>Bilirubin</w:t>
      </w:r>
    </w:p>
    <w:p>
      <w:pPr>
        <w:pStyle w:val="BodyText"/>
        <w:tabs>
          <w:tab w:pos="2808" w:val="left" w:leader="none"/>
        </w:tabs>
        <w:spacing w:before="137"/>
        <w:ind w:left="648"/>
      </w:pPr>
      <w:r>
        <w:rPr/>
        <w:t>TCN:</w:t>
        <w:tab/>
        <w:t>Thalamocortical</w:t>
      </w:r>
      <w:r>
        <w:rPr>
          <w:spacing w:val="-2"/>
        </w:rPr>
        <w:t> </w:t>
      </w:r>
      <w:r>
        <w:rPr/>
        <w:t>Neurons</w:t>
      </w:r>
    </w:p>
    <w:p>
      <w:pPr>
        <w:pStyle w:val="BodyText"/>
        <w:tabs>
          <w:tab w:pos="2808" w:val="left" w:leader="none"/>
        </w:tabs>
        <w:spacing w:before="139"/>
        <w:ind w:left="648"/>
      </w:pPr>
      <w:r>
        <w:rPr/>
        <w:t>UK:</w:t>
        <w:tab/>
        <w:t>United</w:t>
      </w:r>
      <w:r>
        <w:rPr>
          <w:spacing w:val="-2"/>
        </w:rPr>
        <w:t> </w:t>
      </w:r>
      <w:r>
        <w:rPr/>
        <w:t>Kingdom</w:t>
      </w:r>
    </w:p>
    <w:p>
      <w:pPr>
        <w:pStyle w:val="BodyText"/>
        <w:tabs>
          <w:tab w:pos="2808" w:val="left" w:leader="none"/>
        </w:tabs>
        <w:spacing w:before="137"/>
        <w:ind w:left="648"/>
      </w:pPr>
      <w:r>
        <w:rPr/>
        <w:t>USA:</w:t>
        <w:tab/>
        <w:t>United</w:t>
      </w:r>
      <w:r>
        <w:rPr>
          <w:spacing w:val="-1"/>
        </w:rPr>
        <w:t> </w:t>
      </w:r>
      <w:r>
        <w:rPr/>
        <w:t>States of</w:t>
      </w:r>
      <w:r>
        <w:rPr>
          <w:spacing w:val="-2"/>
        </w:rPr>
        <w:t> </w:t>
      </w:r>
      <w:r>
        <w:rPr/>
        <w:t>America</w:t>
      </w:r>
    </w:p>
    <w:p>
      <w:pPr>
        <w:pStyle w:val="BodyText"/>
        <w:tabs>
          <w:tab w:pos="2808" w:val="left" w:leader="none"/>
        </w:tabs>
        <w:spacing w:before="139"/>
        <w:ind w:left="648"/>
      </w:pPr>
      <w:r>
        <w:rPr/>
        <w:t>VA:</w:t>
        <w:tab/>
        <w:t>Valproic</w:t>
      </w:r>
      <w:r>
        <w:rPr>
          <w:spacing w:val="-3"/>
        </w:rPr>
        <w:t> </w:t>
      </w:r>
      <w:r>
        <w:rPr/>
        <w:t>Acid</w:t>
      </w:r>
    </w:p>
    <w:p>
      <w:pPr>
        <w:pStyle w:val="BodyText"/>
        <w:tabs>
          <w:tab w:pos="2808" w:val="left" w:leader="none"/>
        </w:tabs>
        <w:spacing w:before="137"/>
        <w:ind w:left="648"/>
      </w:pPr>
      <w:r>
        <w:rPr/>
        <w:t>VNS:</w:t>
        <w:tab/>
        <w:t>Vagus</w:t>
      </w:r>
      <w:r>
        <w:rPr>
          <w:spacing w:val="-2"/>
        </w:rPr>
        <w:t> </w:t>
      </w:r>
      <w:r>
        <w:rPr/>
        <w:t>Nerve</w:t>
      </w:r>
      <w:r>
        <w:rPr>
          <w:spacing w:val="-3"/>
        </w:rPr>
        <w:t> </w:t>
      </w:r>
      <w:r>
        <w:rPr/>
        <w:t>Stimulation</w:t>
      </w:r>
    </w:p>
    <w:p>
      <w:pPr>
        <w:pStyle w:val="BodyText"/>
        <w:tabs>
          <w:tab w:pos="2808" w:val="left" w:leader="none"/>
        </w:tabs>
        <w:spacing w:before="139"/>
        <w:ind w:left="648"/>
      </w:pPr>
      <w:r>
        <w:rPr/>
        <w:t>WHO:</w:t>
        <w:tab/>
        <w:t>World</w:t>
      </w:r>
      <w:r>
        <w:rPr>
          <w:spacing w:val="-2"/>
        </w:rPr>
        <w:t> </w:t>
      </w:r>
      <w:r>
        <w:rPr/>
        <w:t>Health</w:t>
      </w:r>
      <w:r>
        <w:rPr>
          <w:spacing w:val="-2"/>
        </w:rPr>
        <w:t> </w:t>
      </w:r>
      <w:r>
        <w:rPr/>
        <w:t>Organization</w:t>
      </w:r>
    </w:p>
    <w:p>
      <w:pPr>
        <w:spacing w:after="0"/>
        <w:sectPr>
          <w:pgSz w:w="12240" w:h="15840"/>
          <w:pgMar w:header="0" w:footer="792" w:top="1360" w:bottom="980" w:left="1080" w:right="760"/>
        </w:sectPr>
      </w:pPr>
    </w:p>
    <w:p>
      <w:pPr>
        <w:pStyle w:val="Heading1"/>
        <w:spacing w:before="76"/>
        <w:ind w:left="1021" w:right="1529"/>
        <w:jc w:val="center"/>
      </w:pPr>
      <w:r>
        <w:rPr/>
        <w:t>CHAPTER</w:t>
      </w:r>
      <w:r>
        <w:rPr>
          <w:spacing w:val="-2"/>
        </w:rPr>
        <w:t> </w:t>
      </w:r>
      <w:r>
        <w:rPr/>
        <w:t>ONE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1"/>
        <w:rPr>
          <w:b/>
          <w:sz w:val="22"/>
        </w:rPr>
      </w:pPr>
    </w:p>
    <w:p>
      <w:pPr>
        <w:pStyle w:val="ListParagraph"/>
        <w:numPr>
          <w:ilvl w:val="1"/>
          <w:numId w:val="6"/>
        </w:numPr>
        <w:tabs>
          <w:tab w:pos="3948" w:val="left" w:leader="none"/>
          <w:tab w:pos="3949" w:val="left" w:leader="none"/>
        </w:tabs>
        <w:spacing w:line="240" w:lineRule="auto" w:before="0" w:after="0"/>
        <w:ind w:left="3949" w:right="0" w:hanging="1020"/>
        <w:jc w:val="left"/>
        <w:rPr>
          <w:b/>
          <w:sz w:val="24"/>
        </w:rPr>
      </w:pPr>
      <w:r>
        <w:rPr>
          <w:b/>
          <w:sz w:val="24"/>
        </w:rPr>
        <w:t>INTRODUCTION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648" w:right="676"/>
        <w:jc w:val="both"/>
      </w:pPr>
      <w:r>
        <w:rPr/>
        <w:t>The word epilepsy is derived from ancient Greek word „</w:t>
      </w:r>
      <w:r>
        <w:rPr>
          <w:i/>
        </w:rPr>
        <w:t>epilepsia’ </w:t>
      </w:r>
      <w:r>
        <w:rPr/>
        <w:t>literally meaning </w:t>
      </w:r>
      <w:r>
        <w:rPr>
          <w:i/>
        </w:rPr>
        <w:t>‘to take</w:t>
      </w:r>
      <w:r>
        <w:rPr>
          <w:i/>
          <w:spacing w:val="1"/>
        </w:rPr>
        <w:t> </w:t>
      </w:r>
      <w:r>
        <w:rPr>
          <w:i/>
        </w:rPr>
        <w:t>hold</w:t>
      </w:r>
      <w:r>
        <w:rPr>
          <w:i/>
          <w:spacing w:val="-4"/>
        </w:rPr>
        <w:t> </w:t>
      </w:r>
      <w:r>
        <w:rPr>
          <w:i/>
        </w:rPr>
        <w:t>of</w:t>
      </w:r>
      <w:r>
        <w:rPr/>
        <w:t>‟</w:t>
      </w:r>
      <w:r>
        <w:rPr>
          <w:spacing w:val="-4"/>
        </w:rPr>
        <w:t> </w:t>
      </w:r>
      <w:r>
        <w:rPr/>
        <w:t>or</w:t>
      </w:r>
      <w:r>
        <w:rPr>
          <w:spacing w:val="-4"/>
        </w:rPr>
        <w:t> </w:t>
      </w:r>
      <w:r>
        <w:rPr/>
        <w:t>„</w:t>
      </w:r>
      <w:r>
        <w:rPr>
          <w:i/>
        </w:rPr>
        <w:t>to</w:t>
      </w:r>
      <w:r>
        <w:rPr>
          <w:i/>
          <w:spacing w:val="-3"/>
        </w:rPr>
        <w:t> </w:t>
      </w:r>
      <w:r>
        <w:rPr>
          <w:i/>
        </w:rPr>
        <w:t>seize</w:t>
      </w:r>
      <w:r>
        <w:rPr/>
        <w:t>‟</w:t>
      </w:r>
      <w:r>
        <w:rPr>
          <w:spacing w:val="-4"/>
        </w:rPr>
        <w:t> </w:t>
      </w:r>
      <w:r>
        <w:rPr/>
        <w:t>is</w:t>
      </w:r>
      <w:r>
        <w:rPr>
          <w:spacing w:val="-3"/>
        </w:rPr>
        <w:t> </w:t>
      </w:r>
      <w:r>
        <w:rPr/>
        <w:t>one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most</w:t>
      </w:r>
      <w:r>
        <w:rPr>
          <w:spacing w:val="-2"/>
        </w:rPr>
        <w:t> </w:t>
      </w:r>
      <w:r>
        <w:rPr/>
        <w:t>common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serious</w:t>
      </w:r>
      <w:r>
        <w:rPr>
          <w:spacing w:val="-3"/>
        </w:rPr>
        <w:t> </w:t>
      </w:r>
      <w:r>
        <w:rPr/>
        <w:t>neurological</w:t>
      </w:r>
      <w:r>
        <w:rPr>
          <w:spacing w:val="-3"/>
        </w:rPr>
        <w:t> </w:t>
      </w:r>
      <w:r>
        <w:rPr/>
        <w:t>disorders</w:t>
      </w:r>
      <w:r>
        <w:rPr>
          <w:spacing w:val="-4"/>
        </w:rPr>
        <w:t> </w:t>
      </w:r>
      <w:r>
        <w:rPr/>
        <w:t>(Hirtz</w:t>
      </w:r>
      <w:r>
        <w:rPr>
          <w:spacing w:val="3"/>
        </w:rPr>
        <w:t> </w:t>
      </w:r>
      <w:r>
        <w:rPr>
          <w:i/>
        </w:rPr>
        <w:t>et</w:t>
      </w:r>
      <w:r>
        <w:rPr>
          <w:i/>
          <w:spacing w:val="-57"/>
        </w:rPr>
        <w:t> </w:t>
      </w:r>
      <w:r>
        <w:rPr>
          <w:i/>
        </w:rPr>
        <w:t>al</w:t>
      </w:r>
      <w:r>
        <w:rPr/>
        <w:t>., 2007).</w:t>
      </w:r>
      <w:r>
        <w:rPr>
          <w:spacing w:val="1"/>
        </w:rPr>
        <w:t> </w:t>
      </w:r>
      <w:r>
        <w:rPr/>
        <w:t>It is however, thought to be a common and diverse set of chronic neurological</w:t>
      </w:r>
      <w:r>
        <w:rPr>
          <w:spacing w:val="1"/>
        </w:rPr>
        <w:t> </w:t>
      </w:r>
      <w:r>
        <w:rPr/>
        <w:t>disorders</w:t>
      </w:r>
      <w:r>
        <w:rPr>
          <w:spacing w:val="1"/>
        </w:rPr>
        <w:t> </w:t>
      </w:r>
      <w:r>
        <w:rPr/>
        <w:t>characterized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seizures.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various</w:t>
      </w:r>
      <w:r>
        <w:rPr>
          <w:spacing w:val="1"/>
        </w:rPr>
        <w:t> </w:t>
      </w:r>
      <w:r>
        <w:rPr/>
        <w:t>definitions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epilepsy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definitions require that the seizure be recurrent and unprovoked (Chang and Lowenstein,</w:t>
      </w:r>
      <w:r>
        <w:rPr>
          <w:spacing w:val="1"/>
        </w:rPr>
        <w:t> </w:t>
      </w:r>
      <w:r>
        <w:rPr/>
        <w:t>2003),</w:t>
      </w:r>
      <w:r>
        <w:rPr>
          <w:spacing w:val="1"/>
        </w:rPr>
        <w:t> </w:t>
      </w:r>
      <w:r>
        <w:rPr/>
        <w:t>while others</w:t>
      </w:r>
      <w:r>
        <w:rPr>
          <w:spacing w:val="1"/>
        </w:rPr>
        <w:t> </w:t>
      </w:r>
      <w:r>
        <w:rPr/>
        <w:t>require</w:t>
      </w:r>
      <w:r>
        <w:rPr>
          <w:spacing w:val="1"/>
        </w:rPr>
        <w:t> </w:t>
      </w:r>
      <w:r>
        <w:rPr/>
        <w:t>only a single seizure combined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brain</w:t>
      </w:r>
      <w:r>
        <w:rPr>
          <w:spacing w:val="1"/>
        </w:rPr>
        <w:t> </w:t>
      </w:r>
      <w:r>
        <w:rPr/>
        <w:t>alterations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increases</w:t>
      </w:r>
      <w:r>
        <w:rPr>
          <w:spacing w:val="-1"/>
        </w:rPr>
        <w:t> </w:t>
      </w:r>
      <w:r>
        <w:rPr/>
        <w:t>the chances of</w:t>
      </w:r>
      <w:r>
        <w:rPr>
          <w:spacing w:val="1"/>
        </w:rPr>
        <w:t> </w:t>
      </w:r>
      <w:r>
        <w:rPr/>
        <w:t>future</w:t>
      </w:r>
      <w:r>
        <w:rPr>
          <w:spacing w:val="-2"/>
        </w:rPr>
        <w:t> </w:t>
      </w:r>
      <w:r>
        <w:rPr/>
        <w:t>seizures (Fisher </w:t>
      </w:r>
      <w:r>
        <w:rPr>
          <w:i/>
        </w:rPr>
        <w:t>et</w:t>
      </w:r>
      <w:r>
        <w:rPr>
          <w:i/>
          <w:spacing w:val="2"/>
        </w:rPr>
        <w:t> </w:t>
      </w:r>
      <w:r>
        <w:rPr>
          <w:i/>
        </w:rPr>
        <w:t>al., </w:t>
      </w:r>
      <w:r>
        <w:rPr/>
        <w:t>2005).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 w:before="1"/>
        <w:ind w:left="648" w:right="680"/>
        <w:jc w:val="both"/>
      </w:pPr>
      <w:r>
        <w:rPr/>
        <w:t>Epileptic</w:t>
      </w:r>
      <w:r>
        <w:rPr>
          <w:spacing w:val="1"/>
        </w:rPr>
        <w:t> </w:t>
      </w:r>
      <w:r>
        <w:rPr/>
        <w:t>seizures</w:t>
      </w:r>
      <w:r>
        <w:rPr>
          <w:spacing w:val="1"/>
        </w:rPr>
        <w:t> </w:t>
      </w:r>
      <w:r>
        <w:rPr/>
        <w:t>therefore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said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result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abnormal</w:t>
      </w:r>
      <w:r>
        <w:rPr>
          <w:spacing w:val="1"/>
        </w:rPr>
        <w:t> </w:t>
      </w:r>
      <w:r>
        <w:rPr/>
        <w:t>excessive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hypersynchronous neuronal activity in the brain (Fisher </w:t>
      </w:r>
      <w:r>
        <w:rPr>
          <w:i/>
        </w:rPr>
        <w:t>et al</w:t>
      </w:r>
      <w:r>
        <w:rPr/>
        <w:t>., 2005).   It is estimated that</w:t>
      </w:r>
      <w:r>
        <w:rPr>
          <w:spacing w:val="1"/>
        </w:rPr>
        <w:t> </w:t>
      </w:r>
      <w:r>
        <w:rPr/>
        <w:t>about 50 million people worldwide suffer from epilepsy, including about 2.7 million in the</w:t>
      </w:r>
      <w:r>
        <w:rPr>
          <w:spacing w:val="1"/>
        </w:rPr>
        <w:t> </w:t>
      </w:r>
      <w:r>
        <w:rPr/>
        <w:t>United States (Glauser and Sankar, 2008) and that around 40 million of those affected lives in</w:t>
      </w:r>
      <w:r>
        <w:rPr>
          <w:spacing w:val="1"/>
        </w:rPr>
        <w:t> </w:t>
      </w:r>
      <w:r>
        <w:rPr/>
        <w:t>developing</w:t>
      </w:r>
      <w:r>
        <w:rPr>
          <w:spacing w:val="-2"/>
        </w:rPr>
        <w:t> </w:t>
      </w:r>
      <w:r>
        <w:rPr/>
        <w:t>countries (WHO, 2001).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/>
        <w:ind w:left="648" w:right="676"/>
        <w:jc w:val="both"/>
      </w:pPr>
      <w:r>
        <w:rPr/>
        <w:t>The</w:t>
      </w:r>
      <w:r>
        <w:rPr>
          <w:spacing w:val="14"/>
        </w:rPr>
        <w:t> </w:t>
      </w:r>
      <w:r>
        <w:rPr/>
        <w:t>prevalence</w:t>
      </w:r>
      <w:r>
        <w:rPr>
          <w:spacing w:val="14"/>
        </w:rPr>
        <w:t> </w:t>
      </w:r>
      <w:r>
        <w:rPr/>
        <w:t>of</w:t>
      </w:r>
      <w:r>
        <w:rPr>
          <w:spacing w:val="15"/>
        </w:rPr>
        <w:t> </w:t>
      </w:r>
      <w:r>
        <w:rPr/>
        <w:t>epilepsy</w:t>
      </w:r>
      <w:r>
        <w:rPr>
          <w:spacing w:val="8"/>
        </w:rPr>
        <w:t> </w:t>
      </w:r>
      <w:r>
        <w:rPr/>
        <w:t>in</w:t>
      </w:r>
      <w:r>
        <w:rPr>
          <w:spacing w:val="17"/>
        </w:rPr>
        <w:t> </w:t>
      </w:r>
      <w:r>
        <w:rPr/>
        <w:t>Nigeria</w:t>
      </w:r>
      <w:r>
        <w:rPr>
          <w:spacing w:val="14"/>
        </w:rPr>
        <w:t> </w:t>
      </w:r>
      <w:r>
        <w:rPr/>
        <w:t>based</w:t>
      </w:r>
      <w:r>
        <w:rPr>
          <w:spacing w:val="15"/>
        </w:rPr>
        <w:t> </w:t>
      </w:r>
      <w:r>
        <w:rPr/>
        <w:t>on</w:t>
      </w:r>
      <w:r>
        <w:rPr>
          <w:spacing w:val="16"/>
        </w:rPr>
        <w:t> </w:t>
      </w:r>
      <w:r>
        <w:rPr/>
        <w:t>specifically</w:t>
      </w:r>
      <w:r>
        <w:rPr>
          <w:spacing w:val="10"/>
        </w:rPr>
        <w:t> </w:t>
      </w:r>
      <w:r>
        <w:rPr/>
        <w:t>defined</w:t>
      </w:r>
      <w:r>
        <w:rPr>
          <w:spacing w:val="16"/>
        </w:rPr>
        <w:t> </w:t>
      </w:r>
      <w:r>
        <w:rPr/>
        <w:t>communities,</w:t>
      </w:r>
      <w:r>
        <w:rPr>
          <w:spacing w:val="15"/>
        </w:rPr>
        <w:t> </w:t>
      </w:r>
      <w:r>
        <w:rPr/>
        <w:t>was</w:t>
      </w:r>
      <w:r>
        <w:rPr>
          <w:spacing w:val="15"/>
        </w:rPr>
        <w:t> </w:t>
      </w:r>
      <w:r>
        <w:rPr/>
        <w:t>found</w:t>
      </w:r>
      <w:r>
        <w:rPr>
          <w:spacing w:val="-57"/>
        </w:rPr>
        <w:t> </w:t>
      </w:r>
      <w:r>
        <w:rPr/>
        <w:t>to vary from 15 to 37 per 1000 (Reynolds, 1988) which is high compared with the prevalence</w:t>
      </w:r>
      <w:r>
        <w:rPr>
          <w:spacing w:val="1"/>
        </w:rPr>
        <w:t> </w:t>
      </w:r>
      <w:r>
        <w:rPr/>
        <w:t>rates of between 4 and 6 per 1000 which was reported among Caucasians (Hauser </w:t>
      </w:r>
      <w:r>
        <w:rPr>
          <w:i/>
        </w:rPr>
        <w:t>et al</w:t>
      </w:r>
      <w:r>
        <w:rPr/>
        <w:t>.,</w:t>
      </w:r>
      <w:r>
        <w:rPr>
          <w:spacing w:val="1"/>
        </w:rPr>
        <w:t> </w:t>
      </w:r>
      <w:r>
        <w:rPr/>
        <w:t>1991). One of the earliest publications on the prevalence of epilepsy in Nigeria reported a</w:t>
      </w:r>
      <w:r>
        <w:rPr>
          <w:spacing w:val="1"/>
        </w:rPr>
        <w:t> </w:t>
      </w:r>
      <w:r>
        <w:rPr/>
        <w:t>prevalence rate of between 8 to 13 per 1000 inhabitants of Lagos (Dada, 1970). However,</w:t>
      </w:r>
      <w:r>
        <w:rPr>
          <w:spacing w:val="1"/>
        </w:rPr>
        <w:t> </w:t>
      </w:r>
      <w:r>
        <w:rPr/>
        <w:t>recently it has been shown that the estimated proportion of the general population with active</w:t>
      </w:r>
      <w:r>
        <w:rPr>
          <w:spacing w:val="1"/>
        </w:rPr>
        <w:t> </w:t>
      </w:r>
      <w:r>
        <w:rPr/>
        <w:t>epilepsy</w:t>
      </w:r>
      <w:r>
        <w:rPr>
          <w:spacing w:val="25"/>
        </w:rPr>
        <w:t> </w:t>
      </w:r>
      <w:r>
        <w:rPr/>
        <w:t>requiring</w:t>
      </w:r>
      <w:r>
        <w:rPr>
          <w:spacing w:val="27"/>
        </w:rPr>
        <w:t> </w:t>
      </w:r>
      <w:r>
        <w:rPr/>
        <w:t>treatment</w:t>
      </w:r>
      <w:r>
        <w:rPr>
          <w:spacing w:val="31"/>
        </w:rPr>
        <w:t> </w:t>
      </w:r>
      <w:r>
        <w:rPr/>
        <w:t>at</w:t>
      </w:r>
      <w:r>
        <w:rPr>
          <w:spacing w:val="30"/>
        </w:rPr>
        <w:t> </w:t>
      </w:r>
      <w:r>
        <w:rPr/>
        <w:t>any</w:t>
      </w:r>
      <w:r>
        <w:rPr>
          <w:spacing w:val="28"/>
        </w:rPr>
        <w:t> </w:t>
      </w:r>
      <w:r>
        <w:rPr/>
        <w:t>given</w:t>
      </w:r>
      <w:r>
        <w:rPr>
          <w:spacing w:val="29"/>
        </w:rPr>
        <w:t> </w:t>
      </w:r>
      <w:r>
        <w:rPr/>
        <w:t>time</w:t>
      </w:r>
      <w:r>
        <w:rPr>
          <w:spacing w:val="32"/>
        </w:rPr>
        <w:t> </w:t>
      </w:r>
      <w:r>
        <w:rPr/>
        <w:t>is</w:t>
      </w:r>
      <w:r>
        <w:rPr>
          <w:spacing w:val="30"/>
        </w:rPr>
        <w:t> </w:t>
      </w:r>
      <w:r>
        <w:rPr/>
        <w:t>between</w:t>
      </w:r>
      <w:r>
        <w:rPr>
          <w:spacing w:val="30"/>
        </w:rPr>
        <w:t> </w:t>
      </w:r>
      <w:r>
        <w:rPr/>
        <w:t>4</w:t>
      </w:r>
      <w:r>
        <w:rPr>
          <w:spacing w:val="29"/>
        </w:rPr>
        <w:t> </w:t>
      </w:r>
      <w:r>
        <w:rPr/>
        <w:t>to</w:t>
      </w:r>
      <w:r>
        <w:rPr>
          <w:spacing w:val="31"/>
        </w:rPr>
        <w:t> </w:t>
      </w:r>
      <w:r>
        <w:rPr/>
        <w:t>10</w:t>
      </w:r>
      <w:r>
        <w:rPr>
          <w:spacing w:val="29"/>
        </w:rPr>
        <w:t> </w:t>
      </w:r>
      <w:r>
        <w:rPr/>
        <w:t>per</w:t>
      </w:r>
      <w:r>
        <w:rPr>
          <w:spacing w:val="30"/>
        </w:rPr>
        <w:t> </w:t>
      </w:r>
      <w:r>
        <w:rPr/>
        <w:t>1000</w:t>
      </w:r>
      <w:r>
        <w:rPr>
          <w:spacing w:val="36"/>
        </w:rPr>
        <w:t> </w:t>
      </w:r>
      <w:r>
        <w:rPr/>
        <w:t>people</w:t>
      </w:r>
      <w:r>
        <w:rPr>
          <w:spacing w:val="29"/>
        </w:rPr>
        <w:t> </w:t>
      </w:r>
      <w:r>
        <w:rPr/>
        <w:t>(WHO,</w:t>
      </w:r>
    </w:p>
    <w:p>
      <w:pPr>
        <w:spacing w:after="0" w:line="480" w:lineRule="auto"/>
        <w:jc w:val="both"/>
        <w:sectPr>
          <w:footerReference w:type="default" r:id="rId7"/>
          <w:pgSz w:w="12240" w:h="15840"/>
          <w:pgMar w:footer="792" w:header="0" w:top="1360" w:bottom="980" w:left="1080" w:right="760"/>
          <w:pgNumType w:start="1"/>
        </w:sectPr>
      </w:pPr>
    </w:p>
    <w:p>
      <w:pPr>
        <w:pStyle w:val="BodyText"/>
        <w:spacing w:line="480" w:lineRule="auto" w:before="72"/>
        <w:ind w:left="648" w:right="678"/>
        <w:jc w:val="both"/>
      </w:pPr>
      <w:r>
        <w:rPr/>
        <w:t>2012). Studies have shown that epilepsy is more common in the lower socio-economic groups</w:t>
      </w:r>
      <w:r>
        <w:rPr>
          <w:spacing w:val="-57"/>
        </w:rPr>
        <w:t> </w:t>
      </w:r>
      <w:r>
        <w:rPr/>
        <w:t>(Danesi </w:t>
      </w:r>
      <w:r>
        <w:rPr>
          <w:i/>
        </w:rPr>
        <w:t>et al</w:t>
      </w:r>
      <w:r>
        <w:rPr/>
        <w:t>., 1980) and even in the United States of America, Shomansky and Glaser, 1979</w:t>
      </w:r>
      <w:r>
        <w:rPr>
          <w:spacing w:val="1"/>
        </w:rPr>
        <w:t> </w:t>
      </w:r>
      <w:r>
        <w:rPr/>
        <w:t>found a higher incidence of epilepsy among blacks who are economically poor.</w:t>
      </w:r>
      <w:r>
        <w:rPr>
          <w:spacing w:val="1"/>
        </w:rPr>
        <w:t> </w:t>
      </w:r>
      <w:r>
        <w:rPr/>
        <w:t>Up to 30% of</w:t>
      </w:r>
      <w:r>
        <w:rPr>
          <w:spacing w:val="-57"/>
        </w:rPr>
        <w:t> </w:t>
      </w:r>
      <w:r>
        <w:rPr/>
        <w:t>all seizures are said to be provoked by central nervous system (CNS) disorders or insults (e.g.</w:t>
      </w:r>
      <w:r>
        <w:rPr>
          <w:spacing w:val="1"/>
        </w:rPr>
        <w:t> </w:t>
      </w:r>
      <w:r>
        <w:rPr/>
        <w:t>meningitis, trauma, tumors and exposure to toxins (McAuley and</w:t>
      </w:r>
      <w:r>
        <w:rPr>
          <w:spacing w:val="1"/>
        </w:rPr>
        <w:t> </w:t>
      </w:r>
      <w:r>
        <w:rPr/>
        <w:t>Lott, 2008), studies have</w:t>
      </w:r>
      <w:r>
        <w:rPr>
          <w:spacing w:val="1"/>
        </w:rPr>
        <w:t> </w:t>
      </w:r>
      <w:r>
        <w:rPr/>
        <w:t>shown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epilepsy becomes</w:t>
      </w:r>
      <w:r>
        <w:rPr>
          <w:spacing w:val="1"/>
        </w:rPr>
        <w:t> </w:t>
      </w:r>
      <w:r>
        <w:rPr/>
        <w:t>more common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people age (Holmes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Browne,</w:t>
      </w:r>
      <w:r>
        <w:rPr>
          <w:spacing w:val="60"/>
        </w:rPr>
        <w:t> </w:t>
      </w:r>
      <w:r>
        <w:rPr/>
        <w:t>2008;</w:t>
      </w:r>
      <w:r>
        <w:rPr>
          <w:spacing w:val="1"/>
        </w:rPr>
        <w:t> </w:t>
      </w:r>
      <w:r>
        <w:rPr/>
        <w:t>Brodie </w:t>
      </w:r>
      <w:r>
        <w:rPr>
          <w:i/>
        </w:rPr>
        <w:t>et al</w:t>
      </w:r>
      <w:r>
        <w:rPr/>
        <w:t>., 2009) and that onset of new cases occurs most frequently in infants and the</w:t>
      </w:r>
      <w:r>
        <w:rPr>
          <w:spacing w:val="1"/>
        </w:rPr>
        <w:t> </w:t>
      </w:r>
      <w:r>
        <w:rPr/>
        <w:t>elderly;</w:t>
      </w:r>
      <w:r>
        <w:rPr>
          <w:spacing w:val="1"/>
        </w:rPr>
        <w:t> </w:t>
      </w:r>
      <w:r>
        <w:rPr/>
        <w:t>in other words, the incidence rates are highest in childhood, plateaus from the age of</w:t>
      </w:r>
      <w:r>
        <w:rPr>
          <w:spacing w:val="1"/>
        </w:rPr>
        <w:t> </w:t>
      </w:r>
      <w:r>
        <w:rPr/>
        <w:t>15</w:t>
      </w:r>
      <w:r>
        <w:rPr>
          <w:spacing w:val="-1"/>
        </w:rPr>
        <w:t> </w:t>
      </w:r>
      <w:r>
        <w:rPr/>
        <w:t>to 65</w:t>
      </w:r>
      <w:r>
        <w:rPr>
          <w:spacing w:val="2"/>
        </w:rPr>
        <w:t> </w:t>
      </w:r>
      <w:r>
        <w:rPr/>
        <w:t>years and</w:t>
      </w:r>
      <w:r>
        <w:rPr>
          <w:spacing w:val="2"/>
        </w:rPr>
        <w:t> </w:t>
      </w:r>
      <w:r>
        <w:rPr/>
        <w:t>rise</w:t>
      </w:r>
      <w:r>
        <w:rPr>
          <w:spacing w:val="-1"/>
        </w:rPr>
        <w:t> </w:t>
      </w:r>
      <w:r>
        <w:rPr/>
        <w:t>again</w:t>
      </w:r>
      <w:r>
        <w:rPr>
          <w:spacing w:val="-1"/>
        </w:rPr>
        <w:t> </w:t>
      </w:r>
      <w:r>
        <w:rPr/>
        <w:t>among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elderly</w:t>
      </w:r>
      <w:r>
        <w:rPr>
          <w:spacing w:val="-3"/>
        </w:rPr>
        <w:t> </w:t>
      </w:r>
      <w:r>
        <w:rPr/>
        <w:t>(Shovon, 1990; Hauser</w:t>
      </w:r>
      <w:r>
        <w:rPr>
          <w:spacing w:val="1"/>
        </w:rPr>
        <w:t> </w:t>
      </w:r>
      <w:r>
        <w:rPr>
          <w:i/>
        </w:rPr>
        <w:t>et al</w:t>
      </w:r>
      <w:r>
        <w:rPr/>
        <w:t>, 1991).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480" w:lineRule="auto"/>
        <w:ind w:left="648" w:right="677"/>
        <w:jc w:val="both"/>
      </w:pPr>
      <w:r>
        <w:rPr/>
        <w:t>Epilepsy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neurological</w:t>
      </w:r>
      <w:r>
        <w:rPr>
          <w:spacing w:val="1"/>
        </w:rPr>
        <w:t> </w:t>
      </w:r>
      <w:r>
        <w:rPr/>
        <w:t>disorders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usually</w:t>
      </w:r>
      <w:r>
        <w:rPr>
          <w:spacing w:val="1"/>
        </w:rPr>
        <w:t> </w:t>
      </w:r>
      <w:r>
        <w:rPr/>
        <w:t>managed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cured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medications (Antiepileptic drugs AEDs) and that it should be noted that over 30% of people</w:t>
      </w:r>
      <w:r>
        <w:rPr>
          <w:spacing w:val="1"/>
        </w:rPr>
        <w:t> </w:t>
      </w:r>
      <w:r>
        <w:rPr/>
        <w:t>with epilepsy do not have seizure control even with the best available medication hence</w:t>
      </w:r>
      <w:r>
        <w:rPr>
          <w:spacing w:val="1"/>
        </w:rPr>
        <w:t> </w:t>
      </w:r>
      <w:r>
        <w:rPr/>
        <w:t>surgery may be considered in difficult and refractory cases (Cascino, 1994; Engel, 1996). It is</w:t>
      </w:r>
      <w:r>
        <w:rPr>
          <w:spacing w:val="1"/>
        </w:rPr>
        <w:t> </w:t>
      </w:r>
      <w:r>
        <w:rPr/>
        <w:t>also worth noting that currently available antiepileptic drugs (AEDs) are usually associated</w:t>
      </w:r>
      <w:r>
        <w:rPr>
          <w:spacing w:val="1"/>
        </w:rPr>
        <w:t> </w:t>
      </w:r>
      <w:r>
        <w:rPr/>
        <w:t>with serious adverse effects on cognition and behaviour (Samren </w:t>
      </w:r>
      <w:r>
        <w:rPr>
          <w:i/>
        </w:rPr>
        <w:t>et al., </w:t>
      </w:r>
      <w:r>
        <w:rPr/>
        <w:t>1997) and these</w:t>
      </w:r>
      <w:r>
        <w:rPr>
          <w:spacing w:val="1"/>
        </w:rPr>
        <w:t> </w:t>
      </w:r>
      <w:r>
        <w:rPr/>
        <w:t>becomes a problem since the management of epilepsy is usually done on a long term basis.</w:t>
      </w:r>
      <w:r>
        <w:rPr>
          <w:spacing w:val="1"/>
        </w:rPr>
        <w:t> </w:t>
      </w:r>
      <w:r>
        <w:rPr/>
        <w:t>Since a lot of people in developing countries where epilepsy is more prevalent still depend on</w:t>
      </w:r>
      <w:r>
        <w:rPr>
          <w:spacing w:val="1"/>
        </w:rPr>
        <w:t> </w:t>
      </w:r>
      <w:r>
        <w:rPr/>
        <w:t>traditional healing practices and medicinal plants for their daily healthcare needs (Ojewole,</w:t>
      </w:r>
      <w:r>
        <w:rPr>
          <w:spacing w:val="1"/>
        </w:rPr>
        <w:t> </w:t>
      </w:r>
      <w:r>
        <w:rPr/>
        <w:t>2004),</w:t>
      </w:r>
      <w:r>
        <w:rPr>
          <w:spacing w:val="1"/>
        </w:rPr>
        <w:t> </w:t>
      </w:r>
      <w:r>
        <w:rPr/>
        <w:t>quite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number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plants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activities</w:t>
      </w:r>
      <w:r>
        <w:rPr>
          <w:spacing w:val="1"/>
        </w:rPr>
        <w:t> </w:t>
      </w:r>
      <w:r>
        <w:rPr/>
        <w:t>abound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yet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scientifically</w:t>
      </w:r>
      <w:r>
        <w:rPr>
          <w:spacing w:val="-3"/>
        </w:rPr>
        <w:t> </w:t>
      </w:r>
      <w:r>
        <w:rPr/>
        <w:t>evaluated.</w:t>
      </w:r>
    </w:p>
    <w:p>
      <w:pPr>
        <w:spacing w:after="0" w:line="480" w:lineRule="auto"/>
        <w:jc w:val="both"/>
        <w:sectPr>
          <w:pgSz w:w="12240" w:h="15840"/>
          <w:pgMar w:header="0" w:footer="792" w:top="1360" w:bottom="980" w:left="1080" w:right="760"/>
        </w:sectPr>
      </w:pPr>
    </w:p>
    <w:p>
      <w:pPr>
        <w:pStyle w:val="Heading1"/>
        <w:numPr>
          <w:ilvl w:val="1"/>
          <w:numId w:val="6"/>
        </w:numPr>
        <w:tabs>
          <w:tab w:pos="3348" w:val="left" w:leader="none"/>
          <w:tab w:pos="3349" w:val="left" w:leader="none"/>
        </w:tabs>
        <w:spacing w:line="240" w:lineRule="auto" w:before="76" w:after="0"/>
        <w:ind w:left="3349" w:right="0" w:hanging="2701"/>
        <w:jc w:val="both"/>
      </w:pPr>
      <w:bookmarkStart w:name="_TOC_250060" w:id="1"/>
      <w:r>
        <w:rPr/>
        <w:t>Statement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Research</w:t>
      </w:r>
      <w:r>
        <w:rPr>
          <w:spacing w:val="-3"/>
        </w:rPr>
        <w:t> </w:t>
      </w:r>
      <w:bookmarkEnd w:id="1"/>
      <w:r>
        <w:rPr/>
        <w:t>Problem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 w:before="1"/>
        <w:ind w:left="648" w:right="672"/>
        <w:jc w:val="both"/>
      </w:pPr>
      <w:r>
        <w:rPr/>
        <w:t>Epilepsy,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chronic</w:t>
      </w:r>
      <w:r>
        <w:rPr>
          <w:spacing w:val="1"/>
        </w:rPr>
        <w:t> </w:t>
      </w:r>
      <w:r>
        <w:rPr/>
        <w:t>neurological</w:t>
      </w:r>
      <w:r>
        <w:rPr>
          <w:spacing w:val="1"/>
        </w:rPr>
        <w:t> </w:t>
      </w:r>
      <w:r>
        <w:rPr/>
        <w:t>disorder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said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affect</w:t>
      </w:r>
      <w:r>
        <w:rPr>
          <w:spacing w:val="1"/>
        </w:rPr>
        <w:t> </w:t>
      </w:r>
      <w:r>
        <w:rPr/>
        <w:t>about</w:t>
      </w:r>
      <w:r>
        <w:rPr>
          <w:spacing w:val="1"/>
        </w:rPr>
        <w:t> </w:t>
      </w:r>
      <w:r>
        <w:rPr/>
        <w:t>fifty</w:t>
      </w:r>
      <w:r>
        <w:rPr>
          <w:spacing w:val="1"/>
        </w:rPr>
        <w:t> </w:t>
      </w:r>
      <w:r>
        <w:rPr/>
        <w:t>million</w:t>
      </w:r>
      <w:r>
        <w:rPr>
          <w:spacing w:val="1"/>
        </w:rPr>
        <w:t> </w:t>
      </w:r>
      <w:r>
        <w:rPr/>
        <w:t>people</w:t>
      </w:r>
      <w:r>
        <w:rPr>
          <w:spacing w:val="-57"/>
        </w:rPr>
        <w:t> </w:t>
      </w:r>
      <w:r>
        <w:rPr/>
        <w:t>worldwide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fourty million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those</w:t>
      </w:r>
      <w:r>
        <w:rPr>
          <w:spacing w:val="1"/>
        </w:rPr>
        <w:t> </w:t>
      </w:r>
      <w:r>
        <w:rPr/>
        <w:t>affected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developing</w:t>
      </w:r>
      <w:r>
        <w:rPr>
          <w:spacing w:val="1"/>
        </w:rPr>
        <w:t> </w:t>
      </w:r>
      <w:r>
        <w:rPr/>
        <w:t>countries</w:t>
      </w:r>
      <w:r>
        <w:rPr>
          <w:spacing w:val="1"/>
        </w:rPr>
        <w:t> </w:t>
      </w:r>
      <w:r>
        <w:rPr/>
        <w:t>Nigeria</w:t>
      </w:r>
      <w:r>
        <w:rPr>
          <w:spacing w:val="1"/>
        </w:rPr>
        <w:t> </w:t>
      </w:r>
      <w:r>
        <w:rPr/>
        <w:t>inclusive (WHO.2008). Major causes includes meningitis, tumours and trauma especially</w:t>
      </w:r>
      <w:r>
        <w:rPr>
          <w:spacing w:val="1"/>
        </w:rPr>
        <w:t> </w:t>
      </w:r>
      <w:r>
        <w:rPr/>
        <w:t>motor traffic accidents where Nigeria and East African countries presents the highest rate of</w:t>
      </w:r>
      <w:r>
        <w:rPr>
          <w:spacing w:val="1"/>
        </w:rPr>
        <w:t> </w:t>
      </w:r>
      <w:r>
        <w:rPr/>
        <w:t>automobile</w:t>
      </w:r>
      <w:r>
        <w:rPr>
          <w:spacing w:val="1"/>
        </w:rPr>
        <w:t> </w:t>
      </w:r>
      <w:r>
        <w:rPr/>
        <w:t>accidents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world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attendant</w:t>
      </w:r>
      <w:r>
        <w:rPr>
          <w:spacing w:val="1"/>
        </w:rPr>
        <w:t> </w:t>
      </w:r>
      <w:r>
        <w:rPr/>
        <w:t>increases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post</w:t>
      </w:r>
      <w:r>
        <w:rPr>
          <w:spacing w:val="1"/>
        </w:rPr>
        <w:t> </w:t>
      </w:r>
      <w:r>
        <w:rPr/>
        <w:t>traumatic</w:t>
      </w:r>
      <w:r>
        <w:rPr>
          <w:spacing w:val="1"/>
        </w:rPr>
        <w:t> </w:t>
      </w:r>
      <w:r>
        <w:rPr/>
        <w:t>epilepsy</w:t>
      </w:r>
      <w:r>
        <w:rPr>
          <w:spacing w:val="1"/>
        </w:rPr>
        <w:t> </w:t>
      </w:r>
      <w:r>
        <w:rPr/>
        <w:t>(Ogunrin,</w:t>
      </w:r>
      <w:r>
        <w:rPr>
          <w:spacing w:val="-2"/>
        </w:rPr>
        <w:t> </w:t>
      </w:r>
      <w:r>
        <w:rPr/>
        <w:t>2006).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 w:before="1"/>
        <w:ind w:left="648" w:right="676"/>
        <w:jc w:val="both"/>
        <w:rPr>
          <w:i/>
        </w:rPr>
      </w:pPr>
      <w:r>
        <w:rPr/>
        <w:t>There are quite a number of agents used in the management of epilepsy but inspite of the</w:t>
      </w:r>
      <w:r>
        <w:rPr>
          <w:spacing w:val="1"/>
        </w:rPr>
        <w:t> </w:t>
      </w:r>
      <w:r>
        <w:rPr/>
        <w:t>currently available therapeutic arsenal of old and new anti epileptic drugs, almost one third of</w:t>
      </w:r>
      <w:r>
        <w:rPr>
          <w:spacing w:val="1"/>
        </w:rPr>
        <w:t> </w:t>
      </w:r>
      <w:r>
        <w:rPr/>
        <w:t>epileptic</w:t>
      </w:r>
      <w:r>
        <w:rPr>
          <w:spacing w:val="1"/>
        </w:rPr>
        <w:t> </w:t>
      </w:r>
      <w:r>
        <w:rPr/>
        <w:t>patients</w:t>
      </w:r>
      <w:r>
        <w:rPr>
          <w:spacing w:val="1"/>
        </w:rPr>
        <w:t> </w:t>
      </w:r>
      <w:r>
        <w:rPr/>
        <w:t>continue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present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seizures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appear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refractory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pharmacological regimen (Bialer, 2006;Perucca </w:t>
      </w:r>
      <w:r>
        <w:rPr>
          <w:i/>
        </w:rPr>
        <w:t>et al</w:t>
      </w:r>
      <w:r>
        <w:rPr/>
        <w:t>., 2007).Also since epilepsy is a chronic</w:t>
      </w:r>
      <w:r>
        <w:rPr>
          <w:spacing w:val="1"/>
        </w:rPr>
        <w:t> </w:t>
      </w:r>
      <w:r>
        <w:rPr/>
        <w:t>disorder requiring long term management,the side effect also becomes a</w:t>
      </w:r>
      <w:r>
        <w:rPr>
          <w:spacing w:val="1"/>
        </w:rPr>
        <w:t> </w:t>
      </w:r>
      <w:r>
        <w:rPr/>
        <w:t>course for concern,</w:t>
      </w:r>
      <w:r>
        <w:rPr>
          <w:spacing w:val="1"/>
        </w:rPr>
        <w:t> </w:t>
      </w:r>
      <w:r>
        <w:rPr/>
        <w:t>88% of patients in a European study reported at least one anticonvulsant related side effects or</w:t>
      </w:r>
      <w:r>
        <w:rPr>
          <w:spacing w:val="-57"/>
        </w:rPr>
        <w:t> </w:t>
      </w:r>
      <w:r>
        <w:rPr/>
        <w:t>the</w:t>
      </w:r>
      <w:r>
        <w:rPr>
          <w:spacing w:val="-1"/>
        </w:rPr>
        <w:t> </w:t>
      </w:r>
      <w:r>
        <w:rPr/>
        <w:t>other (Baker, </w:t>
      </w:r>
      <w:r>
        <w:rPr>
          <w:i/>
        </w:rPr>
        <w:t>et al.,</w:t>
      </w:r>
      <w:r>
        <w:rPr/>
        <w:t>1997)</w:t>
      </w:r>
      <w:r>
        <w:rPr>
          <w:i/>
        </w:rPr>
        <w:t>.</w:t>
      </w: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2"/>
        </w:rPr>
      </w:pPr>
    </w:p>
    <w:p>
      <w:pPr>
        <w:pStyle w:val="BodyText"/>
        <w:spacing w:line="480" w:lineRule="auto"/>
        <w:ind w:left="648" w:right="671"/>
        <w:jc w:val="both"/>
      </w:pPr>
      <w:r>
        <w:rPr/>
        <w:t>In</w:t>
      </w:r>
      <w:r>
        <w:rPr>
          <w:spacing w:val="1"/>
        </w:rPr>
        <w:t> </w:t>
      </w:r>
      <w:r>
        <w:rPr/>
        <w:t>recent</w:t>
      </w:r>
      <w:r>
        <w:rPr>
          <w:spacing w:val="1"/>
        </w:rPr>
        <w:t> </w:t>
      </w:r>
      <w:r>
        <w:rPr/>
        <w:t>years,</w:t>
      </w:r>
      <w:r>
        <w:rPr>
          <w:spacing w:val="1"/>
        </w:rPr>
        <w:t> </w:t>
      </w:r>
      <w:r>
        <w:rPr/>
        <w:t>considerable</w:t>
      </w:r>
      <w:r>
        <w:rPr>
          <w:spacing w:val="1"/>
        </w:rPr>
        <w:t> </w:t>
      </w:r>
      <w:r>
        <w:rPr/>
        <w:t>number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reports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published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hepatotoxicity</w:t>
      </w:r>
      <w:r>
        <w:rPr>
          <w:spacing w:val="1"/>
        </w:rPr>
        <w:t> </w:t>
      </w:r>
      <w:r>
        <w:rPr/>
        <w:t>associated with herbal products (Herera and Bruguera, 2008). Hence the liver and the kidney</w:t>
      </w:r>
      <w:r>
        <w:rPr>
          <w:spacing w:val="1"/>
        </w:rPr>
        <w:t> </w:t>
      </w:r>
      <w:r>
        <w:rPr/>
        <w:t>should be</w:t>
      </w:r>
      <w:r>
        <w:rPr>
          <w:spacing w:val="-1"/>
        </w:rPr>
        <w:t> </w:t>
      </w:r>
      <w:r>
        <w:rPr/>
        <w:t>evaluated in any</w:t>
      </w:r>
      <w:r>
        <w:rPr>
          <w:spacing w:val="-3"/>
        </w:rPr>
        <w:t> </w:t>
      </w:r>
      <w:r>
        <w:rPr/>
        <w:t>long</w:t>
      </w:r>
      <w:r>
        <w:rPr>
          <w:spacing w:val="-3"/>
        </w:rPr>
        <w:t> </w:t>
      </w:r>
      <w:r>
        <w:rPr/>
        <w:t>term toxicity</w:t>
      </w:r>
      <w:r>
        <w:rPr>
          <w:spacing w:val="-5"/>
        </w:rPr>
        <w:t> </w:t>
      </w:r>
      <w:r>
        <w:rPr/>
        <w:t>studies.</w:t>
      </w: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2"/>
        </w:rPr>
      </w:pPr>
    </w:p>
    <w:p>
      <w:pPr>
        <w:pStyle w:val="Heading1"/>
        <w:numPr>
          <w:ilvl w:val="1"/>
          <w:numId w:val="6"/>
        </w:numPr>
        <w:tabs>
          <w:tab w:pos="3948" w:val="left" w:leader="none"/>
          <w:tab w:pos="3949" w:val="left" w:leader="none"/>
        </w:tabs>
        <w:spacing w:line="240" w:lineRule="auto" w:before="0" w:after="0"/>
        <w:ind w:left="3949" w:right="0" w:hanging="3301"/>
        <w:jc w:val="both"/>
      </w:pPr>
      <w:bookmarkStart w:name="_TOC_250059" w:id="2"/>
      <w:r>
        <w:rPr/>
        <w:t>Justification</w:t>
      </w:r>
      <w:r>
        <w:rPr>
          <w:spacing w:val="-1"/>
        </w:rPr>
        <w:t> </w:t>
      </w:r>
      <w:r>
        <w:rPr/>
        <w:t>of the</w:t>
      </w:r>
      <w:r>
        <w:rPr>
          <w:spacing w:val="-3"/>
        </w:rPr>
        <w:t> </w:t>
      </w:r>
      <w:bookmarkEnd w:id="2"/>
      <w:r>
        <w:rPr/>
        <w:t>Study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648" w:right="678"/>
        <w:jc w:val="both"/>
      </w:pPr>
      <w:r>
        <w:rPr/>
        <w:t>Anticonvulsants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main</w:t>
      </w:r>
      <w:r>
        <w:rPr>
          <w:spacing w:val="1"/>
        </w:rPr>
        <w:t> </w:t>
      </w:r>
      <w:r>
        <w:rPr/>
        <w:t>stay</w:t>
      </w:r>
      <w:r>
        <w:rPr>
          <w:spacing w:val="1"/>
        </w:rPr>
        <w:t> </w:t>
      </w:r>
      <w:r>
        <w:rPr/>
        <w:t>drugs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management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epilepsy.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anticonvulsants</w:t>
      </w:r>
      <w:r>
        <w:rPr>
          <w:spacing w:val="34"/>
        </w:rPr>
        <w:t> </w:t>
      </w:r>
      <w:r>
        <w:rPr/>
        <w:t>usually,</w:t>
      </w:r>
      <w:r>
        <w:rPr>
          <w:spacing w:val="37"/>
        </w:rPr>
        <w:t> </w:t>
      </w:r>
      <w:r>
        <w:rPr/>
        <w:t>will</w:t>
      </w:r>
      <w:r>
        <w:rPr>
          <w:spacing w:val="35"/>
        </w:rPr>
        <w:t> </w:t>
      </w:r>
      <w:r>
        <w:rPr/>
        <w:t>be</w:t>
      </w:r>
      <w:r>
        <w:rPr>
          <w:spacing w:val="32"/>
        </w:rPr>
        <w:t> </w:t>
      </w:r>
      <w:r>
        <w:rPr/>
        <w:t>life</w:t>
      </w:r>
      <w:r>
        <w:rPr>
          <w:spacing w:val="32"/>
        </w:rPr>
        <w:t> </w:t>
      </w:r>
      <w:r>
        <w:rPr/>
        <w:t>long</w:t>
      </w:r>
      <w:r>
        <w:rPr>
          <w:spacing w:val="33"/>
        </w:rPr>
        <w:t> </w:t>
      </w:r>
      <w:r>
        <w:rPr/>
        <w:t>and</w:t>
      </w:r>
      <w:r>
        <w:rPr>
          <w:spacing w:val="34"/>
        </w:rPr>
        <w:t> </w:t>
      </w:r>
      <w:r>
        <w:rPr/>
        <w:t>can</w:t>
      </w:r>
      <w:r>
        <w:rPr>
          <w:spacing w:val="33"/>
        </w:rPr>
        <w:t> </w:t>
      </w:r>
      <w:r>
        <w:rPr/>
        <w:t>have</w:t>
      </w:r>
      <w:r>
        <w:rPr>
          <w:spacing w:val="33"/>
        </w:rPr>
        <w:t> </w:t>
      </w:r>
      <w:r>
        <w:rPr/>
        <w:t>major</w:t>
      </w:r>
      <w:r>
        <w:rPr>
          <w:spacing w:val="32"/>
        </w:rPr>
        <w:t> </w:t>
      </w:r>
      <w:r>
        <w:rPr/>
        <w:t>impact</w:t>
      </w:r>
      <w:r>
        <w:rPr>
          <w:spacing w:val="34"/>
        </w:rPr>
        <w:t> </w:t>
      </w:r>
      <w:r>
        <w:rPr/>
        <w:t>on</w:t>
      </w:r>
      <w:r>
        <w:rPr>
          <w:spacing w:val="35"/>
        </w:rPr>
        <w:t> </w:t>
      </w:r>
      <w:r>
        <w:rPr/>
        <w:t>the</w:t>
      </w:r>
      <w:r>
        <w:rPr>
          <w:spacing w:val="32"/>
        </w:rPr>
        <w:t> </w:t>
      </w:r>
      <w:r>
        <w:rPr/>
        <w:t>quality</w:t>
      </w:r>
      <w:r>
        <w:rPr>
          <w:spacing w:val="29"/>
        </w:rPr>
        <w:t> </w:t>
      </w:r>
      <w:r>
        <w:rPr/>
        <w:t>of</w:t>
      </w:r>
      <w:r>
        <w:rPr>
          <w:spacing w:val="32"/>
        </w:rPr>
        <w:t> </w:t>
      </w:r>
      <w:r>
        <w:rPr/>
        <w:t>life</w:t>
      </w:r>
    </w:p>
    <w:p>
      <w:pPr>
        <w:spacing w:after="0" w:line="480" w:lineRule="auto"/>
        <w:jc w:val="both"/>
        <w:sectPr>
          <w:pgSz w:w="12240" w:h="15840"/>
          <w:pgMar w:header="0" w:footer="792" w:top="1360" w:bottom="980" w:left="1080" w:right="760"/>
        </w:sectPr>
      </w:pPr>
    </w:p>
    <w:p>
      <w:pPr>
        <w:pStyle w:val="BodyText"/>
        <w:spacing w:line="480" w:lineRule="auto" w:before="72"/>
        <w:ind w:left="648" w:right="676"/>
        <w:jc w:val="both"/>
      </w:pPr>
      <w:r>
        <w:rPr/>
        <w:t>ranging from serious side effects and teratogenicity among others (Samren </w:t>
      </w:r>
      <w:r>
        <w:rPr>
          <w:i/>
        </w:rPr>
        <w:t>et al</w:t>
      </w:r>
      <w:r>
        <w:rPr/>
        <w:t>., 1997).This</w:t>
      </w:r>
      <w:r>
        <w:rPr>
          <w:spacing w:val="1"/>
        </w:rPr>
        <w:t> </w:t>
      </w:r>
      <w:r>
        <w:rPr/>
        <w:t>makes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search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newer</w:t>
      </w:r>
      <w:r>
        <w:rPr>
          <w:spacing w:val="1"/>
        </w:rPr>
        <w:t> </w:t>
      </w:r>
      <w:r>
        <w:rPr/>
        <w:t>agents</w:t>
      </w:r>
      <w:r>
        <w:rPr>
          <w:spacing w:val="1"/>
        </w:rPr>
        <w:t> </w:t>
      </w:r>
      <w:r>
        <w:rPr/>
        <w:t>especially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natural</w:t>
      </w:r>
      <w:r>
        <w:rPr>
          <w:spacing w:val="1"/>
        </w:rPr>
        <w:t> </w:t>
      </w:r>
      <w:r>
        <w:rPr/>
        <w:t>soutces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fewer</w:t>
      </w:r>
      <w:r>
        <w:rPr>
          <w:spacing w:val="1"/>
        </w:rPr>
        <w:t> </w:t>
      </w:r>
      <w:r>
        <w:rPr/>
        <w:t>side</w:t>
      </w:r>
      <w:r>
        <w:rPr>
          <w:spacing w:val="1"/>
        </w:rPr>
        <w:t> </w:t>
      </w:r>
      <w:r>
        <w:rPr/>
        <w:t>effects,greater</w:t>
      </w:r>
      <w:r>
        <w:rPr>
          <w:spacing w:val="-3"/>
        </w:rPr>
        <w:t> </w:t>
      </w:r>
      <w:r>
        <w:rPr/>
        <w:t>efficacy</w:t>
      </w:r>
      <w:r>
        <w:rPr>
          <w:spacing w:val="-5"/>
        </w:rPr>
        <w:t> </w:t>
      </w:r>
      <w:r>
        <w:rPr/>
        <w:t>and lower cost imperative.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/>
        <w:ind w:left="648" w:right="678"/>
        <w:jc w:val="both"/>
      </w:pPr>
      <w:r>
        <w:rPr/>
        <w:t>There</w:t>
      </w:r>
      <w:r>
        <w:rPr>
          <w:spacing w:val="21"/>
        </w:rPr>
        <w:t> </w:t>
      </w:r>
      <w:r>
        <w:rPr/>
        <w:t>are</w:t>
      </w:r>
      <w:r>
        <w:rPr>
          <w:spacing w:val="21"/>
        </w:rPr>
        <w:t> </w:t>
      </w:r>
      <w:r>
        <w:rPr/>
        <w:t>many</w:t>
      </w:r>
      <w:r>
        <w:rPr>
          <w:spacing w:val="18"/>
        </w:rPr>
        <w:t> </w:t>
      </w:r>
      <w:r>
        <w:rPr/>
        <w:t>local</w:t>
      </w:r>
      <w:r>
        <w:rPr>
          <w:spacing w:val="23"/>
        </w:rPr>
        <w:t> </w:t>
      </w:r>
      <w:r>
        <w:rPr/>
        <w:t>medicinal</w:t>
      </w:r>
      <w:r>
        <w:rPr>
          <w:spacing w:val="24"/>
        </w:rPr>
        <w:t> </w:t>
      </w:r>
      <w:r>
        <w:rPr/>
        <w:t>plants</w:t>
      </w:r>
      <w:r>
        <w:rPr>
          <w:spacing w:val="23"/>
        </w:rPr>
        <w:t> </w:t>
      </w:r>
      <w:r>
        <w:rPr/>
        <w:t>that</w:t>
      </w:r>
      <w:r>
        <w:rPr>
          <w:spacing w:val="23"/>
        </w:rPr>
        <w:t> </w:t>
      </w:r>
      <w:r>
        <w:rPr/>
        <w:t>are</w:t>
      </w:r>
      <w:r>
        <w:rPr>
          <w:spacing w:val="21"/>
        </w:rPr>
        <w:t> </w:t>
      </w:r>
      <w:r>
        <w:rPr/>
        <w:t>employed</w:t>
      </w:r>
      <w:r>
        <w:rPr>
          <w:spacing w:val="22"/>
        </w:rPr>
        <w:t> </w:t>
      </w:r>
      <w:r>
        <w:rPr/>
        <w:t>either</w:t>
      </w:r>
      <w:r>
        <w:rPr>
          <w:spacing w:val="25"/>
        </w:rPr>
        <w:t> </w:t>
      </w:r>
      <w:r>
        <w:rPr/>
        <w:t>alone</w:t>
      </w:r>
      <w:r>
        <w:rPr>
          <w:spacing w:val="22"/>
        </w:rPr>
        <w:t> </w:t>
      </w:r>
      <w:r>
        <w:rPr/>
        <w:t>or</w:t>
      </w:r>
      <w:r>
        <w:rPr>
          <w:spacing w:val="25"/>
        </w:rPr>
        <w:t> </w:t>
      </w:r>
      <w:r>
        <w:rPr/>
        <w:t>in</w:t>
      </w:r>
      <w:r>
        <w:rPr>
          <w:spacing w:val="23"/>
        </w:rPr>
        <w:t> </w:t>
      </w:r>
      <w:r>
        <w:rPr/>
        <w:t>combination</w:t>
      </w:r>
      <w:r>
        <w:rPr>
          <w:spacing w:val="23"/>
        </w:rPr>
        <w:t> </w:t>
      </w:r>
      <w:r>
        <w:rPr/>
        <w:t>for</w:t>
      </w:r>
      <w:r>
        <w:rPr>
          <w:spacing w:val="-58"/>
        </w:rPr>
        <w:t> </w:t>
      </w:r>
      <w:r>
        <w:rPr/>
        <w:t>the management of epilepsy but with limited scientific evidence from studies done to evaluate</w:t>
      </w:r>
      <w:r>
        <w:rPr>
          <w:spacing w:val="-57"/>
        </w:rPr>
        <w:t> </w:t>
      </w:r>
      <w:r>
        <w:rPr/>
        <w:t>their</w:t>
      </w:r>
      <w:r>
        <w:rPr>
          <w:spacing w:val="1"/>
        </w:rPr>
        <w:t> </w:t>
      </w:r>
      <w:r>
        <w:rPr/>
        <w:t>safety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effectiveness</w:t>
      </w:r>
      <w:r>
        <w:rPr>
          <w:spacing w:val="1"/>
        </w:rPr>
        <w:t> </w:t>
      </w:r>
      <w:r>
        <w:rPr/>
        <w:t>(WHO,</w:t>
      </w:r>
      <w:r>
        <w:rPr>
          <w:spacing w:val="1"/>
        </w:rPr>
        <w:t> </w:t>
      </w:r>
      <w:r>
        <w:rPr/>
        <w:t>2008).This</w:t>
      </w:r>
      <w:r>
        <w:rPr>
          <w:spacing w:val="1"/>
        </w:rPr>
        <w:t> </w:t>
      </w:r>
      <w:r>
        <w:rPr/>
        <w:t>necessitates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need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evaluate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anticonvulsant and toxicity profile of </w:t>
      </w:r>
      <w:r>
        <w:rPr>
          <w:i/>
        </w:rPr>
        <w:t>Diospyros mespiliformis </w:t>
      </w:r>
      <w:r>
        <w:rPr/>
        <w:t>which will validate it‟s use in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long</w:t>
      </w:r>
      <w:r>
        <w:rPr>
          <w:spacing w:val="-3"/>
        </w:rPr>
        <w:t> </w:t>
      </w:r>
      <w:r>
        <w:rPr/>
        <w:t>term management of epilepsy</w:t>
      </w:r>
      <w:r>
        <w:rPr>
          <w:spacing w:val="-5"/>
        </w:rPr>
        <w:t> </w:t>
      </w:r>
      <w:r>
        <w:rPr/>
        <w:t>in traditional medicine</w:t>
      </w: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2"/>
        </w:rPr>
      </w:pPr>
    </w:p>
    <w:p>
      <w:pPr>
        <w:pStyle w:val="Heading1"/>
        <w:numPr>
          <w:ilvl w:val="1"/>
          <w:numId w:val="6"/>
        </w:numPr>
        <w:tabs>
          <w:tab w:pos="3828" w:val="left" w:leader="none"/>
          <w:tab w:pos="3829" w:val="left" w:leader="none"/>
        </w:tabs>
        <w:spacing w:line="240" w:lineRule="auto" w:before="0" w:after="0"/>
        <w:ind w:left="3829" w:right="0" w:hanging="3181"/>
        <w:jc w:val="both"/>
      </w:pPr>
      <w:bookmarkStart w:name="_TOC_250058" w:id="3"/>
      <w:r>
        <w:rPr/>
        <w:t>Theoretical</w:t>
      </w:r>
      <w:r>
        <w:rPr>
          <w:spacing w:val="-1"/>
        </w:rPr>
        <w:t> </w:t>
      </w:r>
      <w:bookmarkEnd w:id="3"/>
      <w:r>
        <w:rPr/>
        <w:t>Framework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648" w:right="675"/>
        <w:jc w:val="both"/>
      </w:pPr>
      <w:r>
        <w:rPr/>
        <w:t>Animal models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study convulsions</w:t>
      </w:r>
      <w:r>
        <w:rPr>
          <w:spacing w:val="1"/>
        </w:rPr>
        <w:t> </w:t>
      </w:r>
      <w:r>
        <w:rPr/>
        <w:t>experimentally,</w:t>
      </w:r>
      <w:r>
        <w:rPr>
          <w:spacing w:val="1"/>
        </w:rPr>
        <w:t> </w:t>
      </w:r>
      <w:r>
        <w:rPr/>
        <w:t>falls</w:t>
      </w:r>
      <w:r>
        <w:rPr>
          <w:spacing w:val="60"/>
        </w:rPr>
        <w:t> </w:t>
      </w:r>
      <w:r>
        <w:rPr/>
        <w:t>into two main categories;</w:t>
      </w:r>
      <w:r>
        <w:rPr>
          <w:spacing w:val="1"/>
        </w:rPr>
        <w:t> </w:t>
      </w:r>
      <w:r>
        <w:rPr/>
        <w:t>acute</w:t>
      </w:r>
      <w:r>
        <w:rPr>
          <w:spacing w:val="1"/>
        </w:rPr>
        <w:t> </w:t>
      </w:r>
      <w:r>
        <w:rPr/>
        <w:t>seizure</w:t>
      </w:r>
      <w:r>
        <w:rPr>
          <w:spacing w:val="1"/>
        </w:rPr>
        <w:t> </w:t>
      </w:r>
      <w:r>
        <w:rPr/>
        <w:t>models</w:t>
      </w:r>
      <w:r>
        <w:rPr>
          <w:spacing w:val="1"/>
        </w:rPr>
        <w:t> </w:t>
      </w:r>
      <w:r>
        <w:rPr/>
        <w:t>(non-epileptic</w:t>
      </w:r>
      <w:r>
        <w:rPr>
          <w:spacing w:val="1"/>
        </w:rPr>
        <w:t> </w:t>
      </w:r>
      <w:r>
        <w:rPr/>
        <w:t>animals</w:t>
      </w:r>
      <w:r>
        <w:rPr>
          <w:spacing w:val="1"/>
        </w:rPr>
        <w:t> </w:t>
      </w:r>
      <w:r>
        <w:rPr/>
        <w:t>induced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seizure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electrical</w:t>
      </w:r>
      <w:r>
        <w:rPr>
          <w:spacing w:val="1"/>
        </w:rPr>
        <w:t> </w:t>
      </w:r>
      <w:r>
        <w:rPr/>
        <w:t>or</w:t>
      </w:r>
      <w:r>
        <w:rPr>
          <w:spacing w:val="-57"/>
        </w:rPr>
        <w:t> </w:t>
      </w:r>
      <w:r>
        <w:rPr/>
        <w:t>chemical</w:t>
      </w:r>
      <w:r>
        <w:rPr>
          <w:spacing w:val="1"/>
        </w:rPr>
        <w:t> </w:t>
      </w:r>
      <w:r>
        <w:rPr/>
        <w:t>stimulus)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chronic</w:t>
      </w:r>
      <w:r>
        <w:rPr>
          <w:spacing w:val="1"/>
        </w:rPr>
        <w:t> </w:t>
      </w:r>
      <w:r>
        <w:rPr/>
        <w:t>seizure</w:t>
      </w:r>
      <w:r>
        <w:rPr>
          <w:spacing w:val="1"/>
        </w:rPr>
        <w:t> </w:t>
      </w:r>
      <w:r>
        <w:rPr/>
        <w:t>models</w:t>
      </w:r>
      <w:r>
        <w:rPr>
          <w:spacing w:val="1"/>
        </w:rPr>
        <w:t> </w:t>
      </w:r>
      <w:r>
        <w:rPr/>
        <w:t>(non-epileptic</w:t>
      </w:r>
      <w:r>
        <w:rPr>
          <w:spacing w:val="1"/>
        </w:rPr>
        <w:t> </w:t>
      </w:r>
      <w:r>
        <w:rPr/>
        <w:t>animals</w:t>
      </w:r>
      <w:r>
        <w:rPr>
          <w:spacing w:val="1"/>
        </w:rPr>
        <w:t> </w:t>
      </w:r>
      <w:r>
        <w:rPr/>
        <w:t>induced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enhanced</w:t>
      </w:r>
      <w:r>
        <w:rPr>
          <w:spacing w:val="1"/>
        </w:rPr>
        <w:t> </w:t>
      </w:r>
      <w:r>
        <w:rPr/>
        <w:t>seizure</w:t>
      </w:r>
      <w:r>
        <w:rPr>
          <w:spacing w:val="1"/>
        </w:rPr>
        <w:t> </w:t>
      </w:r>
      <w:r>
        <w:rPr/>
        <w:t>susceptibility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spontaneous</w:t>
      </w:r>
      <w:r>
        <w:rPr>
          <w:spacing w:val="1"/>
        </w:rPr>
        <w:t> </w:t>
      </w:r>
      <w:r>
        <w:rPr/>
        <w:t>seizures</w:t>
      </w:r>
      <w:r>
        <w:rPr>
          <w:spacing w:val="1"/>
        </w:rPr>
        <w:t> </w:t>
      </w:r>
      <w:r>
        <w:rPr/>
        <w:t>(Rogawski,</w:t>
      </w:r>
      <w:r>
        <w:rPr>
          <w:spacing w:val="1"/>
        </w:rPr>
        <w:t> </w:t>
      </w:r>
      <w:r>
        <w:rPr/>
        <w:t>2006),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practical</w:t>
      </w:r>
      <w:r>
        <w:rPr>
          <w:spacing w:val="1"/>
        </w:rPr>
        <w:t> </w:t>
      </w:r>
      <w:r>
        <w:rPr/>
        <w:t>purposes,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acute</w:t>
      </w:r>
      <w:r>
        <w:rPr>
          <w:spacing w:val="1"/>
        </w:rPr>
        <w:t> </w:t>
      </w:r>
      <w:r>
        <w:rPr/>
        <w:t>seizure</w:t>
      </w:r>
      <w:r>
        <w:rPr>
          <w:spacing w:val="1"/>
        </w:rPr>
        <w:t> </w:t>
      </w:r>
      <w:r>
        <w:rPr/>
        <w:t>model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one most</w:t>
      </w:r>
      <w:r>
        <w:rPr>
          <w:spacing w:val="1"/>
        </w:rPr>
        <w:t> </w:t>
      </w:r>
      <w:r>
        <w:rPr/>
        <w:t>commonly employed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experimental</w:t>
      </w:r>
      <w:r>
        <w:rPr>
          <w:spacing w:val="1"/>
        </w:rPr>
        <w:t> </w:t>
      </w:r>
      <w:r>
        <w:rPr/>
        <w:t>research to screen potential new antiepileptic drugs (Engel and Schwartzkroin, 2006; White </w:t>
      </w:r>
      <w:r>
        <w:rPr>
          <w:i/>
        </w:rPr>
        <w:t>et</w:t>
      </w:r>
      <w:r>
        <w:rPr>
          <w:i/>
          <w:spacing w:val="-57"/>
        </w:rPr>
        <w:t> </w:t>
      </w:r>
      <w:r>
        <w:rPr>
          <w:i/>
        </w:rPr>
        <w:t>al</w:t>
      </w:r>
      <w:r>
        <w:rPr/>
        <w:t>., 2006).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480" w:lineRule="auto"/>
        <w:ind w:left="648" w:right="676"/>
        <w:jc w:val="both"/>
      </w:pPr>
      <w:r>
        <w:rPr/>
        <w:t>Maximal electroshock (MES) developed in 1946 by Toman and his co-workers (Toman </w:t>
      </w:r>
      <w:r>
        <w:rPr>
          <w:i/>
        </w:rPr>
        <w:t>et al.,</w:t>
      </w:r>
      <w:r>
        <w:rPr>
          <w:i/>
          <w:spacing w:val="-57"/>
        </w:rPr>
        <w:t> </w:t>
      </w:r>
      <w:r>
        <w:rPr/>
        <w:t>1946) is an acute seizure model that is electrically induced and is about the best-validated</w:t>
      </w:r>
      <w:r>
        <w:rPr>
          <w:spacing w:val="1"/>
        </w:rPr>
        <w:t> </w:t>
      </w:r>
      <w:r>
        <w:rPr/>
        <w:t>model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predicts</w:t>
      </w:r>
      <w:r>
        <w:rPr>
          <w:spacing w:val="1"/>
        </w:rPr>
        <w:t> </w:t>
      </w:r>
      <w:r>
        <w:rPr/>
        <w:t>drugs</w:t>
      </w:r>
      <w:r>
        <w:rPr>
          <w:spacing w:val="1"/>
        </w:rPr>
        <w:t> </w:t>
      </w:r>
      <w:r>
        <w:rPr/>
        <w:t>effective</w:t>
      </w:r>
      <w:r>
        <w:rPr>
          <w:spacing w:val="1"/>
        </w:rPr>
        <w:t> </w:t>
      </w:r>
      <w:r>
        <w:rPr/>
        <w:t>against</w:t>
      </w:r>
      <w:r>
        <w:rPr>
          <w:spacing w:val="1"/>
        </w:rPr>
        <w:t> </w:t>
      </w:r>
      <w:r>
        <w:rPr/>
        <w:t>generalized</w:t>
      </w:r>
      <w:r>
        <w:rPr>
          <w:spacing w:val="1"/>
        </w:rPr>
        <w:t> </w:t>
      </w:r>
      <w:r>
        <w:rPr/>
        <w:t>tonic-clonic</w:t>
      </w:r>
      <w:r>
        <w:rPr>
          <w:spacing w:val="1"/>
        </w:rPr>
        <w:t> </w:t>
      </w:r>
      <w:r>
        <w:rPr/>
        <w:t>(grand-mal)</w:t>
      </w:r>
      <w:r>
        <w:rPr>
          <w:spacing w:val="1"/>
        </w:rPr>
        <w:t> </w:t>
      </w:r>
      <w:r>
        <w:rPr/>
        <w:t>seizures</w:t>
      </w:r>
      <w:r>
        <w:rPr>
          <w:spacing w:val="-57"/>
        </w:rPr>
        <w:t> </w:t>
      </w:r>
      <w:r>
        <w:rPr/>
        <w:t>(Loscher</w:t>
      </w:r>
      <w:r>
        <w:rPr>
          <w:spacing w:val="24"/>
        </w:rPr>
        <w:t> </w:t>
      </w:r>
      <w:r>
        <w:rPr/>
        <w:t>and</w:t>
      </w:r>
      <w:r>
        <w:rPr>
          <w:spacing w:val="22"/>
        </w:rPr>
        <w:t> </w:t>
      </w:r>
      <w:r>
        <w:rPr/>
        <w:t>Schmidt,</w:t>
      </w:r>
      <w:r>
        <w:rPr>
          <w:spacing w:val="23"/>
        </w:rPr>
        <w:t> </w:t>
      </w:r>
      <w:r>
        <w:rPr/>
        <w:t>1988;</w:t>
      </w:r>
      <w:r>
        <w:rPr>
          <w:spacing w:val="23"/>
        </w:rPr>
        <w:t> </w:t>
      </w:r>
      <w:r>
        <w:rPr/>
        <w:t>White,</w:t>
      </w:r>
      <w:r>
        <w:rPr>
          <w:spacing w:val="22"/>
        </w:rPr>
        <w:t> </w:t>
      </w:r>
      <w:r>
        <w:rPr/>
        <w:t>2003;</w:t>
      </w:r>
      <w:r>
        <w:rPr>
          <w:spacing w:val="23"/>
        </w:rPr>
        <w:t> </w:t>
      </w:r>
      <w:r>
        <w:rPr/>
        <w:t>Mares</w:t>
      </w:r>
      <w:r>
        <w:rPr>
          <w:spacing w:val="23"/>
        </w:rPr>
        <w:t> </w:t>
      </w:r>
      <w:r>
        <w:rPr/>
        <w:t>and</w:t>
      </w:r>
      <w:r>
        <w:rPr>
          <w:spacing w:val="22"/>
        </w:rPr>
        <w:t> </w:t>
      </w:r>
      <w:r>
        <w:rPr/>
        <w:t>Kubova,</w:t>
      </w:r>
      <w:r>
        <w:rPr>
          <w:spacing w:val="22"/>
        </w:rPr>
        <w:t> </w:t>
      </w:r>
      <w:r>
        <w:rPr/>
        <w:t>2006)</w:t>
      </w:r>
      <w:r>
        <w:rPr>
          <w:spacing w:val="22"/>
        </w:rPr>
        <w:t> </w:t>
      </w:r>
      <w:r>
        <w:rPr/>
        <w:t>and</w:t>
      </w:r>
      <w:r>
        <w:rPr>
          <w:spacing w:val="22"/>
        </w:rPr>
        <w:t> </w:t>
      </w:r>
      <w:r>
        <w:rPr/>
        <w:t>over</w:t>
      </w:r>
      <w:r>
        <w:rPr>
          <w:spacing w:val="22"/>
        </w:rPr>
        <w:t> </w:t>
      </w:r>
      <w:r>
        <w:rPr/>
        <w:t>the</w:t>
      </w:r>
      <w:r>
        <w:rPr>
          <w:spacing w:val="27"/>
        </w:rPr>
        <w:t> </w:t>
      </w:r>
      <w:r>
        <w:rPr/>
        <w:t>years,</w:t>
      </w:r>
      <w:r>
        <w:rPr>
          <w:spacing w:val="22"/>
        </w:rPr>
        <w:t> </w:t>
      </w:r>
      <w:r>
        <w:rPr/>
        <w:t>it</w:t>
      </w:r>
    </w:p>
    <w:p>
      <w:pPr>
        <w:spacing w:after="0" w:line="480" w:lineRule="auto"/>
        <w:jc w:val="both"/>
        <w:sectPr>
          <w:pgSz w:w="12240" w:h="15840"/>
          <w:pgMar w:header="0" w:footer="792" w:top="1360" w:bottom="980" w:left="1080" w:right="760"/>
        </w:sectPr>
      </w:pPr>
    </w:p>
    <w:p>
      <w:pPr>
        <w:pStyle w:val="BodyText"/>
        <w:spacing w:line="480" w:lineRule="auto" w:before="72"/>
        <w:ind w:left="648" w:right="675"/>
        <w:jc w:val="both"/>
      </w:pPr>
      <w:r>
        <w:rPr/>
        <w:t>has remained as the gold standard in the preliminary stages of testing (Rogawski, 2006).</w:t>
      </w:r>
      <w:r>
        <w:rPr>
          <w:spacing w:val="1"/>
        </w:rPr>
        <w:t> </w:t>
      </w:r>
      <w:r>
        <w:rPr/>
        <w:t>Here</w:t>
      </w:r>
      <w:r>
        <w:rPr>
          <w:spacing w:val="-57"/>
        </w:rPr>
        <w:t> </w:t>
      </w:r>
      <w:r>
        <w:rPr/>
        <w:t>electrical stimulus of sufficient intensity is applied to mice or rats to induce maximal seizures</w:t>
      </w:r>
      <w:r>
        <w:rPr>
          <w:spacing w:val="1"/>
        </w:rPr>
        <w:t> </w:t>
      </w:r>
      <w:r>
        <w:rPr/>
        <w:t>of their hind limbs with tonic extension as the endpoint of the test (Borowicz </w:t>
      </w:r>
      <w:r>
        <w:rPr>
          <w:i/>
        </w:rPr>
        <w:t>et al</w:t>
      </w:r>
      <w:r>
        <w:rPr/>
        <w:t>., 2007),</w:t>
      </w:r>
      <w:r>
        <w:rPr>
          <w:spacing w:val="1"/>
        </w:rPr>
        <w:t> </w:t>
      </w:r>
      <w:r>
        <w:rPr/>
        <w:t>however,</w:t>
      </w:r>
      <w:r>
        <w:rPr>
          <w:spacing w:val="-1"/>
        </w:rPr>
        <w:t> </w:t>
      </w:r>
      <w:r>
        <w:rPr/>
        <w:t>day</w:t>
      </w:r>
      <w:r>
        <w:rPr>
          <w:spacing w:val="-5"/>
        </w:rPr>
        <w:t> </w:t>
      </w:r>
      <w:r>
        <w:rPr/>
        <w:t>old chicks</w:t>
      </w:r>
      <w:r>
        <w:rPr>
          <w:spacing w:val="2"/>
        </w:rPr>
        <w:t> </w:t>
      </w:r>
      <w:r>
        <w:rPr/>
        <w:t>could also be</w:t>
      </w:r>
      <w:r>
        <w:rPr>
          <w:spacing w:val="-1"/>
        </w:rPr>
        <w:t> </w:t>
      </w:r>
      <w:r>
        <w:rPr/>
        <w:t>used.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/>
        <w:ind w:left="648" w:right="674"/>
        <w:jc w:val="both"/>
      </w:pPr>
      <w:r>
        <w:rPr/>
        <w:t>Secondly,</w:t>
      </w:r>
      <w:r>
        <w:rPr>
          <w:spacing w:val="1"/>
        </w:rPr>
        <w:t> </w:t>
      </w:r>
      <w:r>
        <w:rPr/>
        <w:t>neurotransmitters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central</w:t>
      </w:r>
      <w:r>
        <w:rPr>
          <w:spacing w:val="1"/>
        </w:rPr>
        <w:t> </w:t>
      </w:r>
      <w:r>
        <w:rPr/>
        <w:t>nervous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broadly classified</w:t>
      </w:r>
      <w:r>
        <w:rPr>
          <w:spacing w:val="1"/>
        </w:rPr>
        <w:t> </w:t>
      </w:r>
      <w:r>
        <w:rPr/>
        <w:t>into</w:t>
      </w:r>
      <w:r>
        <w:rPr>
          <w:spacing w:val="-57"/>
        </w:rPr>
        <w:t> </w:t>
      </w:r>
      <w:r>
        <w:rPr/>
        <w:t>inhibitory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excitatory.</w:t>
      </w:r>
      <w:r>
        <w:rPr>
          <w:spacing w:val="1"/>
        </w:rPr>
        <w:t> </w:t>
      </w:r>
      <w:r>
        <w:rPr/>
        <w:t>Consequently,</w:t>
      </w:r>
      <w:r>
        <w:rPr>
          <w:spacing w:val="1"/>
        </w:rPr>
        <w:t> </w:t>
      </w:r>
      <w:r>
        <w:rPr/>
        <w:t>either</w:t>
      </w:r>
      <w:r>
        <w:rPr>
          <w:spacing w:val="1"/>
        </w:rPr>
        <w:t> </w:t>
      </w:r>
      <w:r>
        <w:rPr/>
        <w:t>blockade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inhibitory</w:t>
      </w:r>
      <w:r>
        <w:rPr>
          <w:spacing w:val="1"/>
        </w:rPr>
        <w:t> </w:t>
      </w:r>
      <w:r>
        <w:rPr/>
        <w:t>synaptic</w:t>
      </w:r>
      <w:r>
        <w:rPr>
          <w:spacing w:val="1"/>
        </w:rPr>
        <w:t> </w:t>
      </w:r>
      <w:r>
        <w:rPr/>
        <w:t>activity</w:t>
      </w:r>
      <w:r>
        <w:rPr>
          <w:spacing w:val="1"/>
        </w:rPr>
        <w:t> </w:t>
      </w:r>
      <w:r>
        <w:rPr/>
        <w:t>or</w:t>
      </w:r>
      <w:r>
        <w:rPr>
          <w:spacing w:val="-57"/>
        </w:rPr>
        <w:t> </w:t>
      </w:r>
      <w:r>
        <w:rPr/>
        <w:t>potentiation of excitatory synaptic activity might trigger a seizure. The neurotransmitters</w:t>
      </w:r>
      <w:r>
        <w:rPr>
          <w:spacing w:val="1"/>
        </w:rPr>
        <w:t> </w:t>
      </w:r>
      <w:r>
        <w:rPr/>
        <w:t>mediating the bulk of synaptic transmission in the mammalian brain are amino acids, with</w:t>
      </w:r>
      <w:r>
        <w:rPr>
          <w:spacing w:val="1"/>
        </w:rPr>
        <w:t> </w:t>
      </w:r>
      <w:r>
        <w:rPr/>
        <w:t>GABA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glutamate</w:t>
      </w:r>
      <w:r>
        <w:rPr>
          <w:spacing w:val="1"/>
        </w:rPr>
        <w:t> </w:t>
      </w:r>
      <w:r>
        <w:rPr/>
        <w:t>being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principal</w:t>
      </w:r>
      <w:r>
        <w:rPr>
          <w:spacing w:val="1"/>
        </w:rPr>
        <w:t> </w:t>
      </w:r>
      <w:r>
        <w:rPr/>
        <w:t>inhibitory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excitatory</w:t>
      </w:r>
      <w:r>
        <w:rPr>
          <w:spacing w:val="1"/>
        </w:rPr>
        <w:t> </w:t>
      </w:r>
      <w:r>
        <w:rPr/>
        <w:t>neutrotransmitters</w:t>
      </w:r>
      <w:r>
        <w:rPr>
          <w:spacing w:val="1"/>
        </w:rPr>
        <w:t> </w:t>
      </w:r>
      <w:r>
        <w:rPr/>
        <w:t>respectively.</w:t>
      </w:r>
      <w:r>
        <w:rPr>
          <w:spacing w:val="1"/>
        </w:rPr>
        <w:t> </w:t>
      </w:r>
      <w:r>
        <w:rPr/>
        <w:t>Pharmacological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showed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antagonists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GABA</w:t>
      </w:r>
      <w:r>
        <w:rPr>
          <w:vertAlign w:val="subscript"/>
        </w:rPr>
        <w:t>A</w:t>
      </w:r>
      <w:r>
        <w:rPr>
          <w:spacing w:val="1"/>
          <w:vertAlign w:val="baseline"/>
        </w:rPr>
        <w:t> </w:t>
      </w:r>
      <w:r>
        <w:rPr>
          <w:vertAlign w:val="baseline"/>
        </w:rPr>
        <w:t>receptors</w:t>
      </w:r>
      <w:r>
        <w:rPr>
          <w:spacing w:val="60"/>
          <w:vertAlign w:val="baseline"/>
        </w:rPr>
        <w:t> </w:t>
      </w:r>
      <w:r>
        <w:rPr>
          <w:vertAlign w:val="baseline"/>
        </w:rPr>
        <w:t>or</w:t>
      </w:r>
      <w:r>
        <w:rPr>
          <w:spacing w:val="1"/>
          <w:vertAlign w:val="baseline"/>
        </w:rPr>
        <w:t> </w:t>
      </w:r>
      <w:r>
        <w:rPr>
          <w:vertAlign w:val="baseline"/>
        </w:rPr>
        <w:t>agonists of different glutamate receptor subtypes (NMDA, AMPA, KA) triggers seizures in</w:t>
      </w:r>
      <w:r>
        <w:rPr>
          <w:spacing w:val="1"/>
          <w:vertAlign w:val="baseline"/>
        </w:rPr>
        <w:t> </w:t>
      </w:r>
      <w:r>
        <w:rPr>
          <w:vertAlign w:val="baseline"/>
        </w:rPr>
        <w:t>experimental animal models of epilepsy, conversely agents that enhance GABA mediated</w:t>
      </w:r>
      <w:r>
        <w:rPr>
          <w:spacing w:val="1"/>
          <w:vertAlign w:val="baseline"/>
        </w:rPr>
        <w:t> </w:t>
      </w:r>
      <w:r>
        <w:rPr>
          <w:vertAlign w:val="baseline"/>
        </w:rPr>
        <w:t>synaptic</w:t>
      </w:r>
      <w:r>
        <w:rPr>
          <w:spacing w:val="1"/>
          <w:vertAlign w:val="baseline"/>
        </w:rPr>
        <w:t> </w:t>
      </w:r>
      <w:r>
        <w:rPr>
          <w:vertAlign w:val="baseline"/>
        </w:rPr>
        <w:t>inhibition</w:t>
      </w:r>
      <w:r>
        <w:rPr>
          <w:spacing w:val="1"/>
          <w:vertAlign w:val="baseline"/>
        </w:rPr>
        <w:t> </w:t>
      </w:r>
      <w:r>
        <w:rPr>
          <w:vertAlign w:val="baseline"/>
        </w:rPr>
        <w:t>or</w:t>
      </w:r>
      <w:r>
        <w:rPr>
          <w:spacing w:val="1"/>
          <w:vertAlign w:val="baseline"/>
        </w:rPr>
        <w:t> </w:t>
      </w:r>
      <w:r>
        <w:rPr>
          <w:vertAlign w:val="baseline"/>
        </w:rPr>
        <w:t>glutamate-receptor</w:t>
      </w:r>
      <w:r>
        <w:rPr>
          <w:spacing w:val="1"/>
          <w:vertAlign w:val="baseline"/>
        </w:rPr>
        <w:t> </w:t>
      </w:r>
      <w:r>
        <w:rPr>
          <w:vertAlign w:val="baseline"/>
        </w:rPr>
        <w:t>antagonists</w:t>
      </w:r>
      <w:r>
        <w:rPr>
          <w:spacing w:val="1"/>
          <w:vertAlign w:val="baseline"/>
        </w:rPr>
        <w:t> </w:t>
      </w:r>
      <w:r>
        <w:rPr>
          <w:vertAlign w:val="baseline"/>
        </w:rPr>
        <w:t>are</w:t>
      </w:r>
      <w:r>
        <w:rPr>
          <w:spacing w:val="1"/>
          <w:vertAlign w:val="baseline"/>
        </w:rPr>
        <w:t> </w:t>
      </w:r>
      <w:r>
        <w:rPr>
          <w:vertAlign w:val="baseline"/>
        </w:rPr>
        <w:t>potential</w:t>
      </w:r>
      <w:r>
        <w:rPr>
          <w:spacing w:val="1"/>
          <w:vertAlign w:val="baseline"/>
        </w:rPr>
        <w:t> </w:t>
      </w:r>
      <w:r>
        <w:rPr>
          <w:vertAlign w:val="baseline"/>
        </w:rPr>
        <w:t>antiepileptic</w:t>
      </w:r>
      <w:r>
        <w:rPr>
          <w:spacing w:val="1"/>
          <w:vertAlign w:val="baseline"/>
        </w:rPr>
        <w:t> </w:t>
      </w:r>
      <w:r>
        <w:rPr>
          <w:vertAlign w:val="baseline"/>
        </w:rPr>
        <w:t>agents.</w:t>
      </w:r>
      <w:r>
        <w:rPr>
          <w:spacing w:val="1"/>
          <w:vertAlign w:val="baseline"/>
        </w:rPr>
        <w:t> </w:t>
      </w:r>
      <w:r>
        <w:rPr>
          <w:vertAlign w:val="baseline"/>
        </w:rPr>
        <w:t>Likewise agents that blocks other inhibitory neurotransmitters e.g. glycine, potentiates other</w:t>
      </w:r>
      <w:r>
        <w:rPr>
          <w:spacing w:val="1"/>
          <w:vertAlign w:val="baseline"/>
        </w:rPr>
        <w:t> </w:t>
      </w:r>
      <w:r>
        <w:rPr>
          <w:vertAlign w:val="baseline"/>
        </w:rPr>
        <w:t>excitatory neutrotransmiters e.g. acetylcholine or block potassium or chloride channels can</w:t>
      </w:r>
      <w:r>
        <w:rPr>
          <w:spacing w:val="1"/>
          <w:vertAlign w:val="baseline"/>
        </w:rPr>
        <w:t> </w:t>
      </w:r>
      <w:r>
        <w:rPr>
          <w:vertAlign w:val="baseline"/>
        </w:rPr>
        <w:t>also</w:t>
      </w:r>
      <w:r>
        <w:rPr>
          <w:spacing w:val="1"/>
          <w:vertAlign w:val="baseline"/>
        </w:rPr>
        <w:t> </w:t>
      </w:r>
      <w:r>
        <w:rPr>
          <w:vertAlign w:val="baseline"/>
        </w:rPr>
        <w:t>trigger</w:t>
      </w:r>
      <w:r>
        <w:rPr>
          <w:spacing w:val="1"/>
          <w:vertAlign w:val="baseline"/>
        </w:rPr>
        <w:t> </w:t>
      </w:r>
      <w:r>
        <w:rPr>
          <w:vertAlign w:val="baseline"/>
        </w:rPr>
        <w:t>seizure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experimental</w:t>
      </w:r>
      <w:r>
        <w:rPr>
          <w:spacing w:val="1"/>
          <w:vertAlign w:val="baseline"/>
        </w:rPr>
        <w:t> </w:t>
      </w:r>
      <w:r>
        <w:rPr>
          <w:vertAlign w:val="baseline"/>
        </w:rPr>
        <w:t>animal</w:t>
      </w:r>
      <w:r>
        <w:rPr>
          <w:spacing w:val="1"/>
          <w:vertAlign w:val="baseline"/>
        </w:rPr>
        <w:t> </w:t>
      </w:r>
      <w:r>
        <w:rPr>
          <w:vertAlign w:val="baseline"/>
        </w:rPr>
        <w:t>models.</w:t>
      </w:r>
      <w:r>
        <w:rPr>
          <w:spacing w:val="1"/>
          <w:vertAlign w:val="baseline"/>
        </w:rPr>
        <w:t> </w:t>
      </w:r>
      <w:r>
        <w:rPr>
          <w:vertAlign w:val="baseline"/>
        </w:rPr>
        <w:t>GABA</w:t>
      </w:r>
      <w:r>
        <w:rPr>
          <w:spacing w:val="1"/>
          <w:vertAlign w:val="baseline"/>
        </w:rPr>
        <w:t> </w:t>
      </w:r>
      <w:r>
        <w:rPr>
          <w:vertAlign w:val="baseline"/>
        </w:rPr>
        <w:t>antagonists</w:t>
      </w:r>
      <w:r>
        <w:rPr>
          <w:spacing w:val="1"/>
          <w:vertAlign w:val="baseline"/>
        </w:rPr>
        <w:t> </w:t>
      </w:r>
      <w:r>
        <w:rPr>
          <w:vertAlign w:val="baseline"/>
        </w:rPr>
        <w:t>includes;</w:t>
      </w:r>
      <w:r>
        <w:rPr>
          <w:spacing w:val="1"/>
          <w:vertAlign w:val="baseline"/>
        </w:rPr>
        <w:t> </w:t>
      </w:r>
      <w:r>
        <w:rPr>
          <w:vertAlign w:val="baseline"/>
        </w:rPr>
        <w:t>pentylenetetrazole (Loscher </w:t>
      </w:r>
      <w:r>
        <w:rPr>
          <w:i/>
          <w:vertAlign w:val="baseline"/>
        </w:rPr>
        <w:t>et al</w:t>
      </w:r>
      <w:r>
        <w:rPr>
          <w:vertAlign w:val="baseline"/>
        </w:rPr>
        <w:t>., 1991). Bicuculine and picrotoxin (De-Dyne </w:t>
      </w:r>
      <w:r>
        <w:rPr>
          <w:i/>
          <w:vertAlign w:val="baseline"/>
        </w:rPr>
        <w:t>et al</w:t>
      </w:r>
      <w:r>
        <w:rPr>
          <w:vertAlign w:val="baseline"/>
        </w:rPr>
        <w:t>, 1992).</w:t>
      </w:r>
      <w:r>
        <w:rPr>
          <w:spacing w:val="1"/>
          <w:vertAlign w:val="baseline"/>
        </w:rPr>
        <w:t> </w:t>
      </w:r>
      <w:r>
        <w:rPr>
          <w:vertAlign w:val="baseline"/>
        </w:rPr>
        <w:t>While Isoniazid inhibits GABA synthesis (Costa </w:t>
      </w:r>
      <w:r>
        <w:rPr>
          <w:i/>
          <w:vertAlign w:val="baseline"/>
        </w:rPr>
        <w:t>et al., </w:t>
      </w:r>
      <w:r>
        <w:rPr>
          <w:vertAlign w:val="baseline"/>
        </w:rPr>
        <w:t>1975). Strychnine antagonizes glycine</w:t>
      </w:r>
      <w:r>
        <w:rPr>
          <w:spacing w:val="1"/>
          <w:vertAlign w:val="baseline"/>
        </w:rPr>
        <w:t> </w:t>
      </w:r>
      <w:r>
        <w:rPr>
          <w:vertAlign w:val="baseline"/>
        </w:rPr>
        <w:t>(an</w:t>
      </w:r>
      <w:r>
        <w:rPr>
          <w:spacing w:val="1"/>
          <w:vertAlign w:val="baseline"/>
        </w:rPr>
        <w:t> </w:t>
      </w:r>
      <w:r>
        <w:rPr>
          <w:vertAlign w:val="baseline"/>
        </w:rPr>
        <w:t>inhibitory neurotransmitter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central</w:t>
      </w:r>
      <w:r>
        <w:rPr>
          <w:spacing w:val="1"/>
          <w:vertAlign w:val="baseline"/>
        </w:rPr>
        <w:t> </w:t>
      </w:r>
      <w:r>
        <w:rPr>
          <w:vertAlign w:val="baseline"/>
        </w:rPr>
        <w:t>nervous</w:t>
      </w:r>
      <w:r>
        <w:rPr>
          <w:spacing w:val="1"/>
          <w:vertAlign w:val="baseline"/>
        </w:rPr>
        <w:t> </w:t>
      </w:r>
      <w:r>
        <w:rPr>
          <w:vertAlign w:val="baseline"/>
        </w:rPr>
        <w:t>system)</w:t>
      </w:r>
      <w:r>
        <w:rPr>
          <w:spacing w:val="1"/>
          <w:vertAlign w:val="baseline"/>
        </w:rPr>
        <w:t> </w:t>
      </w:r>
      <w:r>
        <w:rPr>
          <w:vertAlign w:val="baseline"/>
        </w:rPr>
        <w:t>(Vogel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Vogel,</w:t>
      </w:r>
      <w:r>
        <w:rPr>
          <w:spacing w:val="1"/>
          <w:vertAlign w:val="baseline"/>
        </w:rPr>
        <w:t> </w:t>
      </w:r>
      <w:r>
        <w:rPr>
          <w:vertAlign w:val="baseline"/>
        </w:rPr>
        <w:t>2002).</w:t>
      </w:r>
      <w:r>
        <w:rPr>
          <w:spacing w:val="1"/>
          <w:vertAlign w:val="baseline"/>
        </w:rPr>
        <w:t> </w:t>
      </w:r>
      <w:r>
        <w:rPr>
          <w:vertAlign w:val="baseline"/>
        </w:rPr>
        <w:t>Pilocarpine</w:t>
      </w:r>
      <w:r>
        <w:rPr>
          <w:spacing w:val="1"/>
          <w:vertAlign w:val="baseline"/>
        </w:rPr>
        <w:t> </w:t>
      </w:r>
      <w:r>
        <w:rPr>
          <w:vertAlign w:val="baseline"/>
        </w:rPr>
        <w:t>is</w:t>
      </w:r>
      <w:r>
        <w:rPr>
          <w:spacing w:val="1"/>
          <w:vertAlign w:val="baseline"/>
        </w:rPr>
        <w:t> </w:t>
      </w:r>
      <w:r>
        <w:rPr>
          <w:vertAlign w:val="baseline"/>
        </w:rPr>
        <w:t>an</w:t>
      </w:r>
      <w:r>
        <w:rPr>
          <w:spacing w:val="1"/>
          <w:vertAlign w:val="baseline"/>
        </w:rPr>
        <w:t> </w:t>
      </w:r>
      <w:r>
        <w:rPr>
          <w:vertAlign w:val="baseline"/>
        </w:rPr>
        <w:t>agonist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muscarinic</w:t>
      </w:r>
      <w:r>
        <w:rPr>
          <w:spacing w:val="1"/>
          <w:vertAlign w:val="baseline"/>
        </w:rPr>
        <w:t> </w:t>
      </w:r>
      <w:r>
        <w:rPr>
          <w:vertAlign w:val="baseline"/>
        </w:rPr>
        <w:t>cholinoceptors</w:t>
      </w:r>
      <w:r>
        <w:rPr>
          <w:spacing w:val="1"/>
          <w:vertAlign w:val="baseline"/>
        </w:rPr>
        <w:t> </w:t>
      </w:r>
      <w:r>
        <w:rPr>
          <w:vertAlign w:val="baseline"/>
        </w:rPr>
        <w:t>(De-Dyne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et</w:t>
      </w:r>
      <w:r>
        <w:rPr>
          <w:i/>
          <w:spacing w:val="1"/>
          <w:vertAlign w:val="baseline"/>
        </w:rPr>
        <w:t> </w:t>
      </w:r>
      <w:r>
        <w:rPr>
          <w:i/>
          <w:vertAlign w:val="baseline"/>
        </w:rPr>
        <w:t>al</w:t>
      </w:r>
      <w:r>
        <w:rPr>
          <w:vertAlign w:val="baseline"/>
        </w:rPr>
        <w:t>,</w:t>
      </w:r>
      <w:r>
        <w:rPr>
          <w:spacing w:val="1"/>
          <w:vertAlign w:val="baseline"/>
        </w:rPr>
        <w:t> </w:t>
      </w:r>
      <w:r>
        <w:rPr>
          <w:vertAlign w:val="baseline"/>
        </w:rPr>
        <w:t>1992).</w:t>
      </w:r>
      <w:r>
        <w:rPr>
          <w:spacing w:val="1"/>
          <w:vertAlign w:val="baseline"/>
        </w:rPr>
        <w:t> </w:t>
      </w:r>
      <w:r>
        <w:rPr>
          <w:vertAlign w:val="baseline"/>
        </w:rPr>
        <w:t>While</w:t>
      </w:r>
      <w:r>
        <w:rPr>
          <w:spacing w:val="1"/>
          <w:vertAlign w:val="baseline"/>
        </w:rPr>
        <w:t> </w:t>
      </w:r>
      <w:r>
        <w:rPr>
          <w:vertAlign w:val="baseline"/>
        </w:rPr>
        <w:t>4-</w:t>
      </w:r>
      <w:r>
        <w:rPr>
          <w:spacing w:val="-57"/>
          <w:vertAlign w:val="baseline"/>
        </w:rPr>
        <w:t> </w:t>
      </w:r>
      <w:r>
        <w:rPr>
          <w:vertAlign w:val="baseline"/>
        </w:rPr>
        <w:t>aminopyridine</w:t>
      </w:r>
      <w:r>
        <w:rPr>
          <w:spacing w:val="-2"/>
          <w:vertAlign w:val="baseline"/>
        </w:rPr>
        <w:t> </w:t>
      </w:r>
      <w:r>
        <w:rPr>
          <w:vertAlign w:val="baseline"/>
        </w:rPr>
        <w:t>blocks k</w:t>
      </w:r>
      <w:r>
        <w:rPr>
          <w:vertAlign w:val="superscript"/>
        </w:rPr>
        <w:t>+</w:t>
      </w:r>
      <w:r>
        <w:rPr>
          <w:spacing w:val="2"/>
          <w:vertAlign w:val="baseline"/>
        </w:rPr>
        <w:t> </w:t>
      </w:r>
      <w:r>
        <w:rPr>
          <w:vertAlign w:val="baseline"/>
        </w:rPr>
        <w:t>channel (Seagal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et al</w:t>
      </w:r>
      <w:r>
        <w:rPr>
          <w:vertAlign w:val="baseline"/>
        </w:rPr>
        <w:t>., 1999).</w:t>
      </w:r>
    </w:p>
    <w:p>
      <w:pPr>
        <w:spacing w:after="0" w:line="480" w:lineRule="auto"/>
        <w:jc w:val="both"/>
        <w:sectPr>
          <w:pgSz w:w="12240" w:h="15840"/>
          <w:pgMar w:header="0" w:footer="792" w:top="1360" w:bottom="980" w:left="1080" w:right="760"/>
        </w:sectPr>
      </w:pPr>
    </w:p>
    <w:p>
      <w:pPr>
        <w:pStyle w:val="Heading1"/>
        <w:numPr>
          <w:ilvl w:val="1"/>
          <w:numId w:val="6"/>
        </w:numPr>
        <w:tabs>
          <w:tab w:pos="3888" w:val="left" w:leader="none"/>
          <w:tab w:pos="3889" w:val="left" w:leader="none"/>
        </w:tabs>
        <w:spacing w:line="240" w:lineRule="auto" w:before="79" w:after="0"/>
        <w:ind w:left="3889" w:right="0" w:hanging="3241"/>
        <w:jc w:val="both"/>
      </w:pPr>
      <w:bookmarkStart w:name="_TOC_250057" w:id="4"/>
      <w:r>
        <w:rPr/>
        <w:t>Objectives</w:t>
      </w:r>
      <w:r>
        <w:rPr>
          <w:spacing w:val="-2"/>
        </w:rPr>
        <w:t> </w:t>
      </w:r>
      <w:r>
        <w:rPr/>
        <w:t>of the</w:t>
      </w:r>
      <w:r>
        <w:rPr>
          <w:spacing w:val="-1"/>
        </w:rPr>
        <w:t> </w:t>
      </w:r>
      <w:bookmarkEnd w:id="4"/>
      <w:r>
        <w:rPr/>
        <w:t>Study</w:t>
      </w:r>
    </w:p>
    <w:p>
      <w:pPr>
        <w:pStyle w:val="BodyText"/>
        <w:spacing w:before="5"/>
        <w:rPr>
          <w:b/>
          <w:sz w:val="20"/>
        </w:rPr>
      </w:pPr>
    </w:p>
    <w:p>
      <w:pPr>
        <w:pStyle w:val="BodyText"/>
        <w:spacing w:line="480" w:lineRule="auto"/>
        <w:ind w:left="648" w:right="676"/>
        <w:jc w:val="both"/>
      </w:pPr>
      <w:r>
        <w:rPr/>
        <w:t>The major objective of this study is to scientifically evaluate the methanol leaf extract of</w:t>
      </w:r>
      <w:r>
        <w:rPr>
          <w:spacing w:val="1"/>
        </w:rPr>
        <w:t> </w:t>
      </w:r>
      <w:r>
        <w:rPr/>
        <w:t>D</w:t>
      </w:r>
      <w:r>
        <w:rPr>
          <w:i/>
        </w:rPr>
        <w:t>iospyros</w:t>
      </w:r>
      <w:r>
        <w:rPr>
          <w:i/>
          <w:spacing w:val="1"/>
        </w:rPr>
        <w:t> </w:t>
      </w:r>
      <w:r>
        <w:rPr>
          <w:i/>
        </w:rPr>
        <w:t>mespiliformis</w:t>
      </w:r>
      <w:r>
        <w:rPr>
          <w:i/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possible</w:t>
      </w:r>
      <w:r>
        <w:rPr>
          <w:spacing w:val="1"/>
        </w:rPr>
        <w:t> </w:t>
      </w:r>
      <w:r>
        <w:rPr/>
        <w:t>anticonvulsant</w:t>
      </w:r>
      <w:r>
        <w:rPr>
          <w:spacing w:val="1"/>
        </w:rPr>
        <w:t> </w:t>
      </w:r>
      <w:r>
        <w:rPr/>
        <w:t>activity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claimed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traditional</w:t>
      </w:r>
      <w:r>
        <w:rPr>
          <w:spacing w:val="1"/>
        </w:rPr>
        <w:t> </w:t>
      </w:r>
      <w:r>
        <w:rPr/>
        <w:t>medicine practitioners. Furthermore, since convulsive disorders require life long management,</w:t>
      </w:r>
      <w:r>
        <w:rPr>
          <w:spacing w:val="-57"/>
        </w:rPr>
        <w:t> </w:t>
      </w:r>
      <w:r>
        <w:rPr/>
        <w:t>to scientifically evaluate the effect of sub-chronic administration of the extract on some vital</w:t>
      </w:r>
      <w:r>
        <w:rPr>
          <w:spacing w:val="1"/>
        </w:rPr>
        <w:t> </w:t>
      </w:r>
      <w:r>
        <w:rPr/>
        <w:t>organs (kidney and liver) of laboratory animals with a view to determine its safety during</w:t>
      </w:r>
      <w:r>
        <w:rPr>
          <w:spacing w:val="1"/>
        </w:rPr>
        <w:t> </w:t>
      </w:r>
      <w:r>
        <w:rPr/>
        <w:t>chronic</w:t>
      </w:r>
      <w:r>
        <w:rPr>
          <w:spacing w:val="-1"/>
        </w:rPr>
        <w:t> </w:t>
      </w:r>
      <w:r>
        <w:rPr/>
        <w:t>use</w:t>
      </w:r>
      <w:r>
        <w:rPr>
          <w:spacing w:val="-2"/>
        </w:rPr>
        <w:t> </w:t>
      </w:r>
      <w:r>
        <w:rPr/>
        <w:t>which</w:t>
      </w:r>
      <w:r>
        <w:rPr>
          <w:spacing w:val="-1"/>
        </w:rPr>
        <w:t> </w:t>
      </w:r>
      <w:r>
        <w:rPr/>
        <w:t>will validate its</w:t>
      </w:r>
      <w:r>
        <w:rPr>
          <w:spacing w:val="-1"/>
        </w:rPr>
        <w:t> </w:t>
      </w:r>
      <w:r>
        <w:rPr/>
        <w:t>use in the</w:t>
      </w:r>
      <w:r>
        <w:rPr>
          <w:spacing w:val="-2"/>
        </w:rPr>
        <w:t> </w:t>
      </w:r>
      <w:r>
        <w:rPr/>
        <w:t>long term</w:t>
      </w:r>
      <w:r>
        <w:rPr>
          <w:spacing w:val="1"/>
        </w:rPr>
        <w:t> </w:t>
      </w:r>
      <w:r>
        <w:rPr/>
        <w:t>management</w:t>
      </w:r>
      <w:r>
        <w:rPr>
          <w:spacing w:val="-1"/>
        </w:rPr>
        <w:t> </w:t>
      </w:r>
      <w:r>
        <w:rPr/>
        <w:t>of epilepsy.</w:t>
      </w:r>
    </w:p>
    <w:p>
      <w:pPr>
        <w:pStyle w:val="BodyText"/>
        <w:spacing w:line="274" w:lineRule="exact"/>
        <w:ind w:left="1368"/>
      </w:pPr>
      <w:r>
        <w:rPr/>
        <w:t>The</w:t>
      </w:r>
      <w:r>
        <w:rPr>
          <w:spacing w:val="-3"/>
        </w:rPr>
        <w:t> </w:t>
      </w:r>
      <w:r>
        <w:rPr/>
        <w:t>specific objectives</w:t>
      </w:r>
      <w:r>
        <w:rPr>
          <w:spacing w:val="-1"/>
        </w:rPr>
        <w:t> </w:t>
      </w:r>
      <w:r>
        <w:rPr/>
        <w:t>therefore</w:t>
      </w:r>
      <w:r>
        <w:rPr>
          <w:spacing w:val="-2"/>
        </w:rPr>
        <w:t> </w:t>
      </w:r>
      <w:r>
        <w:rPr/>
        <w:t>can</w:t>
      </w:r>
      <w:r>
        <w:rPr>
          <w:spacing w:val="-1"/>
        </w:rPr>
        <w:t> </w:t>
      </w:r>
      <w:r>
        <w:rPr/>
        <w:t>be</w:t>
      </w:r>
      <w:r>
        <w:rPr>
          <w:spacing w:val="-1"/>
        </w:rPr>
        <w:t> </w:t>
      </w:r>
      <w:r>
        <w:rPr/>
        <w:t>summarized</w:t>
      </w:r>
      <w:r>
        <w:rPr>
          <w:spacing w:val="-1"/>
        </w:rPr>
        <w:t> </w:t>
      </w:r>
      <w:r>
        <w:rPr/>
        <w:t>thus:</w:t>
      </w:r>
    </w:p>
    <w:p>
      <w:pPr>
        <w:pStyle w:val="BodyText"/>
      </w:pPr>
    </w:p>
    <w:p>
      <w:pPr>
        <w:pStyle w:val="ListParagraph"/>
        <w:numPr>
          <w:ilvl w:val="0"/>
          <w:numId w:val="7"/>
        </w:numPr>
        <w:tabs>
          <w:tab w:pos="1369" w:val="left" w:leader="none"/>
        </w:tabs>
        <w:spacing w:line="480" w:lineRule="auto" w:before="1" w:after="0"/>
        <w:ind w:left="1368" w:right="678" w:hanging="660"/>
        <w:jc w:val="both"/>
        <w:rPr>
          <w:sz w:val="24"/>
        </w:rPr>
      </w:pP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conduct</w:t>
      </w:r>
      <w:r>
        <w:rPr>
          <w:spacing w:val="1"/>
          <w:sz w:val="24"/>
        </w:rPr>
        <w:t> </w:t>
      </w:r>
      <w:r>
        <w:rPr>
          <w:sz w:val="24"/>
        </w:rPr>
        <w:t>acute</w:t>
      </w:r>
      <w:r>
        <w:rPr>
          <w:spacing w:val="1"/>
          <w:sz w:val="24"/>
        </w:rPr>
        <w:t> </w:t>
      </w:r>
      <w:r>
        <w:rPr>
          <w:sz w:val="24"/>
        </w:rPr>
        <w:t>toxicity</w:t>
      </w:r>
      <w:r>
        <w:rPr>
          <w:spacing w:val="1"/>
          <w:sz w:val="24"/>
        </w:rPr>
        <w:t> </w:t>
      </w:r>
      <w:r>
        <w:rPr>
          <w:sz w:val="24"/>
        </w:rPr>
        <w:t>studies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mice,</w:t>
      </w:r>
      <w:r>
        <w:rPr>
          <w:spacing w:val="1"/>
          <w:sz w:val="24"/>
        </w:rPr>
        <w:t> </w:t>
      </w:r>
      <w:r>
        <w:rPr>
          <w:sz w:val="24"/>
        </w:rPr>
        <w:t>rats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chicks</w:t>
      </w:r>
      <w:r>
        <w:rPr>
          <w:spacing w:val="1"/>
          <w:sz w:val="24"/>
        </w:rPr>
        <w:t> </w:t>
      </w:r>
      <w:r>
        <w:rPr>
          <w:sz w:val="24"/>
        </w:rPr>
        <w:t>using</w:t>
      </w:r>
      <w:r>
        <w:rPr>
          <w:spacing w:val="1"/>
          <w:sz w:val="24"/>
        </w:rPr>
        <w:t> </w:t>
      </w:r>
      <w:r>
        <w:rPr>
          <w:sz w:val="24"/>
        </w:rPr>
        <w:t>oral</w:t>
      </w:r>
      <w:r>
        <w:rPr>
          <w:spacing w:val="6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intraperitoneal routes in case of mice and rats, and intraperitoneal route in case of</w:t>
      </w:r>
      <w:r>
        <w:rPr>
          <w:spacing w:val="1"/>
          <w:sz w:val="24"/>
        </w:rPr>
        <w:t> </w:t>
      </w:r>
      <w:r>
        <w:rPr>
          <w:sz w:val="24"/>
        </w:rPr>
        <w:t>chicks</w:t>
      </w:r>
    </w:p>
    <w:p>
      <w:pPr>
        <w:pStyle w:val="ListParagraph"/>
        <w:numPr>
          <w:ilvl w:val="0"/>
          <w:numId w:val="7"/>
        </w:numPr>
        <w:tabs>
          <w:tab w:pos="1369" w:val="left" w:leader="none"/>
        </w:tabs>
        <w:spacing w:line="240" w:lineRule="auto" w:before="0" w:after="0"/>
        <w:ind w:left="1368" w:right="0" w:hanging="721"/>
        <w:jc w:val="both"/>
        <w:rPr>
          <w:sz w:val="24"/>
        </w:rPr>
      </w:pPr>
      <w:r>
        <w:rPr>
          <w:sz w:val="24"/>
        </w:rPr>
        <w:t>To</w:t>
      </w:r>
      <w:r>
        <w:rPr>
          <w:spacing w:val="-2"/>
          <w:sz w:val="24"/>
        </w:rPr>
        <w:t> </w:t>
      </w:r>
      <w:r>
        <w:rPr>
          <w:sz w:val="24"/>
        </w:rPr>
        <w:t>establish</w:t>
      </w:r>
      <w:r>
        <w:rPr>
          <w:spacing w:val="-1"/>
          <w:sz w:val="24"/>
        </w:rPr>
        <w:t> </w:t>
      </w:r>
      <w:r>
        <w:rPr>
          <w:sz w:val="24"/>
        </w:rPr>
        <w:t>phytochemical constituents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methanol</w:t>
      </w:r>
      <w:r>
        <w:rPr>
          <w:spacing w:val="-1"/>
          <w:sz w:val="24"/>
        </w:rPr>
        <w:t> </w:t>
      </w:r>
      <w:r>
        <w:rPr>
          <w:sz w:val="24"/>
        </w:rPr>
        <w:t>leaf</w:t>
      </w:r>
      <w:r>
        <w:rPr>
          <w:spacing w:val="-1"/>
          <w:sz w:val="24"/>
        </w:rPr>
        <w:t> </w:t>
      </w:r>
      <w:r>
        <w:rPr>
          <w:sz w:val="24"/>
        </w:rPr>
        <w:t>extract of</w:t>
      </w:r>
      <w:r>
        <w:rPr>
          <w:spacing w:val="-2"/>
          <w:sz w:val="24"/>
        </w:rPr>
        <w:t> </w:t>
      </w:r>
      <w:r>
        <w:rPr>
          <w:sz w:val="24"/>
        </w:rPr>
        <w:t>the Plant</w:t>
      </w:r>
    </w:p>
    <w:p>
      <w:pPr>
        <w:pStyle w:val="BodyText"/>
      </w:pPr>
    </w:p>
    <w:p>
      <w:pPr>
        <w:pStyle w:val="ListParagraph"/>
        <w:numPr>
          <w:ilvl w:val="0"/>
          <w:numId w:val="7"/>
        </w:numPr>
        <w:tabs>
          <w:tab w:pos="1369" w:val="left" w:leader="none"/>
        </w:tabs>
        <w:spacing w:line="240" w:lineRule="auto" w:before="0" w:after="0"/>
        <w:ind w:left="1368" w:right="0" w:hanging="661"/>
        <w:jc w:val="both"/>
        <w:rPr>
          <w:sz w:val="24"/>
        </w:rPr>
      </w:pPr>
      <w:r>
        <w:rPr>
          <w:sz w:val="24"/>
        </w:rPr>
        <w:t>To</w:t>
      </w:r>
      <w:r>
        <w:rPr>
          <w:spacing w:val="-2"/>
          <w:sz w:val="24"/>
        </w:rPr>
        <w:t> </w:t>
      </w:r>
      <w:r>
        <w:rPr>
          <w:sz w:val="24"/>
        </w:rPr>
        <w:t>evaluate</w:t>
      </w:r>
      <w:r>
        <w:rPr>
          <w:spacing w:val="-2"/>
          <w:sz w:val="24"/>
        </w:rPr>
        <w:t> </w:t>
      </w:r>
      <w:r>
        <w:rPr>
          <w:sz w:val="24"/>
        </w:rPr>
        <w:t>the extract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anticonvulsant</w:t>
      </w:r>
      <w:r>
        <w:rPr>
          <w:spacing w:val="-1"/>
          <w:sz w:val="24"/>
        </w:rPr>
        <w:t> </w:t>
      </w:r>
      <w:r>
        <w:rPr>
          <w:sz w:val="24"/>
        </w:rPr>
        <w:t>activity</w:t>
      </w:r>
      <w:r>
        <w:rPr>
          <w:spacing w:val="-4"/>
          <w:sz w:val="24"/>
        </w:rPr>
        <w:t> </w:t>
      </w:r>
      <w:r>
        <w:rPr>
          <w:sz w:val="24"/>
        </w:rPr>
        <w:t>using</w:t>
      </w:r>
      <w:r>
        <w:rPr>
          <w:spacing w:val="-3"/>
          <w:sz w:val="24"/>
        </w:rPr>
        <w:t> </w:t>
      </w:r>
      <w:r>
        <w:rPr>
          <w:sz w:val="24"/>
        </w:rPr>
        <w:t>four</w:t>
      </w:r>
      <w:r>
        <w:rPr>
          <w:spacing w:val="-1"/>
          <w:sz w:val="24"/>
        </w:rPr>
        <w:t> </w:t>
      </w:r>
      <w:r>
        <w:rPr>
          <w:sz w:val="24"/>
        </w:rPr>
        <w:t>models</w:t>
      </w:r>
      <w:r>
        <w:rPr>
          <w:spacing w:val="-1"/>
          <w:sz w:val="24"/>
        </w:rPr>
        <w:t> </w:t>
      </w:r>
      <w:r>
        <w:rPr>
          <w:sz w:val="24"/>
        </w:rPr>
        <w:t>namely;</w:t>
      </w:r>
    </w:p>
    <w:p>
      <w:pPr>
        <w:pStyle w:val="BodyText"/>
      </w:pPr>
    </w:p>
    <w:p>
      <w:pPr>
        <w:pStyle w:val="ListParagraph"/>
        <w:numPr>
          <w:ilvl w:val="0"/>
          <w:numId w:val="8"/>
        </w:numPr>
        <w:tabs>
          <w:tab w:pos="1368" w:val="left" w:leader="none"/>
          <w:tab w:pos="1369" w:val="left" w:leader="none"/>
        </w:tabs>
        <w:spacing w:line="240" w:lineRule="auto" w:before="0" w:after="0"/>
        <w:ind w:left="1368" w:right="0" w:hanging="721"/>
        <w:jc w:val="left"/>
        <w:rPr>
          <w:sz w:val="24"/>
        </w:rPr>
      </w:pPr>
      <w:r>
        <w:rPr>
          <w:sz w:val="24"/>
        </w:rPr>
        <w:t>Pentylenetetrazole</w:t>
      </w:r>
      <w:r>
        <w:rPr>
          <w:spacing w:val="-2"/>
          <w:sz w:val="24"/>
        </w:rPr>
        <w:t> </w:t>
      </w:r>
      <w:r>
        <w:rPr>
          <w:sz w:val="24"/>
        </w:rPr>
        <w:t>induce</w:t>
      </w:r>
      <w:r>
        <w:rPr>
          <w:spacing w:val="-2"/>
          <w:sz w:val="24"/>
        </w:rPr>
        <w:t> </w:t>
      </w:r>
      <w:r>
        <w:rPr>
          <w:sz w:val="24"/>
        </w:rPr>
        <w:t>convulsion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2"/>
          <w:sz w:val="24"/>
        </w:rPr>
        <w:t> </w:t>
      </w:r>
      <w:r>
        <w:rPr>
          <w:sz w:val="24"/>
        </w:rPr>
        <w:t>mice</w:t>
      </w:r>
    </w:p>
    <w:p>
      <w:pPr>
        <w:pStyle w:val="BodyText"/>
      </w:pPr>
    </w:p>
    <w:p>
      <w:pPr>
        <w:pStyle w:val="ListParagraph"/>
        <w:numPr>
          <w:ilvl w:val="0"/>
          <w:numId w:val="8"/>
        </w:numPr>
        <w:tabs>
          <w:tab w:pos="1368" w:val="left" w:leader="none"/>
          <w:tab w:pos="1369" w:val="left" w:leader="none"/>
        </w:tabs>
        <w:spacing w:line="240" w:lineRule="auto" w:before="0" w:after="0"/>
        <w:ind w:left="1368" w:right="0" w:hanging="721"/>
        <w:jc w:val="left"/>
        <w:rPr>
          <w:sz w:val="24"/>
        </w:rPr>
      </w:pPr>
      <w:r>
        <w:rPr>
          <w:sz w:val="24"/>
        </w:rPr>
        <w:t>Strychnine</w:t>
      </w:r>
      <w:r>
        <w:rPr>
          <w:spacing w:val="-1"/>
          <w:sz w:val="24"/>
        </w:rPr>
        <w:t> </w:t>
      </w:r>
      <w:r>
        <w:rPr>
          <w:sz w:val="24"/>
        </w:rPr>
        <w:t>induce</w:t>
      </w:r>
      <w:r>
        <w:rPr>
          <w:spacing w:val="-2"/>
          <w:sz w:val="24"/>
        </w:rPr>
        <w:t> </w:t>
      </w:r>
      <w:r>
        <w:rPr>
          <w:sz w:val="24"/>
        </w:rPr>
        <w:t>convulsion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mice</w:t>
      </w:r>
    </w:p>
    <w:p>
      <w:pPr>
        <w:pStyle w:val="BodyText"/>
      </w:pPr>
    </w:p>
    <w:p>
      <w:pPr>
        <w:pStyle w:val="ListParagraph"/>
        <w:numPr>
          <w:ilvl w:val="0"/>
          <w:numId w:val="8"/>
        </w:numPr>
        <w:tabs>
          <w:tab w:pos="1368" w:val="left" w:leader="none"/>
          <w:tab w:pos="1369" w:val="left" w:leader="none"/>
        </w:tabs>
        <w:spacing w:line="240" w:lineRule="auto" w:before="0" w:after="0"/>
        <w:ind w:left="1368" w:right="0" w:hanging="721"/>
        <w:jc w:val="left"/>
        <w:rPr>
          <w:sz w:val="24"/>
        </w:rPr>
      </w:pPr>
      <w:r>
        <w:rPr>
          <w:sz w:val="24"/>
        </w:rPr>
        <w:t>Maximal</w:t>
      </w:r>
      <w:r>
        <w:rPr>
          <w:spacing w:val="-1"/>
          <w:sz w:val="24"/>
        </w:rPr>
        <w:t> </w:t>
      </w:r>
      <w:r>
        <w:rPr>
          <w:sz w:val="24"/>
        </w:rPr>
        <w:t>electroshock</w:t>
      </w:r>
      <w:r>
        <w:rPr>
          <w:spacing w:val="-1"/>
          <w:sz w:val="24"/>
        </w:rPr>
        <w:t> </w:t>
      </w:r>
      <w:r>
        <w:rPr>
          <w:sz w:val="24"/>
        </w:rPr>
        <w:t>induce</w:t>
      </w:r>
      <w:r>
        <w:rPr>
          <w:spacing w:val="-2"/>
          <w:sz w:val="24"/>
        </w:rPr>
        <w:t> </w:t>
      </w:r>
      <w:r>
        <w:rPr>
          <w:sz w:val="24"/>
        </w:rPr>
        <w:t>convulsion</w:t>
      </w:r>
      <w:r>
        <w:rPr>
          <w:spacing w:val="-1"/>
          <w:sz w:val="24"/>
        </w:rPr>
        <w:t> </w:t>
      </w:r>
      <w:r>
        <w:rPr>
          <w:sz w:val="24"/>
        </w:rPr>
        <w:t>in chicks</w:t>
      </w:r>
      <w:r>
        <w:rPr>
          <w:spacing w:val="-1"/>
          <w:sz w:val="24"/>
        </w:rPr>
        <w:t> </w:t>
      </w:r>
      <w:r>
        <w:rPr>
          <w:sz w:val="24"/>
        </w:rPr>
        <w:t>and</w:t>
      </w:r>
    </w:p>
    <w:p>
      <w:pPr>
        <w:pStyle w:val="BodyText"/>
      </w:pPr>
    </w:p>
    <w:p>
      <w:pPr>
        <w:pStyle w:val="ListParagraph"/>
        <w:numPr>
          <w:ilvl w:val="0"/>
          <w:numId w:val="8"/>
        </w:numPr>
        <w:tabs>
          <w:tab w:pos="1368" w:val="left" w:leader="none"/>
          <w:tab w:pos="1369" w:val="left" w:leader="none"/>
        </w:tabs>
        <w:spacing w:line="240" w:lineRule="auto" w:before="0" w:after="0"/>
        <w:ind w:left="1368" w:right="0" w:hanging="721"/>
        <w:jc w:val="left"/>
        <w:rPr>
          <w:sz w:val="24"/>
        </w:rPr>
      </w:pPr>
      <w:r>
        <w:rPr>
          <w:sz w:val="24"/>
        </w:rPr>
        <w:t>4-aminopyridine</w:t>
      </w:r>
      <w:r>
        <w:rPr>
          <w:spacing w:val="-2"/>
          <w:sz w:val="24"/>
        </w:rPr>
        <w:t> </w:t>
      </w:r>
      <w:r>
        <w:rPr>
          <w:sz w:val="24"/>
        </w:rPr>
        <w:t>induce</w:t>
      </w:r>
      <w:r>
        <w:rPr>
          <w:spacing w:val="-1"/>
          <w:sz w:val="24"/>
        </w:rPr>
        <w:t> </w:t>
      </w:r>
      <w:r>
        <w:rPr>
          <w:sz w:val="24"/>
        </w:rPr>
        <w:t>convulsion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mice</w:t>
      </w:r>
    </w:p>
    <w:p>
      <w:pPr>
        <w:pStyle w:val="BodyText"/>
      </w:pPr>
    </w:p>
    <w:p>
      <w:pPr>
        <w:pStyle w:val="ListParagraph"/>
        <w:numPr>
          <w:ilvl w:val="0"/>
          <w:numId w:val="7"/>
        </w:numPr>
        <w:tabs>
          <w:tab w:pos="1369" w:val="left" w:leader="none"/>
        </w:tabs>
        <w:spacing w:line="240" w:lineRule="auto" w:before="0" w:after="0"/>
        <w:ind w:left="1368" w:right="0" w:hanging="721"/>
        <w:jc w:val="both"/>
        <w:rPr>
          <w:sz w:val="24"/>
        </w:rPr>
      </w:pPr>
      <w:r>
        <w:rPr>
          <w:sz w:val="24"/>
        </w:rPr>
        <w:t>To</w:t>
      </w:r>
      <w:r>
        <w:rPr>
          <w:spacing w:val="-2"/>
          <w:sz w:val="24"/>
        </w:rPr>
        <w:t> </w:t>
      </w:r>
      <w:r>
        <w:rPr>
          <w:sz w:val="24"/>
        </w:rPr>
        <w:t>carry</w:t>
      </w:r>
      <w:r>
        <w:rPr>
          <w:spacing w:val="-7"/>
          <w:sz w:val="24"/>
        </w:rPr>
        <w:t> </w:t>
      </w:r>
      <w:r>
        <w:rPr>
          <w:sz w:val="24"/>
        </w:rPr>
        <w:t>out</w:t>
      </w:r>
      <w:r>
        <w:rPr>
          <w:spacing w:val="-2"/>
          <w:sz w:val="24"/>
        </w:rPr>
        <w:t> </w:t>
      </w:r>
      <w:r>
        <w:rPr>
          <w:sz w:val="24"/>
        </w:rPr>
        <w:t>subchronic</w:t>
      </w:r>
      <w:r>
        <w:rPr>
          <w:spacing w:val="-4"/>
          <w:sz w:val="24"/>
        </w:rPr>
        <w:t> </w:t>
      </w:r>
      <w:r>
        <w:rPr>
          <w:sz w:val="24"/>
        </w:rPr>
        <w:t>toxicity</w:t>
      </w:r>
      <w:r>
        <w:rPr>
          <w:spacing w:val="-10"/>
          <w:sz w:val="24"/>
        </w:rPr>
        <w:t> </w:t>
      </w:r>
      <w:r>
        <w:rPr>
          <w:sz w:val="24"/>
        </w:rPr>
        <w:t>studies</w:t>
      </w:r>
      <w:r>
        <w:rPr>
          <w:spacing w:val="-2"/>
          <w:sz w:val="24"/>
        </w:rPr>
        <w:t> </w:t>
      </w:r>
      <w:r>
        <w:rPr>
          <w:sz w:val="24"/>
        </w:rPr>
        <w:t>on</w:t>
      </w:r>
      <w:r>
        <w:rPr>
          <w:spacing w:val="-1"/>
          <w:sz w:val="24"/>
        </w:rPr>
        <w:t> </w:t>
      </w:r>
      <w:r>
        <w:rPr>
          <w:sz w:val="24"/>
        </w:rPr>
        <w:t>rat‟s</w:t>
      </w:r>
      <w:r>
        <w:rPr>
          <w:spacing w:val="-3"/>
          <w:sz w:val="24"/>
        </w:rPr>
        <w:t> </w:t>
      </w:r>
      <w:r>
        <w:rPr>
          <w:sz w:val="24"/>
        </w:rPr>
        <w:t>kidney</w:t>
      </w:r>
      <w:r>
        <w:rPr>
          <w:spacing w:val="-5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liver.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0"/>
        </w:rPr>
      </w:pPr>
    </w:p>
    <w:p>
      <w:pPr>
        <w:pStyle w:val="Heading1"/>
        <w:numPr>
          <w:ilvl w:val="1"/>
          <w:numId w:val="6"/>
        </w:numPr>
        <w:tabs>
          <w:tab w:pos="4188" w:val="left" w:leader="none"/>
          <w:tab w:pos="4189" w:val="left" w:leader="none"/>
        </w:tabs>
        <w:spacing w:line="240" w:lineRule="auto" w:before="0" w:after="0"/>
        <w:ind w:left="4189" w:right="0" w:hanging="3541"/>
        <w:jc w:val="both"/>
      </w:pPr>
      <w:r>
        <w:rPr/>
        <w:t>Research</w:t>
      </w:r>
      <w:r>
        <w:rPr>
          <w:spacing w:val="-1"/>
        </w:rPr>
        <w:t> </w:t>
      </w:r>
      <w:r>
        <w:rPr/>
        <w:t>Hypothesis</w:t>
      </w:r>
    </w:p>
    <w:p>
      <w:pPr>
        <w:pStyle w:val="BodyText"/>
        <w:spacing w:before="6"/>
        <w:rPr>
          <w:b/>
          <w:sz w:val="23"/>
        </w:rPr>
      </w:pPr>
    </w:p>
    <w:p>
      <w:pPr>
        <w:spacing w:line="480" w:lineRule="auto" w:before="1"/>
        <w:ind w:left="648" w:right="682" w:firstLine="0"/>
        <w:jc w:val="both"/>
        <w:rPr>
          <w:sz w:val="24"/>
        </w:rPr>
      </w:pPr>
      <w:r>
        <w:rPr>
          <w:sz w:val="24"/>
        </w:rPr>
        <w:t>The methanol leaf extract of </w:t>
      </w:r>
      <w:r>
        <w:rPr>
          <w:i/>
          <w:sz w:val="24"/>
        </w:rPr>
        <w:t>Diospyros mespiliformis </w:t>
      </w:r>
      <w:r>
        <w:rPr>
          <w:sz w:val="24"/>
        </w:rPr>
        <w:t>has anticonvulsant activity without</w:t>
      </w:r>
      <w:r>
        <w:rPr>
          <w:spacing w:val="1"/>
          <w:sz w:val="24"/>
        </w:rPr>
        <w:t> </w:t>
      </w:r>
      <w:r>
        <w:rPr>
          <w:sz w:val="24"/>
        </w:rPr>
        <w:t>significant</w:t>
      </w:r>
      <w:r>
        <w:rPr>
          <w:spacing w:val="-1"/>
          <w:sz w:val="24"/>
        </w:rPr>
        <w:t> </w:t>
      </w:r>
      <w:r>
        <w:rPr>
          <w:sz w:val="24"/>
        </w:rPr>
        <w:t>toxicity.</w:t>
      </w:r>
    </w:p>
    <w:p>
      <w:pPr>
        <w:spacing w:after="0" w:line="480" w:lineRule="auto"/>
        <w:jc w:val="both"/>
        <w:rPr>
          <w:sz w:val="24"/>
        </w:rPr>
        <w:sectPr>
          <w:pgSz w:w="12240" w:h="15840"/>
          <w:pgMar w:header="0" w:footer="792" w:top="1360" w:bottom="980" w:left="1080" w:right="760"/>
        </w:sectPr>
      </w:pPr>
    </w:p>
    <w:p>
      <w:pPr>
        <w:pStyle w:val="Heading1"/>
        <w:spacing w:before="79"/>
        <w:ind w:left="1498" w:right="1527"/>
        <w:jc w:val="center"/>
      </w:pPr>
      <w:r>
        <w:rPr/>
        <w:t>CHAPTER</w:t>
      </w:r>
      <w:r>
        <w:rPr>
          <w:spacing w:val="-2"/>
        </w:rPr>
        <w:t> </w:t>
      </w:r>
      <w:r>
        <w:rPr/>
        <w:t>TWO</w:t>
      </w:r>
    </w:p>
    <w:p>
      <w:pPr>
        <w:pStyle w:val="BodyText"/>
        <w:spacing w:before="10"/>
        <w:rPr>
          <w:b/>
          <w:sz w:val="20"/>
        </w:rPr>
      </w:pPr>
    </w:p>
    <w:p>
      <w:pPr>
        <w:pStyle w:val="Heading1"/>
        <w:numPr>
          <w:ilvl w:val="1"/>
          <w:numId w:val="9"/>
        </w:numPr>
        <w:tabs>
          <w:tab w:pos="3708" w:val="left" w:leader="none"/>
          <w:tab w:pos="3709" w:val="left" w:leader="none"/>
        </w:tabs>
        <w:spacing w:line="240" w:lineRule="auto" w:before="0" w:after="0"/>
        <w:ind w:left="3709" w:right="0" w:hanging="780"/>
        <w:jc w:val="left"/>
      </w:pPr>
      <w:bookmarkStart w:name="_TOC_250056" w:id="5"/>
      <w:r>
        <w:rPr/>
        <w:t>LITERATURE</w:t>
      </w:r>
      <w:r>
        <w:rPr>
          <w:spacing w:val="-2"/>
        </w:rPr>
        <w:t> </w:t>
      </w:r>
      <w:bookmarkEnd w:id="5"/>
      <w:r>
        <w:rPr/>
        <w:t>REVIEW</w:t>
      </w:r>
    </w:p>
    <w:p>
      <w:pPr>
        <w:pStyle w:val="BodyText"/>
        <w:rPr>
          <w:b/>
        </w:rPr>
      </w:pPr>
    </w:p>
    <w:p>
      <w:pPr>
        <w:pStyle w:val="Heading1"/>
        <w:numPr>
          <w:ilvl w:val="1"/>
          <w:numId w:val="9"/>
        </w:numPr>
        <w:tabs>
          <w:tab w:pos="3768" w:val="left" w:leader="none"/>
          <w:tab w:pos="3769" w:val="left" w:leader="none"/>
        </w:tabs>
        <w:spacing w:line="240" w:lineRule="auto" w:before="0" w:after="0"/>
        <w:ind w:left="3769" w:right="0" w:hanging="3121"/>
        <w:jc w:val="both"/>
      </w:pPr>
      <w:r>
        <w:rPr/>
        <w:t>Traditional</w:t>
      </w:r>
      <w:r>
        <w:rPr>
          <w:spacing w:val="-2"/>
        </w:rPr>
        <w:t> </w:t>
      </w:r>
      <w:r>
        <w:rPr/>
        <w:t>Medicine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648" w:right="674"/>
        <w:jc w:val="both"/>
      </w:pPr>
      <w:r>
        <w:rPr/>
        <w:t>Traditional medicine is the sum total of knowledge, skills and practices based on the theories,</w:t>
      </w:r>
      <w:r>
        <w:rPr>
          <w:spacing w:val="1"/>
        </w:rPr>
        <w:t> </w:t>
      </w:r>
      <w:r>
        <w:rPr/>
        <w:t>beliefs and experiences indigenous to different cultures that are used to maintain health, as</w:t>
      </w:r>
      <w:r>
        <w:rPr>
          <w:spacing w:val="1"/>
        </w:rPr>
        <w:t> </w:t>
      </w:r>
      <w:r>
        <w:rPr/>
        <w:t>well</w:t>
      </w:r>
      <w:r>
        <w:rPr>
          <w:spacing w:val="32"/>
        </w:rPr>
        <w:t> </w:t>
      </w:r>
      <w:r>
        <w:rPr/>
        <w:t>as</w:t>
      </w:r>
      <w:r>
        <w:rPr>
          <w:spacing w:val="31"/>
        </w:rPr>
        <w:t> </w:t>
      </w:r>
      <w:r>
        <w:rPr/>
        <w:t>to</w:t>
      </w:r>
      <w:r>
        <w:rPr>
          <w:spacing w:val="32"/>
        </w:rPr>
        <w:t> </w:t>
      </w:r>
      <w:r>
        <w:rPr/>
        <w:t>prevent,</w:t>
      </w:r>
      <w:r>
        <w:rPr>
          <w:spacing w:val="31"/>
        </w:rPr>
        <w:t> </w:t>
      </w:r>
      <w:r>
        <w:rPr/>
        <w:t>diagnose,</w:t>
      </w:r>
      <w:r>
        <w:rPr>
          <w:spacing w:val="32"/>
        </w:rPr>
        <w:t> </w:t>
      </w:r>
      <w:r>
        <w:rPr/>
        <w:t>improve</w:t>
      </w:r>
      <w:r>
        <w:rPr>
          <w:spacing w:val="30"/>
        </w:rPr>
        <w:t> </w:t>
      </w:r>
      <w:r>
        <w:rPr/>
        <w:t>or</w:t>
      </w:r>
      <w:r>
        <w:rPr>
          <w:spacing w:val="31"/>
        </w:rPr>
        <w:t> </w:t>
      </w:r>
      <w:r>
        <w:rPr/>
        <w:t>treat</w:t>
      </w:r>
      <w:r>
        <w:rPr>
          <w:spacing w:val="31"/>
        </w:rPr>
        <w:t> </w:t>
      </w:r>
      <w:r>
        <w:rPr/>
        <w:t>physical</w:t>
      </w:r>
      <w:r>
        <w:rPr>
          <w:spacing w:val="32"/>
        </w:rPr>
        <w:t> </w:t>
      </w:r>
      <w:r>
        <w:rPr/>
        <w:t>and</w:t>
      </w:r>
      <w:r>
        <w:rPr>
          <w:spacing w:val="31"/>
        </w:rPr>
        <w:t> </w:t>
      </w:r>
      <w:r>
        <w:rPr/>
        <w:t>mental</w:t>
      </w:r>
      <w:r>
        <w:rPr>
          <w:spacing w:val="32"/>
        </w:rPr>
        <w:t> </w:t>
      </w:r>
      <w:r>
        <w:rPr/>
        <w:t>illnesses</w:t>
      </w:r>
      <w:r>
        <w:rPr>
          <w:spacing w:val="31"/>
        </w:rPr>
        <w:t> </w:t>
      </w:r>
      <w:r>
        <w:rPr/>
        <w:t>(WHO,</w:t>
      </w:r>
      <w:r>
        <w:rPr>
          <w:spacing w:val="32"/>
        </w:rPr>
        <w:t> </w:t>
      </w:r>
      <w:r>
        <w:rPr/>
        <w:t>2008).</w:t>
      </w:r>
      <w:r>
        <w:rPr>
          <w:spacing w:val="-58"/>
        </w:rPr>
        <w:t> </w:t>
      </w:r>
      <w:r>
        <w:rPr/>
        <w:t>The clinical successes of quinine and quinidine isolated from the bark of the plant,C</w:t>
      </w:r>
      <w:r>
        <w:rPr>
          <w:i/>
        </w:rPr>
        <w:t>inchona</w:t>
      </w:r>
      <w:r>
        <w:rPr>
          <w:i/>
          <w:spacing w:val="1"/>
        </w:rPr>
        <w:t> </w:t>
      </w:r>
      <w:r>
        <w:rPr>
          <w:i/>
        </w:rPr>
        <w:t>officinalis</w:t>
      </w:r>
      <w:r>
        <w:rPr>
          <w:i/>
          <w:spacing w:val="1"/>
        </w:rPr>
        <w:t> </w:t>
      </w:r>
      <w:r>
        <w:rPr/>
        <w:t>and recently artemisine from </w:t>
      </w:r>
      <w:r>
        <w:rPr>
          <w:i/>
        </w:rPr>
        <w:t>Artemisia annua </w:t>
      </w:r>
      <w:r>
        <w:rPr/>
        <w:t>in the treatment of malaria have</w:t>
      </w:r>
      <w:r>
        <w:rPr>
          <w:spacing w:val="1"/>
        </w:rPr>
        <w:t> </w:t>
      </w:r>
      <w:r>
        <w:rPr/>
        <w:t>rekindled interest in medicinal plants as potential sources of novel drugs (Igoli </w:t>
      </w:r>
      <w:r>
        <w:rPr>
          <w:i/>
        </w:rPr>
        <w:t>et al.</w:t>
      </w:r>
      <w:r>
        <w:rPr/>
        <w:t>, 2005), in</w:t>
      </w:r>
      <w:r>
        <w:rPr>
          <w:spacing w:val="-57"/>
        </w:rPr>
        <w:t> </w:t>
      </w:r>
      <w:r>
        <w:rPr/>
        <w:t>the same vein, dwindling financial fortunes brought about by global economic recessions</w:t>
      </w:r>
      <w:r>
        <w:rPr>
          <w:spacing w:val="1"/>
        </w:rPr>
        <w:t> </w:t>
      </w:r>
      <w:r>
        <w:rPr/>
        <w:t>coupled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rising</w:t>
      </w:r>
      <w:r>
        <w:rPr>
          <w:spacing w:val="1"/>
        </w:rPr>
        <w:t> </w:t>
      </w:r>
      <w:r>
        <w:rPr/>
        <w:t>cost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orthodox</w:t>
      </w:r>
      <w:r>
        <w:rPr>
          <w:spacing w:val="1"/>
        </w:rPr>
        <w:t> </w:t>
      </w:r>
      <w:r>
        <w:rPr/>
        <w:t>medicines</w:t>
      </w:r>
      <w:r>
        <w:rPr>
          <w:spacing w:val="1"/>
        </w:rPr>
        <w:t> </w:t>
      </w:r>
      <w:r>
        <w:rPr/>
        <w:t>especially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developing</w:t>
      </w:r>
      <w:r>
        <w:rPr>
          <w:spacing w:val="1"/>
        </w:rPr>
        <w:t> </w:t>
      </w:r>
      <w:r>
        <w:rPr/>
        <w:t>countries</w:t>
      </w:r>
      <w:r>
        <w:rPr>
          <w:spacing w:val="60"/>
        </w:rPr>
        <w:t> </w:t>
      </w:r>
      <w:r>
        <w:rPr/>
        <w:t>have</w:t>
      </w:r>
      <w:r>
        <w:rPr>
          <w:spacing w:val="-57"/>
        </w:rPr>
        <w:t> </w:t>
      </w:r>
      <w:r>
        <w:rPr/>
        <w:t>caused a</w:t>
      </w:r>
      <w:r>
        <w:rPr>
          <w:spacing w:val="1"/>
        </w:rPr>
        <w:t> </w:t>
      </w:r>
      <w:r>
        <w:rPr/>
        <w:t>shift in emphasis to traditional herbal medicines where</w:t>
      </w:r>
      <w:r>
        <w:rPr>
          <w:spacing w:val="1"/>
        </w:rPr>
        <w:t> </w:t>
      </w:r>
      <w:r>
        <w:rPr/>
        <w:t>effectiveness, minimal side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profile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relatively</w:t>
      </w:r>
      <w:r>
        <w:rPr>
          <w:spacing w:val="1"/>
        </w:rPr>
        <w:t> </w:t>
      </w:r>
      <w:r>
        <w:rPr/>
        <w:t>low</w:t>
      </w:r>
      <w:r>
        <w:rPr>
          <w:spacing w:val="1"/>
        </w:rPr>
        <w:t> </w:t>
      </w:r>
      <w:r>
        <w:rPr/>
        <w:t>cost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reasons</w:t>
      </w:r>
      <w:r>
        <w:rPr>
          <w:spacing w:val="1"/>
        </w:rPr>
        <w:t> </w:t>
      </w:r>
      <w:r>
        <w:rPr/>
        <w:t>behind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various</w:t>
      </w:r>
      <w:r>
        <w:rPr>
          <w:spacing w:val="1"/>
        </w:rPr>
        <w:t> </w:t>
      </w:r>
      <w:r>
        <w:rPr/>
        <w:t>applications</w:t>
      </w:r>
      <w:r>
        <w:rPr>
          <w:spacing w:val="1"/>
        </w:rPr>
        <w:t> </w:t>
      </w:r>
      <w:r>
        <w:rPr/>
        <w:t>(Valiathan,</w:t>
      </w:r>
      <w:r>
        <w:rPr>
          <w:spacing w:val="-1"/>
        </w:rPr>
        <w:t> </w:t>
      </w:r>
      <w:r>
        <w:rPr/>
        <w:t>1998).</w:t>
      </w:r>
    </w:p>
    <w:p>
      <w:pPr>
        <w:pStyle w:val="BodyText"/>
        <w:rPr>
          <w:sz w:val="26"/>
        </w:rPr>
      </w:pPr>
    </w:p>
    <w:p>
      <w:pPr>
        <w:pStyle w:val="BodyText"/>
        <w:spacing w:before="11"/>
        <w:rPr>
          <w:sz w:val="21"/>
        </w:rPr>
      </w:pPr>
    </w:p>
    <w:p>
      <w:pPr>
        <w:pStyle w:val="BodyText"/>
        <w:spacing w:line="480" w:lineRule="auto"/>
        <w:ind w:left="648" w:right="678"/>
        <w:jc w:val="both"/>
      </w:pPr>
      <w:r>
        <w:rPr/>
        <w:t>In some Asian and African countries, up to 80% of the population depends on traditional</w:t>
      </w:r>
      <w:r>
        <w:rPr>
          <w:spacing w:val="1"/>
        </w:rPr>
        <w:t> </w:t>
      </w:r>
      <w:r>
        <w:rPr/>
        <w:t>medicine for primary healthcare (WHO, 2008).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estimated that the</w:t>
      </w:r>
      <w:r>
        <w:rPr>
          <w:spacing w:val="1"/>
        </w:rPr>
        <w:t> </w:t>
      </w:r>
      <w:r>
        <w:rPr/>
        <w:t>global market</w:t>
      </w:r>
      <w:r>
        <w:rPr>
          <w:spacing w:val="60"/>
        </w:rPr>
        <w:t> </w:t>
      </w:r>
      <w:r>
        <w:rPr/>
        <w:t>for</w:t>
      </w:r>
      <w:r>
        <w:rPr>
          <w:spacing w:val="1"/>
        </w:rPr>
        <w:t> </w:t>
      </w:r>
      <w:r>
        <w:rPr/>
        <w:t>herbal medicines stands at over US $60 billion annually and is still growing steadily (WHO,</w:t>
      </w:r>
      <w:r>
        <w:rPr>
          <w:spacing w:val="1"/>
        </w:rPr>
        <w:t> </w:t>
      </w:r>
      <w:r>
        <w:rPr/>
        <w:t>2003). Despite age long, widespread use of plants to treat various ailments, limited efforts</w:t>
      </w:r>
      <w:r>
        <w:rPr>
          <w:spacing w:val="1"/>
        </w:rPr>
        <w:t> </w:t>
      </w:r>
      <w:r>
        <w:rPr/>
        <w:t>have been made to scientifically evaluate potentials of such plants for their use in modern</w:t>
      </w:r>
      <w:r>
        <w:rPr>
          <w:spacing w:val="1"/>
        </w:rPr>
        <w:t> </w:t>
      </w:r>
      <w:r>
        <w:rPr/>
        <w:t>medicine</w:t>
      </w:r>
      <w:r>
        <w:rPr>
          <w:spacing w:val="-1"/>
        </w:rPr>
        <w:t> </w:t>
      </w:r>
      <w:r>
        <w:rPr/>
        <w:t>which will therefore</w:t>
      </w:r>
      <w:r>
        <w:rPr>
          <w:spacing w:val="-1"/>
        </w:rPr>
        <w:t> </w:t>
      </w:r>
      <w:r>
        <w:rPr/>
        <w:t>justify</w:t>
      </w:r>
      <w:r>
        <w:rPr>
          <w:spacing w:val="-5"/>
        </w:rPr>
        <w:t> </w:t>
      </w:r>
      <w:r>
        <w:rPr/>
        <w:t>their</w:t>
      </w:r>
      <w:r>
        <w:rPr>
          <w:spacing w:val="-1"/>
        </w:rPr>
        <w:t> </w:t>
      </w:r>
      <w:r>
        <w:rPr/>
        <w:t>use</w:t>
      </w:r>
      <w:r>
        <w:rPr>
          <w:spacing w:val="-1"/>
        </w:rPr>
        <w:t> </w:t>
      </w:r>
      <w:r>
        <w:rPr/>
        <w:t>in traditional medicine (Yaro </w:t>
      </w:r>
      <w:r>
        <w:rPr>
          <w:i/>
        </w:rPr>
        <w:t>et al</w:t>
      </w:r>
      <w:r>
        <w:rPr/>
        <w:t>., 2007).</w:t>
      </w:r>
    </w:p>
    <w:p>
      <w:pPr>
        <w:spacing w:after="0" w:line="480" w:lineRule="auto"/>
        <w:jc w:val="both"/>
        <w:sectPr>
          <w:pgSz w:w="12240" w:h="15840"/>
          <w:pgMar w:header="0" w:footer="792" w:top="1360" w:bottom="980" w:left="1080" w:right="760"/>
        </w:sectPr>
      </w:pPr>
    </w:p>
    <w:p>
      <w:pPr>
        <w:pStyle w:val="Heading2"/>
        <w:numPr>
          <w:ilvl w:val="1"/>
          <w:numId w:val="9"/>
        </w:numPr>
        <w:tabs>
          <w:tab w:pos="3828" w:val="left" w:leader="none"/>
          <w:tab w:pos="3829" w:val="left" w:leader="none"/>
        </w:tabs>
        <w:spacing w:line="240" w:lineRule="auto" w:before="76" w:after="0"/>
        <w:ind w:left="3829" w:right="0" w:hanging="3181"/>
        <w:jc w:val="both"/>
      </w:pPr>
      <w:bookmarkStart w:name="_TOC_250055" w:id="6"/>
      <w:r>
        <w:rPr/>
        <w:t>Diospyros</w:t>
      </w:r>
      <w:r>
        <w:rPr>
          <w:spacing w:val="-1"/>
        </w:rPr>
        <w:t> </w:t>
      </w:r>
      <w:bookmarkEnd w:id="6"/>
      <w:r>
        <w:rPr/>
        <w:t>mespiliformis</w:t>
      </w:r>
    </w:p>
    <w:p>
      <w:pPr>
        <w:pStyle w:val="BodyText"/>
        <w:spacing w:before="1"/>
        <w:rPr>
          <w:b/>
          <w:i/>
        </w:rPr>
      </w:pPr>
    </w:p>
    <w:p>
      <w:pPr>
        <w:pStyle w:val="Heading1"/>
        <w:numPr>
          <w:ilvl w:val="2"/>
          <w:numId w:val="9"/>
        </w:numPr>
        <w:tabs>
          <w:tab w:pos="1369" w:val="left" w:leader="none"/>
        </w:tabs>
        <w:spacing w:line="240" w:lineRule="auto" w:before="0" w:after="0"/>
        <w:ind w:left="1368" w:right="0" w:hanging="721"/>
        <w:jc w:val="both"/>
      </w:pPr>
      <w:bookmarkStart w:name="_TOC_250054" w:id="7"/>
      <w:r>
        <w:rPr/>
        <w:t>Plant</w:t>
      </w:r>
      <w:r>
        <w:rPr>
          <w:spacing w:val="-1"/>
        </w:rPr>
        <w:t> </w:t>
      </w:r>
      <w:bookmarkEnd w:id="7"/>
      <w:r>
        <w:rPr/>
        <w:t>description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648" w:right="676"/>
        <w:jc w:val="both"/>
      </w:pPr>
      <w:r>
        <w:rPr>
          <w:i/>
        </w:rPr>
        <w:t>Diospyros mespiliformis</w:t>
      </w:r>
      <w:r>
        <w:rPr>
          <w:i/>
          <w:spacing w:val="1"/>
        </w:rPr>
        <w:t> </w:t>
      </w:r>
      <w:r>
        <w:rPr/>
        <w:t>belongs to the</w:t>
      </w:r>
      <w:r>
        <w:rPr>
          <w:spacing w:val="60"/>
        </w:rPr>
        <w:t> </w:t>
      </w:r>
      <w:r>
        <w:rPr/>
        <w:t>family Ebenaceae; it is a tall upright tree that can</w:t>
      </w:r>
      <w:r>
        <w:rPr>
          <w:spacing w:val="1"/>
        </w:rPr>
        <w:t> </w:t>
      </w:r>
      <w:r>
        <w:rPr/>
        <w:t>reach a height of 30m with over 2m in girth found in moist places of the Guinean and</w:t>
      </w:r>
      <w:r>
        <w:rPr>
          <w:spacing w:val="1"/>
        </w:rPr>
        <w:t> </w:t>
      </w:r>
      <w:r>
        <w:rPr/>
        <w:t>Sudanian woodlands, throughout the West African region and generally widespread in such</w:t>
      </w:r>
      <w:r>
        <w:rPr>
          <w:spacing w:val="1"/>
        </w:rPr>
        <w:t> </w:t>
      </w:r>
      <w:r>
        <w:rPr/>
        <w:t>localities across Africa except in the Congo Basin (Burkill, 1985). It has a dense evergreen</w:t>
      </w:r>
      <w:r>
        <w:rPr>
          <w:spacing w:val="1"/>
        </w:rPr>
        <w:t> </w:t>
      </w:r>
      <w:r>
        <w:rPr/>
        <w:t>canopy; the bark is black to grey, with a rough texture. The inner skin of the bark is reddish;</w:t>
      </w:r>
      <w:r>
        <w:rPr>
          <w:spacing w:val="1"/>
        </w:rPr>
        <w:t> </w:t>
      </w:r>
      <w:r>
        <w:rPr/>
        <w:t>leaves are simple, alternate, leathery and dark green. The flowers are cream coloured and bell</w:t>
      </w:r>
      <w:r>
        <w:rPr>
          <w:spacing w:val="1"/>
        </w:rPr>
        <w:t> </w:t>
      </w:r>
      <w:r>
        <w:rPr/>
        <w:t>shaped</w:t>
      </w:r>
      <w:r>
        <w:rPr>
          <w:spacing w:val="-1"/>
        </w:rPr>
        <w:t> </w:t>
      </w:r>
      <w:r>
        <w:rPr/>
        <w:t>and lastly</w:t>
      </w:r>
      <w:r>
        <w:rPr>
          <w:spacing w:val="-5"/>
        </w:rPr>
        <w:t> </w:t>
      </w:r>
      <w:r>
        <w:rPr/>
        <w:t>it is said to</w:t>
      </w:r>
      <w:r>
        <w:rPr>
          <w:spacing w:val="-1"/>
        </w:rPr>
        <w:t> </w:t>
      </w:r>
      <w:r>
        <w:rPr/>
        <w:t>be</w:t>
      </w:r>
      <w:r>
        <w:rPr>
          <w:spacing w:val="-1"/>
        </w:rPr>
        <w:t> </w:t>
      </w:r>
      <w:r>
        <w:rPr/>
        <w:t>suitable</w:t>
      </w:r>
      <w:r>
        <w:rPr>
          <w:spacing w:val="-1"/>
        </w:rPr>
        <w:t> </w:t>
      </w:r>
      <w:r>
        <w:rPr/>
        <w:t>specie for re-afforestation (Dalziel,</w:t>
      </w:r>
      <w:r>
        <w:rPr>
          <w:spacing w:val="-1"/>
        </w:rPr>
        <w:t> </w:t>
      </w:r>
      <w:r>
        <w:rPr/>
        <w:t>1937).</w:t>
      </w:r>
    </w:p>
    <w:p>
      <w:pPr>
        <w:pStyle w:val="Heading1"/>
        <w:numPr>
          <w:ilvl w:val="2"/>
          <w:numId w:val="9"/>
        </w:numPr>
        <w:tabs>
          <w:tab w:pos="1369" w:val="left" w:leader="none"/>
        </w:tabs>
        <w:spacing w:line="240" w:lineRule="auto" w:before="5" w:after="0"/>
        <w:ind w:left="1368" w:right="0" w:hanging="721"/>
        <w:jc w:val="both"/>
      </w:pPr>
      <w:bookmarkStart w:name="_TOC_250053" w:id="8"/>
      <w:r>
        <w:rPr/>
        <w:t>Plant</w:t>
      </w:r>
      <w:r>
        <w:rPr>
          <w:spacing w:val="-4"/>
        </w:rPr>
        <w:t> </w:t>
      </w:r>
      <w:bookmarkEnd w:id="8"/>
      <w:r>
        <w:rPr/>
        <w:t>taxonomy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tabs>
          <w:tab w:pos="3528" w:val="left" w:leader="none"/>
        </w:tabs>
        <w:ind w:left="1368"/>
      </w:pPr>
      <w:r>
        <w:rPr/>
        <w:t>Kingdom;</w:t>
        <w:tab/>
        <w:t>Plantae</w:t>
      </w:r>
    </w:p>
    <w:p>
      <w:pPr>
        <w:pStyle w:val="BodyText"/>
      </w:pPr>
    </w:p>
    <w:p>
      <w:pPr>
        <w:pStyle w:val="BodyText"/>
        <w:tabs>
          <w:tab w:pos="3528" w:val="left" w:leader="none"/>
        </w:tabs>
        <w:ind w:left="1368"/>
      </w:pPr>
      <w:r>
        <w:rPr/>
        <w:t>Division;</w:t>
        <w:tab/>
        <w:t>Magnoliophyta</w:t>
      </w:r>
    </w:p>
    <w:p>
      <w:pPr>
        <w:pStyle w:val="BodyText"/>
      </w:pPr>
    </w:p>
    <w:p>
      <w:pPr>
        <w:pStyle w:val="BodyText"/>
        <w:tabs>
          <w:tab w:pos="3528" w:val="left" w:leader="none"/>
        </w:tabs>
        <w:ind w:left="1428"/>
      </w:pPr>
      <w:r>
        <w:rPr/>
        <w:t>Class;</w:t>
        <w:tab/>
        <w:t>Magnoliopsida</w:t>
      </w:r>
    </w:p>
    <w:p>
      <w:pPr>
        <w:pStyle w:val="BodyText"/>
      </w:pPr>
    </w:p>
    <w:p>
      <w:pPr>
        <w:pStyle w:val="BodyText"/>
        <w:tabs>
          <w:tab w:pos="3528" w:val="left" w:leader="none"/>
        </w:tabs>
        <w:spacing w:before="1"/>
        <w:ind w:left="1368"/>
      </w:pPr>
      <w:r>
        <w:rPr/>
        <w:t>Order;</w:t>
        <w:tab/>
        <w:t>Eriocales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tabs>
          <w:tab w:pos="3528" w:val="left" w:leader="none"/>
        </w:tabs>
        <w:ind w:left="1368"/>
      </w:pPr>
      <w:r>
        <w:rPr/>
        <w:t>Family;</w:t>
        <w:tab/>
        <w:t>Ebenaceae</w:t>
      </w:r>
    </w:p>
    <w:p>
      <w:pPr>
        <w:pStyle w:val="BodyText"/>
      </w:pPr>
    </w:p>
    <w:p>
      <w:pPr>
        <w:pStyle w:val="BodyText"/>
        <w:tabs>
          <w:tab w:pos="3528" w:val="left" w:leader="none"/>
        </w:tabs>
        <w:ind w:left="1368"/>
      </w:pPr>
      <w:r>
        <w:rPr/>
        <w:t>Genus;</w:t>
        <w:tab/>
        <w:t>Diospyros</w:t>
      </w:r>
    </w:p>
    <w:p>
      <w:pPr>
        <w:pStyle w:val="BodyText"/>
      </w:pPr>
    </w:p>
    <w:p>
      <w:pPr>
        <w:tabs>
          <w:tab w:pos="3528" w:val="left" w:leader="none"/>
        </w:tabs>
        <w:spacing w:before="0"/>
        <w:ind w:left="1368" w:right="0" w:firstLine="0"/>
        <w:jc w:val="left"/>
        <w:rPr>
          <w:i/>
          <w:sz w:val="24"/>
        </w:rPr>
      </w:pPr>
      <w:r>
        <w:rPr>
          <w:sz w:val="24"/>
        </w:rPr>
        <w:t>Specie;</w:t>
        <w:tab/>
      </w:r>
      <w:r>
        <w:rPr>
          <w:i/>
          <w:sz w:val="24"/>
        </w:rPr>
        <w:t>Diospyros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mespiliformis</w:t>
      </w:r>
    </w:p>
    <w:p>
      <w:pPr>
        <w:spacing w:after="0"/>
        <w:jc w:val="left"/>
        <w:rPr>
          <w:sz w:val="24"/>
        </w:rPr>
        <w:sectPr>
          <w:pgSz w:w="12240" w:h="15840"/>
          <w:pgMar w:header="0" w:footer="792" w:top="1360" w:bottom="980" w:left="1080" w:right="760"/>
        </w:sectPr>
      </w:pPr>
    </w:p>
    <w:p>
      <w:pPr>
        <w:pStyle w:val="Heading1"/>
        <w:numPr>
          <w:ilvl w:val="2"/>
          <w:numId w:val="9"/>
        </w:numPr>
        <w:tabs>
          <w:tab w:pos="1369" w:val="left" w:leader="none"/>
        </w:tabs>
        <w:spacing w:line="240" w:lineRule="auto" w:before="76" w:after="0"/>
        <w:ind w:left="1368" w:right="0" w:hanging="721"/>
        <w:jc w:val="both"/>
      </w:pPr>
      <w:bookmarkStart w:name="_TOC_250052" w:id="9"/>
      <w:r>
        <w:rPr/>
        <w:t>Common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local</w:t>
      </w:r>
      <w:r>
        <w:rPr>
          <w:spacing w:val="-2"/>
        </w:rPr>
        <w:t> </w:t>
      </w:r>
      <w:bookmarkEnd w:id="9"/>
      <w:r>
        <w:rPr/>
        <w:t>names: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tabs>
          <w:tab w:pos="2808" w:val="left" w:leader="none"/>
        </w:tabs>
        <w:spacing w:before="1"/>
        <w:ind w:left="1368"/>
      </w:pPr>
      <w:r>
        <w:rPr/>
        <w:t>English:</w:t>
        <w:tab/>
        <w:t>Ebony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tabs>
          <w:tab w:pos="2808" w:val="left" w:leader="none"/>
        </w:tabs>
        <w:ind w:left="1368"/>
      </w:pPr>
      <w:r>
        <w:rPr/>
        <w:t>Hausa:</w:t>
        <w:tab/>
        <w:t>Kanya</w:t>
      </w:r>
    </w:p>
    <w:p>
      <w:pPr>
        <w:pStyle w:val="BodyText"/>
      </w:pPr>
    </w:p>
    <w:p>
      <w:pPr>
        <w:pStyle w:val="BodyText"/>
        <w:tabs>
          <w:tab w:pos="2808" w:val="left" w:leader="none"/>
        </w:tabs>
        <w:ind w:left="1368"/>
      </w:pPr>
      <w:r>
        <w:rPr/>
        <w:t>Yoruba:</w:t>
        <w:tab/>
        <w:t>Igi</w:t>
      </w:r>
      <w:r>
        <w:rPr>
          <w:spacing w:val="-2"/>
        </w:rPr>
        <w:t> </w:t>
      </w:r>
      <w:r>
        <w:rPr/>
        <w:t>dudu</w:t>
      </w:r>
    </w:p>
    <w:p>
      <w:pPr>
        <w:pStyle w:val="BodyText"/>
      </w:pPr>
    </w:p>
    <w:p>
      <w:pPr>
        <w:pStyle w:val="BodyText"/>
        <w:tabs>
          <w:tab w:pos="2808" w:val="left" w:leader="none"/>
        </w:tabs>
        <w:ind w:left="1368"/>
      </w:pPr>
      <w:r>
        <w:rPr/>
        <w:t>Igbo:</w:t>
        <w:tab/>
        <w:t>Akawayi</w:t>
      </w:r>
    </w:p>
    <w:p>
      <w:pPr>
        <w:pStyle w:val="BodyText"/>
      </w:pPr>
    </w:p>
    <w:p>
      <w:pPr>
        <w:pStyle w:val="BodyText"/>
        <w:tabs>
          <w:tab w:pos="2808" w:val="left" w:leader="none"/>
        </w:tabs>
        <w:ind w:left="1368"/>
      </w:pPr>
      <w:r>
        <w:rPr/>
        <w:t>Nupe:</w:t>
        <w:tab/>
        <w:t>Buswachi</w:t>
      </w:r>
    </w:p>
    <w:p>
      <w:pPr>
        <w:pStyle w:val="BodyText"/>
      </w:pPr>
    </w:p>
    <w:p>
      <w:pPr>
        <w:pStyle w:val="BodyText"/>
        <w:tabs>
          <w:tab w:pos="2808" w:val="left" w:leader="none"/>
        </w:tabs>
        <w:ind w:left="1368"/>
      </w:pPr>
      <w:r>
        <w:rPr/>
        <w:t>Fulani:</w:t>
        <w:tab/>
        <w:t>Balchi</w:t>
      </w:r>
    </w:p>
    <w:p>
      <w:pPr>
        <w:pStyle w:val="BodyText"/>
        <w:spacing w:before="1"/>
      </w:pPr>
    </w:p>
    <w:p>
      <w:pPr>
        <w:pStyle w:val="BodyText"/>
        <w:tabs>
          <w:tab w:pos="2808" w:val="left" w:leader="none"/>
        </w:tabs>
        <w:ind w:left="1368"/>
      </w:pPr>
      <w:r>
        <w:rPr/>
        <w:t>Kanuri:</w:t>
        <w:tab/>
        <w:t>Bergen</w:t>
      </w:r>
      <w:r>
        <w:rPr>
          <w:spacing w:val="-2"/>
        </w:rPr>
        <w:t> </w:t>
      </w:r>
      <w:r>
        <w:rPr/>
        <w:t>2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0"/>
        </w:rPr>
      </w:pPr>
    </w:p>
    <w:p>
      <w:pPr>
        <w:pStyle w:val="Heading1"/>
        <w:numPr>
          <w:ilvl w:val="2"/>
          <w:numId w:val="9"/>
        </w:numPr>
        <w:tabs>
          <w:tab w:pos="1369" w:val="left" w:leader="none"/>
        </w:tabs>
        <w:spacing w:line="240" w:lineRule="auto" w:before="0" w:after="0"/>
        <w:ind w:left="1368" w:right="0" w:hanging="721"/>
        <w:jc w:val="both"/>
      </w:pPr>
      <w:bookmarkStart w:name="_TOC_250051" w:id="10"/>
      <w:r>
        <w:rPr/>
        <w:t>Ethnomedical</w:t>
      </w:r>
      <w:r>
        <w:rPr>
          <w:spacing w:val="-2"/>
        </w:rPr>
        <w:t> </w:t>
      </w:r>
      <w:bookmarkEnd w:id="10"/>
      <w:r>
        <w:rPr/>
        <w:t>uses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648" w:right="675"/>
        <w:jc w:val="both"/>
      </w:pPr>
      <w:r>
        <w:rPr>
          <w:i/>
        </w:rPr>
        <w:t>Diospyros mespiliformis </w:t>
      </w:r>
      <w:r>
        <w:rPr/>
        <w:t>has been reported to have wide applications in traditional medicine</w:t>
      </w:r>
      <w:r>
        <w:rPr>
          <w:spacing w:val="1"/>
        </w:rPr>
        <w:t> </w:t>
      </w:r>
      <w:r>
        <w:rPr/>
        <w:t>which include the use of leaf decoction as a</w:t>
      </w:r>
      <w:r>
        <w:rPr>
          <w:spacing w:val="1"/>
        </w:rPr>
        <w:t> </w:t>
      </w:r>
      <w:r>
        <w:rPr/>
        <w:t>remedy for fever, whooping cough and for</w:t>
      </w:r>
      <w:r>
        <w:rPr>
          <w:spacing w:val="1"/>
        </w:rPr>
        <w:t> </w:t>
      </w:r>
      <w:r>
        <w:rPr/>
        <w:t>wounds (Dalziel, 1937; Watt and Brandwijk R, 1962).</w:t>
      </w:r>
      <w:r>
        <w:rPr>
          <w:spacing w:val="1"/>
        </w:rPr>
        <w:t> </w:t>
      </w:r>
      <w:r>
        <w:rPr/>
        <w:t>Bark and roots are used for serious</w:t>
      </w:r>
      <w:r>
        <w:rPr>
          <w:spacing w:val="1"/>
        </w:rPr>
        <w:t> </w:t>
      </w:r>
      <w:r>
        <w:rPr/>
        <w:t>infections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malaria,</w:t>
      </w:r>
      <w:r>
        <w:rPr>
          <w:spacing w:val="1"/>
        </w:rPr>
        <w:t> </w:t>
      </w:r>
      <w:r>
        <w:rPr/>
        <w:t>pneumonia,</w:t>
      </w:r>
      <w:r>
        <w:rPr>
          <w:spacing w:val="1"/>
        </w:rPr>
        <w:t> </w:t>
      </w:r>
      <w:r>
        <w:rPr/>
        <w:t>syphilis,</w:t>
      </w:r>
      <w:r>
        <w:rPr>
          <w:spacing w:val="1"/>
        </w:rPr>
        <w:t> </w:t>
      </w:r>
      <w:r>
        <w:rPr/>
        <w:t>leprosy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dermatomycoses,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antihelmintic and to facilitate delivery (Irvine, 1961). In Nigeria, a leaf infusion is taken as a</w:t>
      </w:r>
      <w:r>
        <w:rPr>
          <w:spacing w:val="1"/>
        </w:rPr>
        <w:t> </w:t>
      </w:r>
      <w:r>
        <w:rPr/>
        <w:t>mild</w:t>
      </w:r>
      <w:r>
        <w:rPr>
          <w:spacing w:val="1"/>
        </w:rPr>
        <w:t> </w:t>
      </w:r>
      <w:r>
        <w:rPr/>
        <w:t>laxative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vermifuge,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fever,</w:t>
      </w:r>
      <w:r>
        <w:rPr>
          <w:spacing w:val="1"/>
        </w:rPr>
        <w:t> </w:t>
      </w:r>
      <w:r>
        <w:rPr/>
        <w:t>dysentery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applied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wounds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haemostatic. The Hausas chew the leaf and fruit or apply an infusion</w:t>
      </w:r>
      <w:r>
        <w:rPr>
          <w:spacing w:val="1"/>
        </w:rPr>
        <w:t> </w:t>
      </w:r>
      <w:r>
        <w:rPr/>
        <w:t>for gingivitis and</w:t>
      </w:r>
      <w:r>
        <w:rPr>
          <w:spacing w:val="1"/>
        </w:rPr>
        <w:t> </w:t>
      </w:r>
      <w:r>
        <w:rPr/>
        <w:t>toothache (Burkill, 1985), and locally in Dembo village, Zaria Kaduna State northern Nigeria,</w:t>
      </w:r>
      <w:r>
        <w:rPr>
          <w:spacing w:val="-57"/>
        </w:rPr>
        <w:t> </w:t>
      </w:r>
      <w:r>
        <w:rPr/>
        <w:t>the plant is claimed to be useful in combination with the leaves of </w:t>
      </w:r>
      <w:r>
        <w:rPr>
          <w:i/>
        </w:rPr>
        <w:t>Annona senegalensis </w:t>
      </w:r>
      <w:r>
        <w:rPr/>
        <w:t>in the</w:t>
      </w:r>
      <w:r>
        <w:rPr>
          <w:spacing w:val="1"/>
        </w:rPr>
        <w:t> </w:t>
      </w:r>
      <w:r>
        <w:rPr>
          <w:spacing w:val="-1"/>
        </w:rPr>
        <w:t>management</w:t>
      </w:r>
      <w:r>
        <w:rPr/>
        <w:t> of</w:t>
      </w:r>
      <w:r>
        <w:rPr>
          <w:spacing w:val="1"/>
        </w:rPr>
        <w:t> </w:t>
      </w:r>
      <w:r>
        <w:rPr/>
        <w:t>convulsive disorders (Personal</w:t>
      </w:r>
      <w:r>
        <w:rPr>
          <w:spacing w:val="1"/>
        </w:rPr>
        <w:t> </w:t>
      </w:r>
      <w:r>
        <w:rPr/>
        <w:t>Communication,17</w:t>
      </w:r>
      <w:r>
        <w:rPr>
          <w:vertAlign w:val="superscript"/>
        </w:rPr>
        <w:t>th</w:t>
      </w:r>
      <w:r>
        <w:rPr>
          <w:spacing w:val="-23"/>
          <w:vertAlign w:val="baseline"/>
        </w:rPr>
        <w:t> </w:t>
      </w:r>
      <w:r>
        <w:rPr>
          <w:vertAlign w:val="baseline"/>
        </w:rPr>
        <w:t>January</w:t>
      </w:r>
      <w:r>
        <w:rPr>
          <w:spacing w:val="-5"/>
          <w:vertAlign w:val="baseline"/>
        </w:rPr>
        <w:t> </w:t>
      </w:r>
      <w:r>
        <w:rPr>
          <w:vertAlign w:val="baseline"/>
        </w:rPr>
        <w:t>2011).</w:t>
      </w:r>
    </w:p>
    <w:p>
      <w:pPr>
        <w:spacing w:after="0" w:line="480" w:lineRule="auto"/>
        <w:jc w:val="both"/>
        <w:sectPr>
          <w:pgSz w:w="12240" w:h="15840"/>
          <w:pgMar w:header="0" w:footer="792" w:top="1360" w:bottom="980" w:left="1080" w:right="760"/>
        </w:sectPr>
      </w:pPr>
    </w:p>
    <w:p>
      <w:pPr>
        <w:pStyle w:val="Heading1"/>
        <w:numPr>
          <w:ilvl w:val="2"/>
          <w:numId w:val="9"/>
        </w:numPr>
        <w:tabs>
          <w:tab w:pos="1369" w:val="left" w:leader="none"/>
        </w:tabs>
        <w:spacing w:line="240" w:lineRule="auto" w:before="76" w:after="0"/>
        <w:ind w:left="1368" w:right="0" w:hanging="721"/>
        <w:jc w:val="both"/>
      </w:pPr>
      <w:bookmarkStart w:name="_TOC_250050" w:id="11"/>
      <w:r>
        <w:rPr/>
        <w:t>Non</w:t>
      </w:r>
      <w:r>
        <w:rPr>
          <w:spacing w:val="-1"/>
        </w:rPr>
        <w:t> </w:t>
      </w:r>
      <w:r>
        <w:rPr/>
        <w:t>medical</w:t>
      </w:r>
      <w:r>
        <w:rPr>
          <w:spacing w:val="-1"/>
        </w:rPr>
        <w:t> </w:t>
      </w:r>
      <w:bookmarkEnd w:id="11"/>
      <w:r>
        <w:rPr/>
        <w:t>uses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 w:before="1"/>
        <w:ind w:left="648" w:right="673"/>
        <w:jc w:val="both"/>
      </w:pPr>
      <w:r>
        <w:rPr/>
        <w:t>The tree is often kept unfelled when land is cleared for farming for its shade and fruits are</w:t>
      </w:r>
      <w:r>
        <w:rPr>
          <w:spacing w:val="1"/>
        </w:rPr>
        <w:t> </w:t>
      </w:r>
      <w:r>
        <w:rPr/>
        <w:t>valued (Burkill, 1985). Ripe fresh fruits are relished especially by children. It is said to be a</w:t>
      </w:r>
      <w:r>
        <w:rPr>
          <w:spacing w:val="1"/>
        </w:rPr>
        <w:t> </w:t>
      </w:r>
      <w:r>
        <w:rPr/>
        <w:t>suitable species for reafforestation (Dalziel, 1937).The juvenile twigs are sometimes used as</w:t>
      </w:r>
      <w:r>
        <w:rPr>
          <w:spacing w:val="1"/>
        </w:rPr>
        <w:t> </w:t>
      </w:r>
      <w:r>
        <w:rPr/>
        <w:t>toothbrushes and the wood is durable and is used to make spoons and canoes. The bark</w:t>
      </w:r>
      <w:r>
        <w:rPr>
          <w:spacing w:val="1"/>
        </w:rPr>
        <w:t> </w:t>
      </w:r>
      <w:r>
        <w:rPr/>
        <w:t>contains a dark coloured gum which is used in Ghana to mend broken pottery (Irvine, 1961).</w:t>
      </w:r>
      <w:r>
        <w:rPr>
          <w:spacing w:val="1"/>
        </w:rPr>
        <w:t> </w:t>
      </w:r>
      <w:r>
        <w:rPr/>
        <w:t>The plant</w:t>
      </w:r>
      <w:r>
        <w:rPr>
          <w:spacing w:val="1"/>
        </w:rPr>
        <w:t> </w:t>
      </w:r>
      <w:r>
        <w:rPr/>
        <w:t>bark is used locally for tool handles, gun-stocks, ploughs, hut-posts and rafters,</w:t>
      </w:r>
      <w:r>
        <w:rPr>
          <w:spacing w:val="1"/>
        </w:rPr>
        <w:t> </w:t>
      </w:r>
      <w:r>
        <w:rPr/>
        <w:t>combs, stools, walking sticks, cudgels, carving and fancy goods and for charcoal for cooking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for smoking</w:t>
      </w:r>
      <w:r>
        <w:rPr>
          <w:spacing w:val="-3"/>
        </w:rPr>
        <w:t> </w:t>
      </w:r>
      <w:r>
        <w:rPr/>
        <w:t>fish (Dalziel, 1937; Irvine, 1961).</w:t>
      </w:r>
    </w:p>
    <w:p>
      <w:pPr>
        <w:spacing w:after="0" w:line="480" w:lineRule="auto"/>
        <w:jc w:val="both"/>
        <w:sectPr>
          <w:pgSz w:w="12240" w:h="15840"/>
          <w:pgMar w:header="0" w:footer="792" w:top="1360" w:bottom="980" w:left="108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6"/>
        </w:rPr>
      </w:pPr>
    </w:p>
    <w:p>
      <w:pPr>
        <w:pStyle w:val="BodyText"/>
        <w:ind w:left="648"/>
        <w:rPr>
          <w:sz w:val="20"/>
        </w:rPr>
      </w:pPr>
      <w:r>
        <w:rPr>
          <w:sz w:val="20"/>
        </w:rPr>
        <w:drawing>
          <wp:inline distT="0" distB="0" distL="0" distR="0">
            <wp:extent cx="5674742" cy="4256532"/>
            <wp:effectExtent l="0" t="0" r="0" b="0"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4742" cy="4256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5"/>
        </w:rPr>
      </w:pPr>
    </w:p>
    <w:p>
      <w:pPr>
        <w:spacing w:before="90"/>
        <w:ind w:left="648" w:right="672" w:firstLine="0"/>
        <w:jc w:val="left"/>
        <w:rPr>
          <w:sz w:val="24"/>
        </w:rPr>
      </w:pPr>
      <w:r>
        <w:rPr>
          <w:b/>
          <w:sz w:val="24"/>
        </w:rPr>
        <w:t>Plate</w:t>
      </w:r>
      <w:r>
        <w:rPr>
          <w:b/>
          <w:spacing w:val="16"/>
          <w:sz w:val="24"/>
        </w:rPr>
        <w:t> </w:t>
      </w:r>
      <w:r>
        <w:rPr>
          <w:b/>
          <w:sz w:val="24"/>
        </w:rPr>
        <w:t>2.1:</w:t>
      </w:r>
      <w:r>
        <w:rPr>
          <w:b/>
          <w:spacing w:val="17"/>
          <w:sz w:val="24"/>
        </w:rPr>
        <w:t> </w:t>
      </w:r>
      <w:r>
        <w:rPr>
          <w:i/>
          <w:sz w:val="24"/>
        </w:rPr>
        <w:t>Diospyros</w:t>
      </w:r>
      <w:r>
        <w:rPr>
          <w:i/>
          <w:spacing w:val="17"/>
          <w:sz w:val="24"/>
        </w:rPr>
        <w:t> </w:t>
      </w:r>
      <w:r>
        <w:rPr>
          <w:i/>
          <w:sz w:val="24"/>
        </w:rPr>
        <w:t>mespiliformis</w:t>
      </w:r>
      <w:r>
        <w:rPr>
          <w:i/>
          <w:spacing w:val="19"/>
          <w:sz w:val="24"/>
        </w:rPr>
        <w:t> </w:t>
      </w:r>
      <w:r>
        <w:rPr>
          <w:sz w:val="24"/>
        </w:rPr>
        <w:t>(Ebenaceae)</w:t>
      </w:r>
      <w:r>
        <w:rPr>
          <w:spacing w:val="17"/>
          <w:sz w:val="24"/>
        </w:rPr>
        <w:t> </w:t>
      </w:r>
      <w:r>
        <w:rPr>
          <w:sz w:val="24"/>
        </w:rPr>
        <w:t>in</w:t>
      </w:r>
      <w:r>
        <w:rPr>
          <w:spacing w:val="17"/>
          <w:sz w:val="24"/>
        </w:rPr>
        <w:t> </w:t>
      </w:r>
      <w:r>
        <w:rPr>
          <w:sz w:val="24"/>
        </w:rPr>
        <w:t>its</w:t>
      </w:r>
      <w:r>
        <w:rPr>
          <w:spacing w:val="18"/>
          <w:sz w:val="24"/>
        </w:rPr>
        <w:t> </w:t>
      </w:r>
      <w:r>
        <w:rPr>
          <w:sz w:val="24"/>
        </w:rPr>
        <w:t>natural</w:t>
      </w:r>
      <w:r>
        <w:rPr>
          <w:spacing w:val="20"/>
          <w:sz w:val="24"/>
        </w:rPr>
        <w:t> </w:t>
      </w:r>
      <w:r>
        <w:rPr>
          <w:sz w:val="24"/>
        </w:rPr>
        <w:t>habitat,</w:t>
      </w:r>
      <w:r>
        <w:rPr>
          <w:spacing w:val="19"/>
          <w:sz w:val="24"/>
        </w:rPr>
        <w:t> </w:t>
      </w:r>
      <w:r>
        <w:rPr>
          <w:sz w:val="24"/>
        </w:rPr>
        <w:t>showing</w:t>
      </w:r>
      <w:r>
        <w:rPr>
          <w:spacing w:val="14"/>
          <w:sz w:val="24"/>
        </w:rPr>
        <w:t> </w:t>
      </w:r>
      <w:r>
        <w:rPr>
          <w:sz w:val="24"/>
        </w:rPr>
        <w:t>the</w:t>
      </w:r>
      <w:r>
        <w:rPr>
          <w:spacing w:val="17"/>
          <w:sz w:val="24"/>
        </w:rPr>
        <w:t> </w:t>
      </w:r>
      <w:r>
        <w:rPr>
          <w:sz w:val="24"/>
        </w:rPr>
        <w:t>trunk</w:t>
      </w:r>
      <w:r>
        <w:rPr>
          <w:spacing w:val="17"/>
          <w:sz w:val="24"/>
        </w:rPr>
        <w:t> </w:t>
      </w:r>
      <w:r>
        <w:rPr>
          <w:sz w:val="24"/>
        </w:rPr>
        <w:t>and</w:t>
      </w:r>
      <w:r>
        <w:rPr>
          <w:spacing w:val="-57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leaves</w:t>
      </w:r>
    </w:p>
    <w:p>
      <w:pPr>
        <w:spacing w:after="0"/>
        <w:jc w:val="left"/>
        <w:rPr>
          <w:sz w:val="24"/>
        </w:rPr>
        <w:sectPr>
          <w:pgSz w:w="12240" w:h="15840"/>
          <w:pgMar w:header="0" w:footer="792" w:top="1500" w:bottom="980" w:left="1080" w:right="760"/>
        </w:sectPr>
      </w:pPr>
    </w:p>
    <w:p>
      <w:pPr>
        <w:pStyle w:val="Heading1"/>
        <w:numPr>
          <w:ilvl w:val="1"/>
          <w:numId w:val="9"/>
        </w:numPr>
        <w:tabs>
          <w:tab w:pos="4308" w:val="left" w:leader="none"/>
          <w:tab w:pos="4309" w:val="left" w:leader="none"/>
        </w:tabs>
        <w:spacing w:line="240" w:lineRule="auto" w:before="76" w:after="0"/>
        <w:ind w:left="4309" w:right="0" w:hanging="2041"/>
        <w:jc w:val="left"/>
      </w:pPr>
      <w:bookmarkStart w:name="_TOC_250049" w:id="12"/>
      <w:bookmarkEnd w:id="12"/>
      <w:r>
        <w:rPr/>
        <w:t>Epilepsy</w:t>
      </w:r>
    </w:p>
    <w:p>
      <w:pPr>
        <w:pStyle w:val="BodyText"/>
        <w:spacing w:before="1"/>
        <w:rPr>
          <w:b/>
        </w:rPr>
      </w:pPr>
    </w:p>
    <w:p>
      <w:pPr>
        <w:pStyle w:val="Heading1"/>
        <w:numPr>
          <w:ilvl w:val="2"/>
          <w:numId w:val="10"/>
        </w:numPr>
        <w:tabs>
          <w:tab w:pos="1309" w:val="left" w:leader="none"/>
        </w:tabs>
        <w:spacing w:line="240" w:lineRule="auto" w:before="0" w:after="0"/>
        <w:ind w:left="1308" w:right="0" w:hanging="661"/>
        <w:jc w:val="both"/>
      </w:pPr>
      <w:bookmarkStart w:name="_TOC_250048" w:id="13"/>
      <w:bookmarkEnd w:id="13"/>
      <w:r>
        <w:rPr/>
        <w:t>History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648" w:right="673"/>
        <w:jc w:val="both"/>
      </w:pPr>
      <w:r>
        <w:rPr/>
        <w:t>In ancient times, epilepsy was believed to be a „sacred disease (as was described in a 5</w:t>
      </w:r>
      <w:r>
        <w:rPr>
          <w:vertAlign w:val="superscript"/>
        </w:rPr>
        <w:t>th</w:t>
      </w:r>
      <w:r>
        <w:rPr>
          <w:spacing w:val="1"/>
          <w:vertAlign w:val="baseline"/>
        </w:rPr>
        <w:t> </w:t>
      </w:r>
      <w:r>
        <w:rPr>
          <w:vertAlign w:val="baseline"/>
        </w:rPr>
        <w:t>century BC treatise by Hippocrates) because people believe that epileptic seizures were as a</w:t>
      </w:r>
      <w:r>
        <w:rPr>
          <w:spacing w:val="1"/>
          <w:vertAlign w:val="baseline"/>
        </w:rPr>
        <w:t> </w:t>
      </w:r>
      <w:r>
        <w:rPr>
          <w:vertAlign w:val="baseline"/>
        </w:rPr>
        <w:t>result of attack by the gods.</w:t>
      </w:r>
      <w:r>
        <w:rPr>
          <w:spacing w:val="1"/>
          <w:vertAlign w:val="baseline"/>
        </w:rPr>
        <w:t> </w:t>
      </w:r>
      <w:r>
        <w:rPr>
          <w:vertAlign w:val="baseline"/>
        </w:rPr>
        <w:t>The believe then was that only gods can deprive a healthy man of</w:t>
      </w:r>
      <w:r>
        <w:rPr>
          <w:spacing w:val="-57"/>
          <w:vertAlign w:val="baseline"/>
        </w:rPr>
        <w:t> </w:t>
      </w:r>
      <w:r>
        <w:rPr>
          <w:vertAlign w:val="baseline"/>
        </w:rPr>
        <w:t>his senses, throw him to the ground, convulse him and then rapidly restore him to his former</w:t>
      </w:r>
      <w:r>
        <w:rPr>
          <w:spacing w:val="1"/>
          <w:vertAlign w:val="baseline"/>
        </w:rPr>
        <w:t> </w:t>
      </w:r>
      <w:r>
        <w:rPr>
          <w:vertAlign w:val="baseline"/>
        </w:rPr>
        <w:t>self</w:t>
      </w:r>
      <w:r>
        <w:rPr>
          <w:spacing w:val="29"/>
          <w:vertAlign w:val="baseline"/>
        </w:rPr>
        <w:t> </w:t>
      </w:r>
      <w:r>
        <w:rPr>
          <w:vertAlign w:val="baseline"/>
        </w:rPr>
        <w:t>again</w:t>
      </w:r>
      <w:r>
        <w:rPr>
          <w:spacing w:val="30"/>
          <w:vertAlign w:val="baseline"/>
        </w:rPr>
        <w:t> </w:t>
      </w:r>
      <w:r>
        <w:rPr>
          <w:vertAlign w:val="baseline"/>
        </w:rPr>
        <w:t>(Reynolds,</w:t>
      </w:r>
      <w:r>
        <w:rPr>
          <w:spacing w:val="30"/>
          <w:vertAlign w:val="baseline"/>
        </w:rPr>
        <w:t> </w:t>
      </w:r>
      <w:r>
        <w:rPr>
          <w:vertAlign w:val="baseline"/>
        </w:rPr>
        <w:t>1988).</w:t>
      </w:r>
      <w:r>
        <w:rPr>
          <w:spacing w:val="29"/>
          <w:vertAlign w:val="baseline"/>
        </w:rPr>
        <w:t> </w:t>
      </w:r>
      <w:r>
        <w:rPr>
          <w:vertAlign w:val="baseline"/>
        </w:rPr>
        <w:t>This</w:t>
      </w:r>
      <w:r>
        <w:rPr>
          <w:spacing w:val="30"/>
          <w:vertAlign w:val="baseline"/>
        </w:rPr>
        <w:t> </w:t>
      </w:r>
      <w:r>
        <w:rPr>
          <w:vertAlign w:val="baseline"/>
        </w:rPr>
        <w:t>perception</w:t>
      </w:r>
      <w:r>
        <w:rPr>
          <w:spacing w:val="30"/>
          <w:vertAlign w:val="baseline"/>
        </w:rPr>
        <w:t> </w:t>
      </w:r>
      <w:r>
        <w:rPr>
          <w:vertAlign w:val="baseline"/>
        </w:rPr>
        <w:t>of</w:t>
      </w:r>
      <w:r>
        <w:rPr>
          <w:spacing w:val="29"/>
          <w:vertAlign w:val="baseline"/>
        </w:rPr>
        <w:t> </w:t>
      </w:r>
      <w:r>
        <w:rPr>
          <w:vertAlign w:val="baseline"/>
        </w:rPr>
        <w:t>epilepsy</w:t>
      </w:r>
      <w:r>
        <w:rPr>
          <w:spacing w:val="25"/>
          <w:vertAlign w:val="baseline"/>
        </w:rPr>
        <w:t> </w:t>
      </w:r>
      <w:r>
        <w:rPr>
          <w:vertAlign w:val="baseline"/>
        </w:rPr>
        <w:t>has</w:t>
      </w:r>
      <w:r>
        <w:rPr>
          <w:spacing w:val="31"/>
          <w:vertAlign w:val="baseline"/>
        </w:rPr>
        <w:t> </w:t>
      </w:r>
      <w:r>
        <w:rPr>
          <w:vertAlign w:val="baseline"/>
        </w:rPr>
        <w:t>continued</w:t>
      </w:r>
      <w:r>
        <w:rPr>
          <w:spacing w:val="29"/>
          <w:vertAlign w:val="baseline"/>
        </w:rPr>
        <w:t> </w:t>
      </w:r>
      <w:r>
        <w:rPr>
          <w:vertAlign w:val="baseline"/>
        </w:rPr>
        <w:t>to</w:t>
      </w:r>
      <w:r>
        <w:rPr>
          <w:spacing w:val="30"/>
          <w:vertAlign w:val="baseline"/>
        </w:rPr>
        <w:t> </w:t>
      </w:r>
      <w:r>
        <w:rPr>
          <w:vertAlign w:val="baseline"/>
        </w:rPr>
        <w:t>this</w:t>
      </w:r>
      <w:r>
        <w:rPr>
          <w:spacing w:val="31"/>
          <w:vertAlign w:val="baseline"/>
        </w:rPr>
        <w:t> </w:t>
      </w:r>
      <w:r>
        <w:rPr>
          <w:vertAlign w:val="baseline"/>
        </w:rPr>
        <w:t>day</w:t>
      </w:r>
      <w:r>
        <w:rPr>
          <w:spacing w:val="22"/>
          <w:vertAlign w:val="baseline"/>
        </w:rPr>
        <w:t> </w:t>
      </w:r>
      <w:r>
        <w:rPr>
          <w:vertAlign w:val="baseline"/>
        </w:rPr>
        <w:t>in</w:t>
      </w:r>
      <w:r>
        <w:rPr>
          <w:spacing w:val="30"/>
          <w:vertAlign w:val="baseline"/>
        </w:rPr>
        <w:t> </w:t>
      </w:r>
      <w:r>
        <w:rPr>
          <w:vertAlign w:val="baseline"/>
        </w:rPr>
        <w:t>some</w:t>
      </w:r>
      <w:r>
        <w:rPr>
          <w:spacing w:val="-57"/>
          <w:vertAlign w:val="baseline"/>
        </w:rPr>
        <w:t> </w:t>
      </w:r>
      <w:r>
        <w:rPr>
          <w:vertAlign w:val="baseline"/>
        </w:rPr>
        <w:t>part of the world thereby making epilepsy a dreaded disease with resultant ostracization and</w:t>
      </w:r>
      <w:r>
        <w:rPr>
          <w:spacing w:val="1"/>
          <w:vertAlign w:val="baseline"/>
        </w:rPr>
        <w:t> </w:t>
      </w:r>
      <w:r>
        <w:rPr>
          <w:vertAlign w:val="baseline"/>
        </w:rPr>
        <w:t>stigmatization of patients with epilepsy because the disease is misunderstood (Ogunrin, 2006).</w:t>
      </w:r>
      <w:r>
        <w:rPr>
          <w:spacing w:val="-57"/>
          <w:vertAlign w:val="baseline"/>
        </w:rPr>
        <w:t> </w:t>
      </w:r>
      <w:r>
        <w:rPr>
          <w:vertAlign w:val="baseline"/>
        </w:rPr>
        <w:t>For example in Madagascar, patients with epilepsy are refused burial in the family grave yard</w:t>
      </w:r>
      <w:r>
        <w:rPr>
          <w:spacing w:val="1"/>
          <w:vertAlign w:val="baseline"/>
        </w:rPr>
        <w:t> </w:t>
      </w:r>
      <w:r>
        <w:rPr>
          <w:vertAlign w:val="baseline"/>
        </w:rPr>
        <w:t>(Osuntokun, 1978), likewise, in Tanzania to this day, as with other parts of Africa, epilepsy is</w:t>
      </w:r>
      <w:r>
        <w:rPr>
          <w:spacing w:val="1"/>
          <w:vertAlign w:val="baseline"/>
        </w:rPr>
        <w:t> </w:t>
      </w:r>
      <w:r>
        <w:rPr>
          <w:vertAlign w:val="baseline"/>
        </w:rPr>
        <w:t>thought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be</w:t>
      </w:r>
      <w:r>
        <w:rPr>
          <w:spacing w:val="1"/>
          <w:vertAlign w:val="baseline"/>
        </w:rPr>
        <w:t> </w:t>
      </w:r>
      <w:r>
        <w:rPr>
          <w:vertAlign w:val="baseline"/>
        </w:rPr>
        <w:t>associated</w:t>
      </w:r>
      <w:r>
        <w:rPr>
          <w:spacing w:val="1"/>
          <w:vertAlign w:val="baseline"/>
        </w:rPr>
        <w:t> </w:t>
      </w:r>
      <w:r>
        <w:rPr>
          <w:vertAlign w:val="baseline"/>
        </w:rPr>
        <w:t>with</w:t>
      </w:r>
      <w:r>
        <w:rPr>
          <w:spacing w:val="1"/>
          <w:vertAlign w:val="baseline"/>
        </w:rPr>
        <w:t> </w:t>
      </w:r>
      <w:r>
        <w:rPr>
          <w:vertAlign w:val="baseline"/>
        </w:rPr>
        <w:t>possession</w:t>
      </w:r>
      <w:r>
        <w:rPr>
          <w:spacing w:val="1"/>
          <w:vertAlign w:val="baseline"/>
        </w:rPr>
        <w:t> </w:t>
      </w:r>
      <w:r>
        <w:rPr>
          <w:vertAlign w:val="baseline"/>
        </w:rPr>
        <w:t>by</w:t>
      </w:r>
      <w:r>
        <w:rPr>
          <w:spacing w:val="1"/>
          <w:vertAlign w:val="baseline"/>
        </w:rPr>
        <w:t> </w:t>
      </w:r>
      <w:r>
        <w:rPr>
          <w:vertAlign w:val="baseline"/>
        </w:rPr>
        <w:t>evil</w:t>
      </w:r>
      <w:r>
        <w:rPr>
          <w:spacing w:val="1"/>
          <w:vertAlign w:val="baseline"/>
        </w:rPr>
        <w:t> </w:t>
      </w:r>
      <w:r>
        <w:rPr>
          <w:vertAlign w:val="baseline"/>
        </w:rPr>
        <w:t>spirits,</w:t>
      </w:r>
      <w:r>
        <w:rPr>
          <w:spacing w:val="1"/>
          <w:vertAlign w:val="baseline"/>
        </w:rPr>
        <w:t> </w:t>
      </w:r>
      <w:r>
        <w:rPr>
          <w:vertAlign w:val="baseline"/>
        </w:rPr>
        <w:t>witchcraft</w:t>
      </w:r>
      <w:r>
        <w:rPr>
          <w:spacing w:val="1"/>
          <w:vertAlign w:val="baseline"/>
        </w:rPr>
        <w:t> </w:t>
      </w:r>
      <w:r>
        <w:rPr>
          <w:vertAlign w:val="baseline"/>
        </w:rPr>
        <w:t>or</w:t>
      </w:r>
      <w:r>
        <w:rPr>
          <w:spacing w:val="1"/>
          <w:vertAlign w:val="baseline"/>
        </w:rPr>
        <w:t> </w:t>
      </w:r>
      <w:r>
        <w:rPr>
          <w:vertAlign w:val="baseline"/>
        </w:rPr>
        <w:t>poisoning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60"/>
          <w:vertAlign w:val="baseline"/>
        </w:rPr>
        <w:t> </w:t>
      </w:r>
      <w:r>
        <w:rPr>
          <w:vertAlign w:val="baseline"/>
        </w:rPr>
        <w:t>is</w:t>
      </w:r>
      <w:r>
        <w:rPr>
          <w:spacing w:val="1"/>
          <w:vertAlign w:val="baseline"/>
        </w:rPr>
        <w:t> </w:t>
      </w:r>
      <w:r>
        <w:rPr>
          <w:vertAlign w:val="baseline"/>
        </w:rPr>
        <w:t>believed by many to be contagious (Jilek-Aall, 1999). The stigmatization of epilepsy which</w:t>
      </w:r>
      <w:r>
        <w:rPr>
          <w:spacing w:val="1"/>
          <w:vertAlign w:val="baseline"/>
        </w:rPr>
        <w:t> </w:t>
      </w:r>
      <w:r>
        <w:rPr>
          <w:vertAlign w:val="baseline"/>
        </w:rPr>
        <w:t>exists</w:t>
      </w:r>
      <w:r>
        <w:rPr>
          <w:spacing w:val="1"/>
          <w:vertAlign w:val="baseline"/>
        </w:rPr>
        <w:t> </w:t>
      </w:r>
      <w:r>
        <w:rPr>
          <w:vertAlign w:val="baseline"/>
        </w:rPr>
        <w:t>to this</w:t>
      </w:r>
      <w:r>
        <w:rPr>
          <w:spacing w:val="1"/>
          <w:vertAlign w:val="baseline"/>
        </w:rPr>
        <w:t> </w:t>
      </w:r>
      <w:r>
        <w:rPr>
          <w:vertAlign w:val="baseline"/>
        </w:rPr>
        <w:t>day is</w:t>
      </w:r>
      <w:r>
        <w:rPr>
          <w:spacing w:val="1"/>
          <w:vertAlign w:val="baseline"/>
        </w:rPr>
        <w:t> </w:t>
      </w:r>
      <w:r>
        <w:rPr>
          <w:vertAlign w:val="baseline"/>
        </w:rPr>
        <w:t>decreasing with</w:t>
      </w:r>
      <w:r>
        <w:rPr>
          <w:spacing w:val="1"/>
          <w:vertAlign w:val="baseline"/>
        </w:rPr>
        <w:t> </w:t>
      </w:r>
      <w:r>
        <w:rPr>
          <w:vertAlign w:val="baseline"/>
        </w:rPr>
        <w:t>time,</w:t>
      </w:r>
      <w:r>
        <w:rPr>
          <w:spacing w:val="1"/>
          <w:vertAlign w:val="baseline"/>
        </w:rPr>
        <w:t> </w:t>
      </w:r>
      <w:r>
        <w:rPr>
          <w:vertAlign w:val="baseline"/>
        </w:rPr>
        <w:t>especially in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developed</w:t>
      </w:r>
      <w:r>
        <w:rPr>
          <w:spacing w:val="1"/>
          <w:vertAlign w:val="baseline"/>
        </w:rPr>
        <w:t> </w:t>
      </w:r>
      <w:r>
        <w:rPr>
          <w:vertAlign w:val="baseline"/>
        </w:rPr>
        <w:t>world.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issue</w:t>
      </w:r>
      <w:r>
        <w:rPr>
          <w:spacing w:val="1"/>
          <w:vertAlign w:val="baseline"/>
        </w:rPr>
        <w:t> </w:t>
      </w:r>
      <w:r>
        <w:rPr>
          <w:vertAlign w:val="baseline"/>
        </w:rPr>
        <w:t>remarkably raised by Hippocrates in his famous treatise on the sacred disease was his belief</w:t>
      </w:r>
      <w:r>
        <w:rPr>
          <w:spacing w:val="1"/>
          <w:vertAlign w:val="baseline"/>
        </w:rPr>
        <w:t> </w:t>
      </w:r>
      <w:r>
        <w:rPr>
          <w:vertAlign w:val="baseline"/>
        </w:rPr>
        <w:t>that epilepsy was not sacred, that the brain was the seat of the disease (Ogunrin, 2006).</w:t>
      </w:r>
      <w:r>
        <w:rPr>
          <w:spacing w:val="1"/>
          <w:vertAlign w:val="baseline"/>
        </w:rPr>
        <w:t> </w:t>
      </w:r>
      <w:r>
        <w:rPr>
          <w:vertAlign w:val="baseline"/>
        </w:rPr>
        <w:t>Hippocrates finally remarked, that epilepsy would cease to be considered divine the day it was</w:t>
      </w:r>
      <w:r>
        <w:rPr>
          <w:spacing w:val="-57"/>
          <w:vertAlign w:val="baseline"/>
        </w:rPr>
        <w:t> </w:t>
      </w:r>
      <w:r>
        <w:rPr>
          <w:vertAlign w:val="baseline"/>
        </w:rPr>
        <w:t>understood.</w:t>
      </w:r>
    </w:p>
    <w:p>
      <w:pPr>
        <w:spacing w:after="0" w:line="480" w:lineRule="auto"/>
        <w:jc w:val="both"/>
        <w:sectPr>
          <w:pgSz w:w="12240" w:h="15840"/>
          <w:pgMar w:header="0" w:footer="792" w:top="1360" w:bottom="980" w:left="1080" w:right="760"/>
        </w:sectPr>
      </w:pPr>
    </w:p>
    <w:p>
      <w:pPr>
        <w:pStyle w:val="Heading1"/>
        <w:numPr>
          <w:ilvl w:val="2"/>
          <w:numId w:val="10"/>
        </w:numPr>
        <w:tabs>
          <w:tab w:pos="1369" w:val="left" w:leader="none"/>
        </w:tabs>
        <w:spacing w:line="240" w:lineRule="auto" w:before="76" w:after="0"/>
        <w:ind w:left="1368" w:right="0" w:hanging="721"/>
        <w:jc w:val="both"/>
      </w:pPr>
      <w:bookmarkStart w:name="_TOC_250047" w:id="14"/>
      <w:bookmarkEnd w:id="14"/>
      <w:r>
        <w:rPr/>
        <w:t>Etiology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 w:before="1"/>
        <w:ind w:left="648" w:right="673"/>
        <w:jc w:val="both"/>
      </w:pPr>
      <w:r>
        <w:rPr/>
        <w:t>The most prevalent form of epilepsy in all age groups is the idiopathic epilepsy even though</w:t>
      </w:r>
      <w:r>
        <w:rPr>
          <w:spacing w:val="1"/>
        </w:rPr>
        <w:t> </w:t>
      </w:r>
      <w:r>
        <w:rPr/>
        <w:t>the frequency of symptomatic epilepsy rises progressively with age (Osuntokun, 1978). About</w:t>
      </w:r>
      <w:r>
        <w:rPr>
          <w:spacing w:val="-57"/>
        </w:rPr>
        <w:t> </w:t>
      </w:r>
      <w:r>
        <w:rPr/>
        <w:t>30% of patients with epilepsy in other parts of the world have identifiable neurological or</w:t>
      </w:r>
      <w:r>
        <w:rPr>
          <w:spacing w:val="1"/>
        </w:rPr>
        <w:t> </w:t>
      </w:r>
      <w:r>
        <w:rPr/>
        <w:t>systemic</w:t>
      </w:r>
      <w:r>
        <w:rPr>
          <w:spacing w:val="1"/>
        </w:rPr>
        <w:t> </w:t>
      </w:r>
      <w:r>
        <w:rPr/>
        <w:t>disorder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remainders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either</w:t>
      </w:r>
      <w:r>
        <w:rPr>
          <w:spacing w:val="1"/>
        </w:rPr>
        <w:t> </w:t>
      </w:r>
      <w:r>
        <w:rPr/>
        <w:t>idiopathic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cryptogenic</w:t>
      </w:r>
      <w:r>
        <w:rPr>
          <w:spacing w:val="1"/>
        </w:rPr>
        <w:t> </w:t>
      </w:r>
      <w:r>
        <w:rPr/>
        <w:t>epilepsy</w:t>
      </w:r>
      <w:r>
        <w:rPr>
          <w:spacing w:val="1"/>
        </w:rPr>
        <w:t> </w:t>
      </w:r>
      <w:r>
        <w:rPr/>
        <w:t>(Chadwick, 1990). In Nigeria, idiopathic epilepsy is said to constitute about 55-60% of all</w:t>
      </w:r>
      <w:r>
        <w:rPr>
          <w:spacing w:val="1"/>
        </w:rPr>
        <w:t> </w:t>
      </w:r>
      <w:r>
        <w:rPr/>
        <w:t>reported</w:t>
      </w:r>
      <w:r>
        <w:rPr>
          <w:spacing w:val="1"/>
        </w:rPr>
        <w:t> </w:t>
      </w:r>
      <w:r>
        <w:rPr/>
        <w:t>cases (Osuntokun, 1978).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 w:before="1"/>
        <w:ind w:left="648" w:right="673" w:firstLine="60"/>
        <w:jc w:val="both"/>
      </w:pPr>
      <w:r>
        <w:rPr>
          <w:b/>
          <w:i/>
        </w:rPr>
        <w:t>Infections; </w:t>
      </w:r>
      <w:r>
        <w:rPr/>
        <w:t>Central nervous system infections are the major cause of symptomatic epilepsy</w:t>
      </w:r>
      <w:r>
        <w:rPr>
          <w:spacing w:val="1"/>
        </w:rPr>
        <w:t> </w:t>
      </w:r>
      <w:r>
        <w:rPr/>
        <w:t>which comprises mainly bacterial and viral meningitis, encephalitis, neurosyphillis, brain</w:t>
      </w:r>
      <w:r>
        <w:rPr>
          <w:spacing w:val="1"/>
        </w:rPr>
        <w:t> </w:t>
      </w:r>
      <w:r>
        <w:rPr/>
        <w:t>abscess and tuberculosis (Ogunrin, 2006). These are infections that are endemic in tropical</w:t>
      </w:r>
      <w:r>
        <w:rPr>
          <w:spacing w:val="1"/>
        </w:rPr>
        <w:t> </w:t>
      </w:r>
      <w:r>
        <w:rPr/>
        <w:t>African regions and accounted for about 10 to 20% of reported cases of epilepsy in Africa</w:t>
      </w:r>
      <w:r>
        <w:rPr>
          <w:spacing w:val="1"/>
        </w:rPr>
        <w:t> </w:t>
      </w:r>
      <w:r>
        <w:rPr/>
        <w:t>(Osuntokun, 1978) The advent of Human immunodeficiency virus (HIV) has worsen the case</w:t>
      </w:r>
      <w:r>
        <w:rPr>
          <w:spacing w:val="1"/>
        </w:rPr>
        <w:t> </w:t>
      </w:r>
      <w:r>
        <w:rPr/>
        <w:t>especially in Africa because it has been shown that HIV, may lead to epilepsy by direct</w:t>
      </w:r>
      <w:r>
        <w:rPr>
          <w:spacing w:val="1"/>
        </w:rPr>
        <w:t> </w:t>
      </w:r>
      <w:r>
        <w:rPr/>
        <w:t>invasion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brain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HIV</w:t>
      </w:r>
      <w:r>
        <w:rPr>
          <w:spacing w:val="1"/>
        </w:rPr>
        <w:t> </w:t>
      </w:r>
      <w:r>
        <w:rPr/>
        <w:t>encephalopathy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consequence</w:t>
      </w:r>
      <w:r>
        <w:rPr>
          <w:spacing w:val="1"/>
        </w:rPr>
        <w:t> </w:t>
      </w:r>
      <w:r>
        <w:rPr/>
        <w:t>of</w:t>
      </w:r>
      <w:r>
        <w:rPr>
          <w:spacing w:val="60"/>
        </w:rPr>
        <w:t> </w:t>
      </w:r>
      <w:r>
        <w:rPr/>
        <w:t>opportunistic</w:t>
      </w:r>
      <w:r>
        <w:rPr>
          <w:spacing w:val="1"/>
        </w:rPr>
        <w:t> </w:t>
      </w:r>
      <w:r>
        <w:rPr/>
        <w:t>infections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toxoplasmosis.</w:t>
      </w:r>
      <w:r>
        <w:rPr>
          <w:spacing w:val="1"/>
        </w:rPr>
        <w:t> </w:t>
      </w:r>
      <w:r>
        <w:rPr/>
        <w:t>Another infection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neurocysticercosis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rarely</w:t>
      </w:r>
      <w:r>
        <w:rPr>
          <w:spacing w:val="-57"/>
        </w:rPr>
        <w:t> </w:t>
      </w:r>
      <w:r>
        <w:rPr/>
        <w:t>reported in Nigeria (Ogunrin, 2006) but was said to be responsible for significant proportions</w:t>
      </w:r>
      <w:r>
        <w:rPr>
          <w:spacing w:val="1"/>
        </w:rPr>
        <w:t> </w:t>
      </w:r>
      <w:r>
        <w:rPr/>
        <w:t>of epilepsy in Cameroon and Togo (Zoli </w:t>
      </w:r>
      <w:r>
        <w:rPr>
          <w:i/>
        </w:rPr>
        <w:t>et al</w:t>
      </w:r>
      <w:r>
        <w:rPr/>
        <w:t>., 2003). One of the clinical presentations of</w:t>
      </w:r>
      <w:r>
        <w:rPr>
          <w:spacing w:val="1"/>
        </w:rPr>
        <w:t> </w:t>
      </w:r>
      <w:r>
        <w:rPr/>
        <w:t>cerebral malaria secondary to infection by </w:t>
      </w:r>
      <w:r>
        <w:rPr>
          <w:i/>
        </w:rPr>
        <w:t>Plasmodium falcifarum </w:t>
      </w:r>
      <w:r>
        <w:rPr/>
        <w:t>especially in children is</w:t>
      </w:r>
      <w:r>
        <w:rPr>
          <w:spacing w:val="1"/>
        </w:rPr>
        <w:t> </w:t>
      </w:r>
      <w:r>
        <w:rPr/>
        <w:t>seizure, and a study has shown that 22% of patients with temporal lobe epilepsy had febrile</w:t>
      </w:r>
      <w:r>
        <w:rPr>
          <w:spacing w:val="1"/>
        </w:rPr>
        <w:t> </w:t>
      </w:r>
      <w:r>
        <w:rPr/>
        <w:t>convulsions</w:t>
      </w:r>
      <w:r>
        <w:rPr>
          <w:spacing w:val="-1"/>
        </w:rPr>
        <w:t> </w:t>
      </w:r>
      <w:r>
        <w:rPr/>
        <w:t>in childhood from malaria</w:t>
      </w:r>
      <w:r>
        <w:rPr>
          <w:spacing w:val="1"/>
        </w:rPr>
        <w:t> </w:t>
      </w:r>
      <w:r>
        <w:rPr/>
        <w:t>(Dada, 1976).</w:t>
      </w:r>
    </w:p>
    <w:p>
      <w:pPr>
        <w:spacing w:after="0" w:line="480" w:lineRule="auto"/>
        <w:jc w:val="both"/>
        <w:sectPr>
          <w:pgSz w:w="12240" w:h="15840"/>
          <w:pgMar w:header="0" w:footer="792" w:top="1360" w:bottom="980" w:left="1080" w:right="760"/>
        </w:sectPr>
      </w:pPr>
    </w:p>
    <w:p>
      <w:pPr>
        <w:pStyle w:val="BodyText"/>
        <w:spacing w:line="480" w:lineRule="auto" w:before="72"/>
        <w:ind w:left="648" w:right="674"/>
        <w:jc w:val="both"/>
      </w:pPr>
      <w:r>
        <w:rPr>
          <w:b/>
          <w:i/>
        </w:rPr>
        <w:t>Trauma; </w:t>
      </w:r>
      <w:r>
        <w:rPr/>
        <w:t>One of the causes of secondary or symptomatic epilepsy is brain damage from pre-</w:t>
      </w:r>
      <w:r>
        <w:rPr>
          <w:spacing w:val="1"/>
        </w:rPr>
        <w:t> </w:t>
      </w:r>
      <w:r>
        <w:rPr/>
        <w:t>natal or peri-natal injuries i.e. loss of oxygen, trauma during birth or low birth weight (WHO,</w:t>
      </w:r>
      <w:r>
        <w:rPr>
          <w:spacing w:val="1"/>
        </w:rPr>
        <w:t> </w:t>
      </w:r>
      <w:r>
        <w:rPr/>
        <w:t>2012). Trauma and hypoxia are said to be among the commonest causes of epilepsy in Nigeria</w:t>
      </w:r>
      <w:r>
        <w:rPr>
          <w:spacing w:val="-57"/>
        </w:rPr>
        <w:t> </w:t>
      </w:r>
      <w:r>
        <w:rPr/>
        <w:t>(Ogunrin, 2006). Poor obstetric care during perinatal period, acts of violence and traffic</w:t>
      </w:r>
      <w:r>
        <w:rPr>
          <w:spacing w:val="1"/>
        </w:rPr>
        <w:t> </w:t>
      </w:r>
      <w:r>
        <w:rPr/>
        <w:t>accidents are said to be contributory factors. Trauma at birth can cause epilepsy secondary to</w:t>
      </w:r>
      <w:r>
        <w:rPr>
          <w:spacing w:val="1"/>
        </w:rPr>
        <w:t> </w:t>
      </w:r>
      <w:r>
        <w:rPr/>
        <w:t>excessive</w:t>
      </w:r>
      <w:r>
        <w:rPr>
          <w:spacing w:val="1"/>
        </w:rPr>
        <w:t> </w:t>
      </w:r>
      <w:r>
        <w:rPr/>
        <w:t>moulding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scalp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asphyxia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subsequent</w:t>
      </w:r>
      <w:r>
        <w:rPr>
          <w:spacing w:val="1"/>
        </w:rPr>
        <w:t> </w:t>
      </w:r>
      <w:r>
        <w:rPr/>
        <w:t>damaging</w:t>
      </w:r>
      <w:r>
        <w:rPr>
          <w:spacing w:val="1"/>
        </w:rPr>
        <w:t> </w:t>
      </w:r>
      <w:r>
        <w:rPr/>
        <w:t>effects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-58"/>
        </w:rPr>
        <w:t> </w:t>
      </w:r>
      <w:r>
        <w:rPr/>
        <w:t>hippocampus and amygydala leading to incisural sclerosis (Ogunrin, 2006). It accounts for 1-</w:t>
      </w:r>
      <w:r>
        <w:rPr>
          <w:spacing w:val="1"/>
        </w:rPr>
        <w:t> </w:t>
      </w:r>
      <w:r>
        <w:rPr/>
        <w:t>2%</w:t>
      </w:r>
      <w:r>
        <w:rPr>
          <w:spacing w:val="-1"/>
        </w:rPr>
        <w:t> </w:t>
      </w:r>
      <w:r>
        <w:rPr/>
        <w:t>of symptomatic</w:t>
      </w:r>
      <w:r>
        <w:rPr>
          <w:spacing w:val="1"/>
        </w:rPr>
        <w:t> </w:t>
      </w:r>
      <w:r>
        <w:rPr/>
        <w:t>epilepsy</w:t>
      </w:r>
      <w:r>
        <w:rPr>
          <w:spacing w:val="-5"/>
        </w:rPr>
        <w:t> </w:t>
      </w:r>
      <w:r>
        <w:rPr/>
        <w:t>in Africa</w:t>
      </w:r>
      <w:r>
        <w:rPr>
          <w:spacing w:val="-1"/>
        </w:rPr>
        <w:t> </w:t>
      </w:r>
      <w:r>
        <w:rPr/>
        <w:t>(Osuntokum, 1978).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480" w:lineRule="auto"/>
        <w:ind w:left="648" w:right="676"/>
        <w:jc w:val="both"/>
      </w:pPr>
      <w:r>
        <w:rPr/>
        <w:t>Nigeria and the East African countries have the highest rate of automobile accidents in the</w:t>
      </w:r>
      <w:r>
        <w:rPr>
          <w:spacing w:val="1"/>
        </w:rPr>
        <w:t> </w:t>
      </w:r>
      <w:r>
        <w:rPr/>
        <w:t>world and consequently post traumatic epilepsy is becoming increasingly common (Ogunrin,</w:t>
      </w:r>
      <w:r>
        <w:rPr>
          <w:spacing w:val="1"/>
        </w:rPr>
        <w:t> </w:t>
      </w:r>
      <w:r>
        <w:rPr/>
        <w:t>2006). It accounts for between 8% and 12% of symptomatic epilepsies in Nigeria (Obembe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Ahmed, 1988).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480" w:lineRule="auto"/>
        <w:ind w:left="648" w:right="672"/>
        <w:jc w:val="both"/>
      </w:pPr>
      <w:r>
        <w:rPr>
          <w:b/>
          <w:i/>
        </w:rPr>
        <w:t>Genetics; </w:t>
      </w:r>
      <w:r>
        <w:rPr/>
        <w:t>A number of studies carried out recently indicate that genetically inherited forms of</w:t>
      </w:r>
      <w:r>
        <w:rPr>
          <w:spacing w:val="1"/>
        </w:rPr>
        <w:t> </w:t>
      </w:r>
      <w:r>
        <w:rPr/>
        <w:t>epilepsy make up to about 20% of all patients with epilepsy, especially in children (Gardiner,</w:t>
      </w:r>
      <w:r>
        <w:rPr>
          <w:spacing w:val="1"/>
        </w:rPr>
        <w:t> </w:t>
      </w:r>
      <w:r>
        <w:rPr/>
        <w:t>1994).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known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epilepsy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component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phenotype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over</w:t>
      </w:r>
      <w:r>
        <w:rPr>
          <w:spacing w:val="60"/>
        </w:rPr>
        <w:t> </w:t>
      </w:r>
      <w:r>
        <w:rPr/>
        <w:t>100</w:t>
      </w:r>
      <w:r>
        <w:rPr>
          <w:spacing w:val="1"/>
        </w:rPr>
        <w:t> </w:t>
      </w:r>
      <w:r>
        <w:rPr/>
        <w:t>Mendelian</w:t>
      </w:r>
      <w:r>
        <w:rPr>
          <w:spacing w:val="1"/>
        </w:rPr>
        <w:t> </w:t>
      </w:r>
      <w:r>
        <w:rPr/>
        <w:t>disorders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common</w:t>
      </w:r>
      <w:r>
        <w:rPr>
          <w:spacing w:val="1"/>
        </w:rPr>
        <w:t> </w:t>
      </w:r>
      <w:r>
        <w:rPr/>
        <w:t>genetic</w:t>
      </w:r>
      <w:r>
        <w:rPr>
          <w:spacing w:val="1"/>
        </w:rPr>
        <w:t> </w:t>
      </w:r>
      <w:r>
        <w:rPr/>
        <w:t>epilepsies</w:t>
      </w:r>
      <w:r>
        <w:rPr>
          <w:spacing w:val="1"/>
        </w:rPr>
        <w:t> </w:t>
      </w:r>
      <w:r>
        <w:rPr/>
        <w:t>display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complex</w:t>
      </w:r>
      <w:r>
        <w:rPr>
          <w:spacing w:val="1"/>
        </w:rPr>
        <w:t> </w:t>
      </w:r>
      <w:r>
        <w:rPr/>
        <w:t>non-</w:t>
      </w:r>
      <w:r>
        <w:rPr>
          <w:spacing w:val="1"/>
        </w:rPr>
        <w:t> </w:t>
      </w:r>
      <w:r>
        <w:rPr/>
        <w:t>mendelian pattern of inheritance (Ogunrin, 2006). Examples of these include several well</w:t>
      </w:r>
      <w:r>
        <w:rPr>
          <w:spacing w:val="1"/>
        </w:rPr>
        <w:t> </w:t>
      </w:r>
      <w:r>
        <w:rPr/>
        <w:t>defined</w:t>
      </w:r>
      <w:r>
        <w:rPr>
          <w:spacing w:val="1"/>
        </w:rPr>
        <w:t> </w:t>
      </w:r>
      <w:r>
        <w:rPr/>
        <w:t>syndromes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juvenile</w:t>
      </w:r>
      <w:r>
        <w:rPr>
          <w:spacing w:val="1"/>
        </w:rPr>
        <w:t> </w:t>
      </w:r>
      <w:r>
        <w:rPr/>
        <w:t>myoclonic</w:t>
      </w:r>
      <w:r>
        <w:rPr>
          <w:spacing w:val="1"/>
        </w:rPr>
        <w:t> </w:t>
      </w:r>
      <w:r>
        <w:rPr/>
        <w:t>epilepsy,</w:t>
      </w:r>
      <w:r>
        <w:rPr>
          <w:spacing w:val="1"/>
        </w:rPr>
        <w:t> </w:t>
      </w:r>
      <w:r>
        <w:rPr/>
        <w:t>absence</w:t>
      </w:r>
      <w:r>
        <w:rPr>
          <w:spacing w:val="1"/>
        </w:rPr>
        <w:t> </w:t>
      </w:r>
      <w:r>
        <w:rPr/>
        <w:t>epilepsy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benign</w:t>
      </w:r>
      <w:r>
        <w:rPr>
          <w:spacing w:val="1"/>
        </w:rPr>
        <w:t> </w:t>
      </w:r>
      <w:r>
        <w:rPr/>
        <w:t>childhood epilepsy with centrotemporal spikes (Ogunrin, 2006). It was also discovered that</w:t>
      </w:r>
      <w:r>
        <w:rPr>
          <w:spacing w:val="1"/>
        </w:rPr>
        <w:t> </w:t>
      </w:r>
      <w:r>
        <w:rPr/>
        <w:t>many of the recessively inherited disorders of</w:t>
      </w:r>
      <w:r>
        <w:rPr>
          <w:spacing w:val="1"/>
        </w:rPr>
        <w:t> </w:t>
      </w:r>
      <w:r>
        <w:rPr/>
        <w:t>lipid and amino acid metabolism may be</w:t>
      </w:r>
      <w:r>
        <w:rPr>
          <w:spacing w:val="1"/>
        </w:rPr>
        <w:t> </w:t>
      </w:r>
      <w:r>
        <w:rPr/>
        <w:t>associated</w:t>
      </w:r>
      <w:r>
        <w:rPr>
          <w:spacing w:val="16"/>
        </w:rPr>
        <w:t> </w:t>
      </w:r>
      <w:r>
        <w:rPr/>
        <w:t>with</w:t>
      </w:r>
      <w:r>
        <w:rPr>
          <w:spacing w:val="17"/>
        </w:rPr>
        <w:t> </w:t>
      </w:r>
      <w:r>
        <w:rPr/>
        <w:t>seizures</w:t>
      </w:r>
      <w:r>
        <w:rPr>
          <w:spacing w:val="19"/>
        </w:rPr>
        <w:t> </w:t>
      </w:r>
      <w:r>
        <w:rPr/>
        <w:t>(Jennings</w:t>
      </w:r>
      <w:r>
        <w:rPr>
          <w:spacing w:val="16"/>
        </w:rPr>
        <w:t> </w:t>
      </w:r>
      <w:r>
        <w:rPr/>
        <w:t>and</w:t>
      </w:r>
      <w:r>
        <w:rPr>
          <w:spacing w:val="18"/>
        </w:rPr>
        <w:t> </w:t>
      </w:r>
      <w:r>
        <w:rPr/>
        <w:t>Bird,</w:t>
      </w:r>
      <w:r>
        <w:rPr>
          <w:spacing w:val="16"/>
        </w:rPr>
        <w:t> </w:t>
      </w:r>
      <w:r>
        <w:rPr/>
        <w:t>1981).</w:t>
      </w:r>
      <w:r>
        <w:rPr>
          <w:spacing w:val="16"/>
        </w:rPr>
        <w:t> </w:t>
      </w:r>
      <w:r>
        <w:rPr/>
        <w:t>One</w:t>
      </w:r>
      <w:r>
        <w:rPr>
          <w:spacing w:val="16"/>
        </w:rPr>
        <w:t> </w:t>
      </w:r>
      <w:r>
        <w:rPr/>
        <w:t>study</w:t>
      </w:r>
      <w:r>
        <w:rPr>
          <w:spacing w:val="11"/>
        </w:rPr>
        <w:t> </w:t>
      </w:r>
      <w:r>
        <w:rPr/>
        <w:t>showed</w:t>
      </w:r>
      <w:r>
        <w:rPr>
          <w:spacing w:val="16"/>
        </w:rPr>
        <w:t> </w:t>
      </w:r>
      <w:r>
        <w:rPr/>
        <w:t>that</w:t>
      </w:r>
      <w:r>
        <w:rPr>
          <w:spacing w:val="17"/>
        </w:rPr>
        <w:t> </w:t>
      </w:r>
      <w:r>
        <w:rPr/>
        <w:t>a</w:t>
      </w:r>
      <w:r>
        <w:rPr>
          <w:spacing w:val="15"/>
        </w:rPr>
        <w:t> </w:t>
      </w:r>
      <w:r>
        <w:rPr/>
        <w:t>positive</w:t>
      </w:r>
      <w:r>
        <w:rPr>
          <w:spacing w:val="15"/>
        </w:rPr>
        <w:t> </w:t>
      </w:r>
      <w:r>
        <w:rPr/>
        <w:t>family</w:t>
      </w:r>
    </w:p>
    <w:p>
      <w:pPr>
        <w:spacing w:after="0" w:line="480" w:lineRule="auto"/>
        <w:jc w:val="both"/>
        <w:sectPr>
          <w:pgSz w:w="12240" w:h="15840"/>
          <w:pgMar w:header="0" w:footer="792" w:top="1360" w:bottom="980" w:left="1080" w:right="760"/>
        </w:sectPr>
      </w:pPr>
    </w:p>
    <w:p>
      <w:pPr>
        <w:pStyle w:val="BodyText"/>
        <w:spacing w:line="480" w:lineRule="auto" w:before="72"/>
        <w:ind w:left="648" w:right="687"/>
        <w:jc w:val="both"/>
      </w:pPr>
      <w:r>
        <w:rPr/>
        <w:t>history for febrile seizures can be elicited in 25% to 40% of patients with afebrile seizure</w:t>
      </w:r>
      <w:r>
        <w:rPr>
          <w:spacing w:val="1"/>
        </w:rPr>
        <w:t> </w:t>
      </w:r>
      <w:r>
        <w:rPr/>
        <w:t>(Hauser</w:t>
      </w:r>
      <w:r>
        <w:rPr>
          <w:spacing w:val="-2"/>
        </w:rPr>
        <w:t> </w:t>
      </w:r>
      <w:r>
        <w:rPr>
          <w:i/>
        </w:rPr>
        <w:t>et</w:t>
      </w:r>
      <w:r>
        <w:rPr>
          <w:i/>
          <w:spacing w:val="-1"/>
        </w:rPr>
        <w:t> </w:t>
      </w:r>
      <w:r>
        <w:rPr>
          <w:i/>
        </w:rPr>
        <w:t>al.</w:t>
      </w:r>
      <w:r>
        <w:rPr/>
        <w:t>, 1991)</w:t>
      </w:r>
      <w:r>
        <w:rPr>
          <w:spacing w:val="-2"/>
        </w:rPr>
        <w:t> </w:t>
      </w:r>
      <w:r>
        <w:rPr/>
        <w:t>signifying</w:t>
      </w:r>
      <w:r>
        <w:rPr>
          <w:spacing w:val="-3"/>
        </w:rPr>
        <w:t> </w:t>
      </w:r>
      <w:r>
        <w:rPr/>
        <w:t>a</w:t>
      </w:r>
      <w:r>
        <w:rPr>
          <w:spacing w:val="-2"/>
        </w:rPr>
        <w:t> </w:t>
      </w:r>
      <w:r>
        <w:rPr/>
        <w:t>strong</w:t>
      </w:r>
      <w:r>
        <w:rPr>
          <w:spacing w:val="-3"/>
        </w:rPr>
        <w:t> </w:t>
      </w:r>
      <w:r>
        <w:rPr/>
        <w:t>impact</w:t>
      </w:r>
      <w:r>
        <w:rPr>
          <w:spacing w:val="-1"/>
        </w:rPr>
        <w:t> </w:t>
      </w:r>
      <w:r>
        <w:rPr/>
        <w:t>that genetics</w:t>
      </w:r>
      <w:r>
        <w:rPr>
          <w:spacing w:val="-1"/>
        </w:rPr>
        <w:t> </w:t>
      </w:r>
      <w:r>
        <w:rPr/>
        <w:t>plays 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etiology</w:t>
      </w:r>
      <w:r>
        <w:rPr>
          <w:spacing w:val="-6"/>
        </w:rPr>
        <w:t> </w:t>
      </w:r>
      <w:r>
        <w:rPr/>
        <w:t>of epilepsy.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/>
        <w:ind w:left="648" w:right="676"/>
        <w:jc w:val="both"/>
      </w:pPr>
      <w:r>
        <w:rPr>
          <w:b/>
          <w:i/>
        </w:rPr>
        <w:t>Tumours; </w:t>
      </w:r>
      <w:r>
        <w:rPr/>
        <w:t>Cerebral tumours are other causes of epilepsy in the general population (WHO,</w:t>
      </w:r>
      <w:r>
        <w:rPr>
          <w:spacing w:val="1"/>
        </w:rPr>
        <w:t> </w:t>
      </w:r>
      <w:r>
        <w:rPr/>
        <w:t>2012) they account for about 3-10% of all symptomatic epilepsies in Africa (Osuntokun,</w:t>
      </w:r>
      <w:r>
        <w:rPr>
          <w:spacing w:val="1"/>
        </w:rPr>
        <w:t> </w:t>
      </w:r>
      <w:r>
        <w:rPr/>
        <w:t>1978).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3"/>
        </w:rPr>
      </w:pPr>
    </w:p>
    <w:p>
      <w:pPr>
        <w:pStyle w:val="BodyText"/>
        <w:spacing w:line="480" w:lineRule="auto"/>
        <w:ind w:left="648" w:right="676"/>
        <w:jc w:val="both"/>
      </w:pPr>
      <w:r>
        <w:rPr>
          <w:b/>
          <w:i/>
          <w:sz w:val="28"/>
        </w:rPr>
        <w:t>Metabolic disorders: </w:t>
      </w:r>
      <w:r>
        <w:rPr/>
        <w:t>Metabolic abnormalities such as pyridoxine deficiencies which are</w:t>
      </w:r>
      <w:r>
        <w:rPr>
          <w:spacing w:val="1"/>
        </w:rPr>
        <w:t> </w:t>
      </w:r>
      <w:r>
        <w:rPr/>
        <w:t>associated with increased glutamic</w:t>
      </w:r>
      <w:r>
        <w:rPr>
          <w:spacing w:val="1"/>
        </w:rPr>
        <w:t> </w:t>
      </w:r>
      <w:r>
        <w:rPr/>
        <w:t>acid</w:t>
      </w:r>
      <w:r>
        <w:rPr>
          <w:spacing w:val="1"/>
        </w:rPr>
        <w:t> </w:t>
      </w:r>
      <w:r>
        <w:rPr/>
        <w:t>and reduced</w:t>
      </w:r>
      <w:r>
        <w:rPr>
          <w:spacing w:val="1"/>
        </w:rPr>
        <w:t> </w:t>
      </w:r>
      <w:r>
        <w:rPr/>
        <w:t>gamma</w:t>
      </w:r>
      <w:r>
        <w:rPr>
          <w:spacing w:val="1"/>
        </w:rPr>
        <w:t> </w:t>
      </w:r>
      <w:r>
        <w:rPr/>
        <w:t>aminobutyric</w:t>
      </w:r>
      <w:r>
        <w:rPr>
          <w:spacing w:val="60"/>
        </w:rPr>
        <w:t> </w:t>
      </w:r>
      <w:r>
        <w:rPr/>
        <w:t>acid (GABA)</w:t>
      </w:r>
      <w:r>
        <w:rPr>
          <w:spacing w:val="1"/>
        </w:rPr>
        <w:t> </w:t>
      </w:r>
      <w:r>
        <w:rPr/>
        <w:t>levels in the brain may lead to seizures (Ogunrin, 2006). Other metabolic causes of epilepsy</w:t>
      </w:r>
      <w:r>
        <w:rPr>
          <w:spacing w:val="1"/>
        </w:rPr>
        <w:t> </w:t>
      </w:r>
      <w:r>
        <w:rPr/>
        <w:t>include amino aciduria, hypoglyceamia, hypocalcemia, hypomagnasemia, ureamia, alkalosis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water</w:t>
      </w:r>
      <w:r>
        <w:rPr>
          <w:spacing w:val="-2"/>
        </w:rPr>
        <w:t> </w:t>
      </w:r>
      <w:r>
        <w:rPr/>
        <w:t>intoxication (ILAE, 1981).</w:t>
      </w: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31"/>
        </w:rPr>
      </w:pPr>
    </w:p>
    <w:p>
      <w:pPr>
        <w:pStyle w:val="BodyText"/>
        <w:spacing w:line="480" w:lineRule="auto" w:before="1"/>
        <w:ind w:left="648" w:right="675"/>
        <w:jc w:val="both"/>
      </w:pPr>
      <w:r>
        <w:rPr>
          <w:b/>
          <w:i/>
        </w:rPr>
        <w:t>Vascular disorders; </w:t>
      </w:r>
      <w:r>
        <w:rPr/>
        <w:t>Stroke is a vascular disorder that starves brain of oxygen and can be</w:t>
      </w:r>
      <w:r>
        <w:rPr>
          <w:spacing w:val="1"/>
        </w:rPr>
        <w:t> </w:t>
      </w:r>
      <w:r>
        <w:rPr/>
        <w:t>another cause of epilepsy (WHO, 2012). Vascular lesions is responsible for about 6-20% of</w:t>
      </w:r>
      <w:r>
        <w:rPr>
          <w:spacing w:val="1"/>
        </w:rPr>
        <w:t> </w:t>
      </w:r>
      <w:r>
        <w:rPr/>
        <w:t>epilepsy in Africa</w:t>
      </w:r>
      <w:r>
        <w:rPr>
          <w:spacing w:val="1"/>
        </w:rPr>
        <w:t> </w:t>
      </w:r>
      <w:r>
        <w:rPr/>
        <w:t>(Osuntokun, 1978) but lower incidence rate of 3.3% (Obembe and Ahmed</w:t>
      </w:r>
      <w:r>
        <w:rPr>
          <w:spacing w:val="1"/>
        </w:rPr>
        <w:t> </w:t>
      </w:r>
      <w:r>
        <w:rPr/>
        <w:t>1988) and 1.3% (Danesi, 1985) were obtained among Nigerians living with epilepsy.</w:t>
      </w:r>
      <w:r>
        <w:rPr>
          <w:spacing w:val="1"/>
        </w:rPr>
        <w:t> </w:t>
      </w:r>
      <w:r>
        <w:rPr/>
        <w:t>Seizure</w:t>
      </w:r>
      <w:r>
        <w:rPr>
          <w:spacing w:val="1"/>
        </w:rPr>
        <w:t> </w:t>
      </w:r>
      <w:r>
        <w:rPr/>
        <w:t>occurs in 15% of patients with cerebral infarction and becomes chronic in less than 5%. Also</w:t>
      </w:r>
      <w:r>
        <w:rPr>
          <w:spacing w:val="1"/>
        </w:rPr>
        <w:t> </w:t>
      </w:r>
      <w:r>
        <w:rPr/>
        <w:t>inflammatory vasculitis (e.g Polyarteritis nodosa, lupus erythematosus), subdural hematoma,</w:t>
      </w:r>
      <w:r>
        <w:rPr>
          <w:spacing w:val="1"/>
        </w:rPr>
        <w:t> </w:t>
      </w:r>
      <w:r>
        <w:rPr/>
        <w:t>arteriovenus malformation and intracelebral hemorrhage can presents as seizure (Ogunrin,</w:t>
      </w:r>
      <w:r>
        <w:rPr>
          <w:spacing w:val="1"/>
        </w:rPr>
        <w:t> </w:t>
      </w:r>
      <w:r>
        <w:rPr/>
        <w:t>2006).</w:t>
      </w:r>
    </w:p>
    <w:p>
      <w:pPr>
        <w:spacing w:after="0" w:line="480" w:lineRule="auto"/>
        <w:jc w:val="both"/>
        <w:sectPr>
          <w:pgSz w:w="12240" w:h="15840"/>
          <w:pgMar w:header="0" w:footer="792" w:top="1360" w:bottom="980" w:left="1080" w:right="760"/>
        </w:sectPr>
      </w:pPr>
    </w:p>
    <w:p>
      <w:pPr>
        <w:pStyle w:val="BodyText"/>
        <w:spacing w:line="480" w:lineRule="auto" w:before="72"/>
        <w:ind w:left="648" w:right="679" w:firstLine="60"/>
        <w:jc w:val="both"/>
      </w:pPr>
      <w:r>
        <w:rPr>
          <w:b/>
          <w:i/>
        </w:rPr>
        <w:t>Drugs; </w:t>
      </w:r>
      <w:r>
        <w:rPr/>
        <w:t>There have been reports of generalized seizures in non-epileptic Nigerian subjects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normal</w:t>
      </w:r>
      <w:r>
        <w:rPr>
          <w:spacing w:val="1"/>
        </w:rPr>
        <w:t> </w:t>
      </w:r>
      <w:r>
        <w:rPr/>
        <w:t>EEGs</w:t>
      </w:r>
      <w:r>
        <w:rPr>
          <w:spacing w:val="1"/>
        </w:rPr>
        <w:t> </w:t>
      </w:r>
      <w:r>
        <w:rPr/>
        <w:t>after</w:t>
      </w:r>
      <w:r>
        <w:rPr>
          <w:spacing w:val="1"/>
        </w:rPr>
        <w:t> </w:t>
      </w:r>
      <w:r>
        <w:rPr/>
        <w:t>toxic</w:t>
      </w:r>
      <w:r>
        <w:rPr>
          <w:spacing w:val="1"/>
        </w:rPr>
        <w:t> </w:t>
      </w:r>
      <w:r>
        <w:rPr/>
        <w:t>doses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chloroquine</w:t>
      </w:r>
      <w:r>
        <w:rPr>
          <w:spacing w:val="1"/>
        </w:rPr>
        <w:t> </w:t>
      </w:r>
      <w:r>
        <w:rPr/>
        <w:t>(ILAE,</w:t>
      </w:r>
      <w:r>
        <w:rPr>
          <w:spacing w:val="1"/>
        </w:rPr>
        <w:t> </w:t>
      </w:r>
      <w:r>
        <w:rPr/>
        <w:t>1994)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rarely with</w:t>
      </w:r>
      <w:r>
        <w:rPr>
          <w:spacing w:val="-57"/>
        </w:rPr>
        <w:t> </w:t>
      </w:r>
      <w:r>
        <w:rPr/>
        <w:t>therapeutic doses</w:t>
      </w:r>
      <w:r>
        <w:rPr>
          <w:spacing w:val="1"/>
        </w:rPr>
        <w:t> </w:t>
      </w:r>
      <w:r>
        <w:rPr/>
        <w:t>(Adamolekun,</w:t>
      </w:r>
      <w:r>
        <w:rPr>
          <w:spacing w:val="1"/>
        </w:rPr>
        <w:t> </w:t>
      </w:r>
      <w:r>
        <w:rPr/>
        <w:t>1992) and</w:t>
      </w:r>
      <w:r>
        <w:rPr>
          <w:spacing w:val="1"/>
        </w:rPr>
        <w:t> </w:t>
      </w:r>
      <w:r>
        <w:rPr/>
        <w:t>even</w:t>
      </w:r>
      <w:r>
        <w:rPr>
          <w:spacing w:val="1"/>
        </w:rPr>
        <w:t> </w:t>
      </w:r>
      <w:r>
        <w:rPr/>
        <w:t>during prophylactic</w:t>
      </w:r>
      <w:r>
        <w:rPr>
          <w:spacing w:val="1"/>
        </w:rPr>
        <w:t> </w:t>
      </w:r>
      <w:r>
        <w:rPr/>
        <w:t>treatment</w:t>
      </w:r>
      <w:r>
        <w:rPr>
          <w:spacing w:val="1"/>
        </w:rPr>
        <w:t> </w:t>
      </w:r>
      <w:r>
        <w:rPr/>
        <w:t>(Ogunrin,</w:t>
      </w:r>
      <w:r>
        <w:rPr>
          <w:spacing w:val="1"/>
        </w:rPr>
        <w:t> </w:t>
      </w:r>
      <w:r>
        <w:rPr/>
        <w:t>2006). The exact mechanism of this effect is not clear, however, chloroquine is known to</w:t>
      </w:r>
      <w:r>
        <w:rPr>
          <w:spacing w:val="1"/>
        </w:rPr>
        <w:t> </w:t>
      </w:r>
      <w:r>
        <w:rPr/>
        <w:t>inhibit</w:t>
      </w:r>
      <w:r>
        <w:rPr>
          <w:spacing w:val="-1"/>
        </w:rPr>
        <w:t> </w:t>
      </w:r>
      <w:r>
        <w:rPr/>
        <w:t>glutamate</w:t>
      </w:r>
      <w:r>
        <w:rPr>
          <w:spacing w:val="-1"/>
        </w:rPr>
        <w:t> </w:t>
      </w:r>
      <w:r>
        <w:rPr/>
        <w:t>dehydrogenase</w:t>
      </w:r>
      <w:r>
        <w:rPr>
          <w:spacing w:val="-1"/>
        </w:rPr>
        <w:t> </w:t>
      </w:r>
      <w:r>
        <w:rPr/>
        <w:t>(Ogunrin,</w:t>
      </w:r>
      <w:r>
        <w:rPr>
          <w:spacing w:val="2"/>
        </w:rPr>
        <w:t> </w:t>
      </w:r>
      <w:r>
        <w:rPr/>
        <w:t>2006).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1"/>
        <w:numPr>
          <w:ilvl w:val="2"/>
          <w:numId w:val="10"/>
        </w:numPr>
        <w:tabs>
          <w:tab w:pos="1369" w:val="left" w:leader="none"/>
        </w:tabs>
        <w:spacing w:line="240" w:lineRule="auto" w:before="0" w:after="0"/>
        <w:ind w:left="1368" w:right="0" w:hanging="721"/>
        <w:jc w:val="both"/>
      </w:pPr>
      <w:bookmarkStart w:name="_TOC_250046" w:id="15"/>
      <w:r>
        <w:rPr/>
        <w:t>Pathophysiology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bookmarkEnd w:id="15"/>
      <w:r>
        <w:rPr/>
        <w:t>epilepsy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648" w:right="683"/>
        <w:jc w:val="both"/>
      </w:pPr>
      <w:r>
        <w:rPr/>
        <w:t>Despite extensive research that results in recent break throughs in the understanding of the</w:t>
      </w:r>
      <w:r>
        <w:rPr>
          <w:spacing w:val="1"/>
        </w:rPr>
        <w:t> </w:t>
      </w:r>
      <w:r>
        <w:rPr/>
        <w:t>mechanisms</w:t>
      </w:r>
      <w:r>
        <w:rPr>
          <w:spacing w:val="19"/>
        </w:rPr>
        <w:t> </w:t>
      </w:r>
      <w:r>
        <w:rPr/>
        <w:t>involved</w:t>
      </w:r>
      <w:r>
        <w:rPr>
          <w:spacing w:val="20"/>
        </w:rPr>
        <w:t> </w:t>
      </w:r>
      <w:r>
        <w:rPr/>
        <w:t>in</w:t>
      </w:r>
      <w:r>
        <w:rPr>
          <w:spacing w:val="20"/>
        </w:rPr>
        <w:t> </w:t>
      </w:r>
      <w:r>
        <w:rPr/>
        <w:t>the</w:t>
      </w:r>
      <w:r>
        <w:rPr>
          <w:spacing w:val="19"/>
        </w:rPr>
        <w:t> </w:t>
      </w:r>
      <w:r>
        <w:rPr/>
        <w:t>pathphysiology</w:t>
      </w:r>
      <w:r>
        <w:rPr>
          <w:spacing w:val="14"/>
        </w:rPr>
        <w:t> </w:t>
      </w:r>
      <w:r>
        <w:rPr/>
        <w:t>of</w:t>
      </w:r>
      <w:r>
        <w:rPr>
          <w:spacing w:val="19"/>
        </w:rPr>
        <w:t> </w:t>
      </w:r>
      <w:r>
        <w:rPr/>
        <w:t>epilepsy,</w:t>
      </w:r>
      <w:r>
        <w:rPr>
          <w:spacing w:val="20"/>
        </w:rPr>
        <w:t> </w:t>
      </w:r>
      <w:r>
        <w:rPr/>
        <w:t>the</w:t>
      </w:r>
      <w:r>
        <w:rPr>
          <w:spacing w:val="19"/>
        </w:rPr>
        <w:t> </w:t>
      </w:r>
      <w:r>
        <w:rPr/>
        <w:t>specific</w:t>
      </w:r>
      <w:r>
        <w:rPr>
          <w:spacing w:val="19"/>
        </w:rPr>
        <w:t> </w:t>
      </w:r>
      <w:r>
        <w:rPr/>
        <w:t>causes</w:t>
      </w:r>
      <w:r>
        <w:rPr>
          <w:spacing w:val="20"/>
        </w:rPr>
        <w:t> </w:t>
      </w:r>
      <w:r>
        <w:rPr/>
        <w:t>of</w:t>
      </w:r>
      <w:r>
        <w:rPr>
          <w:spacing w:val="19"/>
        </w:rPr>
        <w:t> </w:t>
      </w:r>
      <w:r>
        <w:rPr/>
        <w:t>several</w:t>
      </w:r>
      <w:r>
        <w:rPr>
          <w:spacing w:val="20"/>
        </w:rPr>
        <w:t> </w:t>
      </w:r>
      <w:r>
        <w:rPr/>
        <w:t>types</w:t>
      </w:r>
      <w:r>
        <w:rPr>
          <w:spacing w:val="-58"/>
        </w:rPr>
        <w:t> </w:t>
      </w:r>
      <w:r>
        <w:rPr/>
        <w:t>of</w:t>
      </w:r>
      <w:r>
        <w:rPr>
          <w:spacing w:val="-2"/>
        </w:rPr>
        <w:t> </w:t>
      </w:r>
      <w:r>
        <w:rPr/>
        <w:t>epilepsy</w:t>
      </w:r>
      <w:r>
        <w:rPr>
          <w:spacing w:val="-5"/>
        </w:rPr>
        <w:t> </w:t>
      </w:r>
      <w:r>
        <w:rPr/>
        <w:t>are</w:t>
      </w:r>
      <w:r>
        <w:rPr>
          <w:spacing w:val="-1"/>
        </w:rPr>
        <w:t> </w:t>
      </w:r>
      <w:r>
        <w:rPr/>
        <w:t>still unknown (Engelborgs</w:t>
      </w:r>
      <w:r>
        <w:rPr>
          <w:spacing w:val="1"/>
        </w:rPr>
        <w:t> </w:t>
      </w:r>
      <w:r>
        <w:rPr>
          <w:i/>
        </w:rPr>
        <w:t>et al</w:t>
      </w:r>
      <w:r>
        <w:rPr/>
        <w:t>., 2000).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 w:before="1"/>
        <w:ind w:left="648" w:right="674" w:firstLine="60"/>
        <w:jc w:val="both"/>
      </w:pPr>
      <w:r>
        <w:rPr>
          <w:b/>
          <w:i/>
        </w:rPr>
        <w:t>Normal Neurologic Function; </w:t>
      </w:r>
      <w:r>
        <w:rPr/>
        <w:t>During normal synaptic transmission, neurotransmitters are</w:t>
      </w:r>
      <w:r>
        <w:rPr>
          <w:spacing w:val="1"/>
        </w:rPr>
        <w:t> </w:t>
      </w:r>
      <w:r>
        <w:rPr/>
        <w:t>released into the synaptic cleft in a Ca</w:t>
      </w:r>
      <w:r>
        <w:rPr>
          <w:vertAlign w:val="superscript"/>
        </w:rPr>
        <w:t>2+</w:t>
      </w:r>
      <w:r>
        <w:rPr>
          <w:vertAlign w:val="baseline"/>
        </w:rPr>
        <w:t> dependent manner and bind to their corresponding</w:t>
      </w:r>
      <w:r>
        <w:rPr>
          <w:spacing w:val="1"/>
          <w:vertAlign w:val="baseline"/>
        </w:rPr>
        <w:t> </w:t>
      </w:r>
      <w:r>
        <w:rPr>
          <w:vertAlign w:val="baseline"/>
        </w:rPr>
        <w:t>receptors. Consequently,</w:t>
      </w:r>
      <w:r>
        <w:rPr>
          <w:spacing w:val="1"/>
          <w:vertAlign w:val="baseline"/>
        </w:rPr>
        <w:t> </w:t>
      </w:r>
      <w:r>
        <w:rPr>
          <w:vertAlign w:val="baseline"/>
        </w:rPr>
        <w:t>synaptic transmission is</w:t>
      </w:r>
      <w:r>
        <w:rPr>
          <w:spacing w:val="1"/>
          <w:vertAlign w:val="baseline"/>
        </w:rPr>
        <w:t> </w:t>
      </w:r>
      <w:r>
        <w:rPr>
          <w:vertAlign w:val="baseline"/>
        </w:rPr>
        <w:t>regulated via neurotransmitter turnover,</w:t>
      </w:r>
      <w:r>
        <w:rPr>
          <w:spacing w:val="1"/>
          <w:vertAlign w:val="baseline"/>
        </w:rPr>
        <w:t> </w:t>
      </w:r>
      <w:r>
        <w:rPr>
          <w:vertAlign w:val="baseline"/>
        </w:rPr>
        <w:t>which invariably occurs via re-uptake into the vesicles and enzymatic degradation. Neuronal</w:t>
      </w:r>
      <w:r>
        <w:rPr>
          <w:spacing w:val="1"/>
          <w:vertAlign w:val="baseline"/>
        </w:rPr>
        <w:t> </w:t>
      </w:r>
      <w:r>
        <w:rPr>
          <w:vertAlign w:val="baseline"/>
        </w:rPr>
        <w:t>axons</w:t>
      </w:r>
      <w:r>
        <w:rPr>
          <w:spacing w:val="1"/>
          <w:vertAlign w:val="baseline"/>
        </w:rPr>
        <w:t> </w:t>
      </w:r>
      <w:r>
        <w:rPr>
          <w:vertAlign w:val="baseline"/>
        </w:rPr>
        <w:t>have</w:t>
      </w:r>
      <w:r>
        <w:rPr>
          <w:spacing w:val="1"/>
          <w:vertAlign w:val="baseline"/>
        </w:rPr>
        <w:t> </w:t>
      </w:r>
      <w:r>
        <w:rPr>
          <w:vertAlign w:val="baseline"/>
        </w:rPr>
        <w:t>a</w:t>
      </w:r>
      <w:r>
        <w:rPr>
          <w:spacing w:val="1"/>
          <w:vertAlign w:val="baseline"/>
        </w:rPr>
        <w:t> </w:t>
      </w:r>
      <w:r>
        <w:rPr>
          <w:vertAlign w:val="baseline"/>
        </w:rPr>
        <w:t>resting</w:t>
      </w:r>
      <w:r>
        <w:rPr>
          <w:spacing w:val="1"/>
          <w:vertAlign w:val="baseline"/>
        </w:rPr>
        <w:t> </w:t>
      </w:r>
      <w:r>
        <w:rPr>
          <w:vertAlign w:val="baseline"/>
        </w:rPr>
        <w:t>membrane</w:t>
      </w:r>
      <w:r>
        <w:rPr>
          <w:spacing w:val="1"/>
          <w:vertAlign w:val="baseline"/>
        </w:rPr>
        <w:t> </w:t>
      </w:r>
      <w:r>
        <w:rPr>
          <w:vertAlign w:val="baseline"/>
        </w:rPr>
        <w:t>potential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about</w:t>
      </w:r>
      <w:r>
        <w:rPr>
          <w:spacing w:val="1"/>
          <w:vertAlign w:val="baseline"/>
        </w:rPr>
        <w:t> </w:t>
      </w:r>
      <w:r>
        <w:rPr>
          <w:vertAlign w:val="baseline"/>
        </w:rPr>
        <w:t>-70mV</w:t>
      </w:r>
      <w:r>
        <w:rPr>
          <w:spacing w:val="1"/>
          <w:vertAlign w:val="baseline"/>
        </w:rPr>
        <w:t> </w:t>
      </w:r>
      <w:r>
        <w:rPr>
          <w:vertAlign w:val="baseline"/>
        </w:rPr>
        <w:t>inside</w:t>
      </w:r>
      <w:r>
        <w:rPr>
          <w:spacing w:val="1"/>
          <w:vertAlign w:val="baseline"/>
        </w:rPr>
        <w:t> </w:t>
      </w:r>
      <w:r>
        <w:rPr>
          <w:vertAlign w:val="baseline"/>
        </w:rPr>
        <w:t>versus</w:t>
      </w:r>
      <w:r>
        <w:rPr>
          <w:spacing w:val="1"/>
          <w:vertAlign w:val="baseline"/>
        </w:rPr>
        <w:t> </w:t>
      </w:r>
      <w:r>
        <w:rPr>
          <w:vertAlign w:val="baseline"/>
        </w:rPr>
        <w:t>outside.</w:t>
      </w:r>
      <w:r>
        <w:rPr>
          <w:spacing w:val="1"/>
          <w:vertAlign w:val="baseline"/>
        </w:rPr>
        <w:t> </w:t>
      </w:r>
      <w:r>
        <w:rPr>
          <w:vertAlign w:val="baseline"/>
        </w:rPr>
        <w:t>Action</w:t>
      </w:r>
      <w:r>
        <w:rPr>
          <w:spacing w:val="-57"/>
          <w:vertAlign w:val="baseline"/>
        </w:rPr>
        <w:t> </w:t>
      </w:r>
      <w:r>
        <w:rPr>
          <w:vertAlign w:val="baseline"/>
        </w:rPr>
        <w:t>potentials however, occur due to net positive inward ion fluxes, resulting in local changes in</w:t>
      </w:r>
      <w:r>
        <w:rPr>
          <w:spacing w:val="1"/>
          <w:vertAlign w:val="baseline"/>
        </w:rPr>
        <w:t> </w:t>
      </w:r>
      <w:r>
        <w:rPr>
          <w:vertAlign w:val="baseline"/>
        </w:rPr>
        <w:t>the membrane potential. Membrane potentials vary with the activation of either ligand-or</w:t>
      </w:r>
      <w:r>
        <w:rPr>
          <w:spacing w:val="1"/>
          <w:vertAlign w:val="baseline"/>
        </w:rPr>
        <w:t> </w:t>
      </w:r>
      <w:r>
        <w:rPr>
          <w:vertAlign w:val="baseline"/>
        </w:rPr>
        <w:t>voltage-gated ion channels, which are affected by changes in either the membrane potential or</w:t>
      </w:r>
      <w:r>
        <w:rPr>
          <w:spacing w:val="-57"/>
          <w:vertAlign w:val="baseline"/>
        </w:rPr>
        <w:t> </w:t>
      </w:r>
      <w:r>
        <w:rPr>
          <w:vertAlign w:val="baseline"/>
        </w:rPr>
        <w:t>intracellur</w:t>
      </w:r>
      <w:r>
        <w:rPr>
          <w:spacing w:val="-1"/>
          <w:vertAlign w:val="baseline"/>
        </w:rPr>
        <w:t> </w:t>
      </w:r>
      <w:r>
        <w:rPr>
          <w:vertAlign w:val="baseline"/>
        </w:rPr>
        <w:t>ion concentrations (Lodish</w:t>
      </w:r>
      <w:r>
        <w:rPr>
          <w:spacing w:val="2"/>
          <w:vertAlign w:val="baseline"/>
        </w:rPr>
        <w:t> </w:t>
      </w:r>
      <w:r>
        <w:rPr>
          <w:i/>
          <w:vertAlign w:val="baseline"/>
        </w:rPr>
        <w:t>et al</w:t>
      </w:r>
      <w:r>
        <w:rPr>
          <w:vertAlign w:val="baseline"/>
        </w:rPr>
        <w:t>., 2000).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480" w:lineRule="auto"/>
        <w:ind w:left="648" w:right="676"/>
        <w:jc w:val="both"/>
      </w:pPr>
      <w:r>
        <w:rPr>
          <w:b/>
          <w:i/>
        </w:rPr>
        <w:t>Gamma Amino Butyric Acid (GABA);</w:t>
      </w:r>
      <w:r>
        <w:rPr/>
        <w:t>GABA is the principal and predominant inhibitory</w:t>
      </w:r>
      <w:r>
        <w:rPr>
          <w:spacing w:val="1"/>
        </w:rPr>
        <w:t> </w:t>
      </w:r>
      <w:r>
        <w:rPr/>
        <w:t>neurotransmitter</w:t>
      </w:r>
      <w:r>
        <w:rPr>
          <w:spacing w:val="5"/>
        </w:rPr>
        <w:t> </w:t>
      </w:r>
      <w:r>
        <w:rPr/>
        <w:t>in</w:t>
      </w:r>
      <w:r>
        <w:rPr>
          <w:spacing w:val="6"/>
        </w:rPr>
        <w:t> </w:t>
      </w:r>
      <w:r>
        <w:rPr/>
        <w:t>the</w:t>
      </w:r>
      <w:r>
        <w:rPr>
          <w:spacing w:val="10"/>
        </w:rPr>
        <w:t> </w:t>
      </w:r>
      <w:r>
        <w:rPr/>
        <w:t>mammalian</w:t>
      </w:r>
      <w:r>
        <w:rPr>
          <w:spacing w:val="5"/>
        </w:rPr>
        <w:t> </w:t>
      </w:r>
      <w:r>
        <w:rPr/>
        <w:t>brain</w:t>
      </w:r>
      <w:r>
        <w:rPr>
          <w:spacing w:val="7"/>
        </w:rPr>
        <w:t> </w:t>
      </w:r>
      <w:r>
        <w:rPr/>
        <w:t>(Meldrum</w:t>
      </w:r>
      <w:r>
        <w:rPr>
          <w:spacing w:val="6"/>
        </w:rPr>
        <w:t> </w:t>
      </w:r>
      <w:r>
        <w:rPr/>
        <w:t>and</w:t>
      </w:r>
      <w:r>
        <w:rPr>
          <w:spacing w:val="5"/>
        </w:rPr>
        <w:t> </w:t>
      </w:r>
      <w:r>
        <w:rPr/>
        <w:t>Rogawski,</w:t>
      </w:r>
      <w:r>
        <w:rPr>
          <w:spacing w:val="6"/>
        </w:rPr>
        <w:t> </w:t>
      </w:r>
      <w:r>
        <w:rPr/>
        <w:t>2007)</w:t>
      </w:r>
      <w:r>
        <w:rPr>
          <w:spacing w:val="8"/>
        </w:rPr>
        <w:t> </w:t>
      </w:r>
      <w:r>
        <w:rPr/>
        <w:t>where</w:t>
      </w:r>
      <w:r>
        <w:rPr>
          <w:spacing w:val="5"/>
        </w:rPr>
        <w:t> </w:t>
      </w:r>
      <w:r>
        <w:rPr/>
        <w:t>it</w:t>
      </w:r>
      <w:r>
        <w:rPr>
          <w:spacing w:val="6"/>
        </w:rPr>
        <w:t> </w:t>
      </w:r>
      <w:r>
        <w:rPr/>
        <w:t>is</w:t>
      </w:r>
      <w:r>
        <w:rPr>
          <w:spacing w:val="6"/>
        </w:rPr>
        <w:t> </w:t>
      </w:r>
      <w:r>
        <w:rPr/>
        <w:t>released</w:t>
      </w:r>
    </w:p>
    <w:p>
      <w:pPr>
        <w:spacing w:after="0" w:line="480" w:lineRule="auto"/>
        <w:jc w:val="both"/>
        <w:sectPr>
          <w:pgSz w:w="12240" w:h="15840"/>
          <w:pgMar w:header="0" w:footer="792" w:top="1360" w:bottom="980" w:left="1080" w:right="760"/>
        </w:sectPr>
      </w:pPr>
    </w:p>
    <w:p>
      <w:pPr>
        <w:pStyle w:val="BodyText"/>
        <w:spacing w:line="482" w:lineRule="auto" w:before="72"/>
        <w:ind w:left="648" w:right="675"/>
        <w:jc w:val="both"/>
      </w:pPr>
      <w:r>
        <w:rPr/>
        <w:t>at upto 40% of all synapses (Olsen and Avoli, 1997) impairment of GABA function is widely</w:t>
      </w:r>
      <w:r>
        <w:rPr>
          <w:spacing w:val="1"/>
        </w:rPr>
        <w:t> </w:t>
      </w:r>
      <w:r>
        <w:rPr/>
        <w:t>recognized to provoke seizures, whereas potentiation has anticonvulsant effects (Loscher,</w:t>
      </w:r>
      <w:r>
        <w:rPr>
          <w:spacing w:val="1"/>
        </w:rPr>
        <w:t> </w:t>
      </w:r>
      <w:r>
        <w:rPr/>
        <w:t>1999).</w:t>
      </w:r>
    </w:p>
    <w:p>
      <w:pPr>
        <w:pStyle w:val="BodyText"/>
        <w:rPr>
          <w:sz w:val="26"/>
        </w:rPr>
      </w:pPr>
    </w:p>
    <w:p>
      <w:pPr>
        <w:pStyle w:val="BodyText"/>
        <w:spacing w:line="480" w:lineRule="auto" w:before="168"/>
        <w:ind w:left="648" w:right="673"/>
        <w:jc w:val="both"/>
      </w:pPr>
      <w:r>
        <w:rPr/>
        <w:t>GABA</w:t>
      </w:r>
      <w:r>
        <w:rPr>
          <w:spacing w:val="27"/>
        </w:rPr>
        <w:t> </w:t>
      </w:r>
      <w:r>
        <w:rPr/>
        <w:t>is</w:t>
      </w:r>
      <w:r>
        <w:rPr>
          <w:spacing w:val="28"/>
        </w:rPr>
        <w:t> </w:t>
      </w:r>
      <w:r>
        <w:rPr/>
        <w:t>synthesized</w:t>
      </w:r>
      <w:r>
        <w:rPr>
          <w:spacing w:val="27"/>
        </w:rPr>
        <w:t> </w:t>
      </w:r>
      <w:r>
        <w:rPr/>
        <w:t>from</w:t>
      </w:r>
      <w:r>
        <w:rPr>
          <w:spacing w:val="28"/>
        </w:rPr>
        <w:t> </w:t>
      </w:r>
      <w:r>
        <w:rPr/>
        <w:t>glutamate,</w:t>
      </w:r>
      <w:r>
        <w:rPr>
          <w:spacing w:val="28"/>
        </w:rPr>
        <w:t> </w:t>
      </w:r>
      <w:r>
        <w:rPr/>
        <w:t>exclusively</w:t>
      </w:r>
      <w:r>
        <w:rPr>
          <w:spacing w:val="22"/>
        </w:rPr>
        <w:t> </w:t>
      </w:r>
      <w:r>
        <w:rPr/>
        <w:t>in</w:t>
      </w:r>
      <w:r>
        <w:rPr>
          <w:spacing w:val="28"/>
        </w:rPr>
        <w:t> </w:t>
      </w:r>
      <w:r>
        <w:rPr/>
        <w:t>the</w:t>
      </w:r>
      <w:r>
        <w:rPr>
          <w:spacing w:val="27"/>
        </w:rPr>
        <w:t> </w:t>
      </w:r>
      <w:r>
        <w:rPr/>
        <w:t>GABAergic</w:t>
      </w:r>
      <w:r>
        <w:rPr>
          <w:spacing w:val="28"/>
        </w:rPr>
        <w:t> </w:t>
      </w:r>
      <w:r>
        <w:rPr/>
        <w:t>neurons,</w:t>
      </w:r>
      <w:r>
        <w:rPr>
          <w:spacing w:val="27"/>
        </w:rPr>
        <w:t> </w:t>
      </w:r>
      <w:r>
        <w:rPr/>
        <w:t>by</w:t>
      </w:r>
      <w:r>
        <w:rPr>
          <w:spacing w:val="22"/>
        </w:rPr>
        <w:t> </w:t>
      </w:r>
      <w:r>
        <w:rPr/>
        <w:t>action</w:t>
      </w:r>
      <w:r>
        <w:rPr>
          <w:spacing w:val="27"/>
        </w:rPr>
        <w:t> </w:t>
      </w:r>
      <w:r>
        <w:rPr/>
        <w:t>of</w:t>
      </w:r>
      <w:r>
        <w:rPr>
          <w:spacing w:val="-57"/>
        </w:rPr>
        <w:t> </w:t>
      </w:r>
      <w:r>
        <w:rPr/>
        <w:t>the enzyme glutamic acid decarboxylase (GAD) (Loscher, 1999). Upon synaptic release;</w:t>
      </w:r>
      <w:r>
        <w:rPr>
          <w:spacing w:val="1"/>
        </w:rPr>
        <w:t> </w:t>
      </w:r>
      <w:r>
        <w:rPr/>
        <w:t>GABA binds postsynaptically to the ionotrophic receptor GABA</w:t>
      </w:r>
      <w:r>
        <w:rPr>
          <w:vertAlign w:val="subscript"/>
        </w:rPr>
        <w:t>A</w:t>
      </w:r>
      <w:r>
        <w:rPr>
          <w:vertAlign w:val="baseline"/>
        </w:rPr>
        <w:t> and pre-synaptically to the</w:t>
      </w:r>
      <w:r>
        <w:rPr>
          <w:spacing w:val="1"/>
          <w:vertAlign w:val="baseline"/>
        </w:rPr>
        <w:t> </w:t>
      </w:r>
      <w:r>
        <w:rPr>
          <w:vertAlign w:val="baseline"/>
        </w:rPr>
        <w:t>metabotrophic</w:t>
      </w:r>
      <w:r>
        <w:rPr>
          <w:spacing w:val="1"/>
          <w:vertAlign w:val="baseline"/>
        </w:rPr>
        <w:t> </w:t>
      </w:r>
      <w:r>
        <w:rPr>
          <w:vertAlign w:val="baseline"/>
        </w:rPr>
        <w:t>receptor</w:t>
      </w:r>
      <w:r>
        <w:rPr>
          <w:spacing w:val="1"/>
          <w:vertAlign w:val="baseline"/>
        </w:rPr>
        <w:t> </w:t>
      </w:r>
      <w:r>
        <w:rPr>
          <w:vertAlign w:val="baseline"/>
        </w:rPr>
        <w:t>GABA</w:t>
      </w:r>
      <w:r>
        <w:rPr>
          <w:vertAlign w:val="subscript"/>
        </w:rPr>
        <w:t>B</w:t>
      </w:r>
      <w:r>
        <w:rPr>
          <w:spacing w:val="1"/>
          <w:vertAlign w:val="baseline"/>
        </w:rPr>
        <w:t> </w:t>
      </w:r>
      <w:r>
        <w:rPr>
          <w:vertAlign w:val="baseline"/>
        </w:rPr>
        <w:t>(Meldrum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Rogawski,</w:t>
      </w:r>
      <w:r>
        <w:rPr>
          <w:spacing w:val="1"/>
          <w:vertAlign w:val="baseline"/>
        </w:rPr>
        <w:t> </w:t>
      </w:r>
      <w:r>
        <w:rPr>
          <w:vertAlign w:val="baseline"/>
        </w:rPr>
        <w:t>2007).</w:t>
      </w:r>
      <w:r>
        <w:rPr>
          <w:spacing w:val="1"/>
          <w:vertAlign w:val="baseline"/>
        </w:rPr>
        <w:t> </w:t>
      </w:r>
      <w:r>
        <w:rPr>
          <w:vertAlign w:val="baseline"/>
        </w:rPr>
        <w:t>GABA</w:t>
      </w:r>
      <w:r>
        <w:rPr>
          <w:spacing w:val="1"/>
          <w:vertAlign w:val="baseline"/>
        </w:rPr>
        <w:t> </w:t>
      </w:r>
      <w:r>
        <w:rPr>
          <w:vertAlign w:val="baseline"/>
        </w:rPr>
        <w:t>receptors</w:t>
      </w:r>
      <w:r>
        <w:rPr>
          <w:spacing w:val="1"/>
          <w:vertAlign w:val="baseline"/>
        </w:rPr>
        <w:t> </w:t>
      </w:r>
      <w:r>
        <w:rPr>
          <w:vertAlign w:val="baseline"/>
        </w:rPr>
        <w:t>are</w:t>
      </w:r>
      <w:r>
        <w:rPr>
          <w:spacing w:val="1"/>
          <w:vertAlign w:val="baseline"/>
        </w:rPr>
        <w:t> </w:t>
      </w:r>
      <w:r>
        <w:rPr>
          <w:vertAlign w:val="baseline"/>
        </w:rPr>
        <w:t>distinguished by their pharmacology and function (Johnston, 1996).</w:t>
      </w:r>
      <w:r>
        <w:rPr>
          <w:spacing w:val="1"/>
          <w:vertAlign w:val="baseline"/>
        </w:rPr>
        <w:t> </w:t>
      </w:r>
      <w:r>
        <w:rPr>
          <w:vertAlign w:val="baseline"/>
        </w:rPr>
        <w:t>The GABA</w:t>
      </w:r>
      <w:r>
        <w:rPr>
          <w:vertAlign w:val="subscript"/>
        </w:rPr>
        <w:t>A</w:t>
      </w:r>
      <w:r>
        <w:rPr>
          <w:vertAlign w:val="baseline"/>
        </w:rPr>
        <w:t> receptor</w:t>
      </w:r>
      <w:r>
        <w:rPr>
          <w:spacing w:val="1"/>
          <w:vertAlign w:val="baseline"/>
        </w:rPr>
        <w:t> </w:t>
      </w:r>
      <w:r>
        <w:rPr>
          <w:vertAlign w:val="baseline"/>
        </w:rPr>
        <w:t>belongs to the ligand-gated ion channel superfamily, and responds to GABA binding by</w:t>
      </w:r>
      <w:r>
        <w:rPr>
          <w:spacing w:val="1"/>
          <w:vertAlign w:val="baseline"/>
        </w:rPr>
        <w:t> </w:t>
      </w:r>
      <w:r>
        <w:rPr>
          <w:vertAlign w:val="baseline"/>
        </w:rPr>
        <w:t>increasing Cl</w:t>
      </w:r>
      <w:r>
        <w:rPr>
          <w:vertAlign w:val="superscript"/>
        </w:rPr>
        <w:t>-</w:t>
      </w:r>
      <w:r>
        <w:rPr>
          <w:vertAlign w:val="baseline"/>
        </w:rPr>
        <w:t> conductance resulting in neuronal hyperpolarisation (Rabow </w:t>
      </w:r>
      <w:r>
        <w:rPr>
          <w:i/>
          <w:vertAlign w:val="baseline"/>
        </w:rPr>
        <w:t>et al</w:t>
      </w:r>
      <w:r>
        <w:rPr>
          <w:vertAlign w:val="baseline"/>
        </w:rPr>
        <w:t>., 1995) while</w:t>
      </w:r>
      <w:r>
        <w:rPr>
          <w:spacing w:val="1"/>
          <w:vertAlign w:val="baseline"/>
        </w:rPr>
        <w:t> </w:t>
      </w:r>
      <w:r>
        <w:rPr>
          <w:vertAlign w:val="baseline"/>
        </w:rPr>
        <w:t>GABA</w:t>
      </w:r>
      <w:r>
        <w:rPr>
          <w:vertAlign w:val="subscript"/>
        </w:rPr>
        <w:t>B</w:t>
      </w:r>
      <w:r>
        <w:rPr>
          <w:spacing w:val="1"/>
          <w:vertAlign w:val="baseline"/>
        </w:rPr>
        <w:t> </w:t>
      </w:r>
      <w:r>
        <w:rPr>
          <w:vertAlign w:val="baseline"/>
        </w:rPr>
        <w:t>receptors</w:t>
      </w:r>
      <w:r>
        <w:rPr>
          <w:spacing w:val="1"/>
          <w:vertAlign w:val="baseline"/>
        </w:rPr>
        <w:t> </w:t>
      </w:r>
      <w:r>
        <w:rPr>
          <w:vertAlign w:val="baseline"/>
        </w:rPr>
        <w:t>are</w:t>
      </w:r>
      <w:r>
        <w:rPr>
          <w:spacing w:val="1"/>
          <w:vertAlign w:val="baseline"/>
        </w:rPr>
        <w:t> </w:t>
      </w:r>
      <w:r>
        <w:rPr>
          <w:vertAlign w:val="baseline"/>
        </w:rPr>
        <w:t>G-protein</w:t>
      </w:r>
      <w:r>
        <w:rPr>
          <w:spacing w:val="1"/>
          <w:vertAlign w:val="baseline"/>
        </w:rPr>
        <w:t> </w:t>
      </w:r>
      <w:r>
        <w:rPr>
          <w:vertAlign w:val="baseline"/>
        </w:rPr>
        <w:t>linked,</w:t>
      </w:r>
      <w:r>
        <w:rPr>
          <w:spacing w:val="1"/>
          <w:vertAlign w:val="baseline"/>
        </w:rPr>
        <w:t> </w:t>
      </w:r>
      <w:r>
        <w:rPr>
          <w:vertAlign w:val="baseline"/>
        </w:rPr>
        <w:t>activation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which</w:t>
      </w:r>
      <w:r>
        <w:rPr>
          <w:spacing w:val="1"/>
          <w:vertAlign w:val="baseline"/>
        </w:rPr>
        <w:t> </w:t>
      </w:r>
      <w:r>
        <w:rPr>
          <w:vertAlign w:val="baseline"/>
        </w:rPr>
        <w:t>leads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an</w:t>
      </w:r>
      <w:r>
        <w:rPr>
          <w:spacing w:val="1"/>
          <w:vertAlign w:val="baseline"/>
        </w:rPr>
        <w:t> </w:t>
      </w:r>
      <w:r>
        <w:rPr>
          <w:vertAlign w:val="baseline"/>
        </w:rPr>
        <w:t>increase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K</w:t>
      </w:r>
      <w:r>
        <w:rPr>
          <w:vertAlign w:val="superscript"/>
        </w:rPr>
        <w:t>+</w:t>
      </w:r>
      <w:r>
        <w:rPr>
          <w:spacing w:val="1"/>
          <w:vertAlign w:val="baseline"/>
        </w:rPr>
        <w:t> </w:t>
      </w:r>
      <w:r>
        <w:rPr>
          <w:vertAlign w:val="baseline"/>
        </w:rPr>
        <w:t>conductance</w:t>
      </w:r>
      <w:r>
        <w:rPr>
          <w:spacing w:val="-2"/>
          <w:vertAlign w:val="baseline"/>
        </w:rPr>
        <w:t> </w:t>
      </w:r>
      <w:r>
        <w:rPr>
          <w:vertAlign w:val="baseline"/>
        </w:rPr>
        <w:t>(Olsen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2"/>
          <w:vertAlign w:val="baseline"/>
        </w:rPr>
        <w:t> </w:t>
      </w:r>
      <w:r>
        <w:rPr>
          <w:vertAlign w:val="baseline"/>
        </w:rPr>
        <w:t>Avoli, 1997).</w:t>
      </w:r>
    </w:p>
    <w:p>
      <w:pPr>
        <w:pStyle w:val="BodyText"/>
        <w:spacing w:before="1"/>
      </w:pPr>
    </w:p>
    <w:p>
      <w:pPr>
        <w:pStyle w:val="BodyText"/>
        <w:spacing w:line="480" w:lineRule="auto" w:before="1"/>
        <w:ind w:left="648" w:right="675"/>
        <w:jc w:val="both"/>
      </w:pPr>
      <w:r>
        <w:rPr/>
        <w:t>Following receptor activation, GABA is removed from the synaptic cleft into localized nerve</w:t>
      </w:r>
      <w:r>
        <w:rPr>
          <w:spacing w:val="1"/>
        </w:rPr>
        <w:t> </w:t>
      </w:r>
      <w:r>
        <w:rPr/>
        <w:t>terminals and glial cells, by specific membrane bound transport molecules. Currently, four</w:t>
      </w:r>
      <w:r>
        <w:rPr>
          <w:spacing w:val="1"/>
        </w:rPr>
        <w:t> </w:t>
      </w:r>
      <w:r>
        <w:rPr/>
        <w:t>active transport systems, GABA Transporter (GAT)-1, GAT-2, GAT-3, and Betaine GAT</w:t>
      </w:r>
      <w:r>
        <w:rPr>
          <w:spacing w:val="1"/>
        </w:rPr>
        <w:t> </w:t>
      </w:r>
      <w:r>
        <w:rPr/>
        <w:t>(BGT)-1 have been described (Borden </w:t>
      </w:r>
      <w:r>
        <w:rPr>
          <w:i/>
        </w:rPr>
        <w:t>et al., </w:t>
      </w:r>
      <w:r>
        <w:rPr/>
        <w:t>1992). GABA has a variable affinity for these</w:t>
      </w:r>
      <w:r>
        <w:rPr>
          <w:spacing w:val="1"/>
        </w:rPr>
        <w:t> </w:t>
      </w:r>
      <w:r>
        <w:rPr/>
        <w:t>transporters, and only GAT-1, predominantly located in the cerebral cortex and hippocampus</w:t>
      </w:r>
      <w:r>
        <w:rPr>
          <w:spacing w:val="1"/>
        </w:rPr>
        <w:t> </w:t>
      </w:r>
      <w:r>
        <w:rPr/>
        <w:t>has GABA as its principal substrate (Guastella,</w:t>
      </w:r>
      <w:r>
        <w:rPr>
          <w:spacing w:val="1"/>
        </w:rPr>
        <w:t> </w:t>
      </w:r>
      <w:r>
        <w:rPr/>
        <w:t>1990). After removal</w:t>
      </w:r>
      <w:r>
        <w:rPr>
          <w:spacing w:val="60"/>
        </w:rPr>
        <w:t> </w:t>
      </w:r>
      <w:r>
        <w:rPr/>
        <w:t>from the synapse,</w:t>
      </w:r>
      <w:r>
        <w:rPr>
          <w:spacing w:val="1"/>
        </w:rPr>
        <w:t> </w:t>
      </w:r>
      <w:r>
        <w:rPr/>
        <w:t>GABA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either</w:t>
      </w:r>
      <w:r>
        <w:rPr>
          <w:spacing w:val="1"/>
        </w:rPr>
        <w:t> </w:t>
      </w:r>
      <w:r>
        <w:rPr/>
        <w:t>recycled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readily</w:t>
      </w:r>
      <w:r>
        <w:rPr>
          <w:spacing w:val="1"/>
        </w:rPr>
        <w:t> </w:t>
      </w:r>
      <w:r>
        <w:rPr/>
        <w:t>releasable</w:t>
      </w:r>
      <w:r>
        <w:rPr>
          <w:spacing w:val="1"/>
        </w:rPr>
        <w:t> </w:t>
      </w:r>
      <w:r>
        <w:rPr/>
        <w:t>transmitter</w:t>
      </w:r>
      <w:r>
        <w:rPr>
          <w:spacing w:val="1"/>
        </w:rPr>
        <w:t> </w:t>
      </w:r>
      <w:r>
        <w:rPr/>
        <w:t>pool</w:t>
      </w:r>
      <w:r>
        <w:rPr>
          <w:spacing w:val="1"/>
        </w:rPr>
        <w:t> </w:t>
      </w:r>
      <w:r>
        <w:rPr/>
        <w:t>(GABAergic</w:t>
      </w:r>
      <w:r>
        <w:rPr>
          <w:spacing w:val="1"/>
        </w:rPr>
        <w:t> </w:t>
      </w:r>
      <w:r>
        <w:rPr/>
        <w:t>nerve</w:t>
      </w:r>
      <w:r>
        <w:rPr>
          <w:spacing w:val="1"/>
        </w:rPr>
        <w:t> </w:t>
      </w:r>
      <w:r>
        <w:rPr/>
        <w:t>terminals only) or metabolized (neurones and glial cells) to the inactive molecule, succinic</w:t>
      </w:r>
      <w:r>
        <w:rPr>
          <w:spacing w:val="1"/>
        </w:rPr>
        <w:t> </w:t>
      </w:r>
      <w:r>
        <w:rPr/>
        <w:t>acid semialdehyde by the action of mitochondrial enzyme, GABA-transaminase (GABA-T)</w:t>
      </w:r>
      <w:r>
        <w:rPr>
          <w:spacing w:val="1"/>
        </w:rPr>
        <w:t> </w:t>
      </w:r>
      <w:r>
        <w:rPr/>
        <w:t>(Meldrum,</w:t>
      </w:r>
      <w:r>
        <w:rPr>
          <w:spacing w:val="-1"/>
        </w:rPr>
        <w:t> </w:t>
      </w:r>
      <w:r>
        <w:rPr/>
        <w:t>1995).</w:t>
      </w:r>
    </w:p>
    <w:p>
      <w:pPr>
        <w:spacing w:after="0" w:line="480" w:lineRule="auto"/>
        <w:jc w:val="both"/>
        <w:sectPr>
          <w:pgSz w:w="12240" w:h="15840"/>
          <w:pgMar w:header="0" w:footer="792" w:top="1360" w:bottom="980" w:left="1080" w:right="760"/>
        </w:sectPr>
      </w:pPr>
    </w:p>
    <w:p>
      <w:pPr>
        <w:pStyle w:val="BodyText"/>
        <w:spacing w:line="480" w:lineRule="auto" w:before="72"/>
        <w:ind w:left="648" w:right="676"/>
        <w:jc w:val="both"/>
      </w:pPr>
      <w:r>
        <w:rPr/>
        <w:t>Many antiepileptic drugs exert their effects, at least in part by actions on the GABAergic</w:t>
      </w:r>
      <w:r>
        <w:rPr>
          <w:spacing w:val="1"/>
        </w:rPr>
        <w:t> </w:t>
      </w:r>
      <w:r>
        <w:rPr/>
        <w:t>System (Kwan </w:t>
      </w:r>
      <w:r>
        <w:rPr>
          <w:i/>
        </w:rPr>
        <w:t>et al</w:t>
      </w:r>
      <w:r>
        <w:rPr/>
        <w:t>., 2001). Increased GABA synthesis, increased release, allosteric receptor</w:t>
      </w:r>
      <w:r>
        <w:rPr>
          <w:spacing w:val="1"/>
        </w:rPr>
        <w:t> </w:t>
      </w:r>
      <w:r>
        <w:rPr/>
        <w:t>facilitation and reduced inactivation have all been implicated in the mechanism of action of</w:t>
      </w:r>
      <w:r>
        <w:rPr>
          <w:spacing w:val="1"/>
        </w:rPr>
        <w:t> </w:t>
      </w:r>
      <w:r>
        <w:rPr/>
        <w:t>commonly</w:t>
      </w:r>
      <w:r>
        <w:rPr>
          <w:spacing w:val="-6"/>
        </w:rPr>
        <w:t> </w:t>
      </w:r>
      <w:r>
        <w:rPr/>
        <w:t>used</w:t>
      </w:r>
      <w:r>
        <w:rPr>
          <w:spacing w:val="-1"/>
        </w:rPr>
        <w:t> </w:t>
      </w:r>
      <w:r>
        <w:rPr/>
        <w:t>antiepileptic agents (Sills</w:t>
      </w:r>
      <w:r>
        <w:rPr>
          <w:spacing w:val="1"/>
        </w:rPr>
        <w:t> </w:t>
      </w:r>
      <w:r>
        <w:rPr>
          <w:i/>
        </w:rPr>
        <w:t>et al</w:t>
      </w:r>
      <w:r>
        <w:rPr/>
        <w:t>., 1999).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/>
        <w:ind w:left="648" w:right="678"/>
        <w:jc w:val="both"/>
      </w:pPr>
      <w:r>
        <w:rPr>
          <w:b/>
          <w:i/>
        </w:rPr>
        <w:t>Glutamate; </w:t>
      </w:r>
      <w:r>
        <w:rPr>
          <w:i/>
        </w:rPr>
        <w:t>Glutamate </w:t>
      </w:r>
      <w:r>
        <w:rPr/>
        <w:t>is the principal excitatory neurotransmitter in the mammalian brain</w:t>
      </w:r>
      <w:r>
        <w:rPr>
          <w:spacing w:val="1"/>
        </w:rPr>
        <w:t> </w:t>
      </w:r>
      <w:r>
        <w:rPr/>
        <w:t>(Meldrum, 2000).</w:t>
      </w:r>
      <w:r>
        <w:rPr>
          <w:spacing w:val="1"/>
        </w:rPr>
        <w:t> </w:t>
      </w:r>
      <w:r>
        <w:rPr/>
        <w:t>Studies has shown that focal injection of glutamate induces seizures in</w:t>
      </w:r>
      <w:r>
        <w:rPr>
          <w:spacing w:val="1"/>
        </w:rPr>
        <w:t> </w:t>
      </w:r>
      <w:r>
        <w:rPr/>
        <w:t>animals, and over-activation of glutamatergic transmission or abnormal glutamate receptor</w:t>
      </w:r>
      <w:r>
        <w:rPr>
          <w:spacing w:val="1"/>
        </w:rPr>
        <w:t> </w:t>
      </w:r>
      <w:r>
        <w:rPr/>
        <w:t>properties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observed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certain</w:t>
      </w:r>
      <w:r>
        <w:rPr>
          <w:spacing w:val="1"/>
        </w:rPr>
        <w:t> </w:t>
      </w:r>
      <w:r>
        <w:rPr/>
        <w:t>experimental</w:t>
      </w:r>
      <w:r>
        <w:rPr>
          <w:spacing w:val="1"/>
        </w:rPr>
        <w:t> </w:t>
      </w:r>
      <w:r>
        <w:rPr/>
        <w:t>seizure</w:t>
      </w:r>
      <w:r>
        <w:rPr>
          <w:spacing w:val="1"/>
        </w:rPr>
        <w:t> </w:t>
      </w:r>
      <w:r>
        <w:rPr/>
        <w:t>models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human</w:t>
      </w:r>
      <w:r>
        <w:rPr>
          <w:spacing w:val="60"/>
        </w:rPr>
        <w:t> </w:t>
      </w:r>
      <w:r>
        <w:rPr/>
        <w:t>epilepsy</w:t>
      </w:r>
      <w:r>
        <w:rPr>
          <w:spacing w:val="1"/>
        </w:rPr>
        <w:t> </w:t>
      </w:r>
      <w:r>
        <w:rPr/>
        <w:t>syndromes (Meldrum, 1995). Inhibitions of the neuronal release of glutamate and blockade of</w:t>
      </w:r>
      <w:r>
        <w:rPr>
          <w:spacing w:val="1"/>
        </w:rPr>
        <w:t> </w:t>
      </w:r>
      <w:r>
        <w:rPr/>
        <w:t>its receptors have received considerable attention in the search for novel antiepileptic drugs</w:t>
      </w:r>
      <w:r>
        <w:rPr>
          <w:spacing w:val="1"/>
        </w:rPr>
        <w:t> </w:t>
      </w:r>
      <w:r>
        <w:rPr/>
        <w:t>(Meldrum,</w:t>
      </w:r>
      <w:r>
        <w:rPr>
          <w:spacing w:val="-1"/>
        </w:rPr>
        <w:t> </w:t>
      </w:r>
      <w:r>
        <w:rPr/>
        <w:t>2000).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484" w:lineRule="auto" w:before="1"/>
        <w:ind w:left="648" w:right="678"/>
        <w:jc w:val="both"/>
      </w:pPr>
      <w:r>
        <w:rPr/>
        <w:pict>
          <v:group style="position:absolute;margin-left:528.599976pt;margin-top:83.013115pt;width:14.9pt;height:14.8pt;mso-position-horizontal-relative:page;mso-position-vertical-relative:paragraph;z-index:-18404864" coordorigin="10572,1660" coordsize="298,296">
            <v:shape style="position:absolute;left:10572;top:1660;width:298;height:296" type="#_x0000_t75" stroked="false">
              <v:imagedata r:id="rId6" o:title=""/>
            </v:shape>
            <v:shape style="position:absolute;left:10572;top:1660;width:298;height:296" type="#_x0000_t202" filled="false" stroked="false">
              <v:textbox inset="0,0,0,0">
                <w:txbxContent>
                  <w:p>
                    <w:pPr>
                      <w:spacing w:before="16"/>
                      <w:ind w:left="148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w w:val="99"/>
                        <w:sz w:val="24"/>
                      </w:rPr>
                      <w:t>-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Glutamate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synthesized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glutamine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enzyme</w:t>
      </w:r>
      <w:r>
        <w:rPr>
          <w:spacing w:val="1"/>
        </w:rPr>
        <w:t> </w:t>
      </w:r>
      <w:r>
        <w:rPr/>
        <w:t>glutaminase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glutamatergic neurones (Daikhin and Yudkoff, 2000). Following synaptic release, glutamate</w:t>
      </w:r>
      <w:r>
        <w:rPr>
          <w:spacing w:val="1"/>
        </w:rPr>
        <w:t> </w:t>
      </w:r>
      <w:r>
        <w:rPr/>
        <w:t>binds to both ionotrophic and metabotrophic types of receptors (Kwan </w:t>
      </w:r>
      <w:r>
        <w:rPr>
          <w:i/>
        </w:rPr>
        <w:t>et al</w:t>
      </w:r>
      <w:r>
        <w:rPr/>
        <w:t>., 2001).Glutamate</w:t>
      </w:r>
      <w:r>
        <w:rPr>
          <w:spacing w:val="-57"/>
        </w:rPr>
        <w:t> </w:t>
      </w:r>
      <w:r>
        <w:rPr/>
        <w:t>acts</w:t>
      </w:r>
      <w:r>
        <w:rPr>
          <w:spacing w:val="49"/>
        </w:rPr>
        <w:t> </w:t>
      </w:r>
      <w:r>
        <w:rPr/>
        <w:t>on</w:t>
      </w:r>
      <w:r>
        <w:rPr>
          <w:spacing w:val="49"/>
        </w:rPr>
        <w:t> </w:t>
      </w:r>
      <w:r>
        <w:rPr/>
        <w:t>three</w:t>
      </w:r>
      <w:r>
        <w:rPr>
          <w:spacing w:val="48"/>
        </w:rPr>
        <w:t> </w:t>
      </w:r>
      <w:r>
        <w:rPr/>
        <w:t>classes</w:t>
      </w:r>
      <w:r>
        <w:rPr>
          <w:spacing w:val="49"/>
        </w:rPr>
        <w:t> </w:t>
      </w:r>
      <w:r>
        <w:rPr/>
        <w:t>of</w:t>
      </w:r>
      <w:r>
        <w:rPr>
          <w:spacing w:val="50"/>
        </w:rPr>
        <w:t> </w:t>
      </w:r>
      <w:r>
        <w:rPr/>
        <w:t>ionotropic</w:t>
      </w:r>
      <w:r>
        <w:rPr>
          <w:spacing w:val="47"/>
        </w:rPr>
        <w:t> </w:t>
      </w:r>
      <w:r>
        <w:rPr/>
        <w:t>receptors,</w:t>
      </w:r>
      <w:r>
        <w:rPr>
          <w:spacing w:val="49"/>
        </w:rPr>
        <w:t> </w:t>
      </w:r>
      <w:r>
        <w:rPr/>
        <w:t>namely</w:t>
      </w:r>
      <w:r>
        <w:rPr>
          <w:spacing w:val="44"/>
        </w:rPr>
        <w:t> </w:t>
      </w:r>
      <w:r>
        <w:rPr/>
        <w:t>N-Methyl-D-Aspartate</w:t>
      </w:r>
      <w:r>
        <w:rPr>
          <w:spacing w:val="48"/>
        </w:rPr>
        <w:t> </w:t>
      </w:r>
      <w:r>
        <w:rPr/>
        <w:t>(NMDA),</w:t>
      </w:r>
    </w:p>
    <w:p>
      <w:pPr>
        <w:pStyle w:val="BodyText"/>
        <w:spacing w:line="480" w:lineRule="auto" w:before="14"/>
        <w:ind w:left="648" w:right="676"/>
        <w:jc w:val="both"/>
      </w:pPr>
      <w:r>
        <w:rPr/>
        <w:t>amino-3-hydroxy-5-methyl-4-isoxazole-propionic acid (AMPA) and kainate (KA). (Kwan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 2001). AMPA receptors are the most abundant followed by NMDA and KA receptors</w:t>
      </w:r>
      <w:r>
        <w:rPr>
          <w:spacing w:val="1"/>
        </w:rPr>
        <w:t> </w:t>
      </w:r>
      <w:r>
        <w:rPr/>
        <w:t>(Meldrum,</w:t>
      </w:r>
      <w:r>
        <w:rPr>
          <w:spacing w:val="-1"/>
        </w:rPr>
        <w:t> </w:t>
      </w:r>
      <w:r>
        <w:rPr/>
        <w:t>2000; Rogawski, 2011).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 w:before="1"/>
        <w:ind w:left="648" w:right="675"/>
        <w:jc w:val="both"/>
      </w:pPr>
      <w:r>
        <w:rPr/>
        <w:t>These receptors contain subunits whose structure affects the biophysical properties of the</w:t>
      </w:r>
      <w:r>
        <w:rPr>
          <w:spacing w:val="1"/>
        </w:rPr>
        <w:t> </w:t>
      </w:r>
      <w:r>
        <w:rPr/>
        <w:t>receptors.</w:t>
      </w:r>
      <w:r>
        <w:rPr>
          <w:spacing w:val="42"/>
        </w:rPr>
        <w:t> </w:t>
      </w:r>
      <w:r>
        <w:rPr/>
        <w:t>AMPA</w:t>
      </w:r>
      <w:r>
        <w:rPr>
          <w:spacing w:val="42"/>
        </w:rPr>
        <w:t> </w:t>
      </w:r>
      <w:r>
        <w:rPr/>
        <w:t>receptors</w:t>
      </w:r>
      <w:r>
        <w:rPr>
          <w:spacing w:val="43"/>
        </w:rPr>
        <w:t> </w:t>
      </w:r>
      <w:r>
        <w:rPr/>
        <w:t>have</w:t>
      </w:r>
      <w:r>
        <w:rPr>
          <w:spacing w:val="42"/>
        </w:rPr>
        <w:t> </w:t>
      </w:r>
      <w:r>
        <w:rPr/>
        <w:t>lower</w:t>
      </w:r>
      <w:r>
        <w:rPr>
          <w:spacing w:val="44"/>
        </w:rPr>
        <w:t> </w:t>
      </w:r>
      <w:r>
        <w:rPr/>
        <w:t>glutamate</w:t>
      </w:r>
      <w:r>
        <w:rPr>
          <w:spacing w:val="42"/>
        </w:rPr>
        <w:t> </w:t>
      </w:r>
      <w:r>
        <w:rPr/>
        <w:t>affinity</w:t>
      </w:r>
      <w:r>
        <w:rPr>
          <w:spacing w:val="38"/>
        </w:rPr>
        <w:t> </w:t>
      </w:r>
      <w:r>
        <w:rPr/>
        <w:t>than</w:t>
      </w:r>
      <w:r>
        <w:rPr>
          <w:spacing w:val="42"/>
        </w:rPr>
        <w:t> </w:t>
      </w:r>
      <w:r>
        <w:rPr/>
        <w:t>NMDA</w:t>
      </w:r>
      <w:r>
        <w:rPr>
          <w:spacing w:val="44"/>
        </w:rPr>
        <w:t> </w:t>
      </w:r>
      <w:r>
        <w:rPr/>
        <w:t>receptors</w:t>
      </w:r>
      <w:r>
        <w:rPr>
          <w:spacing w:val="42"/>
        </w:rPr>
        <w:t> </w:t>
      </w:r>
      <w:r>
        <w:rPr/>
        <w:t>but</w:t>
      </w:r>
      <w:r>
        <w:rPr>
          <w:spacing w:val="43"/>
        </w:rPr>
        <w:t> </w:t>
      </w:r>
      <w:r>
        <w:rPr/>
        <w:t>their</w:t>
      </w:r>
    </w:p>
    <w:p>
      <w:pPr>
        <w:spacing w:after="0" w:line="480" w:lineRule="auto"/>
        <w:jc w:val="both"/>
        <w:sectPr>
          <w:pgSz w:w="12240" w:h="15840"/>
          <w:pgMar w:header="0" w:footer="792" w:top="1360" w:bottom="980" w:left="1080" w:right="760"/>
        </w:sectPr>
      </w:pPr>
    </w:p>
    <w:p>
      <w:pPr>
        <w:pStyle w:val="BodyText"/>
        <w:spacing w:line="480" w:lineRule="auto" w:before="72"/>
        <w:ind w:left="648" w:right="677"/>
        <w:jc w:val="both"/>
      </w:pPr>
      <w:r>
        <w:rPr/>
        <w:t>faster kinetic account for the fast initial component of the excitatory postsynaptic potential</w:t>
      </w:r>
      <w:r>
        <w:rPr>
          <w:spacing w:val="1"/>
        </w:rPr>
        <w:t> </w:t>
      </w:r>
      <w:r>
        <w:rPr/>
        <w:t>(Meldrum, 2000). The metabotrophic family of glutamate receptors, also classified into three</w:t>
      </w:r>
      <w:r>
        <w:rPr>
          <w:spacing w:val="1"/>
        </w:rPr>
        <w:t> </w:t>
      </w:r>
      <w:r>
        <w:rPr/>
        <w:t>distinct subtypes (Groups I, II and III), are G-protein linked and predominantly presynaptic,</w:t>
      </w:r>
      <w:r>
        <w:rPr>
          <w:spacing w:val="1"/>
        </w:rPr>
        <w:t> </w:t>
      </w:r>
      <w:r>
        <w:rPr/>
        <w:t>possibly controlling neurotransmitter release (Meldrum, 2000). Glutamate is removed from</w:t>
      </w:r>
      <w:r>
        <w:rPr>
          <w:spacing w:val="1"/>
        </w:rPr>
        <w:t> </w:t>
      </w:r>
      <w:r>
        <w:rPr/>
        <w:t>synaptic cleft into nerve terminals and glial cells by the action of several specific transporters</w:t>
      </w:r>
      <w:r>
        <w:rPr>
          <w:spacing w:val="1"/>
        </w:rPr>
        <w:t> </w:t>
      </w:r>
      <w:r>
        <w:rPr/>
        <w:t>(Meldrum </w:t>
      </w:r>
      <w:r>
        <w:rPr>
          <w:i/>
        </w:rPr>
        <w:t>et al</w:t>
      </w:r>
      <w:r>
        <w:rPr/>
        <w:t>., 1999). Glial glutamate uptake is of principal importance (Kwan </w:t>
      </w:r>
      <w:r>
        <w:rPr>
          <w:i/>
        </w:rPr>
        <w:t>et al</w:t>
      </w:r>
      <w:r>
        <w:rPr/>
        <w:t>., 2001).</w:t>
      </w:r>
      <w:r>
        <w:rPr>
          <w:spacing w:val="-57"/>
        </w:rPr>
        <w:t> </w:t>
      </w:r>
      <w:r>
        <w:rPr/>
        <w:t>Glial</w:t>
      </w:r>
      <w:r>
        <w:rPr>
          <w:spacing w:val="1"/>
        </w:rPr>
        <w:t> </w:t>
      </w:r>
      <w:r>
        <w:rPr/>
        <w:t>cells</w:t>
      </w:r>
      <w:r>
        <w:rPr>
          <w:spacing w:val="1"/>
        </w:rPr>
        <w:t> </w:t>
      </w:r>
      <w:r>
        <w:rPr/>
        <w:t>convert</w:t>
      </w:r>
      <w:r>
        <w:rPr>
          <w:spacing w:val="1"/>
        </w:rPr>
        <w:t> </w:t>
      </w:r>
      <w:r>
        <w:rPr/>
        <w:t>glutamate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glutamine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enzyme</w:t>
      </w:r>
      <w:r>
        <w:rPr>
          <w:spacing w:val="60"/>
        </w:rPr>
        <w:t> </w:t>
      </w:r>
      <w:r>
        <w:rPr/>
        <w:t>glutamine</w:t>
      </w:r>
      <w:r>
        <w:rPr>
          <w:spacing w:val="1"/>
        </w:rPr>
        <w:t> </w:t>
      </w:r>
      <w:r>
        <w:rPr/>
        <w:t>synthetase, the resulting glutamine is then subsequently transferred into glutamatergic neurons</w:t>
      </w:r>
      <w:r>
        <w:rPr>
          <w:spacing w:val="-57"/>
        </w:rPr>
        <w:t> </w:t>
      </w:r>
      <w:r>
        <w:rPr/>
        <w:t>completing</w:t>
      </w:r>
      <w:r>
        <w:rPr>
          <w:spacing w:val="-4"/>
        </w:rPr>
        <w:t> </w:t>
      </w:r>
      <w:r>
        <w:rPr/>
        <w:t>the</w:t>
      </w:r>
      <w:r>
        <w:rPr>
          <w:spacing w:val="2"/>
        </w:rPr>
        <w:t> </w:t>
      </w:r>
      <w:r>
        <w:rPr/>
        <w:t>cycle (Daikhin and Yudkoff, 2000).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480" w:lineRule="auto"/>
        <w:ind w:left="648" w:right="677"/>
        <w:jc w:val="both"/>
      </w:pPr>
      <w:r>
        <w:rPr/>
        <w:t>Although, none of the commonly used AEDs exerts their pharmacological effect solely by an</w:t>
      </w:r>
      <w:r>
        <w:rPr>
          <w:spacing w:val="1"/>
        </w:rPr>
        <w:t> </w:t>
      </w:r>
      <w:r>
        <w:rPr/>
        <w:t>action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glutamate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(Kwan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al.,</w:t>
      </w:r>
      <w:r>
        <w:rPr>
          <w:i/>
          <w:spacing w:val="1"/>
        </w:rPr>
        <w:t> </w:t>
      </w:r>
      <w:r>
        <w:rPr/>
        <w:t>2001)</w:t>
      </w:r>
      <w:r>
        <w:rPr>
          <w:spacing w:val="1"/>
        </w:rPr>
        <w:t> </w:t>
      </w:r>
      <w:r>
        <w:rPr/>
        <w:t>blockade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ionotropic</w:t>
      </w:r>
      <w:r>
        <w:rPr>
          <w:spacing w:val="60"/>
        </w:rPr>
        <w:t> </w:t>
      </w:r>
      <w:r>
        <w:rPr/>
        <w:t>glutamate</w:t>
      </w:r>
      <w:r>
        <w:rPr>
          <w:spacing w:val="1"/>
        </w:rPr>
        <w:t> </w:t>
      </w:r>
      <w:r>
        <w:rPr/>
        <w:t>receptors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believed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contribute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antiepileptic</w:t>
      </w:r>
      <w:r>
        <w:rPr>
          <w:spacing w:val="1"/>
        </w:rPr>
        <w:t> </w:t>
      </w:r>
      <w:r>
        <w:rPr/>
        <w:t>activity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several</w:t>
      </w:r>
      <w:r>
        <w:rPr>
          <w:spacing w:val="1"/>
        </w:rPr>
        <w:t> </w:t>
      </w:r>
      <w:r>
        <w:rPr/>
        <w:t>compounds</w:t>
      </w:r>
      <w:r>
        <w:rPr>
          <w:spacing w:val="1"/>
        </w:rPr>
        <w:t> </w:t>
      </w:r>
      <w:r>
        <w:rPr/>
        <w:t>(Meldrum, 1996; White, 1999). Futhermore quite a number of AEDs have been reported to</w:t>
      </w:r>
      <w:r>
        <w:rPr>
          <w:spacing w:val="1"/>
        </w:rPr>
        <w:t> </w:t>
      </w:r>
      <w:r>
        <w:rPr/>
        <w:t>reduce glutamate release (Kwan </w:t>
      </w:r>
      <w:r>
        <w:rPr>
          <w:i/>
        </w:rPr>
        <w:t>et al</w:t>
      </w:r>
      <w:r>
        <w:rPr/>
        <w:t>., 2001) although this effect may be more indicative of</w:t>
      </w:r>
      <w:r>
        <w:rPr>
          <w:spacing w:val="1"/>
        </w:rPr>
        <w:t> </w:t>
      </w:r>
      <w:r>
        <w:rPr/>
        <w:t>their action on neuronal Ca</w:t>
      </w:r>
      <w:r>
        <w:rPr>
          <w:vertAlign w:val="superscript"/>
        </w:rPr>
        <w:t>2+</w:t>
      </w:r>
      <w:r>
        <w:rPr>
          <w:vertAlign w:val="baseline"/>
        </w:rPr>
        <w:t> channels than a direct effect on the glutamate system (Stefani </w:t>
      </w:r>
      <w:r>
        <w:rPr>
          <w:i/>
          <w:vertAlign w:val="baseline"/>
        </w:rPr>
        <w:t>et</w:t>
      </w:r>
      <w:r>
        <w:rPr>
          <w:i/>
          <w:spacing w:val="1"/>
          <w:vertAlign w:val="baseline"/>
        </w:rPr>
        <w:t> </w:t>
      </w:r>
      <w:r>
        <w:rPr>
          <w:i/>
          <w:vertAlign w:val="baseline"/>
        </w:rPr>
        <w:t>al</w:t>
      </w:r>
      <w:r>
        <w:rPr>
          <w:vertAlign w:val="baseline"/>
        </w:rPr>
        <w:t>., 1997).</w:t>
      </w:r>
    </w:p>
    <w:p>
      <w:pPr>
        <w:pStyle w:val="Heading2"/>
        <w:spacing w:before="6"/>
        <w:ind w:left="710"/>
      </w:pPr>
      <w:r>
        <w:rPr/>
        <w:t>Voltage-gated</w:t>
      </w:r>
      <w:r>
        <w:rPr>
          <w:spacing w:val="-3"/>
        </w:rPr>
        <w:t> </w:t>
      </w:r>
      <w:r>
        <w:rPr/>
        <w:t>ion</w:t>
      </w:r>
      <w:r>
        <w:rPr>
          <w:spacing w:val="-3"/>
        </w:rPr>
        <w:t> </w:t>
      </w:r>
      <w:r>
        <w:rPr/>
        <w:t>channels</w:t>
      </w:r>
    </w:p>
    <w:p>
      <w:pPr>
        <w:pStyle w:val="BodyText"/>
        <w:spacing w:before="6"/>
        <w:rPr>
          <w:b/>
          <w:i/>
          <w:sz w:val="23"/>
        </w:rPr>
      </w:pPr>
    </w:p>
    <w:p>
      <w:pPr>
        <w:pStyle w:val="ListParagraph"/>
        <w:numPr>
          <w:ilvl w:val="0"/>
          <w:numId w:val="11"/>
        </w:numPr>
        <w:tabs>
          <w:tab w:pos="954" w:val="left" w:leader="none"/>
        </w:tabs>
        <w:spacing w:line="480" w:lineRule="auto" w:before="0" w:after="0"/>
        <w:ind w:left="648" w:right="674" w:firstLine="60"/>
        <w:jc w:val="both"/>
        <w:rPr>
          <w:sz w:val="24"/>
        </w:rPr>
      </w:pPr>
      <w:r>
        <w:rPr>
          <w:b/>
          <w:i/>
          <w:sz w:val="24"/>
        </w:rPr>
        <w:t>Voltage gated sodium channels; </w:t>
      </w:r>
      <w:r>
        <w:rPr>
          <w:sz w:val="24"/>
        </w:rPr>
        <w:t>In the nervous system, voltage gated ion channels control</w:t>
      </w:r>
      <w:r>
        <w:rPr>
          <w:spacing w:val="-57"/>
          <w:sz w:val="24"/>
        </w:rPr>
        <w:t> </w:t>
      </w:r>
      <w:r>
        <w:rPr>
          <w:sz w:val="24"/>
        </w:rPr>
        <w:t>the flow of cations across surface and internal cell membranes (Barchi, 1998), of these, the</w:t>
      </w:r>
      <w:r>
        <w:rPr>
          <w:spacing w:val="1"/>
          <w:sz w:val="24"/>
        </w:rPr>
        <w:t> </w:t>
      </w:r>
      <w:r>
        <w:rPr>
          <w:sz w:val="24"/>
        </w:rPr>
        <w:t>Na</w:t>
      </w:r>
      <w:r>
        <w:rPr>
          <w:sz w:val="24"/>
          <w:vertAlign w:val="superscript"/>
        </w:rPr>
        <w:t>+</w:t>
      </w:r>
      <w:r>
        <w:rPr>
          <w:sz w:val="24"/>
          <w:vertAlign w:val="baseline"/>
        </w:rPr>
        <w:t> channels is arguably of principal importance (Kwan </w:t>
      </w:r>
      <w:r>
        <w:rPr>
          <w:i/>
          <w:sz w:val="24"/>
          <w:vertAlign w:val="baseline"/>
        </w:rPr>
        <w:t>et al</w:t>
      </w:r>
      <w:r>
        <w:rPr>
          <w:sz w:val="24"/>
          <w:vertAlign w:val="baseline"/>
        </w:rPr>
        <w:t>., 2001). Voltage dependent Na+</w:t>
      </w:r>
      <w:r>
        <w:rPr>
          <w:spacing w:val="-57"/>
          <w:sz w:val="24"/>
          <w:vertAlign w:val="baseline"/>
        </w:rPr>
        <w:t> </w:t>
      </w:r>
      <w:r>
        <w:rPr>
          <w:sz w:val="24"/>
          <w:vertAlign w:val="baseline"/>
        </w:rPr>
        <w:t>channels are responsible for the upstroke of the neuronal action potential, and ultimately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control</w:t>
      </w:r>
      <w:r>
        <w:rPr>
          <w:spacing w:val="47"/>
          <w:sz w:val="24"/>
          <w:vertAlign w:val="baseline"/>
        </w:rPr>
        <w:t> </w:t>
      </w:r>
      <w:r>
        <w:rPr>
          <w:sz w:val="24"/>
          <w:vertAlign w:val="baseline"/>
        </w:rPr>
        <w:t>the</w:t>
      </w:r>
      <w:r>
        <w:rPr>
          <w:spacing w:val="46"/>
          <w:sz w:val="24"/>
          <w:vertAlign w:val="baseline"/>
        </w:rPr>
        <w:t> </w:t>
      </w:r>
      <w:r>
        <w:rPr>
          <w:sz w:val="24"/>
          <w:vertAlign w:val="baseline"/>
        </w:rPr>
        <w:t>intrinsic</w:t>
      </w:r>
      <w:r>
        <w:rPr>
          <w:spacing w:val="47"/>
          <w:sz w:val="24"/>
          <w:vertAlign w:val="baseline"/>
        </w:rPr>
        <w:t> </w:t>
      </w:r>
      <w:r>
        <w:rPr>
          <w:sz w:val="24"/>
          <w:vertAlign w:val="baseline"/>
        </w:rPr>
        <w:t>excitability</w:t>
      </w:r>
      <w:r>
        <w:rPr>
          <w:spacing w:val="39"/>
          <w:sz w:val="24"/>
          <w:vertAlign w:val="baseline"/>
        </w:rPr>
        <w:t> </w:t>
      </w:r>
      <w:r>
        <w:rPr>
          <w:sz w:val="24"/>
          <w:vertAlign w:val="baseline"/>
        </w:rPr>
        <w:t>of</w:t>
      </w:r>
      <w:r>
        <w:rPr>
          <w:spacing w:val="47"/>
          <w:sz w:val="24"/>
          <w:vertAlign w:val="baseline"/>
        </w:rPr>
        <w:t> </w:t>
      </w:r>
      <w:r>
        <w:rPr>
          <w:sz w:val="24"/>
          <w:vertAlign w:val="baseline"/>
        </w:rPr>
        <w:t>the</w:t>
      </w:r>
      <w:r>
        <w:rPr>
          <w:spacing w:val="50"/>
          <w:sz w:val="24"/>
          <w:vertAlign w:val="baseline"/>
        </w:rPr>
        <w:t> </w:t>
      </w:r>
      <w:r>
        <w:rPr>
          <w:sz w:val="24"/>
          <w:vertAlign w:val="baseline"/>
        </w:rPr>
        <w:t>nervous</w:t>
      </w:r>
      <w:r>
        <w:rPr>
          <w:spacing w:val="48"/>
          <w:sz w:val="24"/>
          <w:vertAlign w:val="baseline"/>
        </w:rPr>
        <w:t> </w:t>
      </w:r>
      <w:r>
        <w:rPr>
          <w:sz w:val="24"/>
          <w:vertAlign w:val="baseline"/>
        </w:rPr>
        <w:t>system</w:t>
      </w:r>
      <w:r>
        <w:rPr>
          <w:spacing w:val="48"/>
          <w:sz w:val="24"/>
          <w:vertAlign w:val="baseline"/>
        </w:rPr>
        <w:t> </w:t>
      </w:r>
      <w:r>
        <w:rPr>
          <w:sz w:val="24"/>
          <w:vertAlign w:val="baseline"/>
        </w:rPr>
        <w:t>(Porter</w:t>
      </w:r>
      <w:r>
        <w:rPr>
          <w:spacing w:val="45"/>
          <w:sz w:val="24"/>
          <w:vertAlign w:val="baseline"/>
        </w:rPr>
        <w:t> </w:t>
      </w:r>
      <w:r>
        <w:rPr>
          <w:sz w:val="24"/>
          <w:vertAlign w:val="baseline"/>
        </w:rPr>
        <w:t>and</w:t>
      </w:r>
      <w:r>
        <w:rPr>
          <w:spacing w:val="47"/>
          <w:sz w:val="24"/>
          <w:vertAlign w:val="baseline"/>
        </w:rPr>
        <w:t> </w:t>
      </w:r>
      <w:r>
        <w:rPr>
          <w:sz w:val="24"/>
          <w:vertAlign w:val="baseline"/>
        </w:rPr>
        <w:t>Rogawski,</w:t>
      </w:r>
      <w:r>
        <w:rPr>
          <w:spacing w:val="47"/>
          <w:sz w:val="24"/>
          <w:vertAlign w:val="baseline"/>
        </w:rPr>
        <w:t> </w:t>
      </w:r>
      <w:r>
        <w:rPr>
          <w:sz w:val="24"/>
          <w:vertAlign w:val="baseline"/>
        </w:rPr>
        <w:t>1992).</w:t>
      </w:r>
      <w:r>
        <w:rPr>
          <w:spacing w:val="46"/>
          <w:sz w:val="24"/>
          <w:vertAlign w:val="baseline"/>
        </w:rPr>
        <w:t> </w:t>
      </w:r>
      <w:r>
        <w:rPr>
          <w:sz w:val="24"/>
          <w:vertAlign w:val="baseline"/>
        </w:rPr>
        <w:t>The</w:t>
      </w:r>
    </w:p>
    <w:p>
      <w:pPr>
        <w:spacing w:after="0" w:line="480" w:lineRule="auto"/>
        <w:jc w:val="both"/>
        <w:rPr>
          <w:sz w:val="24"/>
        </w:rPr>
        <w:sectPr>
          <w:pgSz w:w="12240" w:h="15840"/>
          <w:pgMar w:header="0" w:footer="792" w:top="1360" w:bottom="980" w:left="1080" w:right="760"/>
        </w:sectPr>
      </w:pPr>
    </w:p>
    <w:p>
      <w:pPr>
        <w:pStyle w:val="BodyText"/>
        <w:spacing w:line="482" w:lineRule="auto" w:before="112"/>
        <w:ind w:left="648" w:right="675"/>
        <w:jc w:val="both"/>
      </w:pPr>
      <w:r>
        <w:rPr/>
        <w:drawing>
          <wp:anchor distT="0" distB="0" distL="0" distR="0" allowOverlap="1" layoutInCell="1" locked="0" behindDoc="1" simplePos="0" relativeHeight="484912128">
            <wp:simplePos x="0" y="0"/>
            <wp:positionH relativeFrom="page">
              <wp:posOffset>4146169</wp:posOffset>
            </wp:positionH>
            <wp:positionV relativeFrom="paragraph">
              <wp:posOffset>1475525</wp:posOffset>
            </wp:positionV>
            <wp:extent cx="188975" cy="187451"/>
            <wp:effectExtent l="0" t="0" r="0" b="0"/>
            <wp:wrapNone/>
            <wp:docPr id="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975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neuronal Na</w:t>
      </w:r>
      <w:r>
        <w:rPr>
          <w:vertAlign w:val="superscript"/>
        </w:rPr>
        <w:t>+</w:t>
      </w:r>
      <w:r>
        <w:rPr>
          <w:vertAlign w:val="baseline"/>
        </w:rPr>
        <w:t> channel has a multi-subunit structure that forms a Na</w:t>
      </w:r>
      <w:r>
        <w:rPr>
          <w:vertAlign w:val="superscript"/>
        </w:rPr>
        <w:t>+</w:t>
      </w:r>
      <w:r>
        <w:rPr>
          <w:vertAlign w:val="baseline"/>
        </w:rPr>
        <w:t> selective, voltage-gated</w:t>
      </w:r>
      <w:r>
        <w:rPr>
          <w:spacing w:val="1"/>
          <w:vertAlign w:val="baseline"/>
        </w:rPr>
        <w:t> </w:t>
      </w:r>
      <w:r>
        <w:rPr>
          <w:vertAlign w:val="baseline"/>
        </w:rPr>
        <w:t>pore through the plasma membrane (Kwan </w:t>
      </w:r>
      <w:r>
        <w:rPr>
          <w:i/>
          <w:vertAlign w:val="baseline"/>
        </w:rPr>
        <w:t>et al</w:t>
      </w:r>
      <w:r>
        <w:rPr>
          <w:vertAlign w:val="baseline"/>
        </w:rPr>
        <w:t>., 2001). The protein structure undergoes</w:t>
      </w:r>
      <w:r>
        <w:rPr>
          <w:spacing w:val="1"/>
          <w:vertAlign w:val="baseline"/>
        </w:rPr>
        <w:t> </w:t>
      </w:r>
      <w:r>
        <w:rPr>
          <w:vertAlign w:val="baseline"/>
        </w:rPr>
        <w:t>conformational</w:t>
      </w:r>
      <w:r>
        <w:rPr>
          <w:spacing w:val="1"/>
          <w:vertAlign w:val="baseline"/>
        </w:rPr>
        <w:t> </w:t>
      </w:r>
      <w:r>
        <w:rPr>
          <w:vertAlign w:val="baseline"/>
        </w:rPr>
        <w:t>alterations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response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changes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membrane</w:t>
      </w:r>
      <w:r>
        <w:rPr>
          <w:spacing w:val="1"/>
          <w:vertAlign w:val="baseline"/>
        </w:rPr>
        <w:t> </w:t>
      </w:r>
      <w:r>
        <w:rPr>
          <w:vertAlign w:val="baseline"/>
        </w:rPr>
        <w:t>potential,</w:t>
      </w:r>
      <w:r>
        <w:rPr>
          <w:spacing w:val="1"/>
          <w:vertAlign w:val="baseline"/>
        </w:rPr>
        <w:t> </w:t>
      </w:r>
      <w:r>
        <w:rPr>
          <w:vertAlign w:val="baseline"/>
        </w:rPr>
        <w:t>regulating</w:t>
      </w:r>
      <w:r>
        <w:rPr>
          <w:spacing w:val="1"/>
          <w:vertAlign w:val="baseline"/>
        </w:rPr>
        <w:t> </w:t>
      </w:r>
      <w:r>
        <w:rPr>
          <w:vertAlign w:val="baseline"/>
        </w:rPr>
        <w:t>conductance</w:t>
      </w:r>
      <w:r>
        <w:rPr>
          <w:spacing w:val="1"/>
          <w:vertAlign w:val="baseline"/>
        </w:rPr>
        <w:t> </w:t>
      </w:r>
      <w:r>
        <w:rPr>
          <w:vertAlign w:val="baseline"/>
        </w:rPr>
        <w:t>through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intrinsic</w:t>
      </w:r>
      <w:r>
        <w:rPr>
          <w:spacing w:val="1"/>
          <w:vertAlign w:val="baseline"/>
        </w:rPr>
        <w:t> </w:t>
      </w:r>
      <w:r>
        <w:rPr>
          <w:vertAlign w:val="baseline"/>
        </w:rPr>
        <w:t>pore</w:t>
      </w:r>
      <w:r>
        <w:rPr>
          <w:spacing w:val="1"/>
          <w:vertAlign w:val="baseline"/>
        </w:rPr>
        <w:t> </w:t>
      </w:r>
      <w:r>
        <w:rPr>
          <w:vertAlign w:val="baseline"/>
        </w:rPr>
        <w:t>(Ragsdale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Avoli,</w:t>
      </w:r>
      <w:r>
        <w:rPr>
          <w:spacing w:val="1"/>
          <w:vertAlign w:val="baseline"/>
        </w:rPr>
        <w:t> </w:t>
      </w:r>
      <w:r>
        <w:rPr>
          <w:vertAlign w:val="baseline"/>
        </w:rPr>
        <w:t>1998).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main</w:t>
      </w:r>
      <w:r>
        <w:rPr>
          <w:spacing w:val="1"/>
          <w:vertAlign w:val="baseline"/>
        </w:rPr>
        <w:t> </w:t>
      </w:r>
      <w:r>
        <w:rPr>
          <w:vertAlign w:val="baseline"/>
        </w:rPr>
        <w:t>structural</w:t>
      </w:r>
      <w:r>
        <w:rPr>
          <w:spacing w:val="-57"/>
          <w:vertAlign w:val="baseline"/>
        </w:rPr>
        <w:t> </w:t>
      </w:r>
      <w:r>
        <w:rPr>
          <w:vertAlign w:val="baseline"/>
        </w:rPr>
        <w:t>component of the neuronal Na</w:t>
      </w:r>
      <w:r>
        <w:rPr>
          <w:vertAlign w:val="superscript"/>
        </w:rPr>
        <w:t>+</w:t>
      </w:r>
      <w:r>
        <w:rPr>
          <w:vertAlign w:val="baseline"/>
        </w:rPr>
        <w:t> channels is the    -subunit, which forms the ion conducting</w:t>
      </w:r>
      <w:r>
        <w:rPr>
          <w:spacing w:val="1"/>
          <w:vertAlign w:val="baseline"/>
        </w:rPr>
        <w:t> </w:t>
      </w:r>
      <w:r>
        <w:rPr>
          <w:vertAlign w:val="baseline"/>
        </w:rPr>
        <w:t>pore and confers voltage dependency (Catterall, 1992). At normal membrane potentials, most</w:t>
      </w:r>
      <w:r>
        <w:rPr>
          <w:spacing w:val="1"/>
          <w:vertAlign w:val="baseline"/>
        </w:rPr>
        <w:t> </w:t>
      </w:r>
      <w:r>
        <w:rPr>
          <w:vertAlign w:val="baseline"/>
        </w:rPr>
        <w:t>Na</w:t>
      </w:r>
      <w:r>
        <w:rPr>
          <w:vertAlign w:val="superscript"/>
        </w:rPr>
        <w:t>+</w:t>
      </w:r>
      <w:r>
        <w:rPr>
          <w:spacing w:val="1"/>
          <w:vertAlign w:val="baseline"/>
        </w:rPr>
        <w:t> </w:t>
      </w:r>
      <w:r>
        <w:rPr>
          <w:vertAlign w:val="baseline"/>
        </w:rPr>
        <w:t>channels</w:t>
      </w:r>
      <w:r>
        <w:rPr>
          <w:spacing w:val="1"/>
          <w:vertAlign w:val="baseline"/>
        </w:rPr>
        <w:t> </w:t>
      </w:r>
      <w:r>
        <w:rPr>
          <w:vertAlign w:val="baseline"/>
        </w:rPr>
        <w:t>exist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a closed</w:t>
      </w:r>
      <w:r>
        <w:rPr>
          <w:spacing w:val="1"/>
          <w:vertAlign w:val="baseline"/>
        </w:rPr>
        <w:t> </w:t>
      </w:r>
      <w:r>
        <w:rPr>
          <w:vertAlign w:val="baseline"/>
        </w:rPr>
        <w:t>resting state.</w:t>
      </w:r>
      <w:r>
        <w:rPr>
          <w:spacing w:val="1"/>
          <w:vertAlign w:val="baseline"/>
        </w:rPr>
        <w:t> </w:t>
      </w:r>
      <w:r>
        <w:rPr>
          <w:vertAlign w:val="baseline"/>
        </w:rPr>
        <w:t>Upon</w:t>
      </w:r>
      <w:r>
        <w:rPr>
          <w:spacing w:val="1"/>
          <w:vertAlign w:val="baseline"/>
        </w:rPr>
        <w:t> </w:t>
      </w:r>
      <w:r>
        <w:rPr>
          <w:vertAlign w:val="baseline"/>
        </w:rPr>
        <w:t>depolarization,</w:t>
      </w:r>
      <w:r>
        <w:rPr>
          <w:spacing w:val="1"/>
          <w:vertAlign w:val="baseline"/>
        </w:rPr>
        <w:t> </w:t>
      </w:r>
      <w:r>
        <w:rPr>
          <w:vertAlign w:val="baseline"/>
        </w:rPr>
        <w:t>the channels</w:t>
      </w:r>
      <w:r>
        <w:rPr>
          <w:spacing w:val="1"/>
          <w:vertAlign w:val="baseline"/>
        </w:rPr>
        <w:t> </w:t>
      </w:r>
      <w:r>
        <w:rPr>
          <w:vertAlign w:val="baseline"/>
        </w:rPr>
        <w:t>becomes</w:t>
      </w:r>
      <w:r>
        <w:rPr>
          <w:spacing w:val="1"/>
          <w:vertAlign w:val="baseline"/>
        </w:rPr>
        <w:t> </w:t>
      </w:r>
      <w:r>
        <w:rPr>
          <w:vertAlign w:val="baseline"/>
        </w:rPr>
        <w:t>activated, facilitating ion influx.Thereafter, the Na</w:t>
      </w:r>
      <w:r>
        <w:rPr>
          <w:vertAlign w:val="superscript"/>
        </w:rPr>
        <w:t>+</w:t>
      </w:r>
      <w:r>
        <w:rPr>
          <w:vertAlign w:val="baseline"/>
        </w:rPr>
        <w:t> channel enters an inactivated state, from</w:t>
      </w:r>
      <w:r>
        <w:rPr>
          <w:spacing w:val="1"/>
          <w:vertAlign w:val="baseline"/>
        </w:rPr>
        <w:t> </w:t>
      </w:r>
      <w:r>
        <w:rPr>
          <w:vertAlign w:val="baseline"/>
        </w:rPr>
        <w:t>which</w:t>
      </w:r>
      <w:r>
        <w:rPr>
          <w:spacing w:val="1"/>
          <w:vertAlign w:val="baseline"/>
        </w:rPr>
        <w:t> </w:t>
      </w:r>
      <w:r>
        <w:rPr>
          <w:vertAlign w:val="baseline"/>
        </w:rPr>
        <w:t>it</w:t>
      </w:r>
      <w:r>
        <w:rPr>
          <w:spacing w:val="1"/>
          <w:vertAlign w:val="baseline"/>
        </w:rPr>
        <w:t> </w:t>
      </w:r>
      <w:r>
        <w:rPr>
          <w:vertAlign w:val="baseline"/>
        </w:rPr>
        <w:t>is</w:t>
      </w:r>
      <w:r>
        <w:rPr>
          <w:spacing w:val="1"/>
          <w:vertAlign w:val="baseline"/>
        </w:rPr>
        <w:t> </w:t>
      </w:r>
      <w:r>
        <w:rPr>
          <w:vertAlign w:val="baseline"/>
        </w:rPr>
        <w:t>not</w:t>
      </w:r>
      <w:r>
        <w:rPr>
          <w:spacing w:val="1"/>
          <w:vertAlign w:val="baseline"/>
        </w:rPr>
        <w:t> </w:t>
      </w:r>
      <w:r>
        <w:rPr>
          <w:vertAlign w:val="baseline"/>
        </w:rPr>
        <w:t>readily</w:t>
      </w:r>
      <w:r>
        <w:rPr>
          <w:spacing w:val="1"/>
          <w:vertAlign w:val="baseline"/>
        </w:rPr>
        <w:t> </w:t>
      </w:r>
      <w:r>
        <w:rPr>
          <w:vertAlign w:val="baseline"/>
        </w:rPr>
        <w:t>reactivated</w:t>
      </w:r>
      <w:r>
        <w:rPr>
          <w:spacing w:val="1"/>
          <w:vertAlign w:val="baseline"/>
        </w:rPr>
        <w:t> </w:t>
      </w:r>
      <w:r>
        <w:rPr>
          <w:vertAlign w:val="baseline"/>
        </w:rPr>
        <w:t>(Kwan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et</w:t>
      </w:r>
      <w:r>
        <w:rPr>
          <w:i/>
          <w:spacing w:val="1"/>
          <w:vertAlign w:val="baseline"/>
        </w:rPr>
        <w:t> </w:t>
      </w:r>
      <w:r>
        <w:rPr>
          <w:i/>
          <w:vertAlign w:val="baseline"/>
        </w:rPr>
        <w:t>al</w:t>
      </w:r>
      <w:r>
        <w:rPr>
          <w:vertAlign w:val="baseline"/>
        </w:rPr>
        <w:t>.,</w:t>
      </w:r>
      <w:r>
        <w:rPr>
          <w:spacing w:val="1"/>
          <w:vertAlign w:val="baseline"/>
        </w:rPr>
        <w:t> </w:t>
      </w:r>
      <w:r>
        <w:rPr>
          <w:vertAlign w:val="baseline"/>
        </w:rPr>
        <w:t>2001).</w:t>
      </w:r>
      <w:r>
        <w:rPr>
          <w:spacing w:val="1"/>
          <w:vertAlign w:val="baseline"/>
        </w:rPr>
        <w:t> </w:t>
      </w:r>
      <w:r>
        <w:rPr>
          <w:vertAlign w:val="baseline"/>
        </w:rPr>
        <w:t>Repolarization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neuronal</w:t>
      </w:r>
      <w:r>
        <w:rPr>
          <w:spacing w:val="1"/>
          <w:vertAlign w:val="baseline"/>
        </w:rPr>
        <w:t> </w:t>
      </w:r>
      <w:r>
        <w:rPr>
          <w:vertAlign w:val="baseline"/>
        </w:rPr>
        <w:t>membrane rapidly converts the channel back to a resting state, from which it can respond to</w:t>
      </w:r>
      <w:r>
        <w:rPr>
          <w:spacing w:val="1"/>
          <w:vertAlign w:val="baseline"/>
        </w:rPr>
        <w:t> </w:t>
      </w:r>
      <w:r>
        <w:rPr>
          <w:vertAlign w:val="baseline"/>
        </w:rPr>
        <w:t>subsequent depolarizations (Ragsdale and Avoli, 1998).</w:t>
      </w:r>
      <w:r>
        <w:rPr>
          <w:spacing w:val="1"/>
          <w:vertAlign w:val="baseline"/>
        </w:rPr>
        <w:t> </w:t>
      </w:r>
      <w:r>
        <w:rPr>
          <w:vertAlign w:val="baseline"/>
        </w:rPr>
        <w:t>Neuronal Na</w:t>
      </w:r>
      <w:r>
        <w:rPr>
          <w:vertAlign w:val="superscript"/>
        </w:rPr>
        <w:t>+</w:t>
      </w:r>
      <w:r>
        <w:rPr>
          <w:vertAlign w:val="baseline"/>
        </w:rPr>
        <w:t> channels can cycle</w:t>
      </w:r>
      <w:r>
        <w:rPr>
          <w:spacing w:val="1"/>
          <w:vertAlign w:val="baseline"/>
        </w:rPr>
        <w:t> </w:t>
      </w:r>
      <w:r>
        <w:rPr>
          <w:vertAlign w:val="baseline"/>
        </w:rPr>
        <w:t>through the functional state within a few milliseconds (Kwan </w:t>
      </w:r>
      <w:r>
        <w:rPr>
          <w:i/>
          <w:vertAlign w:val="baseline"/>
        </w:rPr>
        <w:t>et al</w:t>
      </w:r>
      <w:r>
        <w:rPr>
          <w:vertAlign w:val="baseline"/>
        </w:rPr>
        <w:t>., 2001). This characteristic</w:t>
      </w:r>
      <w:r>
        <w:rPr>
          <w:spacing w:val="1"/>
          <w:vertAlign w:val="baseline"/>
        </w:rPr>
        <w:t> </w:t>
      </w:r>
      <w:r>
        <w:rPr>
          <w:vertAlign w:val="baseline"/>
        </w:rPr>
        <w:t>is essential for sustaining the rapid bursts of action potentials necessary for some normal brain</w:t>
      </w:r>
      <w:r>
        <w:rPr>
          <w:spacing w:val="-57"/>
          <w:vertAlign w:val="baseline"/>
        </w:rPr>
        <w:t> </w:t>
      </w:r>
      <w:r>
        <w:rPr>
          <w:vertAlign w:val="baseline"/>
        </w:rPr>
        <w:t>functions, and is implicated in the production of epileptic discharges (Kwan </w:t>
      </w:r>
      <w:r>
        <w:rPr>
          <w:i/>
          <w:vertAlign w:val="baseline"/>
        </w:rPr>
        <w:t>et al., </w:t>
      </w:r>
      <w:r>
        <w:rPr>
          <w:vertAlign w:val="baseline"/>
        </w:rPr>
        <w:t>2001). The</w:t>
      </w:r>
      <w:r>
        <w:rPr>
          <w:spacing w:val="1"/>
          <w:vertAlign w:val="baseline"/>
        </w:rPr>
        <w:t> </w:t>
      </w:r>
      <w:r>
        <w:rPr>
          <w:vertAlign w:val="baseline"/>
        </w:rPr>
        <w:t>neuronal Na</w:t>
      </w:r>
      <w:r>
        <w:rPr>
          <w:vertAlign w:val="superscript"/>
        </w:rPr>
        <w:t>+</w:t>
      </w:r>
      <w:r>
        <w:rPr>
          <w:vertAlign w:val="baseline"/>
        </w:rPr>
        <w:t> channel represents one of the most important targets for antiepileptic drugs</w:t>
      </w:r>
      <w:r>
        <w:rPr>
          <w:spacing w:val="1"/>
          <w:vertAlign w:val="baseline"/>
        </w:rPr>
        <w:t> </w:t>
      </w:r>
      <w:r>
        <w:rPr>
          <w:vertAlign w:val="baseline"/>
        </w:rPr>
        <w:t>action</w:t>
      </w:r>
      <w:r>
        <w:rPr>
          <w:spacing w:val="-1"/>
          <w:vertAlign w:val="baseline"/>
        </w:rPr>
        <w:t> </w:t>
      </w:r>
      <w:r>
        <w:rPr>
          <w:vertAlign w:val="baseline"/>
        </w:rPr>
        <w:t>(Meldrum, 1996;</w:t>
      </w:r>
      <w:r>
        <w:rPr>
          <w:spacing w:val="2"/>
          <w:vertAlign w:val="baseline"/>
        </w:rPr>
        <w:t> </w:t>
      </w:r>
      <w:r>
        <w:rPr>
          <w:vertAlign w:val="baseline"/>
        </w:rPr>
        <w:t>White, 1999).</w:t>
      </w:r>
    </w:p>
    <w:p>
      <w:pPr>
        <w:pStyle w:val="ListParagraph"/>
        <w:numPr>
          <w:ilvl w:val="0"/>
          <w:numId w:val="11"/>
        </w:numPr>
        <w:tabs>
          <w:tab w:pos="980" w:val="left" w:leader="none"/>
          <w:tab w:pos="1989" w:val="left" w:leader="none"/>
          <w:tab w:pos="6013" w:val="left" w:leader="none"/>
        </w:tabs>
        <w:spacing w:line="496" w:lineRule="auto" w:before="0" w:after="0"/>
        <w:ind w:left="648" w:right="673" w:firstLine="0"/>
        <w:jc w:val="left"/>
        <w:rPr>
          <w:sz w:val="24"/>
        </w:rPr>
      </w:pPr>
      <w:r>
        <w:rPr/>
        <w:pict>
          <v:group style="position:absolute;margin-left:528.599976pt;margin-top:27.763136pt;width:14.9pt;height:14.8pt;mso-position-horizontal-relative:page;mso-position-vertical-relative:paragraph;z-index:-18403840" coordorigin="10572,555" coordsize="298,296">
            <v:shape style="position:absolute;left:10572;top:555;width:298;height:296" type="#_x0000_t75" stroked="false">
              <v:imagedata r:id="rId6" o:title=""/>
            </v:shape>
            <v:shape style="position:absolute;left:10572;top:555;width:298;height:296" type="#_x0000_t202" filled="false" stroked="false">
              <v:textbox inset="0,0,0,0">
                <w:txbxContent>
                  <w:p>
                    <w:pPr>
                      <w:spacing w:before="16"/>
                      <w:ind w:left="148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w w:val="99"/>
                        <w:sz w:val="24"/>
                      </w:rPr>
                      <w:t>-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4913152">
            <wp:simplePos x="0" y="0"/>
            <wp:positionH relativeFrom="page">
              <wp:posOffset>4411345</wp:posOffset>
            </wp:positionH>
            <wp:positionV relativeFrom="paragraph">
              <wp:posOffset>725971</wp:posOffset>
            </wp:positionV>
            <wp:extent cx="185927" cy="187451"/>
            <wp:effectExtent l="0" t="0" r="0" b="0"/>
            <wp:wrapNone/>
            <wp:docPr id="7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927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sz w:val="24"/>
        </w:rPr>
        <w:t>Voltage</w:t>
      </w:r>
      <w:r>
        <w:rPr>
          <w:b/>
          <w:i/>
          <w:spacing w:val="13"/>
          <w:sz w:val="24"/>
        </w:rPr>
        <w:t> </w:t>
      </w:r>
      <w:r>
        <w:rPr>
          <w:b/>
          <w:i/>
          <w:sz w:val="24"/>
        </w:rPr>
        <w:t>gated</w:t>
      </w:r>
      <w:r>
        <w:rPr>
          <w:b/>
          <w:i/>
          <w:spacing w:val="13"/>
          <w:sz w:val="24"/>
        </w:rPr>
        <w:t> </w:t>
      </w:r>
      <w:r>
        <w:rPr>
          <w:b/>
          <w:i/>
          <w:sz w:val="24"/>
        </w:rPr>
        <w:t>calcium</w:t>
      </w:r>
      <w:r>
        <w:rPr>
          <w:b/>
          <w:i/>
          <w:spacing w:val="18"/>
          <w:sz w:val="24"/>
        </w:rPr>
        <w:t> </w:t>
      </w:r>
      <w:r>
        <w:rPr>
          <w:b/>
          <w:i/>
          <w:sz w:val="24"/>
        </w:rPr>
        <w:t>channels</w:t>
      </w:r>
      <w:r>
        <w:rPr>
          <w:b/>
          <w:sz w:val="24"/>
        </w:rPr>
        <w:t>;</w:t>
      </w:r>
      <w:r>
        <w:rPr>
          <w:b/>
          <w:spacing w:val="13"/>
          <w:sz w:val="24"/>
        </w:rPr>
        <w:t> </w:t>
      </w:r>
      <w:r>
        <w:rPr>
          <w:b/>
          <w:sz w:val="24"/>
        </w:rPr>
        <w:t>Voltage</w:t>
      </w:r>
      <w:r>
        <w:rPr>
          <w:b/>
          <w:spacing w:val="14"/>
          <w:sz w:val="24"/>
        </w:rPr>
        <w:t> </w:t>
      </w:r>
      <w:r>
        <w:rPr>
          <w:sz w:val="24"/>
        </w:rPr>
        <w:t>gated</w:t>
      </w:r>
      <w:r>
        <w:rPr>
          <w:spacing w:val="13"/>
          <w:sz w:val="24"/>
        </w:rPr>
        <w:t> </w:t>
      </w:r>
      <w:r>
        <w:rPr>
          <w:sz w:val="24"/>
        </w:rPr>
        <w:t>Ca</w:t>
      </w:r>
      <w:r>
        <w:rPr>
          <w:sz w:val="24"/>
          <w:vertAlign w:val="superscript"/>
        </w:rPr>
        <w:t>2+</w:t>
      </w:r>
      <w:r>
        <w:rPr>
          <w:spacing w:val="15"/>
          <w:sz w:val="24"/>
          <w:vertAlign w:val="baseline"/>
        </w:rPr>
        <w:t> </w:t>
      </w:r>
      <w:r>
        <w:rPr>
          <w:sz w:val="24"/>
          <w:vertAlign w:val="baseline"/>
        </w:rPr>
        <w:t>channels</w:t>
      </w:r>
      <w:r>
        <w:rPr>
          <w:spacing w:val="14"/>
          <w:sz w:val="24"/>
          <w:vertAlign w:val="baseline"/>
        </w:rPr>
        <w:t> </w:t>
      </w:r>
      <w:r>
        <w:rPr>
          <w:sz w:val="24"/>
          <w:vertAlign w:val="baseline"/>
        </w:rPr>
        <w:t>share</w:t>
      </w:r>
      <w:r>
        <w:rPr>
          <w:spacing w:val="12"/>
          <w:sz w:val="24"/>
          <w:vertAlign w:val="baseline"/>
        </w:rPr>
        <w:t> </w:t>
      </w:r>
      <w:r>
        <w:rPr>
          <w:sz w:val="24"/>
          <w:vertAlign w:val="baseline"/>
        </w:rPr>
        <w:t>key</w:t>
      </w:r>
      <w:r>
        <w:rPr>
          <w:spacing w:val="9"/>
          <w:sz w:val="24"/>
          <w:vertAlign w:val="baseline"/>
        </w:rPr>
        <w:t> </w:t>
      </w:r>
      <w:r>
        <w:rPr>
          <w:sz w:val="24"/>
          <w:vertAlign w:val="baseline"/>
        </w:rPr>
        <w:t>structural</w:t>
      </w:r>
      <w:r>
        <w:rPr>
          <w:spacing w:val="-57"/>
          <w:sz w:val="24"/>
          <w:vertAlign w:val="baseline"/>
        </w:rPr>
        <w:t> </w:t>
      </w:r>
      <w:r>
        <w:rPr>
          <w:sz w:val="24"/>
          <w:vertAlign w:val="baseline"/>
        </w:rPr>
        <w:t>elements</w:t>
      </w:r>
      <w:r>
        <w:rPr>
          <w:spacing w:val="8"/>
          <w:sz w:val="24"/>
          <w:vertAlign w:val="baseline"/>
        </w:rPr>
        <w:t> </w:t>
      </w:r>
      <w:r>
        <w:rPr>
          <w:sz w:val="24"/>
          <w:vertAlign w:val="baseline"/>
        </w:rPr>
        <w:t>and</w:t>
      </w:r>
      <w:r>
        <w:rPr>
          <w:spacing w:val="11"/>
          <w:sz w:val="24"/>
          <w:vertAlign w:val="baseline"/>
        </w:rPr>
        <w:t> </w:t>
      </w:r>
      <w:r>
        <w:rPr>
          <w:sz w:val="24"/>
          <w:vertAlign w:val="baseline"/>
        </w:rPr>
        <w:t>sequence</w:t>
      </w:r>
      <w:r>
        <w:rPr>
          <w:spacing w:val="10"/>
          <w:sz w:val="24"/>
          <w:vertAlign w:val="baseline"/>
        </w:rPr>
        <w:t> </w:t>
      </w:r>
      <w:r>
        <w:rPr>
          <w:sz w:val="24"/>
          <w:vertAlign w:val="baseline"/>
        </w:rPr>
        <w:t>homology</w:t>
      </w:r>
      <w:r>
        <w:rPr>
          <w:spacing w:val="3"/>
          <w:sz w:val="24"/>
          <w:vertAlign w:val="baseline"/>
        </w:rPr>
        <w:t> </w:t>
      </w:r>
      <w:r>
        <w:rPr>
          <w:sz w:val="24"/>
          <w:vertAlign w:val="baseline"/>
        </w:rPr>
        <w:t>with</w:t>
      </w:r>
      <w:r>
        <w:rPr>
          <w:spacing w:val="9"/>
          <w:sz w:val="24"/>
          <w:vertAlign w:val="baseline"/>
        </w:rPr>
        <w:t> </w:t>
      </w:r>
      <w:r>
        <w:rPr>
          <w:sz w:val="24"/>
          <w:vertAlign w:val="baseline"/>
        </w:rPr>
        <w:t>their</w:t>
      </w:r>
      <w:r>
        <w:rPr>
          <w:spacing w:val="10"/>
          <w:sz w:val="24"/>
          <w:vertAlign w:val="baseline"/>
        </w:rPr>
        <w:t> </w:t>
      </w:r>
      <w:r>
        <w:rPr>
          <w:sz w:val="24"/>
          <w:vertAlign w:val="baseline"/>
        </w:rPr>
        <w:t>Na</w:t>
      </w:r>
      <w:r>
        <w:rPr>
          <w:sz w:val="24"/>
          <w:vertAlign w:val="superscript"/>
        </w:rPr>
        <w:t>+</w:t>
      </w:r>
      <w:r>
        <w:rPr>
          <w:spacing w:val="11"/>
          <w:sz w:val="24"/>
          <w:vertAlign w:val="baseline"/>
        </w:rPr>
        <w:t> </w:t>
      </w:r>
      <w:r>
        <w:rPr>
          <w:sz w:val="24"/>
          <w:vertAlign w:val="baseline"/>
        </w:rPr>
        <w:t>channel</w:t>
      </w:r>
      <w:r>
        <w:rPr>
          <w:spacing w:val="12"/>
          <w:sz w:val="24"/>
          <w:vertAlign w:val="baseline"/>
        </w:rPr>
        <w:t> </w:t>
      </w:r>
      <w:r>
        <w:rPr>
          <w:sz w:val="24"/>
          <w:vertAlign w:val="baseline"/>
        </w:rPr>
        <w:t>counterparts</w:t>
      </w:r>
      <w:r>
        <w:rPr>
          <w:spacing w:val="9"/>
          <w:sz w:val="24"/>
          <w:vertAlign w:val="baseline"/>
        </w:rPr>
        <w:t> </w:t>
      </w:r>
      <w:r>
        <w:rPr>
          <w:sz w:val="24"/>
          <w:vertAlign w:val="baseline"/>
        </w:rPr>
        <w:t>(Barchi,</w:t>
      </w:r>
      <w:r>
        <w:rPr>
          <w:spacing w:val="8"/>
          <w:sz w:val="24"/>
          <w:vertAlign w:val="baseline"/>
        </w:rPr>
        <w:t> </w:t>
      </w:r>
      <w:r>
        <w:rPr>
          <w:sz w:val="24"/>
          <w:vertAlign w:val="baseline"/>
        </w:rPr>
        <w:t>1998).</w:t>
      </w:r>
      <w:r>
        <w:rPr>
          <w:spacing w:val="11"/>
          <w:sz w:val="24"/>
          <w:vertAlign w:val="baseline"/>
        </w:rPr>
        <w:t> </w:t>
      </w:r>
      <w:r>
        <w:rPr>
          <w:sz w:val="24"/>
          <w:vertAlign w:val="baseline"/>
        </w:rPr>
        <w:t>The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subunit</w:t>
      </w:r>
      <w:r>
        <w:rPr>
          <w:spacing w:val="20"/>
          <w:sz w:val="24"/>
          <w:vertAlign w:val="baseline"/>
        </w:rPr>
        <w:t> </w:t>
      </w:r>
      <w:r>
        <w:rPr>
          <w:sz w:val="24"/>
          <w:vertAlign w:val="baseline"/>
        </w:rPr>
        <w:t>of</w:t>
      </w:r>
      <w:r>
        <w:rPr>
          <w:spacing w:val="20"/>
          <w:sz w:val="24"/>
          <w:vertAlign w:val="baseline"/>
        </w:rPr>
        <w:t> </w:t>
      </w:r>
      <w:r>
        <w:rPr>
          <w:sz w:val="24"/>
          <w:vertAlign w:val="baseline"/>
        </w:rPr>
        <w:t>the</w:t>
      </w:r>
      <w:r>
        <w:rPr>
          <w:spacing w:val="17"/>
          <w:sz w:val="24"/>
          <w:vertAlign w:val="baseline"/>
        </w:rPr>
        <w:t> </w:t>
      </w:r>
      <w:r>
        <w:rPr>
          <w:sz w:val="24"/>
          <w:vertAlign w:val="baseline"/>
        </w:rPr>
        <w:t>Ca</w:t>
      </w:r>
      <w:r>
        <w:rPr>
          <w:sz w:val="24"/>
          <w:vertAlign w:val="superscript"/>
        </w:rPr>
        <w:t>2+</w:t>
      </w:r>
      <w:r>
        <w:rPr>
          <w:spacing w:val="19"/>
          <w:sz w:val="24"/>
          <w:vertAlign w:val="baseline"/>
        </w:rPr>
        <w:t> </w:t>
      </w:r>
      <w:r>
        <w:rPr>
          <w:sz w:val="24"/>
          <w:vertAlign w:val="baseline"/>
        </w:rPr>
        <w:t>channel</w:t>
      </w:r>
      <w:r>
        <w:rPr>
          <w:spacing w:val="21"/>
          <w:sz w:val="24"/>
          <w:vertAlign w:val="baseline"/>
        </w:rPr>
        <w:t> </w:t>
      </w:r>
      <w:r>
        <w:rPr>
          <w:sz w:val="24"/>
          <w:vertAlign w:val="baseline"/>
        </w:rPr>
        <w:t>is</w:t>
      </w:r>
      <w:r>
        <w:rPr>
          <w:spacing w:val="21"/>
          <w:sz w:val="24"/>
          <w:vertAlign w:val="baseline"/>
        </w:rPr>
        <w:t> </w:t>
      </w:r>
      <w:r>
        <w:rPr>
          <w:sz w:val="24"/>
          <w:vertAlign w:val="baseline"/>
        </w:rPr>
        <w:t>the</w:t>
      </w:r>
      <w:r>
        <w:rPr>
          <w:spacing w:val="20"/>
          <w:sz w:val="24"/>
          <w:vertAlign w:val="baseline"/>
        </w:rPr>
        <w:t> </w:t>
      </w:r>
      <w:r>
        <w:rPr>
          <w:sz w:val="24"/>
          <w:vertAlign w:val="baseline"/>
        </w:rPr>
        <w:t>homologue</w:t>
      </w:r>
      <w:r>
        <w:rPr>
          <w:spacing w:val="19"/>
          <w:sz w:val="24"/>
          <w:vertAlign w:val="baseline"/>
        </w:rPr>
        <w:t> </w:t>
      </w:r>
      <w:r>
        <w:rPr>
          <w:sz w:val="24"/>
          <w:vertAlign w:val="baseline"/>
        </w:rPr>
        <w:t>of</w:t>
      </w:r>
      <w:r>
        <w:rPr>
          <w:spacing w:val="20"/>
          <w:sz w:val="24"/>
          <w:vertAlign w:val="baseline"/>
        </w:rPr>
        <w:t> </w:t>
      </w:r>
      <w:r>
        <w:rPr>
          <w:sz w:val="24"/>
          <w:vertAlign w:val="baseline"/>
        </w:rPr>
        <w:t>the</w:t>
        <w:tab/>
        <w:t>-subunit</w:t>
      </w:r>
      <w:r>
        <w:rPr>
          <w:spacing w:val="20"/>
          <w:sz w:val="24"/>
          <w:vertAlign w:val="baseline"/>
        </w:rPr>
        <w:t> </w:t>
      </w:r>
      <w:r>
        <w:rPr>
          <w:sz w:val="24"/>
          <w:vertAlign w:val="baseline"/>
        </w:rPr>
        <w:t>of</w:t>
      </w:r>
      <w:r>
        <w:rPr>
          <w:spacing w:val="18"/>
          <w:sz w:val="24"/>
          <w:vertAlign w:val="baseline"/>
        </w:rPr>
        <w:t> </w:t>
      </w:r>
      <w:r>
        <w:rPr>
          <w:sz w:val="24"/>
          <w:vertAlign w:val="baseline"/>
        </w:rPr>
        <w:t>the</w:t>
      </w:r>
      <w:r>
        <w:rPr>
          <w:spacing w:val="19"/>
          <w:sz w:val="24"/>
          <w:vertAlign w:val="baseline"/>
        </w:rPr>
        <w:t> </w:t>
      </w:r>
      <w:r>
        <w:rPr>
          <w:sz w:val="24"/>
          <w:vertAlign w:val="baseline"/>
        </w:rPr>
        <w:t>Na</w:t>
      </w:r>
      <w:r>
        <w:rPr>
          <w:sz w:val="24"/>
          <w:vertAlign w:val="superscript"/>
        </w:rPr>
        <w:t>+</w:t>
      </w:r>
      <w:r>
        <w:rPr>
          <w:spacing w:val="21"/>
          <w:sz w:val="24"/>
          <w:vertAlign w:val="baseline"/>
        </w:rPr>
        <w:t> </w:t>
      </w:r>
      <w:r>
        <w:rPr>
          <w:sz w:val="24"/>
          <w:vertAlign w:val="baseline"/>
        </w:rPr>
        <w:t>channel</w:t>
      </w:r>
      <w:r>
        <w:rPr>
          <w:spacing w:val="19"/>
          <w:sz w:val="24"/>
          <w:vertAlign w:val="baseline"/>
        </w:rPr>
        <w:t> </w:t>
      </w:r>
      <w:r>
        <w:rPr>
          <w:sz w:val="24"/>
          <w:vertAlign w:val="baseline"/>
        </w:rPr>
        <w:t>(Kwan</w:t>
      </w:r>
      <w:r>
        <w:rPr>
          <w:spacing w:val="21"/>
          <w:sz w:val="24"/>
          <w:vertAlign w:val="baseline"/>
        </w:rPr>
        <w:t> </w:t>
      </w:r>
      <w:r>
        <w:rPr>
          <w:i/>
          <w:sz w:val="24"/>
          <w:vertAlign w:val="baseline"/>
        </w:rPr>
        <w:t>et</w:t>
      </w:r>
      <w:r>
        <w:rPr>
          <w:i/>
          <w:spacing w:val="-57"/>
          <w:sz w:val="24"/>
          <w:vertAlign w:val="baseline"/>
        </w:rPr>
        <w:t> </w:t>
      </w:r>
      <w:r>
        <w:rPr>
          <w:i/>
          <w:sz w:val="24"/>
          <w:vertAlign w:val="baseline"/>
        </w:rPr>
        <w:t>al</w:t>
      </w:r>
      <w:r>
        <w:rPr>
          <w:sz w:val="24"/>
          <w:vertAlign w:val="baseline"/>
        </w:rPr>
        <w:t>.,</w:t>
      </w:r>
      <w:r>
        <w:rPr>
          <w:spacing w:val="75"/>
          <w:sz w:val="24"/>
          <w:vertAlign w:val="baseline"/>
        </w:rPr>
        <w:t> </w:t>
      </w:r>
      <w:r>
        <w:rPr>
          <w:sz w:val="24"/>
          <w:vertAlign w:val="baseline"/>
        </w:rPr>
        <w:t>2001).</w:t>
        <w:tab/>
        <w:t>It</w:t>
      </w:r>
      <w:r>
        <w:rPr>
          <w:spacing w:val="20"/>
          <w:sz w:val="24"/>
          <w:vertAlign w:val="baseline"/>
        </w:rPr>
        <w:t> </w:t>
      </w:r>
      <w:r>
        <w:rPr>
          <w:sz w:val="24"/>
          <w:vertAlign w:val="baseline"/>
        </w:rPr>
        <w:t>forms</w:t>
      </w:r>
      <w:r>
        <w:rPr>
          <w:spacing w:val="19"/>
          <w:sz w:val="24"/>
          <w:vertAlign w:val="baseline"/>
        </w:rPr>
        <w:t> </w:t>
      </w:r>
      <w:r>
        <w:rPr>
          <w:sz w:val="24"/>
          <w:vertAlign w:val="baseline"/>
        </w:rPr>
        <w:t>the</w:t>
      </w:r>
      <w:r>
        <w:rPr>
          <w:spacing w:val="16"/>
          <w:sz w:val="24"/>
          <w:vertAlign w:val="baseline"/>
        </w:rPr>
        <w:t> </w:t>
      </w:r>
      <w:r>
        <w:rPr>
          <w:sz w:val="24"/>
          <w:vertAlign w:val="baseline"/>
        </w:rPr>
        <w:t>Ca</w:t>
      </w:r>
      <w:r>
        <w:rPr>
          <w:sz w:val="24"/>
          <w:vertAlign w:val="superscript"/>
        </w:rPr>
        <w:t>2+</w:t>
      </w:r>
      <w:r>
        <w:rPr>
          <w:spacing w:val="17"/>
          <w:sz w:val="24"/>
          <w:vertAlign w:val="baseline"/>
        </w:rPr>
        <w:t> </w:t>
      </w:r>
      <w:r>
        <w:rPr>
          <w:sz w:val="24"/>
          <w:vertAlign w:val="baseline"/>
        </w:rPr>
        <w:t>sensitive</w:t>
      </w:r>
      <w:r>
        <w:rPr>
          <w:spacing w:val="16"/>
          <w:sz w:val="24"/>
          <w:vertAlign w:val="baseline"/>
        </w:rPr>
        <w:t> </w:t>
      </w:r>
      <w:r>
        <w:rPr>
          <w:sz w:val="24"/>
          <w:vertAlign w:val="baseline"/>
        </w:rPr>
        <w:t>channel</w:t>
      </w:r>
      <w:r>
        <w:rPr>
          <w:spacing w:val="17"/>
          <w:sz w:val="24"/>
          <w:vertAlign w:val="baseline"/>
        </w:rPr>
        <w:t> </w:t>
      </w:r>
      <w:r>
        <w:rPr>
          <w:sz w:val="24"/>
          <w:vertAlign w:val="baseline"/>
        </w:rPr>
        <w:t>pore</w:t>
      </w:r>
      <w:r>
        <w:rPr>
          <w:spacing w:val="17"/>
          <w:sz w:val="24"/>
          <w:vertAlign w:val="baseline"/>
        </w:rPr>
        <w:t> </w:t>
      </w:r>
      <w:r>
        <w:rPr>
          <w:sz w:val="24"/>
          <w:vertAlign w:val="baseline"/>
        </w:rPr>
        <w:t>and</w:t>
      </w:r>
      <w:r>
        <w:rPr>
          <w:spacing w:val="18"/>
          <w:sz w:val="24"/>
          <w:vertAlign w:val="baseline"/>
        </w:rPr>
        <w:t> </w:t>
      </w:r>
      <w:r>
        <w:rPr>
          <w:sz w:val="24"/>
          <w:vertAlign w:val="baseline"/>
        </w:rPr>
        <w:t>confers</w:t>
      </w:r>
      <w:r>
        <w:rPr>
          <w:spacing w:val="16"/>
          <w:sz w:val="24"/>
          <w:vertAlign w:val="baseline"/>
        </w:rPr>
        <w:t> </w:t>
      </w:r>
      <w:r>
        <w:rPr>
          <w:sz w:val="24"/>
          <w:vertAlign w:val="baseline"/>
        </w:rPr>
        <w:t>voltage</w:t>
      </w:r>
      <w:r>
        <w:rPr>
          <w:spacing w:val="17"/>
          <w:sz w:val="24"/>
          <w:vertAlign w:val="baseline"/>
        </w:rPr>
        <w:t> </w:t>
      </w:r>
      <w:r>
        <w:rPr>
          <w:sz w:val="24"/>
          <w:vertAlign w:val="baseline"/>
        </w:rPr>
        <w:t>dependency</w:t>
      </w:r>
      <w:r>
        <w:rPr>
          <w:spacing w:val="-57"/>
          <w:sz w:val="24"/>
          <w:vertAlign w:val="baseline"/>
        </w:rPr>
        <w:t> </w:t>
      </w:r>
      <w:r>
        <w:rPr>
          <w:sz w:val="24"/>
          <w:vertAlign w:val="baseline"/>
        </w:rPr>
        <w:t>(Catterall,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1995).</w:t>
      </w:r>
    </w:p>
    <w:p>
      <w:pPr>
        <w:spacing w:after="0" w:line="496" w:lineRule="auto"/>
        <w:jc w:val="left"/>
        <w:rPr>
          <w:sz w:val="24"/>
        </w:rPr>
        <w:sectPr>
          <w:pgSz w:w="12240" w:h="15840"/>
          <w:pgMar w:header="0" w:footer="792" w:top="1320" w:bottom="980" w:left="1080" w:right="760"/>
        </w:sectPr>
      </w:pPr>
    </w:p>
    <w:p>
      <w:pPr>
        <w:pStyle w:val="BodyText"/>
        <w:spacing w:line="480" w:lineRule="auto" w:before="112"/>
        <w:ind w:left="648" w:right="679"/>
        <w:jc w:val="both"/>
      </w:pPr>
      <w:r>
        <w:rPr/>
        <w:t>Voltage-gated Ca</w:t>
      </w:r>
      <w:r>
        <w:rPr>
          <w:vertAlign w:val="superscript"/>
        </w:rPr>
        <w:t>2+</w:t>
      </w:r>
      <w:r>
        <w:rPr>
          <w:vertAlign w:val="baseline"/>
        </w:rPr>
        <w:t> channels can be broadly grouped into low voltage activated and high</w:t>
      </w:r>
      <w:r>
        <w:rPr>
          <w:spacing w:val="1"/>
          <w:vertAlign w:val="baseline"/>
        </w:rPr>
        <w:t> </w:t>
      </w:r>
      <w:r>
        <w:rPr>
          <w:vertAlign w:val="baseline"/>
        </w:rPr>
        <w:t>voltage activated, according to the membrane potential at which they are activated (Hoffman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et</w:t>
      </w:r>
      <w:r>
        <w:rPr>
          <w:i/>
          <w:spacing w:val="1"/>
          <w:vertAlign w:val="baseline"/>
        </w:rPr>
        <w:t> </w:t>
      </w:r>
      <w:r>
        <w:rPr>
          <w:i/>
          <w:vertAlign w:val="baseline"/>
        </w:rPr>
        <w:t>al</w:t>
      </w:r>
      <w:r>
        <w:rPr>
          <w:vertAlign w:val="baseline"/>
        </w:rPr>
        <w:t>.,</w:t>
      </w:r>
      <w:r>
        <w:rPr>
          <w:spacing w:val="1"/>
          <w:vertAlign w:val="baseline"/>
        </w:rPr>
        <w:t> </w:t>
      </w:r>
      <w:r>
        <w:rPr>
          <w:vertAlign w:val="baseline"/>
        </w:rPr>
        <w:t>1994).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low</w:t>
      </w:r>
      <w:r>
        <w:rPr>
          <w:spacing w:val="1"/>
          <w:vertAlign w:val="baseline"/>
        </w:rPr>
        <w:t> </w:t>
      </w:r>
      <w:r>
        <w:rPr>
          <w:vertAlign w:val="baseline"/>
        </w:rPr>
        <w:t>voltage,</w:t>
      </w:r>
      <w:r>
        <w:rPr>
          <w:spacing w:val="1"/>
          <w:vertAlign w:val="baseline"/>
        </w:rPr>
        <w:t> </w:t>
      </w:r>
      <w:r>
        <w:rPr>
          <w:vertAlign w:val="baseline"/>
        </w:rPr>
        <w:t>T-type</w:t>
      </w:r>
      <w:r>
        <w:rPr>
          <w:spacing w:val="1"/>
          <w:vertAlign w:val="baseline"/>
        </w:rPr>
        <w:t> </w:t>
      </w:r>
      <w:r>
        <w:rPr>
          <w:vertAlign w:val="baseline"/>
        </w:rPr>
        <w:t>Ca</w:t>
      </w:r>
      <w:r>
        <w:rPr>
          <w:vertAlign w:val="superscript"/>
        </w:rPr>
        <w:t>2+</w:t>
      </w:r>
      <w:r>
        <w:rPr>
          <w:spacing w:val="1"/>
          <w:vertAlign w:val="baseline"/>
        </w:rPr>
        <w:t> </w:t>
      </w:r>
      <w:r>
        <w:rPr>
          <w:vertAlign w:val="baseline"/>
        </w:rPr>
        <w:t>channel</w:t>
      </w:r>
      <w:r>
        <w:rPr>
          <w:spacing w:val="1"/>
          <w:vertAlign w:val="baseline"/>
        </w:rPr>
        <w:t> </w:t>
      </w:r>
      <w:r>
        <w:rPr>
          <w:vertAlign w:val="baseline"/>
        </w:rPr>
        <w:t>is</w:t>
      </w:r>
      <w:r>
        <w:rPr>
          <w:spacing w:val="1"/>
          <w:vertAlign w:val="baseline"/>
        </w:rPr>
        <w:t> </w:t>
      </w:r>
      <w:r>
        <w:rPr>
          <w:vertAlign w:val="baseline"/>
        </w:rPr>
        <w:t>expressed</w:t>
      </w:r>
      <w:r>
        <w:rPr>
          <w:spacing w:val="1"/>
          <w:vertAlign w:val="baseline"/>
        </w:rPr>
        <w:t> </w:t>
      </w:r>
      <w:r>
        <w:rPr>
          <w:vertAlign w:val="baseline"/>
        </w:rPr>
        <w:t>predominantly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thalamocortical relay neurons, where it is believed to be instrumental in the generation of low</w:t>
      </w:r>
      <w:r>
        <w:rPr>
          <w:spacing w:val="1"/>
          <w:vertAlign w:val="baseline"/>
        </w:rPr>
        <w:t> </w:t>
      </w:r>
      <w:r>
        <w:rPr>
          <w:vertAlign w:val="baseline"/>
        </w:rPr>
        <w:t>threshold spikes that in turn trigger burst firing mediated by Na</w:t>
      </w:r>
      <w:r>
        <w:rPr>
          <w:vertAlign w:val="superscript"/>
        </w:rPr>
        <w:t>+</w:t>
      </w:r>
      <w:r>
        <w:rPr>
          <w:vertAlign w:val="baseline"/>
        </w:rPr>
        <w:t> channels, this burst firing is</w:t>
      </w:r>
      <w:r>
        <w:rPr>
          <w:spacing w:val="1"/>
          <w:vertAlign w:val="baseline"/>
        </w:rPr>
        <w:t> </w:t>
      </w:r>
      <w:r>
        <w:rPr>
          <w:vertAlign w:val="baseline"/>
        </w:rPr>
        <w:t>associated with the synchronicity observed in the thalamus as observed in generalized absence</w:t>
      </w:r>
      <w:r>
        <w:rPr>
          <w:spacing w:val="-57"/>
          <w:vertAlign w:val="baseline"/>
        </w:rPr>
        <w:t> </w:t>
      </w:r>
      <w:r>
        <w:rPr>
          <w:vertAlign w:val="baseline"/>
        </w:rPr>
        <w:t>seizures</w:t>
      </w:r>
      <w:r>
        <w:rPr>
          <w:spacing w:val="-1"/>
          <w:vertAlign w:val="baseline"/>
        </w:rPr>
        <w:t> </w:t>
      </w:r>
      <w:r>
        <w:rPr>
          <w:vertAlign w:val="baseline"/>
        </w:rPr>
        <w:t>(Coulter</w:t>
      </w:r>
      <w:r>
        <w:rPr>
          <w:spacing w:val="-1"/>
          <w:vertAlign w:val="baseline"/>
        </w:rPr>
        <w:t> </w:t>
      </w:r>
      <w:r>
        <w:rPr>
          <w:i/>
          <w:vertAlign w:val="baseline"/>
        </w:rPr>
        <w:t>et al</w:t>
      </w:r>
      <w:r>
        <w:rPr>
          <w:vertAlign w:val="baseline"/>
        </w:rPr>
        <w:t>., 1989).</w:t>
      </w:r>
    </w:p>
    <w:p>
      <w:pPr>
        <w:pStyle w:val="BodyText"/>
        <w:spacing w:before="1"/>
      </w:pPr>
    </w:p>
    <w:p>
      <w:pPr>
        <w:pStyle w:val="BodyText"/>
        <w:spacing w:line="480" w:lineRule="auto"/>
        <w:ind w:left="648" w:right="675"/>
        <w:jc w:val="both"/>
      </w:pPr>
      <w:r>
        <w:rPr/>
        <w:t>High voltage activated Ca</w:t>
      </w:r>
      <w:r>
        <w:rPr>
          <w:vertAlign w:val="superscript"/>
        </w:rPr>
        <w:t>2+</w:t>
      </w:r>
      <w:r>
        <w:rPr>
          <w:vertAlign w:val="baseline"/>
        </w:rPr>
        <w:t> channels are sub-classified by their pharmacological properties</w:t>
      </w:r>
      <w:r>
        <w:rPr>
          <w:spacing w:val="1"/>
          <w:vertAlign w:val="baseline"/>
        </w:rPr>
        <w:t> </w:t>
      </w:r>
      <w:r>
        <w:rPr>
          <w:vertAlign w:val="baseline"/>
        </w:rPr>
        <w:t>into L-, N-</w:t>
      </w:r>
      <w:r>
        <w:rPr>
          <w:vertAlign w:val="subscript"/>
        </w:rPr>
        <w:t>,</w:t>
      </w:r>
      <w:r>
        <w:rPr>
          <w:vertAlign w:val="baseline"/>
        </w:rPr>
        <w:t> P-, Q-, and R-types (Hofman </w:t>
      </w:r>
      <w:r>
        <w:rPr>
          <w:i/>
          <w:vertAlign w:val="baseline"/>
        </w:rPr>
        <w:t>et al</w:t>
      </w:r>
      <w:r>
        <w:rPr>
          <w:vertAlign w:val="baseline"/>
        </w:rPr>
        <w:t>., 1994; Catterall, 1995).</w:t>
      </w:r>
      <w:r>
        <w:rPr>
          <w:spacing w:val="1"/>
          <w:vertAlign w:val="baseline"/>
        </w:rPr>
        <w:t> </w:t>
      </w:r>
      <w:r>
        <w:rPr>
          <w:vertAlign w:val="baseline"/>
        </w:rPr>
        <w:t>These channels are</w:t>
      </w:r>
      <w:r>
        <w:rPr>
          <w:spacing w:val="1"/>
          <w:vertAlign w:val="baseline"/>
        </w:rPr>
        <w:t> </w:t>
      </w:r>
      <w:r>
        <w:rPr>
          <w:vertAlign w:val="baseline"/>
        </w:rPr>
        <w:t>distributed throughout the nervous system on dendrites, cell</w:t>
      </w:r>
      <w:r>
        <w:rPr>
          <w:spacing w:val="1"/>
          <w:vertAlign w:val="baseline"/>
        </w:rPr>
        <w:t> </w:t>
      </w:r>
      <w:r>
        <w:rPr>
          <w:vertAlign w:val="baseline"/>
        </w:rPr>
        <w:t>bodies, and nerve terminals</w:t>
      </w:r>
      <w:r>
        <w:rPr>
          <w:spacing w:val="1"/>
          <w:vertAlign w:val="baseline"/>
        </w:rPr>
        <w:t> </w:t>
      </w:r>
      <w:r>
        <w:rPr>
          <w:vertAlign w:val="baseline"/>
        </w:rPr>
        <w:t>(Kwan</w:t>
      </w:r>
      <w:r>
        <w:rPr>
          <w:spacing w:val="49"/>
          <w:vertAlign w:val="baseline"/>
        </w:rPr>
        <w:t> </w:t>
      </w:r>
      <w:r>
        <w:rPr>
          <w:i/>
          <w:vertAlign w:val="baseline"/>
        </w:rPr>
        <w:t>et</w:t>
      </w:r>
      <w:r>
        <w:rPr>
          <w:i/>
          <w:spacing w:val="49"/>
          <w:vertAlign w:val="baseline"/>
        </w:rPr>
        <w:t> </w:t>
      </w:r>
      <w:r>
        <w:rPr>
          <w:i/>
          <w:vertAlign w:val="baseline"/>
        </w:rPr>
        <w:t>al</w:t>
      </w:r>
      <w:r>
        <w:rPr>
          <w:vertAlign w:val="baseline"/>
        </w:rPr>
        <w:t>.,</w:t>
      </w:r>
      <w:r>
        <w:rPr>
          <w:spacing w:val="49"/>
          <w:vertAlign w:val="baseline"/>
        </w:rPr>
        <w:t> </w:t>
      </w:r>
      <w:r>
        <w:rPr>
          <w:vertAlign w:val="baseline"/>
        </w:rPr>
        <w:t>2001),</w:t>
      </w:r>
      <w:r>
        <w:rPr>
          <w:spacing w:val="49"/>
          <w:vertAlign w:val="baseline"/>
        </w:rPr>
        <w:t> </w:t>
      </w:r>
      <w:r>
        <w:rPr>
          <w:vertAlign w:val="baseline"/>
        </w:rPr>
        <w:t>the</w:t>
      </w:r>
      <w:r>
        <w:rPr>
          <w:spacing w:val="48"/>
          <w:vertAlign w:val="baseline"/>
        </w:rPr>
        <w:t> </w:t>
      </w:r>
      <w:r>
        <w:rPr>
          <w:vertAlign w:val="baseline"/>
        </w:rPr>
        <w:t>N-,</w:t>
      </w:r>
      <w:r>
        <w:rPr>
          <w:spacing w:val="49"/>
          <w:vertAlign w:val="baseline"/>
        </w:rPr>
        <w:t> </w:t>
      </w:r>
      <w:r>
        <w:rPr>
          <w:vertAlign w:val="baseline"/>
        </w:rPr>
        <w:t>P-,</w:t>
      </w:r>
      <w:r>
        <w:rPr>
          <w:spacing w:val="49"/>
          <w:vertAlign w:val="baseline"/>
        </w:rPr>
        <w:t> </w:t>
      </w:r>
      <w:r>
        <w:rPr>
          <w:vertAlign w:val="baseline"/>
        </w:rPr>
        <w:t>and</w:t>
      </w:r>
      <w:r>
        <w:rPr>
          <w:spacing w:val="50"/>
          <w:vertAlign w:val="baseline"/>
        </w:rPr>
        <w:t> </w:t>
      </w:r>
      <w:r>
        <w:rPr>
          <w:vertAlign w:val="baseline"/>
        </w:rPr>
        <w:t>Q-</w:t>
      </w:r>
      <w:r>
        <w:rPr>
          <w:spacing w:val="48"/>
          <w:vertAlign w:val="baseline"/>
        </w:rPr>
        <w:t> </w:t>
      </w:r>
      <w:r>
        <w:rPr>
          <w:vertAlign w:val="baseline"/>
        </w:rPr>
        <w:t>type</w:t>
      </w:r>
      <w:r>
        <w:rPr>
          <w:spacing w:val="50"/>
          <w:vertAlign w:val="baseline"/>
        </w:rPr>
        <w:t> </w:t>
      </w:r>
      <w:r>
        <w:rPr>
          <w:vertAlign w:val="baseline"/>
        </w:rPr>
        <w:t>channels</w:t>
      </w:r>
      <w:r>
        <w:rPr>
          <w:spacing w:val="49"/>
          <w:vertAlign w:val="baseline"/>
        </w:rPr>
        <w:t> </w:t>
      </w:r>
      <w:r>
        <w:rPr>
          <w:vertAlign w:val="baseline"/>
        </w:rPr>
        <w:t>in</w:t>
      </w:r>
      <w:r>
        <w:rPr>
          <w:spacing w:val="49"/>
          <w:vertAlign w:val="baseline"/>
        </w:rPr>
        <w:t> </w:t>
      </w:r>
      <w:r>
        <w:rPr>
          <w:vertAlign w:val="baseline"/>
        </w:rPr>
        <w:t>particular,</w:t>
      </w:r>
      <w:r>
        <w:rPr>
          <w:spacing w:val="48"/>
          <w:vertAlign w:val="baseline"/>
        </w:rPr>
        <w:t> </w:t>
      </w:r>
      <w:r>
        <w:rPr>
          <w:vertAlign w:val="baseline"/>
        </w:rPr>
        <w:t>controls</w:t>
      </w:r>
      <w:r>
        <w:rPr>
          <w:spacing w:val="49"/>
          <w:vertAlign w:val="baseline"/>
        </w:rPr>
        <w:t> </w:t>
      </w:r>
      <w:r>
        <w:rPr>
          <w:vertAlign w:val="baseline"/>
        </w:rPr>
        <w:t>presynaptic</w:t>
      </w:r>
      <w:r>
        <w:rPr>
          <w:spacing w:val="-57"/>
          <w:vertAlign w:val="baseline"/>
        </w:rPr>
        <w:t> </w:t>
      </w:r>
      <w:r>
        <w:rPr>
          <w:vertAlign w:val="baseline"/>
        </w:rPr>
        <w:t>release of neurotransmitter glutamate (Stefani </w:t>
      </w:r>
      <w:r>
        <w:rPr>
          <w:i/>
          <w:vertAlign w:val="baseline"/>
        </w:rPr>
        <w:t>et al</w:t>
      </w:r>
      <w:r>
        <w:rPr>
          <w:vertAlign w:val="baseline"/>
        </w:rPr>
        <w:t>., 1997). Thus</w:t>
      </w:r>
      <w:r>
        <w:rPr>
          <w:spacing w:val="1"/>
          <w:vertAlign w:val="baseline"/>
        </w:rPr>
        <w:t> </w:t>
      </w:r>
      <w:r>
        <w:rPr>
          <w:vertAlign w:val="baseline"/>
        </w:rPr>
        <w:t>blockade of voltage gated</w:t>
      </w:r>
      <w:r>
        <w:rPr>
          <w:spacing w:val="1"/>
          <w:vertAlign w:val="baseline"/>
        </w:rPr>
        <w:t> </w:t>
      </w:r>
      <w:r>
        <w:rPr>
          <w:vertAlign w:val="baseline"/>
        </w:rPr>
        <w:t>Ca</w:t>
      </w:r>
      <w:r>
        <w:rPr>
          <w:vertAlign w:val="superscript"/>
        </w:rPr>
        <w:t>2+</w:t>
      </w:r>
      <w:r>
        <w:rPr>
          <w:vertAlign w:val="baseline"/>
        </w:rPr>
        <w:t> channels is an</w:t>
      </w:r>
      <w:r>
        <w:rPr>
          <w:spacing w:val="1"/>
          <w:vertAlign w:val="baseline"/>
        </w:rPr>
        <w:t> </w:t>
      </w:r>
      <w:r>
        <w:rPr>
          <w:vertAlign w:val="baseline"/>
        </w:rPr>
        <w:t>important target for antiepileptic drugs (Perez-Reyes, 2003; Meldrum and</w:t>
      </w:r>
      <w:r>
        <w:rPr>
          <w:spacing w:val="-57"/>
          <w:vertAlign w:val="baseline"/>
        </w:rPr>
        <w:t> </w:t>
      </w:r>
      <w:r>
        <w:rPr>
          <w:vertAlign w:val="baseline"/>
        </w:rPr>
        <w:t>Rogawski, 2007), also some antiepileptic drugs that inhibit Na</w:t>
      </w:r>
      <w:r>
        <w:rPr>
          <w:vertAlign w:val="superscript"/>
        </w:rPr>
        <w:t>+</w:t>
      </w:r>
      <w:r>
        <w:rPr>
          <w:vertAlign w:val="baseline"/>
        </w:rPr>
        <w:t> channels also block T-type</w:t>
      </w:r>
      <w:r>
        <w:rPr>
          <w:spacing w:val="1"/>
          <w:vertAlign w:val="baseline"/>
        </w:rPr>
        <w:t> </w:t>
      </w:r>
      <w:r>
        <w:rPr>
          <w:vertAlign w:val="baseline"/>
        </w:rPr>
        <w:t>Ca</w:t>
      </w:r>
      <w:r>
        <w:rPr>
          <w:vertAlign w:val="superscript"/>
        </w:rPr>
        <w:t>2+</w:t>
      </w:r>
      <w:r>
        <w:rPr>
          <w:spacing w:val="-1"/>
          <w:vertAlign w:val="baseline"/>
        </w:rPr>
        <w:t> </w:t>
      </w:r>
      <w:r>
        <w:rPr>
          <w:vertAlign w:val="baseline"/>
        </w:rPr>
        <w:t>channels (Rogawski and</w:t>
      </w:r>
      <w:r>
        <w:rPr>
          <w:spacing w:val="2"/>
          <w:vertAlign w:val="baseline"/>
        </w:rPr>
        <w:t> </w:t>
      </w:r>
      <w:r>
        <w:rPr>
          <w:vertAlign w:val="baseline"/>
        </w:rPr>
        <w:t>Loscher,2004).</w:t>
      </w:r>
    </w:p>
    <w:p>
      <w:pPr>
        <w:pStyle w:val="ListParagraph"/>
        <w:numPr>
          <w:ilvl w:val="0"/>
          <w:numId w:val="11"/>
        </w:numPr>
        <w:tabs>
          <w:tab w:pos="889" w:val="left" w:leader="none"/>
        </w:tabs>
        <w:spacing w:line="480" w:lineRule="auto" w:before="269" w:after="0"/>
        <w:ind w:left="648" w:right="680" w:firstLine="0"/>
        <w:jc w:val="left"/>
        <w:rPr>
          <w:sz w:val="24"/>
        </w:rPr>
      </w:pPr>
      <w:r>
        <w:rPr/>
        <w:pict>
          <v:group style="position:absolute;margin-left:107.419998pt;margin-top:69.213127pt;width:14.65pt;height:14.8pt;mso-position-horizontal-relative:page;mso-position-vertical-relative:paragraph;z-index:15736832" coordorigin="2148,1384" coordsize="293,296">
            <v:shape style="position:absolute;left:2148;top:1384;width:293;height:296" type="#_x0000_t75" stroked="false">
              <v:imagedata r:id="rId9" o:title=""/>
            </v:shape>
            <v:shape style="position:absolute;left:2148;top:1384;width:293;height:296" type="#_x0000_t202" filled="false" stroked="false">
              <v:textbox inset="0,0,0,0">
                <w:txbxContent>
                  <w:p>
                    <w:pPr>
                      <w:spacing w:before="16"/>
                      <w:ind w:left="146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w w:val="99"/>
                        <w:sz w:val="24"/>
                      </w:rPr>
                      <w:t>-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148.580002pt;margin-top:69.213127pt;width:14.65pt;height:15.3pt;mso-position-horizontal-relative:page;mso-position-vertical-relative:paragraph;z-index:15737344" coordorigin="2972,1384" coordsize="293,306">
            <v:shape style="position:absolute;left:2971;top:1384;width:293;height:296" type="#_x0000_t75" stroked="false">
              <v:imagedata r:id="rId9" o:title=""/>
            </v:shape>
            <v:shape style="position:absolute;left:2971;top:1384;width:293;height:306" type="#_x0000_t202" filled="false" stroked="false">
              <v:textbox inset="0,0,0,0">
                <w:txbxContent>
                  <w:p>
                    <w:pPr>
                      <w:spacing w:before="16"/>
                      <w:ind w:left="146" w:right="-29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  <w:vertAlign w:val="subscript"/>
                      </w:rPr>
                      <w:t>1</w:t>
                    </w:r>
                    <w:r>
                      <w:rPr>
                        <w:sz w:val="24"/>
                        <w:vertAlign w:val="baseline"/>
                      </w:rPr>
                      <w:t>-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b/>
          <w:i/>
          <w:sz w:val="24"/>
        </w:rPr>
        <w:t>Voltage</w:t>
      </w:r>
      <w:r>
        <w:rPr>
          <w:b/>
          <w:i/>
          <w:spacing w:val="9"/>
          <w:sz w:val="24"/>
        </w:rPr>
        <w:t> </w:t>
      </w:r>
      <w:r>
        <w:rPr>
          <w:b/>
          <w:i/>
          <w:sz w:val="24"/>
        </w:rPr>
        <w:t>gated</w:t>
      </w:r>
      <w:r>
        <w:rPr>
          <w:b/>
          <w:i/>
          <w:spacing w:val="11"/>
          <w:sz w:val="24"/>
        </w:rPr>
        <w:t> </w:t>
      </w:r>
      <w:r>
        <w:rPr>
          <w:b/>
          <w:i/>
          <w:sz w:val="24"/>
        </w:rPr>
        <w:t>potassium</w:t>
      </w:r>
      <w:r>
        <w:rPr>
          <w:b/>
          <w:i/>
          <w:spacing w:val="15"/>
          <w:sz w:val="24"/>
        </w:rPr>
        <w:t> </w:t>
      </w:r>
      <w:r>
        <w:rPr>
          <w:b/>
          <w:i/>
          <w:sz w:val="24"/>
        </w:rPr>
        <w:t>channels</w:t>
      </w:r>
      <w:r>
        <w:rPr>
          <w:b/>
          <w:sz w:val="24"/>
        </w:rPr>
        <w:t>;</w:t>
      </w:r>
      <w:r>
        <w:rPr>
          <w:sz w:val="24"/>
        </w:rPr>
        <w:t>Neuronal</w:t>
      </w:r>
      <w:r>
        <w:rPr>
          <w:spacing w:val="13"/>
          <w:sz w:val="24"/>
        </w:rPr>
        <w:t> </w:t>
      </w:r>
      <w:r>
        <w:rPr>
          <w:sz w:val="24"/>
        </w:rPr>
        <w:t>K</w:t>
      </w:r>
      <w:r>
        <w:rPr>
          <w:sz w:val="24"/>
          <w:vertAlign w:val="superscript"/>
        </w:rPr>
        <w:t>+</w:t>
      </w:r>
      <w:r>
        <w:rPr>
          <w:spacing w:val="11"/>
          <w:sz w:val="24"/>
          <w:vertAlign w:val="baseline"/>
        </w:rPr>
        <w:t> </w:t>
      </w:r>
      <w:r>
        <w:rPr>
          <w:sz w:val="24"/>
          <w:vertAlign w:val="baseline"/>
        </w:rPr>
        <w:t>channels</w:t>
      </w:r>
      <w:r>
        <w:rPr>
          <w:spacing w:val="13"/>
          <w:sz w:val="24"/>
          <w:vertAlign w:val="baseline"/>
        </w:rPr>
        <w:t> </w:t>
      </w:r>
      <w:r>
        <w:rPr>
          <w:sz w:val="24"/>
          <w:vertAlign w:val="baseline"/>
        </w:rPr>
        <w:t>are</w:t>
      </w:r>
      <w:r>
        <w:rPr>
          <w:spacing w:val="9"/>
          <w:sz w:val="24"/>
          <w:vertAlign w:val="baseline"/>
        </w:rPr>
        <w:t> </w:t>
      </w:r>
      <w:r>
        <w:rPr>
          <w:sz w:val="24"/>
          <w:vertAlign w:val="baseline"/>
        </w:rPr>
        <w:t>large</w:t>
      </w:r>
      <w:r>
        <w:rPr>
          <w:spacing w:val="9"/>
          <w:sz w:val="24"/>
          <w:vertAlign w:val="baseline"/>
        </w:rPr>
        <w:t> </w:t>
      </w:r>
      <w:r>
        <w:rPr>
          <w:sz w:val="24"/>
          <w:vertAlign w:val="baseline"/>
        </w:rPr>
        <w:t>protein</w:t>
      </w:r>
      <w:r>
        <w:rPr>
          <w:spacing w:val="10"/>
          <w:sz w:val="24"/>
          <w:vertAlign w:val="baseline"/>
        </w:rPr>
        <w:t> </w:t>
      </w:r>
      <w:r>
        <w:rPr>
          <w:sz w:val="24"/>
          <w:vertAlign w:val="baseline"/>
        </w:rPr>
        <w:t>complexes</w:t>
      </w:r>
      <w:r>
        <w:rPr>
          <w:spacing w:val="11"/>
          <w:sz w:val="24"/>
          <w:vertAlign w:val="baseline"/>
        </w:rPr>
        <w:t> </w:t>
      </w:r>
      <w:r>
        <w:rPr>
          <w:sz w:val="24"/>
          <w:vertAlign w:val="baseline"/>
        </w:rPr>
        <w:t>that</w:t>
      </w:r>
      <w:r>
        <w:rPr>
          <w:spacing w:val="-57"/>
          <w:sz w:val="24"/>
          <w:vertAlign w:val="baseline"/>
        </w:rPr>
        <w:t> </w:t>
      </w:r>
      <w:r>
        <w:rPr>
          <w:sz w:val="24"/>
          <w:vertAlign w:val="baseline"/>
        </w:rPr>
        <w:t>form</w:t>
      </w:r>
      <w:r>
        <w:rPr>
          <w:spacing w:val="11"/>
          <w:sz w:val="24"/>
          <w:vertAlign w:val="baseline"/>
        </w:rPr>
        <w:t> </w:t>
      </w:r>
      <w:r>
        <w:rPr>
          <w:sz w:val="24"/>
          <w:vertAlign w:val="baseline"/>
        </w:rPr>
        <w:t>tetrametric</w:t>
      </w:r>
      <w:r>
        <w:rPr>
          <w:spacing w:val="9"/>
          <w:sz w:val="24"/>
          <w:vertAlign w:val="baseline"/>
        </w:rPr>
        <w:t> </w:t>
      </w:r>
      <w:r>
        <w:rPr>
          <w:sz w:val="24"/>
          <w:vertAlign w:val="baseline"/>
        </w:rPr>
        <w:t>structures,</w:t>
      </w:r>
      <w:r>
        <w:rPr>
          <w:spacing w:val="11"/>
          <w:sz w:val="24"/>
          <w:vertAlign w:val="baseline"/>
        </w:rPr>
        <w:t> </w:t>
      </w:r>
      <w:r>
        <w:rPr>
          <w:sz w:val="24"/>
          <w:vertAlign w:val="baseline"/>
        </w:rPr>
        <w:t>the</w:t>
      </w:r>
      <w:r>
        <w:rPr>
          <w:spacing w:val="11"/>
          <w:sz w:val="24"/>
          <w:vertAlign w:val="baseline"/>
        </w:rPr>
        <w:t> </w:t>
      </w:r>
      <w:r>
        <w:rPr>
          <w:sz w:val="24"/>
          <w:vertAlign w:val="baseline"/>
        </w:rPr>
        <w:t>monomers</w:t>
      </w:r>
      <w:r>
        <w:rPr>
          <w:spacing w:val="10"/>
          <w:sz w:val="24"/>
          <w:vertAlign w:val="baseline"/>
        </w:rPr>
        <w:t> </w:t>
      </w:r>
      <w:r>
        <w:rPr>
          <w:sz w:val="24"/>
          <w:vertAlign w:val="baseline"/>
        </w:rPr>
        <w:t>of</w:t>
      </w:r>
      <w:r>
        <w:rPr>
          <w:spacing w:val="10"/>
          <w:sz w:val="24"/>
          <w:vertAlign w:val="baseline"/>
        </w:rPr>
        <w:t> </w:t>
      </w:r>
      <w:r>
        <w:rPr>
          <w:sz w:val="24"/>
          <w:vertAlign w:val="baseline"/>
        </w:rPr>
        <w:t>which</w:t>
      </w:r>
      <w:r>
        <w:rPr>
          <w:spacing w:val="10"/>
          <w:sz w:val="24"/>
          <w:vertAlign w:val="baseline"/>
        </w:rPr>
        <w:t> </w:t>
      </w:r>
      <w:r>
        <w:rPr>
          <w:sz w:val="24"/>
          <w:vertAlign w:val="baseline"/>
        </w:rPr>
        <w:t>are</w:t>
      </w:r>
      <w:r>
        <w:rPr>
          <w:spacing w:val="10"/>
          <w:sz w:val="24"/>
          <w:vertAlign w:val="baseline"/>
        </w:rPr>
        <w:t> </w:t>
      </w:r>
      <w:r>
        <w:rPr>
          <w:sz w:val="24"/>
          <w:vertAlign w:val="baseline"/>
        </w:rPr>
        <w:t>structurally</w:t>
      </w:r>
      <w:r>
        <w:rPr>
          <w:spacing w:val="5"/>
          <w:sz w:val="24"/>
          <w:vertAlign w:val="baseline"/>
        </w:rPr>
        <w:t> </w:t>
      </w:r>
      <w:r>
        <w:rPr>
          <w:sz w:val="24"/>
          <w:vertAlign w:val="baseline"/>
        </w:rPr>
        <w:t>and</w:t>
      </w:r>
      <w:r>
        <w:rPr>
          <w:spacing w:val="13"/>
          <w:sz w:val="24"/>
          <w:vertAlign w:val="baseline"/>
        </w:rPr>
        <w:t> </w:t>
      </w:r>
      <w:r>
        <w:rPr>
          <w:sz w:val="24"/>
          <w:vertAlign w:val="baseline"/>
        </w:rPr>
        <w:t>genetically</w:t>
      </w:r>
      <w:r>
        <w:rPr>
          <w:spacing w:val="5"/>
          <w:sz w:val="24"/>
          <w:vertAlign w:val="baseline"/>
        </w:rPr>
        <w:t> </w:t>
      </w:r>
      <w:r>
        <w:rPr>
          <w:sz w:val="24"/>
          <w:vertAlign w:val="baseline"/>
        </w:rPr>
        <w:t>related</w:t>
      </w:r>
      <w:r>
        <w:rPr>
          <w:spacing w:val="11"/>
          <w:sz w:val="24"/>
          <w:vertAlign w:val="baseline"/>
        </w:rPr>
        <w:t> </w:t>
      </w:r>
      <w:r>
        <w:rPr>
          <w:sz w:val="24"/>
          <w:vertAlign w:val="baseline"/>
        </w:rPr>
        <w:t>to</w:t>
      </w:r>
    </w:p>
    <w:p>
      <w:pPr>
        <w:spacing w:after="0" w:line="480" w:lineRule="auto"/>
        <w:jc w:val="left"/>
        <w:rPr>
          <w:sz w:val="24"/>
        </w:rPr>
        <w:sectPr>
          <w:pgSz w:w="12240" w:h="15840"/>
          <w:pgMar w:header="0" w:footer="792" w:top="1320" w:bottom="980" w:left="1080" w:right="760"/>
        </w:sectPr>
      </w:pPr>
    </w:p>
    <w:p>
      <w:pPr>
        <w:pStyle w:val="BodyText"/>
        <w:spacing w:before="27"/>
        <w:jc w:val="right"/>
      </w:pPr>
      <w:r>
        <w:rPr/>
        <w:t>the</w:t>
      </w:r>
    </w:p>
    <w:p>
      <w:pPr>
        <w:spacing w:before="27"/>
        <w:ind w:left="436" w:right="0" w:firstLine="0"/>
        <w:jc w:val="left"/>
        <w:rPr>
          <w:sz w:val="24"/>
        </w:rPr>
      </w:pPr>
      <w:r>
        <w:rPr/>
        <w:br w:type="column"/>
      </w:r>
      <w:r>
        <w:rPr>
          <w:spacing w:val="-1"/>
          <w:sz w:val="24"/>
        </w:rPr>
        <w:t>and</w:t>
      </w:r>
    </w:p>
    <w:p>
      <w:pPr>
        <w:pStyle w:val="BodyText"/>
        <w:spacing w:before="27"/>
        <w:ind w:left="522"/>
      </w:pPr>
      <w:r>
        <w:rPr/>
        <w:br w:type="column"/>
      </w:r>
      <w:r>
        <w:rPr/>
        <w:t>subunits</w:t>
      </w:r>
      <w:r>
        <w:rPr>
          <w:spacing w:val="63"/>
        </w:rPr>
        <w:t> </w:t>
      </w:r>
      <w:r>
        <w:rPr/>
        <w:t>of</w:t>
      </w:r>
      <w:r>
        <w:rPr>
          <w:spacing w:val="62"/>
        </w:rPr>
        <w:t> </w:t>
      </w:r>
      <w:r>
        <w:rPr/>
        <w:t>the</w:t>
      </w:r>
      <w:r>
        <w:rPr>
          <w:spacing w:val="63"/>
        </w:rPr>
        <w:t> </w:t>
      </w:r>
      <w:r>
        <w:rPr/>
        <w:t>Na</w:t>
      </w:r>
      <w:r>
        <w:rPr>
          <w:vertAlign w:val="superscript"/>
        </w:rPr>
        <w:t>+</w:t>
      </w:r>
      <w:r>
        <w:rPr>
          <w:spacing w:val="64"/>
          <w:vertAlign w:val="baseline"/>
        </w:rPr>
        <w:t> </w:t>
      </w:r>
      <w:r>
        <w:rPr>
          <w:vertAlign w:val="baseline"/>
        </w:rPr>
        <w:t>and</w:t>
      </w:r>
      <w:r>
        <w:rPr>
          <w:spacing w:val="63"/>
          <w:vertAlign w:val="baseline"/>
        </w:rPr>
        <w:t> </w:t>
      </w:r>
      <w:r>
        <w:rPr>
          <w:vertAlign w:val="baseline"/>
        </w:rPr>
        <w:t>Ca</w:t>
      </w:r>
      <w:r>
        <w:rPr>
          <w:vertAlign w:val="superscript"/>
        </w:rPr>
        <w:t>2+</w:t>
      </w:r>
      <w:r>
        <w:rPr>
          <w:spacing w:val="61"/>
          <w:vertAlign w:val="baseline"/>
        </w:rPr>
        <w:t> </w:t>
      </w:r>
      <w:r>
        <w:rPr>
          <w:vertAlign w:val="baseline"/>
        </w:rPr>
        <w:t>channels,</w:t>
      </w:r>
      <w:r>
        <w:rPr>
          <w:spacing w:val="63"/>
          <w:vertAlign w:val="baseline"/>
        </w:rPr>
        <w:t> </w:t>
      </w:r>
      <w:r>
        <w:rPr>
          <w:vertAlign w:val="baseline"/>
        </w:rPr>
        <w:t>respectively</w:t>
      </w:r>
      <w:r>
        <w:rPr>
          <w:spacing w:val="61"/>
          <w:vertAlign w:val="baseline"/>
        </w:rPr>
        <w:t> </w:t>
      </w:r>
      <w:r>
        <w:rPr>
          <w:vertAlign w:val="baseline"/>
        </w:rPr>
        <w:t>(Barchi,</w:t>
      </w:r>
      <w:r>
        <w:rPr>
          <w:spacing w:val="64"/>
          <w:vertAlign w:val="baseline"/>
        </w:rPr>
        <w:t> </w:t>
      </w:r>
      <w:r>
        <w:rPr>
          <w:vertAlign w:val="baseline"/>
        </w:rPr>
        <w:t>1998).The</w:t>
      </w:r>
    </w:p>
    <w:p>
      <w:pPr>
        <w:spacing w:after="0"/>
        <w:sectPr>
          <w:type w:val="continuous"/>
          <w:pgSz w:w="12240" w:h="15840"/>
          <w:pgMar w:top="1360" w:bottom="980" w:left="1080" w:right="760"/>
          <w:cols w:num="3" w:equalWidth="0">
            <w:col w:w="942" w:space="40"/>
            <w:col w:w="783" w:space="39"/>
            <w:col w:w="8596"/>
          </w:cols>
        </w:sectPr>
      </w:pPr>
    </w:p>
    <w:p>
      <w:pPr>
        <w:pStyle w:val="BodyText"/>
        <w:spacing w:before="8"/>
        <w:rPr>
          <w:sz w:val="17"/>
        </w:rPr>
      </w:pPr>
    </w:p>
    <w:p>
      <w:pPr>
        <w:pStyle w:val="BodyText"/>
        <w:spacing w:line="480" w:lineRule="auto" w:before="90"/>
        <w:ind w:left="648" w:right="680"/>
        <w:jc w:val="both"/>
      </w:pPr>
      <w:r>
        <w:rPr/>
        <w:t>association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four</w:t>
      </w:r>
      <w:r>
        <w:rPr>
          <w:spacing w:val="1"/>
        </w:rPr>
        <w:t> </w:t>
      </w:r>
      <w:r>
        <w:rPr/>
        <w:t>subunits</w:t>
      </w:r>
      <w:r>
        <w:rPr>
          <w:spacing w:val="1"/>
        </w:rPr>
        <w:t> </w:t>
      </w:r>
      <w:r>
        <w:rPr/>
        <w:t>(monomers)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neuronal</w:t>
      </w:r>
      <w:r>
        <w:rPr>
          <w:spacing w:val="1"/>
        </w:rPr>
        <w:t> </w:t>
      </w:r>
      <w:r>
        <w:rPr/>
        <w:t>membrane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required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formation of a K</w:t>
      </w:r>
      <w:r>
        <w:rPr>
          <w:vertAlign w:val="superscript"/>
        </w:rPr>
        <w:t>+</w:t>
      </w:r>
      <w:r>
        <w:rPr>
          <w:vertAlign w:val="baseline"/>
        </w:rPr>
        <w:t> sensitive pore and therefore, channel function (Pongs 1999). More than 40</w:t>
      </w:r>
      <w:r>
        <w:rPr>
          <w:spacing w:val="1"/>
          <w:vertAlign w:val="baseline"/>
        </w:rPr>
        <w:t> </w:t>
      </w:r>
      <w:r>
        <w:rPr>
          <w:vertAlign w:val="baseline"/>
        </w:rPr>
        <w:t>distinct K</w:t>
      </w:r>
      <w:r>
        <w:rPr>
          <w:vertAlign w:val="superscript"/>
        </w:rPr>
        <w:t>+</w:t>
      </w:r>
      <w:r>
        <w:rPr>
          <w:vertAlign w:val="baseline"/>
        </w:rPr>
        <w:t> channel subunits have been identified, together with several auxiliary subunits</w:t>
      </w:r>
      <w:r>
        <w:rPr>
          <w:spacing w:val="1"/>
          <w:vertAlign w:val="baseline"/>
        </w:rPr>
        <w:t> </w:t>
      </w:r>
      <w:r>
        <w:rPr>
          <w:vertAlign w:val="baseline"/>
        </w:rPr>
        <w:t>(Kwan</w:t>
      </w:r>
      <w:r>
        <w:rPr>
          <w:spacing w:val="5"/>
          <w:vertAlign w:val="baseline"/>
        </w:rPr>
        <w:t> </w:t>
      </w:r>
      <w:r>
        <w:rPr>
          <w:i/>
          <w:vertAlign w:val="baseline"/>
        </w:rPr>
        <w:t>et</w:t>
      </w:r>
      <w:r>
        <w:rPr>
          <w:i/>
          <w:spacing w:val="4"/>
          <w:vertAlign w:val="baseline"/>
        </w:rPr>
        <w:t> </w:t>
      </w:r>
      <w:r>
        <w:rPr>
          <w:i/>
          <w:vertAlign w:val="baseline"/>
        </w:rPr>
        <w:t>al</w:t>
      </w:r>
      <w:r>
        <w:rPr>
          <w:vertAlign w:val="baseline"/>
        </w:rPr>
        <w:t>.,</w:t>
      </w:r>
      <w:r>
        <w:rPr>
          <w:spacing w:val="3"/>
          <w:vertAlign w:val="baseline"/>
        </w:rPr>
        <w:t> </w:t>
      </w:r>
      <w:r>
        <w:rPr>
          <w:vertAlign w:val="baseline"/>
        </w:rPr>
        <w:t>2001).</w:t>
      </w:r>
      <w:r>
        <w:rPr>
          <w:spacing w:val="3"/>
          <w:vertAlign w:val="baseline"/>
        </w:rPr>
        <w:t> </w:t>
      </w:r>
      <w:r>
        <w:rPr>
          <w:vertAlign w:val="baseline"/>
        </w:rPr>
        <w:t>Given</w:t>
      </w:r>
      <w:r>
        <w:rPr>
          <w:spacing w:val="3"/>
          <w:vertAlign w:val="baseline"/>
        </w:rPr>
        <w:t> </w:t>
      </w:r>
      <w:r>
        <w:rPr>
          <w:vertAlign w:val="baseline"/>
        </w:rPr>
        <w:t>heterologous</w:t>
      </w:r>
      <w:r>
        <w:rPr>
          <w:spacing w:val="6"/>
          <w:vertAlign w:val="baseline"/>
        </w:rPr>
        <w:t> </w:t>
      </w:r>
      <w:r>
        <w:rPr>
          <w:vertAlign w:val="baseline"/>
        </w:rPr>
        <w:t>arrangement,</w:t>
      </w:r>
      <w:r>
        <w:rPr>
          <w:spacing w:val="3"/>
          <w:vertAlign w:val="baseline"/>
        </w:rPr>
        <w:t> </w:t>
      </w:r>
      <w:r>
        <w:rPr>
          <w:vertAlign w:val="baseline"/>
        </w:rPr>
        <w:t>it</w:t>
      </w:r>
      <w:r>
        <w:rPr>
          <w:spacing w:val="4"/>
          <w:vertAlign w:val="baseline"/>
        </w:rPr>
        <w:t> </w:t>
      </w:r>
      <w:r>
        <w:rPr>
          <w:vertAlign w:val="baseline"/>
        </w:rPr>
        <w:t>is</w:t>
      </w:r>
      <w:r>
        <w:rPr>
          <w:spacing w:val="4"/>
          <w:vertAlign w:val="baseline"/>
        </w:rPr>
        <w:t> </w:t>
      </w:r>
      <w:r>
        <w:rPr>
          <w:vertAlign w:val="baseline"/>
        </w:rPr>
        <w:t>possible</w:t>
      </w:r>
      <w:r>
        <w:rPr>
          <w:spacing w:val="3"/>
          <w:vertAlign w:val="baseline"/>
        </w:rPr>
        <w:t> </w:t>
      </w:r>
      <w:r>
        <w:rPr>
          <w:vertAlign w:val="baseline"/>
        </w:rPr>
        <w:t>that</w:t>
      </w:r>
      <w:r>
        <w:rPr>
          <w:spacing w:val="2"/>
          <w:vertAlign w:val="baseline"/>
        </w:rPr>
        <w:t> </w:t>
      </w:r>
      <w:r>
        <w:rPr>
          <w:vertAlign w:val="baseline"/>
        </w:rPr>
        <w:t>countless</w:t>
      </w:r>
      <w:r>
        <w:rPr>
          <w:spacing w:val="4"/>
          <w:vertAlign w:val="baseline"/>
        </w:rPr>
        <w:t> </w:t>
      </w:r>
      <w:r>
        <w:rPr>
          <w:vertAlign w:val="baseline"/>
        </w:rPr>
        <w:t>populations</w:t>
      </w:r>
    </w:p>
    <w:p>
      <w:pPr>
        <w:spacing w:after="0" w:line="480" w:lineRule="auto"/>
        <w:jc w:val="both"/>
        <w:sectPr>
          <w:type w:val="continuous"/>
          <w:pgSz w:w="12240" w:h="15840"/>
          <w:pgMar w:top="1360" w:bottom="980" w:left="1080" w:right="760"/>
        </w:sectPr>
      </w:pPr>
    </w:p>
    <w:p>
      <w:pPr>
        <w:pStyle w:val="BodyText"/>
        <w:spacing w:line="482" w:lineRule="auto" w:before="112"/>
        <w:ind w:left="648" w:right="679"/>
        <w:jc w:val="both"/>
      </w:pPr>
      <w:r>
        <w:rPr/>
        <w:t>of K</w:t>
      </w:r>
      <w:r>
        <w:rPr>
          <w:vertAlign w:val="superscript"/>
        </w:rPr>
        <w:t>+</w:t>
      </w:r>
      <w:r>
        <w:rPr>
          <w:vertAlign w:val="baseline"/>
        </w:rPr>
        <w:t> channels, with individual functions and distributions, are expressed in the mammalian</w:t>
      </w:r>
      <w:r>
        <w:rPr>
          <w:spacing w:val="1"/>
          <w:vertAlign w:val="baseline"/>
        </w:rPr>
        <w:t> </w:t>
      </w:r>
      <w:r>
        <w:rPr>
          <w:vertAlign w:val="baseline"/>
        </w:rPr>
        <w:t>brain</w:t>
      </w:r>
      <w:r>
        <w:rPr>
          <w:spacing w:val="-1"/>
          <w:vertAlign w:val="baseline"/>
        </w:rPr>
        <w:t> </w:t>
      </w:r>
      <w:r>
        <w:rPr>
          <w:vertAlign w:val="baseline"/>
        </w:rPr>
        <w:t>(Pongs, 1999)</w:t>
      </w:r>
    </w:p>
    <w:p>
      <w:pPr>
        <w:pStyle w:val="BodyText"/>
        <w:rPr>
          <w:sz w:val="26"/>
        </w:rPr>
      </w:pPr>
    </w:p>
    <w:p>
      <w:pPr>
        <w:pStyle w:val="BodyText"/>
        <w:spacing w:line="480" w:lineRule="auto" w:before="171"/>
        <w:ind w:left="648" w:right="673"/>
        <w:jc w:val="both"/>
      </w:pPr>
      <w:r>
        <w:rPr/>
        <w:t>At the neuronal level, K</w:t>
      </w:r>
      <w:r>
        <w:rPr>
          <w:vertAlign w:val="superscript"/>
        </w:rPr>
        <w:t>+</w:t>
      </w:r>
      <w:r>
        <w:rPr>
          <w:vertAlign w:val="baseline"/>
        </w:rPr>
        <w:t> channels are intimately involved in excitability (Kwan </w:t>
      </w:r>
      <w:r>
        <w:rPr>
          <w:i/>
          <w:vertAlign w:val="baseline"/>
        </w:rPr>
        <w:t>et al</w:t>
      </w:r>
      <w:r>
        <w:rPr>
          <w:vertAlign w:val="baseline"/>
        </w:rPr>
        <w:t>., 2001)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they</w:t>
      </w:r>
      <w:r>
        <w:rPr>
          <w:spacing w:val="1"/>
          <w:vertAlign w:val="baseline"/>
        </w:rPr>
        <w:t> </w:t>
      </w:r>
      <w:r>
        <w:rPr>
          <w:vertAlign w:val="baseline"/>
        </w:rPr>
        <w:t>are</w:t>
      </w:r>
      <w:r>
        <w:rPr>
          <w:spacing w:val="1"/>
          <w:vertAlign w:val="baseline"/>
        </w:rPr>
        <w:t> </w:t>
      </w:r>
      <w:r>
        <w:rPr>
          <w:vertAlign w:val="baseline"/>
        </w:rPr>
        <w:t>responsible</w:t>
      </w:r>
      <w:r>
        <w:rPr>
          <w:spacing w:val="1"/>
          <w:vertAlign w:val="baseline"/>
        </w:rPr>
        <w:t> </w:t>
      </w:r>
      <w:r>
        <w:rPr>
          <w:vertAlign w:val="baseline"/>
        </w:rPr>
        <w:t>for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action</w:t>
      </w:r>
      <w:r>
        <w:rPr>
          <w:spacing w:val="1"/>
          <w:vertAlign w:val="baseline"/>
        </w:rPr>
        <w:t> </w:t>
      </w:r>
      <w:r>
        <w:rPr>
          <w:vertAlign w:val="baseline"/>
        </w:rPr>
        <w:t>potential</w:t>
      </w:r>
      <w:r>
        <w:rPr>
          <w:spacing w:val="1"/>
          <w:vertAlign w:val="baseline"/>
        </w:rPr>
        <w:t> </w:t>
      </w:r>
      <w:r>
        <w:rPr>
          <w:vertAlign w:val="baseline"/>
        </w:rPr>
        <w:t>downstroke</w:t>
      </w:r>
      <w:r>
        <w:rPr>
          <w:spacing w:val="1"/>
          <w:vertAlign w:val="baseline"/>
        </w:rPr>
        <w:t> </w:t>
      </w:r>
      <w:r>
        <w:rPr>
          <w:vertAlign w:val="baseline"/>
        </w:rPr>
        <w:t>or,</w:t>
      </w:r>
      <w:r>
        <w:rPr>
          <w:spacing w:val="1"/>
          <w:vertAlign w:val="baseline"/>
        </w:rPr>
        <w:t> </w:t>
      </w:r>
      <w:r>
        <w:rPr>
          <w:vertAlign w:val="baseline"/>
        </w:rPr>
        <w:t>more</w:t>
      </w:r>
      <w:r>
        <w:rPr>
          <w:spacing w:val="1"/>
          <w:vertAlign w:val="baseline"/>
        </w:rPr>
        <w:t> </w:t>
      </w:r>
      <w:r>
        <w:rPr>
          <w:vertAlign w:val="baseline"/>
        </w:rPr>
        <w:t>specifically,</w:t>
      </w:r>
      <w:r>
        <w:rPr>
          <w:spacing w:val="1"/>
          <w:vertAlign w:val="baseline"/>
        </w:rPr>
        <w:t> </w:t>
      </w:r>
      <w:r>
        <w:rPr>
          <w:vertAlign w:val="baseline"/>
        </w:rPr>
        <w:t>repolarization of the plasma membrane in the aftermath of Na</w:t>
      </w:r>
      <w:r>
        <w:rPr>
          <w:vertAlign w:val="superscript"/>
        </w:rPr>
        <w:t>+</w:t>
      </w:r>
      <w:r>
        <w:rPr>
          <w:vertAlign w:val="baseline"/>
        </w:rPr>
        <w:t> channel activation (Pongs,</w:t>
      </w:r>
      <w:r>
        <w:rPr>
          <w:spacing w:val="1"/>
          <w:vertAlign w:val="baseline"/>
        </w:rPr>
        <w:t> </w:t>
      </w:r>
      <w:r>
        <w:rPr>
          <w:vertAlign w:val="baseline"/>
        </w:rPr>
        <w:t>1999).</w:t>
      </w:r>
      <w:r>
        <w:rPr>
          <w:spacing w:val="1"/>
          <w:vertAlign w:val="baseline"/>
        </w:rPr>
        <w:t> </w:t>
      </w:r>
      <w:r>
        <w:rPr>
          <w:vertAlign w:val="baseline"/>
        </w:rPr>
        <w:t>Direct activation of voltage gated K</w:t>
      </w:r>
      <w:r>
        <w:rPr>
          <w:vertAlign w:val="superscript"/>
        </w:rPr>
        <w:t>+</w:t>
      </w:r>
      <w:r>
        <w:rPr>
          <w:vertAlign w:val="baseline"/>
        </w:rPr>
        <w:t> Channels hyperpolarizes the neuronal membrane</w:t>
      </w:r>
      <w:r>
        <w:rPr>
          <w:spacing w:val="-57"/>
          <w:vertAlign w:val="baseline"/>
        </w:rPr>
        <w:t> </w:t>
      </w:r>
      <w:r>
        <w:rPr>
          <w:vertAlign w:val="baseline"/>
        </w:rPr>
        <w:t>and limits action potential firing (Porter and Rogawski, 1992). Consequently, K</w:t>
      </w:r>
      <w:r>
        <w:rPr>
          <w:vertAlign w:val="superscript"/>
        </w:rPr>
        <w:t>+</w:t>
      </w:r>
      <w:r>
        <w:rPr>
          <w:vertAlign w:val="baseline"/>
        </w:rPr>
        <w:t> channel</w:t>
      </w:r>
      <w:r>
        <w:rPr>
          <w:spacing w:val="1"/>
          <w:vertAlign w:val="baseline"/>
        </w:rPr>
        <w:t> </w:t>
      </w:r>
      <w:r>
        <w:rPr>
          <w:vertAlign w:val="baseline"/>
        </w:rPr>
        <w:t>activators have anticovulsant effects in some experimental seizure models (Rostock </w:t>
      </w:r>
      <w:r>
        <w:rPr>
          <w:i/>
          <w:vertAlign w:val="baseline"/>
        </w:rPr>
        <w:t>et al</w:t>
      </w:r>
      <w:r>
        <w:rPr>
          <w:vertAlign w:val="baseline"/>
        </w:rPr>
        <w:t>.,</w:t>
      </w:r>
      <w:r>
        <w:rPr>
          <w:spacing w:val="1"/>
          <w:vertAlign w:val="baseline"/>
        </w:rPr>
        <w:t> </w:t>
      </w:r>
      <w:r>
        <w:rPr>
          <w:vertAlign w:val="baseline"/>
        </w:rPr>
        <w:t>1996)</w:t>
      </w:r>
      <w:r>
        <w:rPr>
          <w:spacing w:val="-2"/>
          <w:vertAlign w:val="baseline"/>
        </w:rPr>
        <w:t> </w:t>
      </w:r>
      <w:r>
        <w:rPr>
          <w:vertAlign w:val="baseline"/>
        </w:rPr>
        <w:t>whereas,</w:t>
      </w:r>
      <w:r>
        <w:rPr>
          <w:spacing w:val="-1"/>
          <w:vertAlign w:val="baseline"/>
        </w:rPr>
        <w:t> </w:t>
      </w:r>
      <w:r>
        <w:rPr>
          <w:vertAlign w:val="baseline"/>
        </w:rPr>
        <w:t>K</w:t>
      </w:r>
      <w:r>
        <w:rPr>
          <w:vertAlign w:val="superscript"/>
        </w:rPr>
        <w:t>+</w:t>
      </w:r>
      <w:r>
        <w:rPr>
          <w:spacing w:val="-1"/>
          <w:vertAlign w:val="baseline"/>
        </w:rPr>
        <w:t> </w:t>
      </w:r>
      <w:r>
        <w:rPr>
          <w:vertAlign w:val="baseline"/>
        </w:rPr>
        <w:t>channel</w:t>
      </w:r>
      <w:r>
        <w:rPr>
          <w:spacing w:val="-1"/>
          <w:vertAlign w:val="baseline"/>
        </w:rPr>
        <w:t> </w:t>
      </w:r>
      <w:r>
        <w:rPr>
          <w:vertAlign w:val="baseline"/>
        </w:rPr>
        <w:t>blockers</w:t>
      </w:r>
      <w:r>
        <w:rPr>
          <w:spacing w:val="-1"/>
          <w:vertAlign w:val="baseline"/>
        </w:rPr>
        <w:t> </w:t>
      </w:r>
      <w:r>
        <w:rPr>
          <w:vertAlign w:val="baseline"/>
        </w:rPr>
        <w:t>precipitate</w:t>
      </w:r>
      <w:r>
        <w:rPr>
          <w:spacing w:val="-2"/>
          <w:vertAlign w:val="baseline"/>
        </w:rPr>
        <w:t> </w:t>
      </w:r>
      <w:r>
        <w:rPr>
          <w:vertAlign w:val="baseline"/>
        </w:rPr>
        <w:t>seizures</w:t>
      </w:r>
      <w:r>
        <w:rPr>
          <w:spacing w:val="-1"/>
          <w:vertAlign w:val="baseline"/>
        </w:rPr>
        <w:t> </w:t>
      </w:r>
      <w:r>
        <w:rPr>
          <w:vertAlign w:val="baseline"/>
        </w:rPr>
        <w:t>(Yamaguchi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-1"/>
          <w:vertAlign w:val="baseline"/>
        </w:rPr>
        <w:t> </w:t>
      </w:r>
      <w:r>
        <w:rPr>
          <w:vertAlign w:val="baseline"/>
        </w:rPr>
        <w:t>Rogawski, 1992).</w:t>
      </w:r>
    </w:p>
    <w:p>
      <w:pPr>
        <w:pStyle w:val="BodyText"/>
        <w:spacing w:before="1"/>
      </w:pPr>
    </w:p>
    <w:p>
      <w:pPr>
        <w:pStyle w:val="BodyText"/>
        <w:spacing w:line="480" w:lineRule="auto"/>
        <w:ind w:left="648" w:right="674"/>
        <w:jc w:val="both"/>
      </w:pPr>
      <w:r>
        <w:rPr/>
        <w:t>Potentiation of voltage gated K</w:t>
      </w:r>
      <w:r>
        <w:rPr>
          <w:vertAlign w:val="superscript"/>
        </w:rPr>
        <w:t>+</w:t>
      </w:r>
      <w:r>
        <w:rPr>
          <w:vertAlign w:val="baseline"/>
        </w:rPr>
        <w:t> channel currents has proven to be an important target for</w:t>
      </w:r>
      <w:r>
        <w:rPr>
          <w:spacing w:val="1"/>
          <w:vertAlign w:val="baseline"/>
        </w:rPr>
        <w:t> </w:t>
      </w:r>
      <w:r>
        <w:rPr>
          <w:vertAlign w:val="baseline"/>
        </w:rPr>
        <w:t>antiepileptic drugs development (Kwan </w:t>
      </w:r>
      <w:r>
        <w:rPr>
          <w:i/>
          <w:vertAlign w:val="baseline"/>
        </w:rPr>
        <w:t>et al</w:t>
      </w:r>
      <w:r>
        <w:rPr>
          <w:vertAlign w:val="baseline"/>
        </w:rPr>
        <w:t>., 2001). The recently developed antiepileptic</w:t>
      </w:r>
      <w:r>
        <w:rPr>
          <w:spacing w:val="1"/>
          <w:vertAlign w:val="baseline"/>
        </w:rPr>
        <w:t> </w:t>
      </w:r>
      <w:r>
        <w:rPr>
          <w:vertAlign w:val="baseline"/>
        </w:rPr>
        <w:t>agent,</w:t>
      </w:r>
      <w:r>
        <w:rPr>
          <w:spacing w:val="1"/>
          <w:vertAlign w:val="baseline"/>
        </w:rPr>
        <w:t> </w:t>
      </w:r>
      <w:r>
        <w:rPr>
          <w:vertAlign w:val="baseline"/>
        </w:rPr>
        <w:t>retigabine</w:t>
      </w:r>
      <w:r>
        <w:rPr>
          <w:spacing w:val="1"/>
          <w:vertAlign w:val="baseline"/>
        </w:rPr>
        <w:t> </w:t>
      </w:r>
      <w:r>
        <w:rPr>
          <w:vertAlign w:val="baseline"/>
        </w:rPr>
        <w:t>is</w:t>
      </w:r>
      <w:r>
        <w:rPr>
          <w:spacing w:val="1"/>
          <w:vertAlign w:val="baseline"/>
        </w:rPr>
        <w:t> </w:t>
      </w:r>
      <w:r>
        <w:rPr>
          <w:vertAlign w:val="baseline"/>
        </w:rPr>
        <w:t>believed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exert</w:t>
      </w:r>
      <w:r>
        <w:rPr>
          <w:spacing w:val="1"/>
          <w:vertAlign w:val="baseline"/>
        </w:rPr>
        <w:t> </w:t>
      </w:r>
      <w:r>
        <w:rPr>
          <w:vertAlign w:val="baseline"/>
        </w:rPr>
        <w:t>its</w:t>
      </w:r>
      <w:r>
        <w:rPr>
          <w:spacing w:val="1"/>
          <w:vertAlign w:val="baseline"/>
        </w:rPr>
        <w:t> </w:t>
      </w:r>
      <w:r>
        <w:rPr>
          <w:vertAlign w:val="baseline"/>
        </w:rPr>
        <w:t>effects,</w:t>
      </w:r>
      <w:r>
        <w:rPr>
          <w:spacing w:val="1"/>
          <w:vertAlign w:val="baseline"/>
        </w:rPr>
        <w:t> </w:t>
      </w:r>
      <w:r>
        <w:rPr>
          <w:vertAlign w:val="baseline"/>
        </w:rPr>
        <w:t>at</w:t>
      </w:r>
      <w:r>
        <w:rPr>
          <w:spacing w:val="1"/>
          <w:vertAlign w:val="baseline"/>
        </w:rPr>
        <w:t> </w:t>
      </w:r>
      <w:r>
        <w:rPr>
          <w:vertAlign w:val="baseline"/>
        </w:rPr>
        <w:t>least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part</w:t>
      </w:r>
      <w:r>
        <w:rPr>
          <w:spacing w:val="1"/>
          <w:vertAlign w:val="baseline"/>
        </w:rPr>
        <w:t> </w:t>
      </w:r>
      <w:r>
        <w:rPr>
          <w:vertAlign w:val="baseline"/>
        </w:rPr>
        <w:t>by</w:t>
      </w:r>
      <w:r>
        <w:rPr>
          <w:spacing w:val="1"/>
          <w:vertAlign w:val="baseline"/>
        </w:rPr>
        <w:t> </w:t>
      </w:r>
      <w:r>
        <w:rPr>
          <w:vertAlign w:val="baseline"/>
        </w:rPr>
        <w:t>activation</w:t>
      </w:r>
      <w:r>
        <w:rPr>
          <w:spacing w:val="60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KCNQZ/CNQ3</w:t>
      </w:r>
      <w:r>
        <w:rPr>
          <w:spacing w:val="1"/>
          <w:vertAlign w:val="baseline"/>
        </w:rPr>
        <w:t> </w:t>
      </w:r>
      <w:r>
        <w:rPr>
          <w:vertAlign w:val="baseline"/>
        </w:rPr>
        <w:t>K</w:t>
      </w:r>
      <w:r>
        <w:rPr>
          <w:vertAlign w:val="superscript"/>
        </w:rPr>
        <w:t>+</w:t>
      </w:r>
      <w:r>
        <w:rPr>
          <w:spacing w:val="1"/>
          <w:vertAlign w:val="baseline"/>
        </w:rPr>
        <w:t> </w:t>
      </w:r>
      <w:r>
        <w:rPr>
          <w:vertAlign w:val="baseline"/>
        </w:rPr>
        <w:t>channels</w:t>
      </w:r>
      <w:r>
        <w:rPr>
          <w:spacing w:val="1"/>
          <w:vertAlign w:val="baseline"/>
        </w:rPr>
        <w:t> </w:t>
      </w:r>
      <w:r>
        <w:rPr>
          <w:vertAlign w:val="baseline"/>
        </w:rPr>
        <w:t>(Rundfeldt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Netzer,</w:t>
      </w:r>
      <w:r>
        <w:rPr>
          <w:spacing w:val="1"/>
          <w:vertAlign w:val="baseline"/>
        </w:rPr>
        <w:t> </w:t>
      </w:r>
      <w:r>
        <w:rPr>
          <w:vertAlign w:val="baseline"/>
        </w:rPr>
        <w:t>2000).</w:t>
      </w:r>
      <w:r>
        <w:rPr>
          <w:spacing w:val="1"/>
          <w:vertAlign w:val="baseline"/>
        </w:rPr>
        <w:t> </w:t>
      </w:r>
      <w:r>
        <w:rPr>
          <w:vertAlign w:val="baseline"/>
        </w:rPr>
        <w:t>Mutations</w:t>
      </w:r>
      <w:r>
        <w:rPr>
          <w:spacing w:val="61"/>
          <w:vertAlign w:val="baseline"/>
        </w:rPr>
        <w:t> </w:t>
      </w:r>
      <w:r>
        <w:rPr>
          <w:vertAlign w:val="baseline"/>
        </w:rPr>
        <w:t>in</w:t>
      </w:r>
      <w:r>
        <w:rPr>
          <w:spacing w:val="6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KCNQZ/KCNQ3 channels have been reported in benign neonatal familial convulsions, a</w:t>
      </w:r>
      <w:r>
        <w:rPr>
          <w:spacing w:val="1"/>
          <w:vertAlign w:val="baseline"/>
        </w:rPr>
        <w:t> </w:t>
      </w:r>
      <w:r>
        <w:rPr>
          <w:vertAlign w:val="baseline"/>
        </w:rPr>
        <w:t>generalized</w:t>
      </w:r>
      <w:r>
        <w:rPr>
          <w:spacing w:val="-1"/>
          <w:vertAlign w:val="baseline"/>
        </w:rPr>
        <w:t> </w:t>
      </w:r>
      <w:r>
        <w:rPr>
          <w:vertAlign w:val="baseline"/>
        </w:rPr>
        <w:t>epilepsy</w:t>
      </w:r>
      <w:r>
        <w:rPr>
          <w:spacing w:val="-5"/>
          <w:vertAlign w:val="baseline"/>
        </w:rPr>
        <w:t> </w:t>
      </w:r>
      <w:r>
        <w:rPr>
          <w:vertAlign w:val="baseline"/>
        </w:rPr>
        <w:t>syndrome (Rogawski, 2000).</w:t>
      </w:r>
    </w:p>
    <w:p>
      <w:pPr>
        <w:pStyle w:val="BodyText"/>
        <w:spacing w:before="5"/>
      </w:pPr>
    </w:p>
    <w:p>
      <w:pPr>
        <w:pStyle w:val="Heading2"/>
        <w:ind w:left="708"/>
      </w:pPr>
      <w:r>
        <w:rPr/>
        <w:t>Non-receptor</w:t>
      </w:r>
      <w:r>
        <w:rPr>
          <w:spacing w:val="-2"/>
        </w:rPr>
        <w:t> </w:t>
      </w:r>
      <w:r>
        <w:rPr/>
        <w:t>regulatory</w:t>
      </w:r>
      <w:r>
        <w:rPr>
          <w:spacing w:val="-2"/>
        </w:rPr>
        <w:t> </w:t>
      </w:r>
      <w:r>
        <w:rPr/>
        <w:t>mechanism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epilepsy</w:t>
      </w:r>
    </w:p>
    <w:p>
      <w:pPr>
        <w:pStyle w:val="BodyText"/>
        <w:spacing w:before="7"/>
        <w:rPr>
          <w:b/>
          <w:i/>
          <w:sz w:val="23"/>
        </w:rPr>
      </w:pPr>
    </w:p>
    <w:p>
      <w:pPr>
        <w:pStyle w:val="ListParagraph"/>
        <w:numPr>
          <w:ilvl w:val="0"/>
          <w:numId w:val="12"/>
        </w:numPr>
        <w:tabs>
          <w:tab w:pos="843" w:val="left" w:leader="none"/>
        </w:tabs>
        <w:spacing w:line="480" w:lineRule="auto" w:before="0" w:after="0"/>
        <w:ind w:left="648" w:right="678" w:firstLine="0"/>
        <w:jc w:val="both"/>
        <w:rPr>
          <w:sz w:val="24"/>
        </w:rPr>
      </w:pPr>
      <w:r>
        <w:rPr/>
        <w:pict>
          <v:shape style="position:absolute;margin-left:423.220001pt;margin-top:60.828571pt;width:4.55pt;height:8.950pt;mso-position-horizontal-relative:page;mso-position-vertical-relative:paragraph;z-index:-18401792" type="#_x0000_t202" filled="false" stroked="false">
            <v:textbox inset="0,0,0,0">
              <w:txbxContent>
                <w:p>
                  <w:pPr>
                    <w:spacing w:line="178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0"/>
                      <w:sz w:val="16"/>
                    </w:rPr>
                    <w:t>=</w:t>
                  </w:r>
                </w:p>
              </w:txbxContent>
            </v:textbox>
            <w10:wrap type="none"/>
          </v:shape>
        </w:pict>
      </w:r>
      <w:r>
        <w:rPr>
          <w:b/>
          <w:sz w:val="24"/>
        </w:rPr>
        <w:t>GABA </w:t>
      </w:r>
      <w:r>
        <w:rPr>
          <w:b/>
          <w:i/>
          <w:sz w:val="24"/>
        </w:rPr>
        <w:t>transporters; </w:t>
      </w:r>
      <w:r>
        <w:rPr>
          <w:sz w:val="24"/>
        </w:rPr>
        <w:t>GABA transporters may be reduced in epilepsy as observed in human</w:t>
      </w:r>
      <w:r>
        <w:rPr>
          <w:spacing w:val="1"/>
          <w:sz w:val="24"/>
        </w:rPr>
        <w:t> </w:t>
      </w:r>
      <w:r>
        <w:rPr>
          <w:sz w:val="24"/>
        </w:rPr>
        <w:t>epileptogenic foci from messial temporal lobe epilepsy, hence studies have shown that K</w:t>
      </w:r>
      <w:r>
        <w:rPr>
          <w:sz w:val="24"/>
          <w:vertAlign w:val="superscript"/>
        </w:rPr>
        <w:t>+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induced release of GABA is increased while glutamate induced Ca</w:t>
      </w:r>
      <w:r>
        <w:rPr>
          <w:sz w:val="24"/>
          <w:vertAlign w:val="superscript"/>
        </w:rPr>
        <w:t>2+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independent release of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GABA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is decreased in the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epileptogenic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hippocampus (Avoli</w:t>
      </w:r>
      <w:r>
        <w:rPr>
          <w:spacing w:val="2"/>
          <w:sz w:val="24"/>
          <w:vertAlign w:val="baseline"/>
        </w:rPr>
        <w:t> </w:t>
      </w:r>
      <w:r>
        <w:rPr>
          <w:i/>
          <w:sz w:val="24"/>
          <w:vertAlign w:val="baseline"/>
        </w:rPr>
        <w:t>et al., </w:t>
      </w:r>
      <w:r>
        <w:rPr>
          <w:sz w:val="24"/>
          <w:vertAlign w:val="baseline"/>
        </w:rPr>
        <w:t>2005).</w:t>
      </w:r>
    </w:p>
    <w:p>
      <w:pPr>
        <w:pStyle w:val="ListParagraph"/>
        <w:numPr>
          <w:ilvl w:val="0"/>
          <w:numId w:val="12"/>
        </w:numPr>
        <w:tabs>
          <w:tab w:pos="985" w:val="left" w:leader="none"/>
        </w:tabs>
        <w:spacing w:line="480" w:lineRule="auto" w:before="1" w:after="0"/>
        <w:ind w:left="648" w:right="679" w:firstLine="60"/>
        <w:jc w:val="both"/>
        <w:rPr>
          <w:sz w:val="24"/>
        </w:rPr>
      </w:pPr>
      <w:r>
        <w:rPr>
          <w:b/>
          <w:i/>
          <w:sz w:val="24"/>
        </w:rPr>
        <w:t>Gap junction; </w:t>
      </w:r>
      <w:r>
        <w:rPr>
          <w:sz w:val="24"/>
        </w:rPr>
        <w:t>During epileptic seizures gap junctions may play an important role in the</w:t>
      </w:r>
      <w:r>
        <w:rPr>
          <w:spacing w:val="1"/>
          <w:sz w:val="24"/>
        </w:rPr>
        <w:t> </w:t>
      </w:r>
      <w:r>
        <w:rPr>
          <w:sz w:val="24"/>
        </w:rPr>
        <w:t>synchronization of</w:t>
      </w:r>
      <w:r>
        <w:rPr>
          <w:spacing w:val="-1"/>
          <w:sz w:val="24"/>
        </w:rPr>
        <w:t> </w:t>
      </w:r>
      <w:r>
        <w:rPr>
          <w:sz w:val="24"/>
        </w:rPr>
        <w:t>neuronal</w:t>
      </w:r>
      <w:r>
        <w:rPr>
          <w:spacing w:val="1"/>
          <w:sz w:val="24"/>
        </w:rPr>
        <w:t> </w:t>
      </w:r>
      <w:r>
        <w:rPr>
          <w:sz w:val="24"/>
        </w:rPr>
        <w:t>networks under pathophysiological conditions</w:t>
      </w:r>
      <w:r>
        <w:rPr>
          <w:spacing w:val="1"/>
          <w:sz w:val="24"/>
        </w:rPr>
        <w:t> </w:t>
      </w:r>
      <w:r>
        <w:rPr>
          <w:sz w:val="24"/>
        </w:rPr>
        <w:t>(Nakase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Naus,</w:t>
      </w:r>
    </w:p>
    <w:p>
      <w:pPr>
        <w:spacing w:after="0" w:line="480" w:lineRule="auto"/>
        <w:jc w:val="both"/>
        <w:rPr>
          <w:sz w:val="24"/>
        </w:rPr>
        <w:sectPr>
          <w:pgSz w:w="12240" w:h="15840"/>
          <w:pgMar w:header="0" w:footer="792" w:top="1320" w:bottom="980" w:left="1080" w:right="760"/>
        </w:sectPr>
      </w:pPr>
    </w:p>
    <w:p>
      <w:pPr>
        <w:pStyle w:val="BodyText"/>
        <w:spacing w:line="480" w:lineRule="auto" w:before="72"/>
        <w:ind w:left="648" w:right="674"/>
        <w:jc w:val="both"/>
      </w:pPr>
      <w:r>
        <w:rPr/>
        <w:t>2004). Gap junctions contains protein known as connexins (Hormuzdi </w:t>
      </w:r>
      <w:r>
        <w:rPr>
          <w:i/>
        </w:rPr>
        <w:t>et al</w:t>
      </w:r>
      <w:r>
        <w:rPr/>
        <w:t>., 2004) and they</w:t>
      </w:r>
      <w:r>
        <w:rPr>
          <w:spacing w:val="1"/>
        </w:rPr>
        <w:t> </w:t>
      </w:r>
      <w:r>
        <w:rPr/>
        <w:t>allow flow of electrical signals and smaller molecules incuding dyes between cells, hence</w:t>
      </w:r>
      <w:r>
        <w:rPr>
          <w:spacing w:val="1"/>
        </w:rPr>
        <w:t> </w:t>
      </w:r>
      <w:r>
        <w:rPr/>
        <w:t>promoting neuronal synchrony and anything that enhances the function of or blocks gap</w:t>
      </w:r>
      <w:r>
        <w:rPr>
          <w:spacing w:val="1"/>
        </w:rPr>
        <w:t> </w:t>
      </w:r>
      <w:r>
        <w:rPr/>
        <w:t>junction will increase or decrease epileptiform neuronal synchronization respectively (Carlen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-1"/>
        </w:rPr>
        <w:t> </w:t>
      </w:r>
      <w:r>
        <w:rPr>
          <w:i/>
        </w:rPr>
        <w:t>al</w:t>
      </w:r>
      <w:r>
        <w:rPr/>
        <w:t>., 2000).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ListParagraph"/>
        <w:numPr>
          <w:ilvl w:val="0"/>
          <w:numId w:val="12"/>
        </w:numPr>
        <w:tabs>
          <w:tab w:pos="1002" w:val="left" w:leader="none"/>
        </w:tabs>
        <w:spacing w:line="480" w:lineRule="auto" w:before="0" w:after="0"/>
        <w:ind w:left="648" w:right="677" w:firstLine="0"/>
        <w:jc w:val="left"/>
        <w:rPr>
          <w:sz w:val="24"/>
        </w:rPr>
      </w:pPr>
      <w:r>
        <w:rPr>
          <w:b/>
          <w:i/>
          <w:sz w:val="24"/>
        </w:rPr>
        <w:t>Neuromodulators</w:t>
      </w:r>
      <w:r>
        <w:rPr>
          <w:b/>
          <w:sz w:val="24"/>
        </w:rPr>
        <w:t>;</w:t>
      </w:r>
      <w:r>
        <w:rPr>
          <w:b/>
          <w:spacing w:val="28"/>
          <w:sz w:val="24"/>
        </w:rPr>
        <w:t> </w:t>
      </w:r>
      <w:r>
        <w:rPr>
          <w:sz w:val="24"/>
        </w:rPr>
        <w:t>These</w:t>
      </w:r>
      <w:r>
        <w:rPr>
          <w:spacing w:val="28"/>
          <w:sz w:val="24"/>
        </w:rPr>
        <w:t> </w:t>
      </w:r>
      <w:r>
        <w:rPr>
          <w:sz w:val="24"/>
        </w:rPr>
        <w:t>consist</w:t>
      </w:r>
      <w:r>
        <w:rPr>
          <w:spacing w:val="31"/>
          <w:sz w:val="24"/>
        </w:rPr>
        <w:t> </w:t>
      </w:r>
      <w:r>
        <w:rPr>
          <w:sz w:val="24"/>
        </w:rPr>
        <w:t>basically</w:t>
      </w:r>
      <w:r>
        <w:rPr>
          <w:spacing w:val="24"/>
          <w:sz w:val="24"/>
        </w:rPr>
        <w:t> </w:t>
      </w:r>
      <w:r>
        <w:rPr>
          <w:sz w:val="24"/>
        </w:rPr>
        <w:t>of</w:t>
      </w:r>
      <w:r>
        <w:rPr>
          <w:spacing w:val="30"/>
          <w:sz w:val="24"/>
        </w:rPr>
        <w:t> </w:t>
      </w:r>
      <w:r>
        <w:rPr>
          <w:sz w:val="24"/>
        </w:rPr>
        <w:t>neuropeptide</w:t>
      </w:r>
      <w:r>
        <w:rPr>
          <w:spacing w:val="29"/>
          <w:sz w:val="24"/>
        </w:rPr>
        <w:t> </w:t>
      </w:r>
      <w:r>
        <w:rPr>
          <w:sz w:val="24"/>
        </w:rPr>
        <w:t>Y</w:t>
      </w:r>
      <w:r>
        <w:rPr>
          <w:spacing w:val="28"/>
          <w:sz w:val="24"/>
        </w:rPr>
        <w:t> </w:t>
      </w:r>
      <w:r>
        <w:rPr>
          <w:sz w:val="24"/>
        </w:rPr>
        <w:t>and</w:t>
      </w:r>
      <w:r>
        <w:rPr>
          <w:spacing w:val="28"/>
          <w:sz w:val="24"/>
        </w:rPr>
        <w:t> </w:t>
      </w:r>
      <w:r>
        <w:rPr>
          <w:sz w:val="24"/>
        </w:rPr>
        <w:t>corticotrophin-release</w:t>
      </w:r>
      <w:r>
        <w:rPr>
          <w:spacing w:val="-57"/>
          <w:sz w:val="24"/>
        </w:rPr>
        <w:t> </w:t>
      </w:r>
      <w:r>
        <w:rPr>
          <w:sz w:val="24"/>
        </w:rPr>
        <w:t>hormone</w:t>
      </w:r>
    </w:p>
    <w:p>
      <w:pPr>
        <w:pStyle w:val="BodyText"/>
        <w:spacing w:before="1"/>
        <w:ind w:left="648"/>
      </w:pPr>
      <w:r>
        <w:rPr/>
        <w:t>.</w:t>
      </w:r>
    </w:p>
    <w:p>
      <w:pPr>
        <w:pStyle w:val="BodyText"/>
        <w:spacing w:line="480" w:lineRule="auto"/>
        <w:ind w:left="648" w:right="676"/>
        <w:jc w:val="both"/>
      </w:pPr>
      <w:r>
        <w:rPr>
          <w:b/>
        </w:rPr>
        <w:t>a.Neuropeptide </w:t>
      </w:r>
      <w:r>
        <w:rPr>
          <w:b/>
          <w:i/>
        </w:rPr>
        <w:t>Y; </w:t>
      </w:r>
      <w:r>
        <w:rPr/>
        <w:t>It is a neuromodulatory substance that was found to be of importance in</w:t>
      </w:r>
      <w:r>
        <w:rPr>
          <w:spacing w:val="1"/>
        </w:rPr>
        <w:t> </w:t>
      </w:r>
      <w:r>
        <w:rPr/>
        <w:t>the regulation of neuronal excitability, particularly tunning interneuron discharge propensity</w:t>
      </w:r>
      <w:r>
        <w:rPr>
          <w:spacing w:val="1"/>
        </w:rPr>
        <w:t> </w:t>
      </w:r>
      <w:r>
        <w:rPr/>
        <w:t>(Baraban</w:t>
      </w:r>
      <w:r>
        <w:rPr>
          <w:spacing w:val="1"/>
        </w:rPr>
        <w:t> </w:t>
      </w:r>
      <w:r>
        <w:rPr/>
        <w:t>and Tallent,</w:t>
      </w:r>
      <w:r>
        <w:rPr>
          <w:spacing w:val="1"/>
        </w:rPr>
        <w:t> </w:t>
      </w:r>
      <w:r>
        <w:rPr/>
        <w:t>2004). Neuropeptide Y can cause</w:t>
      </w:r>
      <w:r>
        <w:rPr>
          <w:spacing w:val="1"/>
        </w:rPr>
        <w:t> </w:t>
      </w:r>
      <w:r>
        <w:rPr/>
        <w:t>a decrease in</w:t>
      </w:r>
      <w:r>
        <w:rPr>
          <w:spacing w:val="60"/>
        </w:rPr>
        <w:t> </w:t>
      </w:r>
      <w:r>
        <w:rPr/>
        <w:t>synaptic transmission</w:t>
      </w:r>
      <w:r>
        <w:rPr>
          <w:spacing w:val="-57"/>
        </w:rPr>
        <w:t> </w:t>
      </w:r>
      <w:r>
        <w:rPr/>
        <w:t>by reducing presynaptic calcium influx and consequently, suppress epileptiform activity via</w:t>
      </w:r>
      <w:r>
        <w:rPr>
          <w:spacing w:val="1"/>
        </w:rPr>
        <w:t> </w:t>
      </w:r>
      <w:r>
        <w:rPr/>
        <w:t>Y2 receptor activity (Avoli-Massimo, 2005) also tonically released endogenous neuropeptide</w:t>
      </w:r>
      <w:r>
        <w:rPr>
          <w:spacing w:val="1"/>
        </w:rPr>
        <w:t> </w:t>
      </w:r>
      <w:r>
        <w:rPr/>
        <w:t>may decrease excitability in recurrent mossy fibre projections in a limbic epilepsy model (Tu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-1"/>
        </w:rPr>
        <w:t> </w:t>
      </w:r>
      <w:r>
        <w:rPr>
          <w:i/>
        </w:rPr>
        <w:t>al</w:t>
      </w:r>
      <w:r>
        <w:rPr/>
        <w:t>., 2005).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spacing w:line="480" w:lineRule="auto" w:before="0"/>
        <w:ind w:left="648" w:right="676" w:firstLine="0"/>
        <w:jc w:val="both"/>
        <w:rPr>
          <w:sz w:val="24"/>
        </w:rPr>
      </w:pPr>
      <w:r>
        <w:rPr>
          <w:b/>
          <w:sz w:val="24"/>
        </w:rPr>
        <w:t>b.</w:t>
      </w:r>
      <w:r>
        <w:rPr>
          <w:b/>
          <w:spacing w:val="1"/>
          <w:sz w:val="24"/>
        </w:rPr>
        <w:t> </w:t>
      </w:r>
      <w:r>
        <w:rPr>
          <w:b/>
          <w:i/>
          <w:sz w:val="24"/>
        </w:rPr>
        <w:t>Neuropeptide</w:t>
      </w:r>
      <w:r>
        <w:rPr>
          <w:b/>
          <w:i/>
          <w:spacing w:val="61"/>
          <w:sz w:val="24"/>
        </w:rPr>
        <w:t> </w:t>
      </w:r>
      <w:r>
        <w:rPr>
          <w:b/>
          <w:i/>
          <w:sz w:val="24"/>
        </w:rPr>
        <w:t>corticotrophin</w:t>
      </w:r>
      <w:r>
        <w:rPr>
          <w:b/>
          <w:i/>
          <w:spacing w:val="61"/>
          <w:sz w:val="24"/>
        </w:rPr>
        <w:t> </w:t>
      </w:r>
      <w:r>
        <w:rPr>
          <w:b/>
          <w:i/>
          <w:sz w:val="24"/>
        </w:rPr>
        <w:t>releasing</w:t>
      </w:r>
      <w:r>
        <w:rPr>
          <w:b/>
          <w:i/>
          <w:spacing w:val="61"/>
          <w:sz w:val="24"/>
        </w:rPr>
        <w:t> </w:t>
      </w:r>
      <w:r>
        <w:rPr>
          <w:b/>
          <w:i/>
          <w:sz w:val="24"/>
        </w:rPr>
        <w:t>hormone</w:t>
      </w:r>
      <w:r>
        <w:rPr>
          <w:b/>
          <w:i/>
          <w:spacing w:val="61"/>
          <w:sz w:val="24"/>
        </w:rPr>
        <w:t> </w:t>
      </w:r>
      <w:r>
        <w:rPr>
          <w:b/>
          <w:i/>
          <w:sz w:val="24"/>
        </w:rPr>
        <w:t>(CRH);</w:t>
      </w:r>
      <w:r>
        <w:rPr>
          <w:b/>
          <w:i/>
          <w:spacing w:val="61"/>
          <w:sz w:val="24"/>
        </w:rPr>
        <w:t> </w:t>
      </w:r>
      <w:r>
        <w:rPr>
          <w:sz w:val="24"/>
        </w:rPr>
        <w:t>The</w:t>
      </w:r>
      <w:r>
        <w:rPr>
          <w:spacing w:val="61"/>
          <w:sz w:val="24"/>
        </w:rPr>
        <w:t> </w:t>
      </w:r>
      <w:r>
        <w:rPr>
          <w:sz w:val="24"/>
        </w:rPr>
        <w:t>most</w:t>
      </w:r>
      <w:r>
        <w:rPr>
          <w:spacing w:val="61"/>
          <w:sz w:val="24"/>
        </w:rPr>
        <w:t> </w:t>
      </w:r>
      <w:r>
        <w:rPr>
          <w:sz w:val="24"/>
        </w:rPr>
        <w:t>potent</w:t>
      </w:r>
      <w:r>
        <w:rPr>
          <w:spacing w:val="1"/>
          <w:sz w:val="24"/>
        </w:rPr>
        <w:t> </w:t>
      </w:r>
      <w:r>
        <w:rPr>
          <w:sz w:val="24"/>
        </w:rPr>
        <w:t>epileptogenic pepetide is the excitatory neuropeptide CRH, and may play a critical role in the</w:t>
      </w:r>
      <w:r>
        <w:rPr>
          <w:spacing w:val="1"/>
          <w:sz w:val="24"/>
        </w:rPr>
        <w:t> </w:t>
      </w:r>
      <w:r>
        <w:rPr>
          <w:sz w:val="24"/>
        </w:rPr>
        <w:t>triggering</w:t>
      </w:r>
      <w:r>
        <w:rPr>
          <w:spacing w:val="-4"/>
          <w:sz w:val="24"/>
        </w:rPr>
        <w:t> </w:t>
      </w:r>
      <w:r>
        <w:rPr>
          <w:sz w:val="24"/>
        </w:rPr>
        <w:t>of seizures (Wasterlin and Mazarati, 1997).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2"/>
        <w:numPr>
          <w:ilvl w:val="2"/>
          <w:numId w:val="10"/>
        </w:numPr>
        <w:tabs>
          <w:tab w:pos="1369" w:val="left" w:leader="none"/>
        </w:tabs>
        <w:spacing w:line="240" w:lineRule="auto" w:before="212" w:after="0"/>
        <w:ind w:left="1368" w:right="0" w:hanging="721"/>
        <w:jc w:val="both"/>
      </w:pPr>
      <w:bookmarkStart w:name="_TOC_250045" w:id="16"/>
      <w:r>
        <w:rPr/>
        <w:t>Primary</w:t>
      </w:r>
      <w:r>
        <w:rPr>
          <w:spacing w:val="-2"/>
        </w:rPr>
        <w:t> </w:t>
      </w:r>
      <w:r>
        <w:rPr/>
        <w:t>physiologic</w:t>
      </w:r>
      <w:r>
        <w:rPr>
          <w:spacing w:val="-4"/>
        </w:rPr>
        <w:t> </w:t>
      </w:r>
      <w:r>
        <w:rPr/>
        <w:t>mechanisms</w:t>
      </w:r>
      <w:r>
        <w:rPr>
          <w:spacing w:val="-4"/>
        </w:rPr>
        <w:t> </w:t>
      </w:r>
      <w:r>
        <w:rPr/>
        <w:t>involved</w:t>
      </w:r>
      <w:r>
        <w:rPr>
          <w:spacing w:val="-1"/>
        </w:rPr>
        <w:t> </w:t>
      </w:r>
      <w:bookmarkEnd w:id="16"/>
      <w:r>
        <w:rPr/>
        <w:t>in epilepsy</w:t>
      </w:r>
    </w:p>
    <w:p>
      <w:pPr>
        <w:spacing w:after="0" w:line="240" w:lineRule="auto"/>
        <w:jc w:val="both"/>
        <w:sectPr>
          <w:pgSz w:w="12240" w:h="15840"/>
          <w:pgMar w:header="0" w:footer="792" w:top="1360" w:bottom="980" w:left="1080" w:right="760"/>
        </w:sectPr>
      </w:pPr>
    </w:p>
    <w:p>
      <w:pPr>
        <w:pStyle w:val="BodyText"/>
        <w:spacing w:line="480" w:lineRule="auto" w:before="72"/>
        <w:ind w:left="648" w:right="675"/>
        <w:jc w:val="both"/>
      </w:pPr>
      <w:r>
        <w:rPr/>
        <w:t>Epilepsy could be differentiated from seizure by the fact that while epilepsy is a progressive</w:t>
      </w:r>
      <w:r>
        <w:rPr>
          <w:spacing w:val="1"/>
        </w:rPr>
        <w:t> </w:t>
      </w:r>
      <w:r>
        <w:rPr/>
        <w:t>neurologic</w:t>
      </w:r>
      <w:r>
        <w:rPr>
          <w:spacing w:val="1"/>
        </w:rPr>
        <w:t> </w:t>
      </w:r>
      <w:r>
        <w:rPr/>
        <w:t>disorder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brain,</w:t>
      </w:r>
      <w:r>
        <w:rPr>
          <w:spacing w:val="1"/>
        </w:rPr>
        <w:t> </w:t>
      </w:r>
      <w:r>
        <w:rPr/>
        <w:t>seizures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distinct,</w:t>
      </w:r>
      <w:r>
        <w:rPr>
          <w:spacing w:val="1"/>
        </w:rPr>
        <w:t> </w:t>
      </w:r>
      <w:r>
        <w:rPr/>
        <w:t>transient</w:t>
      </w:r>
      <w:r>
        <w:rPr>
          <w:spacing w:val="1"/>
        </w:rPr>
        <w:t> </w:t>
      </w:r>
      <w:r>
        <w:rPr/>
        <w:t>occurrences</w:t>
      </w:r>
      <w:r>
        <w:rPr>
          <w:spacing w:val="1"/>
        </w:rPr>
        <w:t> </w:t>
      </w:r>
      <w:r>
        <w:rPr/>
        <w:t>caused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abnormal excessive or hypersynchronous neuronal activity in the brain (Fisher </w:t>
      </w:r>
      <w:r>
        <w:rPr>
          <w:i/>
        </w:rPr>
        <w:t>et al</w:t>
      </w:r>
      <w:r>
        <w:rPr/>
        <w:t>., 2005).</w:t>
      </w:r>
      <w:r>
        <w:rPr>
          <w:spacing w:val="1"/>
        </w:rPr>
        <w:t> </w:t>
      </w:r>
      <w:r>
        <w:rPr/>
        <w:t>Thus, the pathophysiology underlying the epileptic process includes mechanism involved in</w:t>
      </w:r>
      <w:r>
        <w:rPr>
          <w:spacing w:val="1"/>
        </w:rPr>
        <w:t> </w:t>
      </w:r>
      <w:r>
        <w:rPr/>
        <w:t>the initiation of seizures (ictogenesis), as well as those involved in transforming the normal</w:t>
      </w:r>
      <w:r>
        <w:rPr>
          <w:spacing w:val="1"/>
        </w:rPr>
        <w:t> </w:t>
      </w:r>
      <w:r>
        <w:rPr/>
        <w:t>brain</w:t>
      </w:r>
      <w:r>
        <w:rPr>
          <w:spacing w:val="-1"/>
        </w:rPr>
        <w:t> </w:t>
      </w:r>
      <w:r>
        <w:rPr/>
        <w:t>into a seizure-prone</w:t>
      </w:r>
      <w:r>
        <w:rPr>
          <w:spacing w:val="-2"/>
        </w:rPr>
        <w:t> </w:t>
      </w:r>
      <w:r>
        <w:rPr/>
        <w:t>brain (epileptogenesis)</w:t>
      </w:r>
      <w:r>
        <w:rPr>
          <w:spacing w:val="1"/>
        </w:rPr>
        <w:t> </w:t>
      </w:r>
      <w:r>
        <w:rPr/>
        <w:t>(</w:t>
      </w:r>
      <w:r>
        <w:rPr>
          <w:spacing w:val="1"/>
        </w:rPr>
        <w:t> </w:t>
      </w:r>
      <w:r>
        <w:rPr/>
        <w:t>Fisher </w:t>
      </w:r>
      <w:r>
        <w:rPr>
          <w:i/>
        </w:rPr>
        <w:t>et al</w:t>
      </w:r>
      <w:r>
        <w:rPr/>
        <w:t>,, 2005).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spacing w:line="480" w:lineRule="auto" w:before="0"/>
        <w:ind w:left="648" w:right="672" w:firstLine="0"/>
        <w:jc w:val="both"/>
        <w:rPr>
          <w:sz w:val="24"/>
        </w:rPr>
      </w:pPr>
      <w:r>
        <w:rPr>
          <w:b/>
          <w:sz w:val="24"/>
        </w:rPr>
        <w:t>Mechanism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ictogenesis;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Hyperexcitation</w:t>
      </w:r>
      <w:r>
        <w:rPr>
          <w:b/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key</w:t>
      </w:r>
      <w:r>
        <w:rPr>
          <w:spacing w:val="1"/>
          <w:sz w:val="24"/>
        </w:rPr>
        <w:t> </w:t>
      </w:r>
      <w:r>
        <w:rPr>
          <w:sz w:val="24"/>
        </w:rPr>
        <w:t>factor</w:t>
      </w:r>
      <w:r>
        <w:rPr>
          <w:spacing w:val="1"/>
          <w:sz w:val="24"/>
        </w:rPr>
        <w:t> </w:t>
      </w:r>
      <w:r>
        <w:rPr>
          <w:sz w:val="24"/>
        </w:rPr>
        <w:t>underlying</w:t>
      </w:r>
      <w:r>
        <w:rPr>
          <w:spacing w:val="1"/>
          <w:sz w:val="24"/>
        </w:rPr>
        <w:t> </w:t>
      </w:r>
      <w:r>
        <w:rPr>
          <w:sz w:val="24"/>
        </w:rPr>
        <w:t>ictogenesis.</w:t>
      </w:r>
      <w:r>
        <w:rPr>
          <w:spacing w:val="1"/>
          <w:sz w:val="24"/>
        </w:rPr>
        <w:t> </w:t>
      </w:r>
      <w:r>
        <w:rPr>
          <w:sz w:val="24"/>
        </w:rPr>
        <w:t>Excessive excitation may originate from individual neurons, the neuronal environment or</w:t>
      </w:r>
      <w:r>
        <w:rPr>
          <w:spacing w:val="1"/>
          <w:sz w:val="24"/>
        </w:rPr>
        <w:t> </w:t>
      </w:r>
      <w:r>
        <w:rPr>
          <w:sz w:val="24"/>
        </w:rPr>
        <w:t>neuronal</w:t>
      </w:r>
      <w:r>
        <w:rPr>
          <w:spacing w:val="-1"/>
          <w:sz w:val="24"/>
        </w:rPr>
        <w:t> </w:t>
      </w:r>
      <w:r>
        <w:rPr>
          <w:sz w:val="24"/>
        </w:rPr>
        <w:t>networks (Engelborgs</w:t>
      </w:r>
      <w:r>
        <w:rPr>
          <w:spacing w:val="1"/>
          <w:sz w:val="24"/>
        </w:rPr>
        <w:t> </w:t>
      </w:r>
      <w:r>
        <w:rPr>
          <w:i/>
          <w:sz w:val="24"/>
        </w:rPr>
        <w:t>et al</w:t>
      </w:r>
      <w:r>
        <w:rPr>
          <w:sz w:val="24"/>
        </w:rPr>
        <w:t>., 2000).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ListParagraph"/>
        <w:numPr>
          <w:ilvl w:val="0"/>
          <w:numId w:val="13"/>
        </w:numPr>
        <w:tabs>
          <w:tab w:pos="891" w:val="left" w:leader="none"/>
        </w:tabs>
        <w:spacing w:line="480" w:lineRule="auto" w:before="0" w:after="0"/>
        <w:ind w:left="648" w:right="676" w:firstLine="0"/>
        <w:jc w:val="both"/>
        <w:rPr>
          <w:sz w:val="24"/>
        </w:rPr>
      </w:pPr>
      <w:r>
        <w:rPr>
          <w:b/>
          <w:i/>
          <w:sz w:val="24"/>
        </w:rPr>
        <w:t>Individual neurons; </w:t>
      </w:r>
      <w:r>
        <w:rPr>
          <w:sz w:val="24"/>
        </w:rPr>
        <w:t>Excitability from individual neurons may arise</w:t>
      </w:r>
      <w:r>
        <w:rPr>
          <w:spacing w:val="1"/>
          <w:sz w:val="24"/>
        </w:rPr>
        <w:t> </w:t>
      </w:r>
      <w:r>
        <w:rPr>
          <w:sz w:val="24"/>
        </w:rPr>
        <w:t>from structural or</w:t>
      </w:r>
      <w:r>
        <w:rPr>
          <w:spacing w:val="1"/>
          <w:sz w:val="24"/>
        </w:rPr>
        <w:t> </w:t>
      </w:r>
      <w:r>
        <w:rPr>
          <w:sz w:val="24"/>
        </w:rPr>
        <w:t>functional</w:t>
      </w:r>
      <w:r>
        <w:rPr>
          <w:spacing w:val="1"/>
          <w:sz w:val="24"/>
        </w:rPr>
        <w:t> </w:t>
      </w:r>
      <w:r>
        <w:rPr>
          <w:sz w:val="24"/>
        </w:rPr>
        <w:t>changes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postsynaptic</w:t>
      </w:r>
      <w:r>
        <w:rPr>
          <w:spacing w:val="1"/>
          <w:sz w:val="24"/>
        </w:rPr>
        <w:t> </w:t>
      </w:r>
      <w:r>
        <w:rPr>
          <w:sz w:val="24"/>
        </w:rPr>
        <w:t>membrane;</w:t>
      </w:r>
      <w:r>
        <w:rPr>
          <w:spacing w:val="1"/>
          <w:sz w:val="24"/>
        </w:rPr>
        <w:t> </w:t>
      </w:r>
      <w:r>
        <w:rPr>
          <w:sz w:val="24"/>
        </w:rPr>
        <w:t>alterations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type,</w:t>
      </w:r>
      <w:r>
        <w:rPr>
          <w:spacing w:val="1"/>
          <w:sz w:val="24"/>
        </w:rPr>
        <w:t> </w:t>
      </w:r>
      <w:r>
        <w:rPr>
          <w:sz w:val="24"/>
        </w:rPr>
        <w:t>number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distribution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voltage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ligand-gated</w:t>
      </w:r>
      <w:r>
        <w:rPr>
          <w:spacing w:val="1"/>
          <w:sz w:val="24"/>
        </w:rPr>
        <w:t> </w:t>
      </w:r>
      <w:r>
        <w:rPr>
          <w:sz w:val="24"/>
        </w:rPr>
        <w:t>ion</w:t>
      </w:r>
      <w:r>
        <w:rPr>
          <w:spacing w:val="1"/>
          <w:sz w:val="24"/>
        </w:rPr>
        <w:t> </w:t>
      </w:r>
      <w:r>
        <w:rPr>
          <w:sz w:val="24"/>
        </w:rPr>
        <w:t>channels;</w:t>
      </w:r>
      <w:r>
        <w:rPr>
          <w:spacing w:val="1"/>
          <w:sz w:val="24"/>
        </w:rPr>
        <w:t> </w:t>
      </w:r>
      <w:r>
        <w:rPr>
          <w:sz w:val="24"/>
        </w:rPr>
        <w:t>or</w:t>
      </w:r>
      <w:r>
        <w:rPr>
          <w:spacing w:val="1"/>
          <w:sz w:val="24"/>
        </w:rPr>
        <w:t> </w:t>
      </w:r>
      <w:r>
        <w:rPr>
          <w:sz w:val="24"/>
        </w:rPr>
        <w:t>biochemical</w:t>
      </w:r>
      <w:r>
        <w:rPr>
          <w:spacing w:val="1"/>
          <w:sz w:val="24"/>
        </w:rPr>
        <w:t> </w:t>
      </w:r>
      <w:r>
        <w:rPr>
          <w:sz w:val="24"/>
        </w:rPr>
        <w:t>modification</w:t>
      </w:r>
      <w:r>
        <w:rPr>
          <w:spacing w:val="60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receptors</w:t>
      </w:r>
      <w:r>
        <w:rPr>
          <w:spacing w:val="1"/>
          <w:sz w:val="24"/>
        </w:rPr>
        <w:t> </w:t>
      </w:r>
      <w:r>
        <w:rPr>
          <w:sz w:val="24"/>
        </w:rPr>
        <w:t>that</w:t>
      </w:r>
      <w:r>
        <w:rPr>
          <w:spacing w:val="1"/>
          <w:sz w:val="24"/>
        </w:rPr>
        <w:t> </w:t>
      </w:r>
      <w:r>
        <w:rPr>
          <w:sz w:val="24"/>
        </w:rPr>
        <w:t>increase</w:t>
      </w:r>
      <w:r>
        <w:rPr>
          <w:spacing w:val="1"/>
          <w:sz w:val="24"/>
        </w:rPr>
        <w:t> </w:t>
      </w:r>
      <w:r>
        <w:rPr>
          <w:sz w:val="24"/>
        </w:rPr>
        <w:t>permeability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Ca</w:t>
      </w:r>
      <w:r>
        <w:rPr>
          <w:sz w:val="24"/>
          <w:vertAlign w:val="superscript"/>
        </w:rPr>
        <w:t>2+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,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favouring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development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of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prolonged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depolarization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that precedes seizures (AES, 2010).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ListParagraph"/>
        <w:numPr>
          <w:ilvl w:val="0"/>
          <w:numId w:val="13"/>
        </w:numPr>
        <w:tabs>
          <w:tab w:pos="844" w:val="left" w:leader="none"/>
        </w:tabs>
        <w:spacing w:line="480" w:lineRule="auto" w:before="0" w:after="0"/>
        <w:ind w:left="648" w:right="673" w:firstLine="0"/>
        <w:jc w:val="both"/>
        <w:rPr>
          <w:sz w:val="22"/>
        </w:rPr>
      </w:pPr>
      <w:r>
        <w:rPr>
          <w:b/>
          <w:sz w:val="24"/>
        </w:rPr>
        <w:t>Neuronal </w:t>
      </w:r>
      <w:r>
        <w:rPr>
          <w:b/>
          <w:i/>
          <w:sz w:val="24"/>
        </w:rPr>
        <w:t>environment; </w:t>
      </w:r>
      <w:r>
        <w:rPr>
          <w:sz w:val="24"/>
        </w:rPr>
        <w:t>Excitability arising from neuronal environment may result from</w:t>
      </w:r>
      <w:r>
        <w:rPr>
          <w:spacing w:val="1"/>
          <w:sz w:val="24"/>
        </w:rPr>
        <w:t> </w:t>
      </w:r>
      <w:r>
        <w:rPr>
          <w:sz w:val="24"/>
        </w:rPr>
        <w:t>both</w:t>
      </w:r>
      <w:r>
        <w:rPr>
          <w:spacing w:val="1"/>
          <w:sz w:val="24"/>
        </w:rPr>
        <w:t> </w:t>
      </w:r>
      <w:r>
        <w:rPr>
          <w:sz w:val="24"/>
        </w:rPr>
        <w:t>physiologic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structural</w:t>
      </w:r>
      <w:r>
        <w:rPr>
          <w:spacing w:val="1"/>
          <w:sz w:val="24"/>
        </w:rPr>
        <w:t> </w:t>
      </w:r>
      <w:r>
        <w:rPr>
          <w:sz w:val="24"/>
        </w:rPr>
        <w:t>changes.</w:t>
      </w:r>
      <w:r>
        <w:rPr>
          <w:spacing w:val="1"/>
          <w:sz w:val="24"/>
        </w:rPr>
        <w:t> </w:t>
      </w:r>
      <w:r>
        <w:rPr>
          <w:sz w:val="24"/>
        </w:rPr>
        <w:t>Physiologic</w:t>
      </w:r>
      <w:r>
        <w:rPr>
          <w:spacing w:val="1"/>
          <w:sz w:val="24"/>
        </w:rPr>
        <w:t> </w:t>
      </w:r>
      <w:r>
        <w:rPr>
          <w:sz w:val="24"/>
        </w:rPr>
        <w:t>changes</w:t>
      </w:r>
      <w:r>
        <w:rPr>
          <w:spacing w:val="1"/>
          <w:sz w:val="24"/>
        </w:rPr>
        <w:t> </w:t>
      </w:r>
      <w:r>
        <w:rPr>
          <w:sz w:val="24"/>
        </w:rPr>
        <w:t>include</w:t>
      </w:r>
      <w:r>
        <w:rPr>
          <w:spacing w:val="1"/>
          <w:sz w:val="24"/>
        </w:rPr>
        <w:t> </w:t>
      </w:r>
      <w:r>
        <w:rPr>
          <w:sz w:val="24"/>
        </w:rPr>
        <w:t>alterations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-57"/>
          <w:sz w:val="24"/>
        </w:rPr>
        <w:t> </w:t>
      </w:r>
      <w:r>
        <w:rPr>
          <w:sz w:val="24"/>
        </w:rPr>
        <w:t>concentrations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ions,</w:t>
      </w:r>
      <w:r>
        <w:rPr>
          <w:spacing w:val="1"/>
          <w:sz w:val="24"/>
        </w:rPr>
        <w:t> </w:t>
      </w:r>
      <w:r>
        <w:rPr>
          <w:sz w:val="24"/>
        </w:rPr>
        <w:t>metabolic</w:t>
      </w:r>
      <w:r>
        <w:rPr>
          <w:spacing w:val="1"/>
          <w:sz w:val="24"/>
        </w:rPr>
        <w:t> </w:t>
      </w:r>
      <w:r>
        <w:rPr>
          <w:sz w:val="24"/>
        </w:rPr>
        <w:t>alterations,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neurotransmitter</w:t>
      </w:r>
      <w:r>
        <w:rPr>
          <w:spacing w:val="1"/>
          <w:sz w:val="24"/>
        </w:rPr>
        <w:t> </w:t>
      </w:r>
      <w:r>
        <w:rPr>
          <w:sz w:val="24"/>
        </w:rPr>
        <w:t>levels.</w:t>
      </w:r>
      <w:r>
        <w:rPr>
          <w:spacing w:val="60"/>
          <w:sz w:val="24"/>
        </w:rPr>
        <w:t> </w:t>
      </w:r>
      <w:r>
        <w:rPr>
          <w:sz w:val="24"/>
        </w:rPr>
        <w:t>Structural</w:t>
      </w:r>
      <w:r>
        <w:rPr>
          <w:spacing w:val="1"/>
          <w:sz w:val="24"/>
        </w:rPr>
        <w:t> </w:t>
      </w:r>
      <w:r>
        <w:rPr>
          <w:sz w:val="24"/>
        </w:rPr>
        <w:t>changes affect both neurons and glia.</w:t>
      </w:r>
      <w:r>
        <w:rPr>
          <w:spacing w:val="1"/>
          <w:sz w:val="24"/>
        </w:rPr>
        <w:t> </w:t>
      </w:r>
      <w:r>
        <w:rPr>
          <w:sz w:val="24"/>
        </w:rPr>
        <w:t>Seizure associated astrocytes reportedly are complex,</w:t>
      </w:r>
      <w:r>
        <w:rPr>
          <w:spacing w:val="1"/>
          <w:sz w:val="24"/>
        </w:rPr>
        <w:t> </w:t>
      </w:r>
      <w:r>
        <w:rPr>
          <w:sz w:val="24"/>
        </w:rPr>
        <w:t>aborized, highly branched processes with a stellate appearance and with a ratio of Na</w:t>
      </w:r>
      <w:r>
        <w:rPr>
          <w:sz w:val="24"/>
          <w:vertAlign w:val="superscript"/>
        </w:rPr>
        <w:t>+</w:t>
      </w:r>
      <w:r>
        <w:rPr>
          <w:sz w:val="24"/>
          <w:vertAlign w:val="baseline"/>
        </w:rPr>
        <w:t> to K</w:t>
      </w:r>
      <w:r>
        <w:rPr>
          <w:sz w:val="24"/>
          <w:vertAlign w:val="superscript"/>
        </w:rPr>
        <w:t>+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conductance</w:t>
      </w:r>
      <w:r>
        <w:rPr>
          <w:spacing w:val="31"/>
          <w:sz w:val="24"/>
          <w:vertAlign w:val="baseline"/>
        </w:rPr>
        <w:t> </w:t>
      </w:r>
      <w:r>
        <w:rPr>
          <w:sz w:val="24"/>
          <w:vertAlign w:val="baseline"/>
        </w:rPr>
        <w:t>that</w:t>
      </w:r>
      <w:r>
        <w:rPr>
          <w:spacing w:val="32"/>
          <w:sz w:val="24"/>
          <w:vertAlign w:val="baseline"/>
        </w:rPr>
        <w:t> </w:t>
      </w:r>
      <w:r>
        <w:rPr>
          <w:sz w:val="24"/>
          <w:vertAlign w:val="baseline"/>
        </w:rPr>
        <w:t>is</w:t>
      </w:r>
      <w:r>
        <w:rPr>
          <w:spacing w:val="34"/>
          <w:sz w:val="24"/>
          <w:vertAlign w:val="baseline"/>
        </w:rPr>
        <w:t> </w:t>
      </w:r>
      <w:r>
        <w:rPr>
          <w:sz w:val="24"/>
          <w:vertAlign w:val="baseline"/>
        </w:rPr>
        <w:t>3-4</w:t>
      </w:r>
      <w:r>
        <w:rPr>
          <w:spacing w:val="34"/>
          <w:sz w:val="24"/>
          <w:vertAlign w:val="baseline"/>
        </w:rPr>
        <w:t> </w:t>
      </w:r>
      <w:r>
        <w:rPr>
          <w:sz w:val="24"/>
          <w:vertAlign w:val="baseline"/>
        </w:rPr>
        <w:t>fold</w:t>
      </w:r>
      <w:r>
        <w:rPr>
          <w:spacing w:val="32"/>
          <w:sz w:val="24"/>
          <w:vertAlign w:val="baseline"/>
        </w:rPr>
        <w:t> </w:t>
      </w:r>
      <w:r>
        <w:rPr>
          <w:sz w:val="24"/>
          <w:vertAlign w:val="baseline"/>
        </w:rPr>
        <w:t>higher</w:t>
      </w:r>
      <w:r>
        <w:rPr>
          <w:spacing w:val="32"/>
          <w:sz w:val="24"/>
          <w:vertAlign w:val="baseline"/>
        </w:rPr>
        <w:t> </w:t>
      </w:r>
      <w:r>
        <w:rPr>
          <w:sz w:val="24"/>
          <w:vertAlign w:val="baseline"/>
        </w:rPr>
        <w:t>than</w:t>
      </w:r>
      <w:r>
        <w:rPr>
          <w:spacing w:val="31"/>
          <w:sz w:val="24"/>
          <w:vertAlign w:val="baseline"/>
        </w:rPr>
        <w:t> </w:t>
      </w:r>
      <w:r>
        <w:rPr>
          <w:sz w:val="24"/>
          <w:vertAlign w:val="baseline"/>
        </w:rPr>
        <w:t>that</w:t>
      </w:r>
      <w:r>
        <w:rPr>
          <w:spacing w:val="32"/>
          <w:sz w:val="24"/>
          <w:vertAlign w:val="baseline"/>
        </w:rPr>
        <w:t> </w:t>
      </w:r>
      <w:r>
        <w:rPr>
          <w:sz w:val="24"/>
          <w:vertAlign w:val="baseline"/>
        </w:rPr>
        <w:t>observed</w:t>
      </w:r>
      <w:r>
        <w:rPr>
          <w:spacing w:val="33"/>
          <w:sz w:val="24"/>
          <w:vertAlign w:val="baseline"/>
        </w:rPr>
        <w:t> </w:t>
      </w:r>
      <w:r>
        <w:rPr>
          <w:sz w:val="24"/>
          <w:vertAlign w:val="baseline"/>
        </w:rPr>
        <w:t>in</w:t>
      </w:r>
      <w:r>
        <w:rPr>
          <w:spacing w:val="32"/>
          <w:sz w:val="24"/>
          <w:vertAlign w:val="baseline"/>
        </w:rPr>
        <w:t> </w:t>
      </w:r>
      <w:r>
        <w:rPr>
          <w:sz w:val="24"/>
          <w:vertAlign w:val="baseline"/>
        </w:rPr>
        <w:t>normal</w:t>
      </w:r>
      <w:r>
        <w:rPr>
          <w:spacing w:val="32"/>
          <w:sz w:val="24"/>
          <w:vertAlign w:val="baseline"/>
        </w:rPr>
        <w:t> </w:t>
      </w:r>
      <w:r>
        <w:rPr>
          <w:sz w:val="24"/>
          <w:vertAlign w:val="baseline"/>
        </w:rPr>
        <w:t>astrocytes.</w:t>
      </w:r>
      <w:r>
        <w:rPr>
          <w:spacing w:val="33"/>
          <w:sz w:val="24"/>
          <w:vertAlign w:val="baseline"/>
        </w:rPr>
        <w:t> </w:t>
      </w:r>
      <w:r>
        <w:rPr>
          <w:sz w:val="24"/>
          <w:vertAlign w:val="baseline"/>
        </w:rPr>
        <w:t>Consequently,</w:t>
      </w:r>
    </w:p>
    <w:p>
      <w:pPr>
        <w:spacing w:after="0" w:line="480" w:lineRule="auto"/>
        <w:jc w:val="both"/>
        <w:rPr>
          <w:sz w:val="22"/>
        </w:rPr>
        <w:sectPr>
          <w:pgSz w:w="12240" w:h="15840"/>
          <w:pgMar w:header="0" w:footer="792" w:top="1360" w:bottom="980" w:left="1080" w:right="760"/>
        </w:sectPr>
      </w:pPr>
    </w:p>
    <w:p>
      <w:pPr>
        <w:pStyle w:val="BodyText"/>
        <w:spacing w:line="480" w:lineRule="auto" w:before="112"/>
        <w:ind w:left="648" w:right="672"/>
        <w:jc w:val="both"/>
      </w:pPr>
      <w:r>
        <w:rPr/>
        <w:t>glial K</w:t>
      </w:r>
      <w:r>
        <w:rPr>
          <w:vertAlign w:val="superscript"/>
        </w:rPr>
        <w:t>+</w:t>
      </w:r>
      <w:r>
        <w:rPr>
          <w:vertAlign w:val="baseline"/>
        </w:rPr>
        <w:t> buffering may be affected and may lead to epileptic activity (Bordey and Sontheimer,</w:t>
      </w:r>
      <w:r>
        <w:rPr>
          <w:spacing w:val="-57"/>
          <w:vertAlign w:val="baseline"/>
        </w:rPr>
        <w:t> </w:t>
      </w:r>
      <w:r>
        <w:rPr>
          <w:vertAlign w:val="baseline"/>
        </w:rPr>
        <w:t>1998; Engelborghs </w:t>
      </w:r>
      <w:r>
        <w:rPr>
          <w:i/>
          <w:vertAlign w:val="baseline"/>
        </w:rPr>
        <w:t>et al</w:t>
      </w:r>
      <w:r>
        <w:rPr>
          <w:vertAlign w:val="baseline"/>
        </w:rPr>
        <w:t>., 2000). Extracellular Ca</w:t>
      </w:r>
      <w:r>
        <w:rPr>
          <w:vertAlign w:val="superscript"/>
        </w:rPr>
        <w:t>2+</w:t>
      </w:r>
      <w:r>
        <w:rPr>
          <w:vertAlign w:val="baseline"/>
        </w:rPr>
        <w:t> concentration decreases by over 85%</w:t>
      </w:r>
      <w:r>
        <w:rPr>
          <w:spacing w:val="1"/>
          <w:vertAlign w:val="baseline"/>
        </w:rPr>
        <w:t> </w:t>
      </w:r>
      <w:r>
        <w:rPr>
          <w:vertAlign w:val="baseline"/>
        </w:rPr>
        <w:t>during seizure, preceding the changes in K</w:t>
      </w:r>
      <w:r>
        <w:rPr>
          <w:vertAlign w:val="superscript"/>
        </w:rPr>
        <w:t>+</w:t>
      </w:r>
      <w:r>
        <w:rPr>
          <w:vertAlign w:val="baseline"/>
        </w:rPr>
        <w:t> concentration by milliseconds. However, Ca</w:t>
      </w:r>
      <w:r>
        <w:rPr>
          <w:vertAlign w:val="superscript"/>
        </w:rPr>
        <w:t>2+</w:t>
      </w:r>
      <w:r>
        <w:rPr>
          <w:spacing w:val="1"/>
          <w:vertAlign w:val="baseline"/>
        </w:rPr>
        <w:t> </w:t>
      </w:r>
      <w:r>
        <w:rPr>
          <w:vertAlign w:val="baseline"/>
        </w:rPr>
        <w:t>levels</w:t>
      </w:r>
      <w:r>
        <w:rPr>
          <w:spacing w:val="-1"/>
          <w:vertAlign w:val="baseline"/>
        </w:rPr>
        <w:t> </w:t>
      </w:r>
      <w:r>
        <w:rPr>
          <w:vertAlign w:val="baseline"/>
        </w:rPr>
        <w:t>returns to normal faster</w:t>
      </w:r>
      <w:r>
        <w:rPr>
          <w:spacing w:val="-1"/>
          <w:vertAlign w:val="baseline"/>
        </w:rPr>
        <w:t> </w:t>
      </w:r>
      <w:r>
        <w:rPr>
          <w:vertAlign w:val="baseline"/>
        </w:rPr>
        <w:t>than K</w:t>
      </w:r>
      <w:r>
        <w:rPr>
          <w:vertAlign w:val="superscript"/>
        </w:rPr>
        <w:t>+</w:t>
      </w:r>
      <w:r>
        <w:rPr>
          <w:vertAlign w:val="baseline"/>
        </w:rPr>
        <w:t> levels.</w:t>
      </w:r>
    </w:p>
    <w:p>
      <w:pPr>
        <w:pStyle w:val="BodyText"/>
        <w:rPr>
          <w:sz w:val="30"/>
        </w:rPr>
      </w:pPr>
    </w:p>
    <w:p>
      <w:pPr>
        <w:pStyle w:val="ListParagraph"/>
        <w:numPr>
          <w:ilvl w:val="0"/>
          <w:numId w:val="13"/>
        </w:numPr>
        <w:tabs>
          <w:tab w:pos="911" w:val="left" w:leader="none"/>
        </w:tabs>
        <w:spacing w:line="480" w:lineRule="auto" w:before="207" w:after="0"/>
        <w:ind w:left="648" w:right="676" w:firstLine="0"/>
        <w:jc w:val="both"/>
        <w:rPr>
          <w:sz w:val="22"/>
        </w:rPr>
      </w:pPr>
      <w:r>
        <w:rPr>
          <w:b/>
          <w:i/>
          <w:sz w:val="24"/>
        </w:rPr>
        <w:t>Neuronal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networks;</w:t>
      </w:r>
      <w:r>
        <w:rPr>
          <w:b/>
          <w:i/>
          <w:spacing w:val="1"/>
          <w:sz w:val="24"/>
        </w:rPr>
        <w:t> </w:t>
      </w:r>
      <w:r>
        <w:rPr>
          <w:sz w:val="24"/>
        </w:rPr>
        <w:t>Alternations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neuronal</w:t>
      </w:r>
      <w:r>
        <w:rPr>
          <w:spacing w:val="1"/>
          <w:sz w:val="24"/>
        </w:rPr>
        <w:t> </w:t>
      </w:r>
      <w:r>
        <w:rPr>
          <w:sz w:val="24"/>
        </w:rPr>
        <w:t>network</w:t>
      </w:r>
      <w:r>
        <w:rPr>
          <w:spacing w:val="1"/>
          <w:sz w:val="24"/>
        </w:rPr>
        <w:t> </w:t>
      </w:r>
      <w:r>
        <w:rPr>
          <w:sz w:val="24"/>
        </w:rPr>
        <w:t>may</w:t>
      </w:r>
      <w:r>
        <w:rPr>
          <w:spacing w:val="1"/>
          <w:sz w:val="24"/>
        </w:rPr>
        <w:t> </w:t>
      </w:r>
      <w:r>
        <w:rPr>
          <w:sz w:val="24"/>
        </w:rPr>
        <w:t>facilitate</w:t>
      </w:r>
      <w:r>
        <w:rPr>
          <w:spacing w:val="1"/>
          <w:sz w:val="24"/>
        </w:rPr>
        <w:t> </w:t>
      </w:r>
      <w:r>
        <w:rPr>
          <w:sz w:val="24"/>
        </w:rPr>
        <w:t>excitability</w:t>
      </w:r>
      <w:r>
        <w:rPr>
          <w:spacing w:val="1"/>
          <w:sz w:val="24"/>
        </w:rPr>
        <w:t> </w:t>
      </w:r>
      <w:r>
        <w:rPr>
          <w:sz w:val="24"/>
        </w:rPr>
        <w:t>through sprouting of the axons of the granule cells of the dentate gyrus or mossy fibers; or</w:t>
      </w:r>
      <w:r>
        <w:rPr>
          <w:spacing w:val="1"/>
          <w:sz w:val="24"/>
        </w:rPr>
        <w:t> </w:t>
      </w:r>
      <w:r>
        <w:rPr>
          <w:sz w:val="24"/>
        </w:rPr>
        <w:t>changes</w:t>
      </w:r>
      <w:r>
        <w:rPr>
          <w:spacing w:val="-1"/>
          <w:sz w:val="24"/>
        </w:rPr>
        <w:t> </w:t>
      </w:r>
      <w:r>
        <w:rPr>
          <w:sz w:val="24"/>
        </w:rPr>
        <w:t>in neuronal firing</w:t>
      </w:r>
      <w:r>
        <w:rPr>
          <w:spacing w:val="-4"/>
          <w:sz w:val="24"/>
        </w:rPr>
        <w:t> </w:t>
      </w:r>
      <w:r>
        <w:rPr>
          <w:sz w:val="24"/>
        </w:rPr>
        <w:t>properties due</w:t>
      </w:r>
      <w:r>
        <w:rPr>
          <w:spacing w:val="-2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channelopathies (Engelborghs</w:t>
      </w:r>
      <w:r>
        <w:rPr>
          <w:spacing w:val="4"/>
          <w:sz w:val="24"/>
        </w:rPr>
        <w:t> </w:t>
      </w:r>
      <w:r>
        <w:rPr>
          <w:i/>
          <w:sz w:val="24"/>
        </w:rPr>
        <w:t>et al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2000)</w:t>
      </w:r>
    </w:p>
    <w:p>
      <w:pPr>
        <w:pStyle w:val="BodyText"/>
        <w:spacing w:before="1"/>
      </w:pPr>
    </w:p>
    <w:p>
      <w:pPr>
        <w:spacing w:line="480" w:lineRule="auto" w:before="0"/>
        <w:ind w:left="648" w:right="677" w:firstLine="60"/>
        <w:jc w:val="both"/>
        <w:rPr>
          <w:sz w:val="24"/>
        </w:rPr>
      </w:pPr>
      <w:r>
        <w:rPr>
          <w:b/>
          <w:i/>
          <w:sz w:val="24"/>
        </w:rPr>
        <w:t>Mechanism of ictal-Interictal Transition and epileptogenesis ;</w:t>
      </w:r>
      <w:r>
        <w:rPr>
          <w:sz w:val="24"/>
        </w:rPr>
        <w:t>Non synaptic and synaptic</w:t>
      </w:r>
      <w:r>
        <w:rPr>
          <w:spacing w:val="1"/>
          <w:sz w:val="24"/>
        </w:rPr>
        <w:t> </w:t>
      </w:r>
      <w:r>
        <w:rPr>
          <w:sz w:val="24"/>
        </w:rPr>
        <w:t>mechanisms both affect sychronicity, signal amplification and spread of seizures thereby</w:t>
      </w:r>
      <w:r>
        <w:rPr>
          <w:spacing w:val="1"/>
          <w:sz w:val="24"/>
        </w:rPr>
        <w:t> </w:t>
      </w:r>
      <w:r>
        <w:rPr>
          <w:sz w:val="24"/>
        </w:rPr>
        <w:t>playing a role during ictal-interictal transition, hence promoting epileptogenesis (Engelborghs</w:t>
      </w:r>
      <w:r>
        <w:rPr>
          <w:spacing w:val="1"/>
          <w:sz w:val="24"/>
        </w:rPr>
        <w:t> </w:t>
      </w:r>
      <w:r>
        <w:rPr>
          <w:i/>
          <w:sz w:val="24"/>
        </w:rPr>
        <w:t>et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al.</w:t>
      </w:r>
      <w:r>
        <w:rPr>
          <w:sz w:val="24"/>
        </w:rPr>
        <w:t>, 2000).</w:t>
      </w:r>
    </w:p>
    <w:p>
      <w:pPr>
        <w:pStyle w:val="BodyText"/>
      </w:pPr>
    </w:p>
    <w:p>
      <w:pPr>
        <w:pStyle w:val="ListParagraph"/>
        <w:numPr>
          <w:ilvl w:val="0"/>
          <w:numId w:val="14"/>
        </w:numPr>
        <w:tabs>
          <w:tab w:pos="896" w:val="left" w:leader="none"/>
        </w:tabs>
        <w:spacing w:line="480" w:lineRule="auto" w:before="1" w:after="0"/>
        <w:ind w:left="648" w:right="674" w:firstLine="0"/>
        <w:jc w:val="both"/>
        <w:rPr>
          <w:sz w:val="24"/>
        </w:rPr>
      </w:pPr>
      <w:r>
        <w:rPr>
          <w:b/>
          <w:i/>
          <w:sz w:val="24"/>
        </w:rPr>
        <w:t>Non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synaptic mechanisms;</w:t>
      </w:r>
      <w:r>
        <w:rPr>
          <w:b/>
          <w:i/>
          <w:spacing w:val="1"/>
          <w:sz w:val="24"/>
        </w:rPr>
        <w:t> </w:t>
      </w:r>
      <w:r>
        <w:rPr>
          <w:sz w:val="24"/>
        </w:rPr>
        <w:t>According to</w:t>
      </w:r>
      <w:r>
        <w:rPr>
          <w:spacing w:val="1"/>
          <w:sz w:val="24"/>
        </w:rPr>
        <w:t> </w:t>
      </w:r>
      <w:r>
        <w:rPr>
          <w:sz w:val="24"/>
        </w:rPr>
        <w:t>Engelborghs</w:t>
      </w:r>
      <w:r>
        <w:rPr>
          <w:spacing w:val="1"/>
          <w:sz w:val="24"/>
        </w:rPr>
        <w:t> </w:t>
      </w:r>
      <w:r>
        <w:rPr>
          <w:i/>
          <w:sz w:val="24"/>
        </w:rPr>
        <w:t>et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al</w:t>
      </w:r>
      <w:r>
        <w:rPr>
          <w:sz w:val="24"/>
        </w:rPr>
        <w:t>.,</w:t>
      </w:r>
      <w:r>
        <w:rPr>
          <w:spacing w:val="1"/>
          <w:sz w:val="24"/>
        </w:rPr>
        <w:t> </w:t>
      </w:r>
      <w:r>
        <w:rPr>
          <w:sz w:val="24"/>
        </w:rPr>
        <w:t>(2000)</w:t>
      </w:r>
      <w:r>
        <w:rPr>
          <w:spacing w:val="1"/>
          <w:sz w:val="24"/>
        </w:rPr>
        <w:t> </w:t>
      </w:r>
      <w:r>
        <w:rPr>
          <w:sz w:val="24"/>
        </w:rPr>
        <w:t>changes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ionic</w:t>
      </w:r>
      <w:r>
        <w:rPr>
          <w:spacing w:val="1"/>
          <w:sz w:val="24"/>
        </w:rPr>
        <w:t> </w:t>
      </w:r>
      <w:r>
        <w:rPr>
          <w:sz w:val="24"/>
        </w:rPr>
        <w:t>concentrations observed during hyperexcitation i.e. increased extracellular K</w:t>
      </w:r>
      <w:r>
        <w:rPr>
          <w:sz w:val="24"/>
          <w:vertAlign w:val="superscript"/>
        </w:rPr>
        <w:t>+</w:t>
      </w:r>
      <w:r>
        <w:rPr>
          <w:sz w:val="24"/>
          <w:vertAlign w:val="baseline"/>
        </w:rPr>
        <w:t> or decreased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extracellular Ca</w:t>
      </w:r>
      <w:r>
        <w:rPr>
          <w:sz w:val="24"/>
          <w:vertAlign w:val="superscript"/>
        </w:rPr>
        <w:t>2+</w:t>
      </w:r>
      <w:r>
        <w:rPr>
          <w:sz w:val="24"/>
          <w:vertAlign w:val="baseline"/>
        </w:rPr>
        <w:t>,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for example- may be caused by decreases in extracellular size or volume,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likewise,</w:t>
      </w:r>
      <w:r>
        <w:rPr>
          <w:spacing w:val="55"/>
          <w:sz w:val="24"/>
          <w:vertAlign w:val="baseline"/>
        </w:rPr>
        <w:t> </w:t>
      </w:r>
      <w:r>
        <w:rPr>
          <w:sz w:val="24"/>
          <w:vertAlign w:val="baseline"/>
        </w:rPr>
        <w:t>failure</w:t>
      </w:r>
      <w:r>
        <w:rPr>
          <w:spacing w:val="56"/>
          <w:sz w:val="24"/>
          <w:vertAlign w:val="baseline"/>
        </w:rPr>
        <w:t> </w:t>
      </w:r>
      <w:r>
        <w:rPr>
          <w:sz w:val="24"/>
          <w:vertAlign w:val="baseline"/>
        </w:rPr>
        <w:t>of</w:t>
      </w:r>
      <w:r>
        <w:rPr>
          <w:spacing w:val="56"/>
          <w:sz w:val="24"/>
          <w:vertAlign w:val="baseline"/>
        </w:rPr>
        <w:t> </w:t>
      </w:r>
      <w:r>
        <w:rPr>
          <w:sz w:val="24"/>
          <w:vertAlign w:val="baseline"/>
        </w:rPr>
        <w:t>Na</w:t>
      </w:r>
      <w:r>
        <w:rPr>
          <w:sz w:val="24"/>
          <w:vertAlign w:val="superscript"/>
        </w:rPr>
        <w:t>+</w:t>
      </w:r>
      <w:r>
        <w:rPr>
          <w:sz w:val="24"/>
          <w:vertAlign w:val="baseline"/>
        </w:rPr>
        <w:t>  -</w:t>
      </w:r>
      <w:r>
        <w:rPr>
          <w:spacing w:val="56"/>
          <w:sz w:val="24"/>
          <w:vertAlign w:val="baseline"/>
        </w:rPr>
        <w:t> </w:t>
      </w:r>
      <w:r>
        <w:rPr>
          <w:sz w:val="24"/>
          <w:vertAlign w:val="baseline"/>
        </w:rPr>
        <w:t>K</w:t>
      </w:r>
      <w:r>
        <w:rPr>
          <w:sz w:val="24"/>
          <w:vertAlign w:val="superscript"/>
        </w:rPr>
        <w:t>+</w:t>
      </w:r>
      <w:r>
        <w:rPr>
          <w:spacing w:val="58"/>
          <w:sz w:val="24"/>
          <w:vertAlign w:val="baseline"/>
        </w:rPr>
        <w:t> </w:t>
      </w:r>
      <w:r>
        <w:rPr>
          <w:sz w:val="24"/>
          <w:vertAlign w:val="baseline"/>
        </w:rPr>
        <w:t>pumps</w:t>
      </w:r>
      <w:r>
        <w:rPr>
          <w:spacing w:val="56"/>
          <w:sz w:val="24"/>
          <w:vertAlign w:val="baseline"/>
        </w:rPr>
        <w:t> </w:t>
      </w:r>
      <w:r>
        <w:rPr>
          <w:sz w:val="24"/>
          <w:vertAlign w:val="baseline"/>
        </w:rPr>
        <w:t>due</w:t>
      </w:r>
      <w:r>
        <w:rPr>
          <w:spacing w:val="56"/>
          <w:sz w:val="24"/>
          <w:vertAlign w:val="baseline"/>
        </w:rPr>
        <w:t> </w:t>
      </w:r>
      <w:r>
        <w:rPr>
          <w:sz w:val="24"/>
          <w:vertAlign w:val="baseline"/>
        </w:rPr>
        <w:t>to</w:t>
      </w:r>
      <w:r>
        <w:rPr>
          <w:spacing w:val="57"/>
          <w:sz w:val="24"/>
          <w:vertAlign w:val="baseline"/>
        </w:rPr>
        <w:t> </w:t>
      </w:r>
      <w:r>
        <w:rPr>
          <w:sz w:val="24"/>
          <w:vertAlign w:val="baseline"/>
        </w:rPr>
        <w:t>hypoxia</w:t>
      </w:r>
      <w:r>
        <w:rPr>
          <w:spacing w:val="56"/>
          <w:sz w:val="24"/>
          <w:vertAlign w:val="baseline"/>
        </w:rPr>
        <w:t> </w:t>
      </w:r>
      <w:r>
        <w:rPr>
          <w:sz w:val="24"/>
          <w:vertAlign w:val="baseline"/>
        </w:rPr>
        <w:t>or</w:t>
      </w:r>
      <w:r>
        <w:rPr>
          <w:spacing w:val="56"/>
          <w:sz w:val="24"/>
          <w:vertAlign w:val="baseline"/>
        </w:rPr>
        <w:t> </w:t>
      </w:r>
      <w:r>
        <w:rPr>
          <w:sz w:val="24"/>
          <w:vertAlign w:val="baseline"/>
        </w:rPr>
        <w:t>ischaemia</w:t>
      </w:r>
      <w:r>
        <w:rPr>
          <w:spacing w:val="56"/>
          <w:sz w:val="24"/>
          <w:vertAlign w:val="baseline"/>
        </w:rPr>
        <w:t> </w:t>
      </w:r>
      <w:r>
        <w:rPr>
          <w:sz w:val="24"/>
          <w:vertAlign w:val="baseline"/>
        </w:rPr>
        <w:t>is</w:t>
      </w:r>
      <w:r>
        <w:rPr>
          <w:spacing w:val="57"/>
          <w:sz w:val="24"/>
          <w:vertAlign w:val="baseline"/>
        </w:rPr>
        <w:t> </w:t>
      </w:r>
      <w:r>
        <w:rPr>
          <w:sz w:val="24"/>
          <w:vertAlign w:val="baseline"/>
        </w:rPr>
        <w:t>known</w:t>
      </w:r>
      <w:r>
        <w:rPr>
          <w:spacing w:val="56"/>
          <w:sz w:val="24"/>
          <w:vertAlign w:val="baseline"/>
        </w:rPr>
        <w:t> </w:t>
      </w:r>
      <w:r>
        <w:rPr>
          <w:sz w:val="24"/>
          <w:vertAlign w:val="baseline"/>
        </w:rPr>
        <w:t>to</w:t>
      </w:r>
      <w:r>
        <w:rPr>
          <w:spacing w:val="57"/>
          <w:sz w:val="24"/>
          <w:vertAlign w:val="baseline"/>
        </w:rPr>
        <w:t> </w:t>
      </w:r>
      <w:r>
        <w:rPr>
          <w:sz w:val="24"/>
          <w:vertAlign w:val="baseline"/>
        </w:rPr>
        <w:t>promote</w:t>
      </w:r>
      <w:r>
        <w:rPr>
          <w:spacing w:val="-57"/>
          <w:sz w:val="24"/>
          <w:vertAlign w:val="baseline"/>
        </w:rPr>
        <w:t> </w:t>
      </w:r>
      <w:r>
        <w:rPr>
          <w:sz w:val="24"/>
          <w:vertAlign w:val="baseline"/>
        </w:rPr>
        <w:t>epileptogenesis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in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animal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models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and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interference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with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Cl</w:t>
      </w:r>
      <w:r>
        <w:rPr>
          <w:sz w:val="24"/>
          <w:vertAlign w:val="superscript"/>
        </w:rPr>
        <w:t>-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K</w:t>
      </w:r>
      <w:r>
        <w:rPr>
          <w:sz w:val="24"/>
          <w:vertAlign w:val="superscript"/>
        </w:rPr>
        <w:t>+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transport,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which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controls</w:t>
      </w:r>
      <w:r>
        <w:rPr>
          <w:spacing w:val="-57"/>
          <w:sz w:val="24"/>
          <w:vertAlign w:val="baseline"/>
        </w:rPr>
        <w:t> </w:t>
      </w:r>
      <w:r>
        <w:rPr>
          <w:sz w:val="24"/>
          <w:vertAlign w:val="baseline"/>
        </w:rPr>
        <w:t>intracellular Cl and regulates GABA-activated inhibitory Cl currents, may lead to enhanced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excitation. And that excitability of synaptic terminals depends on the extent of depolarization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and the amount of neurotransmitter released.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Synchronization following abnormal burst of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spikes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in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the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axonal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branching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of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thalamocortical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relay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cells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plays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a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key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role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in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epileptogenesis.</w:t>
      </w:r>
      <w:r>
        <w:rPr>
          <w:spacing w:val="27"/>
          <w:sz w:val="24"/>
          <w:vertAlign w:val="baseline"/>
        </w:rPr>
        <w:t> </w:t>
      </w:r>
      <w:r>
        <w:rPr>
          <w:sz w:val="24"/>
          <w:vertAlign w:val="baseline"/>
        </w:rPr>
        <w:t>Ephaptic</w:t>
      </w:r>
      <w:r>
        <w:rPr>
          <w:spacing w:val="27"/>
          <w:sz w:val="24"/>
          <w:vertAlign w:val="baseline"/>
        </w:rPr>
        <w:t> </w:t>
      </w:r>
      <w:r>
        <w:rPr>
          <w:sz w:val="24"/>
          <w:vertAlign w:val="baseline"/>
        </w:rPr>
        <w:t>interactions</w:t>
      </w:r>
      <w:r>
        <w:rPr>
          <w:spacing w:val="27"/>
          <w:sz w:val="24"/>
          <w:vertAlign w:val="baseline"/>
        </w:rPr>
        <w:t> </w:t>
      </w:r>
      <w:r>
        <w:rPr>
          <w:sz w:val="24"/>
          <w:vertAlign w:val="baseline"/>
        </w:rPr>
        <w:t>that</w:t>
      </w:r>
      <w:r>
        <w:rPr>
          <w:spacing w:val="30"/>
          <w:sz w:val="24"/>
          <w:vertAlign w:val="baseline"/>
        </w:rPr>
        <w:t> </w:t>
      </w:r>
      <w:r>
        <w:rPr>
          <w:sz w:val="24"/>
          <w:vertAlign w:val="baseline"/>
        </w:rPr>
        <w:t>occur</w:t>
      </w:r>
      <w:r>
        <w:rPr>
          <w:spacing w:val="30"/>
          <w:sz w:val="24"/>
          <w:vertAlign w:val="baseline"/>
        </w:rPr>
        <w:t> </w:t>
      </w:r>
      <w:r>
        <w:rPr>
          <w:sz w:val="24"/>
          <w:vertAlign w:val="baseline"/>
        </w:rPr>
        <w:t>between</w:t>
      </w:r>
      <w:r>
        <w:rPr>
          <w:spacing w:val="27"/>
          <w:sz w:val="24"/>
          <w:vertAlign w:val="baseline"/>
        </w:rPr>
        <w:t> </w:t>
      </w:r>
      <w:r>
        <w:rPr>
          <w:sz w:val="24"/>
          <w:vertAlign w:val="baseline"/>
        </w:rPr>
        <w:t>neigbouring</w:t>
      </w:r>
      <w:r>
        <w:rPr>
          <w:spacing w:val="26"/>
          <w:sz w:val="24"/>
          <w:vertAlign w:val="baseline"/>
        </w:rPr>
        <w:t> </w:t>
      </w:r>
      <w:r>
        <w:rPr>
          <w:sz w:val="24"/>
          <w:vertAlign w:val="baseline"/>
        </w:rPr>
        <w:t>neurons</w:t>
      </w:r>
      <w:r>
        <w:rPr>
          <w:spacing w:val="28"/>
          <w:sz w:val="24"/>
          <w:vertAlign w:val="baseline"/>
        </w:rPr>
        <w:t> </w:t>
      </w:r>
      <w:r>
        <w:rPr>
          <w:sz w:val="24"/>
          <w:vertAlign w:val="baseline"/>
        </w:rPr>
        <w:t>separated</w:t>
      </w:r>
      <w:r>
        <w:rPr>
          <w:spacing w:val="27"/>
          <w:sz w:val="24"/>
          <w:vertAlign w:val="baseline"/>
        </w:rPr>
        <w:t> </w:t>
      </w:r>
      <w:r>
        <w:rPr>
          <w:sz w:val="24"/>
          <w:vertAlign w:val="baseline"/>
        </w:rPr>
        <w:t>by</w:t>
      </w:r>
    </w:p>
    <w:p>
      <w:pPr>
        <w:spacing w:after="0" w:line="480" w:lineRule="auto"/>
        <w:jc w:val="both"/>
        <w:rPr>
          <w:sz w:val="24"/>
        </w:rPr>
        <w:sectPr>
          <w:pgSz w:w="12240" w:h="15840"/>
          <w:pgMar w:header="0" w:footer="792" w:top="1320" w:bottom="980" w:left="1080" w:right="760"/>
        </w:sectPr>
      </w:pPr>
    </w:p>
    <w:p>
      <w:pPr>
        <w:pStyle w:val="BodyText"/>
        <w:spacing w:line="480" w:lineRule="auto" w:before="72"/>
        <w:ind w:left="648" w:right="680"/>
        <w:jc w:val="both"/>
      </w:pPr>
      <w:r>
        <w:rPr/>
        <w:t>small</w:t>
      </w:r>
      <w:r>
        <w:rPr>
          <w:spacing w:val="1"/>
        </w:rPr>
        <w:t> </w:t>
      </w:r>
      <w:r>
        <w:rPr/>
        <w:t>extracellular spaces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contribute to</w:t>
      </w:r>
      <w:r>
        <w:rPr>
          <w:spacing w:val="1"/>
        </w:rPr>
        <w:t> </w:t>
      </w:r>
      <w:r>
        <w:rPr/>
        <w:t>increased</w:t>
      </w:r>
      <w:r>
        <w:rPr>
          <w:spacing w:val="1"/>
        </w:rPr>
        <w:t> </w:t>
      </w:r>
      <w:r>
        <w:rPr/>
        <w:t>synchronization.</w:t>
      </w:r>
      <w:r>
        <w:rPr>
          <w:spacing w:val="60"/>
        </w:rPr>
        <w:t> </w:t>
      </w:r>
      <w:r>
        <w:rPr/>
        <w:t>Ephaptic (a Greek</w:t>
      </w:r>
      <w:r>
        <w:rPr>
          <w:spacing w:val="1"/>
        </w:rPr>
        <w:t> </w:t>
      </w:r>
      <w:r>
        <w:rPr/>
        <w:t>verb meaning “to touch”) is the passage of neural impulse from one nerve fibre, axon or</w:t>
      </w:r>
      <w:r>
        <w:rPr>
          <w:spacing w:val="1"/>
        </w:rPr>
        <w:t> </w:t>
      </w:r>
      <w:r>
        <w:rPr/>
        <w:t>dendrite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another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membrane.This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factor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epileptic</w:t>
      </w:r>
      <w:r>
        <w:rPr>
          <w:spacing w:val="1"/>
        </w:rPr>
        <w:t> </w:t>
      </w:r>
      <w:r>
        <w:rPr/>
        <w:t>seizures.</w:t>
      </w:r>
      <w:r>
        <w:rPr>
          <w:spacing w:val="1"/>
        </w:rPr>
        <w:t> </w:t>
      </w:r>
      <w:r>
        <w:rPr/>
        <w:t>(Engelborghs</w:t>
      </w:r>
      <w:r>
        <w:rPr>
          <w:spacing w:val="-1"/>
        </w:rPr>
        <w:t> </w:t>
      </w:r>
      <w:r>
        <w:rPr>
          <w:i/>
        </w:rPr>
        <w:t>et al</w:t>
      </w:r>
      <w:r>
        <w:rPr/>
        <w:t>., 2000)</w:t>
      </w:r>
    </w:p>
    <w:p>
      <w:pPr>
        <w:pStyle w:val="BodyText"/>
      </w:pPr>
    </w:p>
    <w:p>
      <w:pPr>
        <w:pStyle w:val="ListParagraph"/>
        <w:numPr>
          <w:ilvl w:val="0"/>
          <w:numId w:val="14"/>
        </w:numPr>
        <w:tabs>
          <w:tab w:pos="913" w:val="left" w:leader="none"/>
        </w:tabs>
        <w:spacing w:line="480" w:lineRule="auto" w:before="0" w:after="0"/>
        <w:ind w:left="648" w:right="675" w:firstLine="0"/>
        <w:jc w:val="both"/>
        <w:rPr>
          <w:sz w:val="24"/>
        </w:rPr>
      </w:pPr>
      <w:r>
        <w:rPr>
          <w:b/>
          <w:i/>
          <w:sz w:val="24"/>
        </w:rPr>
        <w:t>Synaptic mechanism; </w:t>
      </w:r>
      <w:r>
        <w:rPr>
          <w:sz w:val="24"/>
        </w:rPr>
        <w:t>Synaptic pathophysiological process involved in the epileptogenesis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epilepsy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epileptic</w:t>
      </w:r>
      <w:r>
        <w:rPr>
          <w:spacing w:val="1"/>
          <w:sz w:val="24"/>
        </w:rPr>
        <w:t> </w:t>
      </w:r>
      <w:r>
        <w:rPr>
          <w:sz w:val="24"/>
        </w:rPr>
        <w:t>disorders</w:t>
      </w:r>
      <w:r>
        <w:rPr>
          <w:spacing w:val="1"/>
          <w:sz w:val="24"/>
        </w:rPr>
        <w:t> </w:t>
      </w:r>
      <w:r>
        <w:rPr>
          <w:sz w:val="24"/>
        </w:rPr>
        <w:t>primarily</w:t>
      </w:r>
      <w:r>
        <w:rPr>
          <w:spacing w:val="1"/>
          <w:sz w:val="24"/>
        </w:rPr>
        <w:t> </w:t>
      </w:r>
      <w:r>
        <w:rPr>
          <w:sz w:val="24"/>
        </w:rPr>
        <w:t>involves</w:t>
      </w:r>
      <w:r>
        <w:rPr>
          <w:spacing w:val="1"/>
          <w:sz w:val="24"/>
        </w:rPr>
        <w:t> </w:t>
      </w:r>
      <w:r>
        <w:rPr>
          <w:sz w:val="24"/>
        </w:rPr>
        <w:t>reduced</w:t>
      </w:r>
      <w:r>
        <w:rPr>
          <w:spacing w:val="1"/>
          <w:sz w:val="24"/>
        </w:rPr>
        <w:t> </w:t>
      </w:r>
      <w:r>
        <w:rPr>
          <w:sz w:val="24"/>
        </w:rPr>
        <w:t>GABAergic</w:t>
      </w:r>
      <w:r>
        <w:rPr>
          <w:spacing w:val="1"/>
          <w:sz w:val="24"/>
        </w:rPr>
        <w:t> </w:t>
      </w:r>
      <w:r>
        <w:rPr>
          <w:sz w:val="24"/>
        </w:rPr>
        <w:t>inhibition</w:t>
      </w:r>
      <w:r>
        <w:rPr>
          <w:spacing w:val="1"/>
          <w:sz w:val="24"/>
        </w:rPr>
        <w:t> </w:t>
      </w:r>
      <w:r>
        <w:rPr>
          <w:sz w:val="24"/>
        </w:rPr>
        <w:t>or</w:t>
      </w:r>
      <w:r>
        <w:rPr>
          <w:spacing w:val="1"/>
          <w:sz w:val="24"/>
        </w:rPr>
        <w:t> </w:t>
      </w:r>
      <w:r>
        <w:rPr>
          <w:sz w:val="24"/>
        </w:rPr>
        <w:t>enhanced</w:t>
      </w:r>
      <w:r>
        <w:rPr>
          <w:spacing w:val="1"/>
          <w:sz w:val="24"/>
        </w:rPr>
        <w:t> </w:t>
      </w:r>
      <w:r>
        <w:rPr>
          <w:sz w:val="24"/>
        </w:rPr>
        <w:t>glutamatergic</w:t>
      </w:r>
      <w:r>
        <w:rPr>
          <w:spacing w:val="1"/>
          <w:sz w:val="24"/>
        </w:rPr>
        <w:t> </w:t>
      </w:r>
      <w:r>
        <w:rPr>
          <w:sz w:val="24"/>
        </w:rPr>
        <w:t>excitation</w:t>
      </w:r>
      <w:r>
        <w:rPr>
          <w:spacing w:val="3"/>
          <w:sz w:val="24"/>
        </w:rPr>
        <w:t> </w:t>
      </w:r>
      <w:r>
        <w:rPr>
          <w:sz w:val="24"/>
        </w:rPr>
        <w:t>(Engelborghs</w:t>
      </w:r>
      <w:r>
        <w:rPr>
          <w:spacing w:val="-1"/>
          <w:sz w:val="24"/>
        </w:rPr>
        <w:t> </w:t>
      </w:r>
      <w:r>
        <w:rPr>
          <w:i/>
          <w:sz w:val="24"/>
        </w:rPr>
        <w:t>et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al</w:t>
      </w:r>
      <w:r>
        <w:rPr>
          <w:sz w:val="24"/>
        </w:rPr>
        <w:t>., 2000).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480" w:lineRule="auto"/>
        <w:ind w:left="648" w:right="677"/>
        <w:jc w:val="both"/>
      </w:pPr>
      <w:r>
        <w:rPr>
          <w:b/>
          <w:i/>
        </w:rPr>
        <w:t>a.Reduced GABAergic inhibition; </w:t>
      </w:r>
      <w:r>
        <w:rPr/>
        <w:t>The levels of GABA have been found to be reduced in the</w:t>
      </w:r>
      <w:r>
        <w:rPr>
          <w:spacing w:val="1"/>
        </w:rPr>
        <w:t> </w:t>
      </w:r>
      <w:r>
        <w:rPr/>
        <w:t>cerebrospinal fluid (CSF) of patients with certain kinds of epilepsy, such as infantile spasms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untreated</w:t>
      </w:r>
      <w:r>
        <w:rPr>
          <w:spacing w:val="1"/>
        </w:rPr>
        <w:t> </w:t>
      </w:r>
      <w:r>
        <w:rPr/>
        <w:t>generalized</w:t>
      </w:r>
      <w:r>
        <w:rPr>
          <w:spacing w:val="1"/>
        </w:rPr>
        <w:t> </w:t>
      </w:r>
      <w:r>
        <w:rPr/>
        <w:t>tonic-clonic</w:t>
      </w:r>
      <w:r>
        <w:rPr>
          <w:spacing w:val="1"/>
        </w:rPr>
        <w:t> </w:t>
      </w:r>
      <w:r>
        <w:rPr/>
        <w:t>seizures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excised</w:t>
      </w:r>
      <w:r>
        <w:rPr>
          <w:spacing w:val="1"/>
        </w:rPr>
        <w:t> </w:t>
      </w:r>
      <w:r>
        <w:rPr/>
        <w:t>epileptic</w:t>
      </w:r>
      <w:r>
        <w:rPr>
          <w:spacing w:val="1"/>
        </w:rPr>
        <w:t> </w:t>
      </w:r>
      <w:r>
        <w:rPr/>
        <w:t>tissue</w:t>
      </w:r>
      <w:r>
        <w:rPr>
          <w:spacing w:val="1"/>
        </w:rPr>
        <w:t> </w:t>
      </w:r>
      <w:r>
        <w:rPr/>
        <w:t>from</w:t>
      </w:r>
      <w:r>
        <w:rPr>
          <w:spacing w:val="-57"/>
        </w:rPr>
        <w:t> </w:t>
      </w:r>
      <w:r>
        <w:rPr/>
        <w:t>patients with drug resistant epilepsy, suggesting that these patients have decreased inhibition</w:t>
      </w:r>
      <w:r>
        <w:rPr>
          <w:spacing w:val="1"/>
        </w:rPr>
        <w:t> </w:t>
      </w:r>
      <w:r>
        <w:rPr/>
        <w:t>(Loscher and Siemes, 1985), similarly, dogs with epilepsy have been shown to have low CSF</w:t>
      </w:r>
      <w:r>
        <w:rPr>
          <w:spacing w:val="1"/>
        </w:rPr>
        <w:t> </w:t>
      </w:r>
      <w:r>
        <w:rPr/>
        <w:t>level of GABA, and mice genetically susceptible to audiogenic seizures have a lower number</w:t>
      </w:r>
      <w:r>
        <w:rPr>
          <w:spacing w:val="1"/>
        </w:rPr>
        <w:t> </w:t>
      </w:r>
      <w:r>
        <w:rPr/>
        <w:t>of GABA receptors than non seizure prone animals. Reduced [</w:t>
      </w:r>
      <w:r>
        <w:rPr>
          <w:vertAlign w:val="superscript"/>
        </w:rPr>
        <w:t>3</w:t>
      </w:r>
      <w:r>
        <w:rPr>
          <w:vertAlign w:val="baseline"/>
        </w:rPr>
        <w:t>H] – GABA binding to GABA</w:t>
      </w:r>
      <w:r>
        <w:rPr>
          <w:spacing w:val="-57"/>
          <w:vertAlign w:val="baseline"/>
        </w:rPr>
        <w:t> </w:t>
      </w:r>
      <w:r>
        <w:rPr>
          <w:vertAlign w:val="baseline"/>
        </w:rPr>
        <w:t>receptors has been reported in human brain tissue, and low glutamic acid decarboxylase levels</w:t>
      </w:r>
      <w:r>
        <w:rPr>
          <w:spacing w:val="-57"/>
          <w:vertAlign w:val="baseline"/>
        </w:rPr>
        <w:t> </w:t>
      </w:r>
      <w:r>
        <w:rPr>
          <w:vertAlign w:val="baseline"/>
        </w:rPr>
        <w:t>have</w:t>
      </w:r>
      <w:r>
        <w:rPr>
          <w:spacing w:val="1"/>
          <w:vertAlign w:val="baseline"/>
        </w:rPr>
        <w:t> </w:t>
      </w:r>
      <w:r>
        <w:rPr>
          <w:vertAlign w:val="baseline"/>
        </w:rPr>
        <w:t>been</w:t>
      </w:r>
      <w:r>
        <w:rPr>
          <w:spacing w:val="1"/>
          <w:vertAlign w:val="baseline"/>
        </w:rPr>
        <w:t> </w:t>
      </w:r>
      <w:r>
        <w:rPr>
          <w:vertAlign w:val="baseline"/>
        </w:rPr>
        <w:t>shown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kindled</w:t>
      </w:r>
      <w:r>
        <w:rPr>
          <w:spacing w:val="1"/>
          <w:vertAlign w:val="baseline"/>
        </w:rPr>
        <w:t> </w:t>
      </w:r>
      <w:r>
        <w:rPr>
          <w:vertAlign w:val="baseline"/>
        </w:rPr>
        <w:t>rats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excised</w:t>
      </w:r>
      <w:r>
        <w:rPr>
          <w:spacing w:val="1"/>
          <w:vertAlign w:val="baseline"/>
        </w:rPr>
        <w:t> </w:t>
      </w:r>
      <w:r>
        <w:rPr>
          <w:vertAlign w:val="baseline"/>
        </w:rPr>
        <w:t>human</w:t>
      </w:r>
      <w:r>
        <w:rPr>
          <w:spacing w:val="1"/>
          <w:vertAlign w:val="baseline"/>
        </w:rPr>
        <w:t> </w:t>
      </w:r>
      <w:r>
        <w:rPr>
          <w:vertAlign w:val="baseline"/>
        </w:rPr>
        <w:t>epileptic</w:t>
      </w:r>
      <w:r>
        <w:rPr>
          <w:spacing w:val="1"/>
          <w:vertAlign w:val="baseline"/>
        </w:rPr>
        <w:t> </w:t>
      </w:r>
      <w:r>
        <w:rPr>
          <w:vertAlign w:val="baseline"/>
        </w:rPr>
        <w:t>tissue,</w:t>
      </w:r>
      <w:r>
        <w:rPr>
          <w:spacing w:val="1"/>
          <w:vertAlign w:val="baseline"/>
        </w:rPr>
        <w:t> </w:t>
      </w:r>
      <w:r>
        <w:rPr>
          <w:vertAlign w:val="baseline"/>
        </w:rPr>
        <w:t>suggestive</w:t>
      </w:r>
      <w:r>
        <w:rPr>
          <w:spacing w:val="60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decreased</w:t>
      </w:r>
      <w:r>
        <w:rPr>
          <w:spacing w:val="-1"/>
          <w:vertAlign w:val="baseline"/>
        </w:rPr>
        <w:t> </w:t>
      </w:r>
      <w:r>
        <w:rPr>
          <w:vertAlign w:val="baseline"/>
        </w:rPr>
        <w:t>GABAergic inhibition (Engelborghs</w:t>
      </w:r>
      <w:r>
        <w:rPr>
          <w:spacing w:val="3"/>
          <w:vertAlign w:val="baseline"/>
        </w:rPr>
        <w:t> </w:t>
      </w:r>
      <w:r>
        <w:rPr>
          <w:i/>
          <w:vertAlign w:val="baseline"/>
        </w:rPr>
        <w:t>et</w:t>
      </w:r>
      <w:r>
        <w:rPr>
          <w:i/>
          <w:spacing w:val="1"/>
          <w:vertAlign w:val="baseline"/>
        </w:rPr>
        <w:t> </w:t>
      </w:r>
      <w:r>
        <w:rPr>
          <w:i/>
          <w:vertAlign w:val="baseline"/>
        </w:rPr>
        <w:t>al</w:t>
      </w:r>
      <w:r>
        <w:rPr>
          <w:vertAlign w:val="baseline"/>
        </w:rPr>
        <w:t>., 2000).</w:t>
      </w:r>
    </w:p>
    <w:p>
      <w:pPr>
        <w:pStyle w:val="BodyText"/>
        <w:spacing w:line="480" w:lineRule="auto" w:before="2"/>
        <w:ind w:left="648" w:right="675"/>
        <w:jc w:val="both"/>
      </w:pPr>
      <w:r>
        <w:rPr>
          <w:b/>
          <w:i/>
        </w:rPr>
        <w:t>b.</w:t>
      </w:r>
      <w:r>
        <w:rPr>
          <w:b/>
          <w:i/>
          <w:spacing w:val="61"/>
        </w:rPr>
        <w:t> </w:t>
      </w:r>
      <w:r>
        <w:rPr>
          <w:b/>
          <w:i/>
        </w:rPr>
        <w:t>Enhanced glutamatergic excitation; </w:t>
      </w:r>
      <w:r>
        <w:rPr/>
        <w:t>Hippocampal recordings from conscious human</w:t>
      </w:r>
      <w:r>
        <w:rPr>
          <w:spacing w:val="1"/>
        </w:rPr>
        <w:t> </w:t>
      </w:r>
      <w:r>
        <w:rPr/>
        <w:t>brains</w:t>
      </w:r>
      <w:r>
        <w:rPr>
          <w:spacing w:val="27"/>
        </w:rPr>
        <w:t> </w:t>
      </w:r>
      <w:r>
        <w:rPr/>
        <w:t>have</w:t>
      </w:r>
      <w:r>
        <w:rPr>
          <w:spacing w:val="26"/>
        </w:rPr>
        <w:t> </w:t>
      </w:r>
      <w:r>
        <w:rPr/>
        <w:t>shown</w:t>
      </w:r>
      <w:r>
        <w:rPr>
          <w:spacing w:val="27"/>
        </w:rPr>
        <w:t> </w:t>
      </w:r>
      <w:r>
        <w:rPr/>
        <w:t>sustained</w:t>
      </w:r>
      <w:r>
        <w:rPr>
          <w:spacing w:val="27"/>
        </w:rPr>
        <w:t> </w:t>
      </w:r>
      <w:r>
        <w:rPr/>
        <w:t>increases</w:t>
      </w:r>
      <w:r>
        <w:rPr>
          <w:spacing w:val="27"/>
        </w:rPr>
        <w:t> </w:t>
      </w:r>
      <w:r>
        <w:rPr/>
        <w:t>in</w:t>
      </w:r>
      <w:r>
        <w:rPr>
          <w:spacing w:val="27"/>
        </w:rPr>
        <w:t> </w:t>
      </w:r>
      <w:r>
        <w:rPr/>
        <w:t>the</w:t>
      </w:r>
      <w:r>
        <w:rPr>
          <w:spacing w:val="27"/>
        </w:rPr>
        <w:t> </w:t>
      </w:r>
      <w:r>
        <w:rPr/>
        <w:t>levels</w:t>
      </w:r>
      <w:r>
        <w:rPr>
          <w:spacing w:val="28"/>
        </w:rPr>
        <w:t> </w:t>
      </w:r>
      <w:r>
        <w:rPr/>
        <w:t>of</w:t>
      </w:r>
      <w:r>
        <w:rPr>
          <w:spacing w:val="26"/>
        </w:rPr>
        <w:t> </w:t>
      </w:r>
      <w:r>
        <w:rPr/>
        <w:t>extracellular</w:t>
      </w:r>
      <w:r>
        <w:rPr>
          <w:spacing w:val="28"/>
        </w:rPr>
        <w:t> </w:t>
      </w:r>
      <w:r>
        <w:rPr/>
        <w:t>glutamate</w:t>
      </w:r>
      <w:r>
        <w:rPr>
          <w:spacing w:val="26"/>
        </w:rPr>
        <w:t> </w:t>
      </w:r>
      <w:r>
        <w:rPr/>
        <w:t>levels</w:t>
      </w:r>
      <w:r>
        <w:rPr>
          <w:spacing w:val="27"/>
        </w:rPr>
        <w:t> </w:t>
      </w:r>
      <w:r>
        <w:rPr/>
        <w:t>during</w:t>
      </w:r>
      <w:r>
        <w:rPr>
          <w:spacing w:val="-57"/>
        </w:rPr>
        <w:t> </w:t>
      </w:r>
      <w:r>
        <w:rPr/>
        <w:t>and preceding seizures, GABA levels remain low in the epileptogenic hippocampus, but</w:t>
      </w:r>
      <w:r>
        <w:rPr>
          <w:spacing w:val="1"/>
        </w:rPr>
        <w:t> </w:t>
      </w:r>
      <w:r>
        <w:rPr/>
        <w:t>during</w:t>
      </w:r>
      <w:r>
        <w:rPr>
          <w:spacing w:val="46"/>
        </w:rPr>
        <w:t> </w:t>
      </w:r>
      <w:r>
        <w:rPr/>
        <w:t>seizures,</w:t>
      </w:r>
      <w:r>
        <w:rPr>
          <w:spacing w:val="48"/>
        </w:rPr>
        <w:t> </w:t>
      </w:r>
      <w:r>
        <w:rPr/>
        <w:t>GABA</w:t>
      </w:r>
      <w:r>
        <w:rPr>
          <w:spacing w:val="48"/>
        </w:rPr>
        <w:t> </w:t>
      </w:r>
      <w:r>
        <w:rPr/>
        <w:t>concentrations</w:t>
      </w:r>
      <w:r>
        <w:rPr>
          <w:spacing w:val="48"/>
        </w:rPr>
        <w:t> </w:t>
      </w:r>
      <w:r>
        <w:rPr/>
        <w:t>increase,</w:t>
      </w:r>
      <w:r>
        <w:rPr>
          <w:spacing w:val="52"/>
        </w:rPr>
        <w:t> </w:t>
      </w:r>
      <w:r>
        <w:rPr/>
        <w:t>although</w:t>
      </w:r>
      <w:r>
        <w:rPr>
          <w:spacing w:val="48"/>
        </w:rPr>
        <w:t> </w:t>
      </w:r>
      <w:r>
        <w:rPr/>
        <w:t>mostly</w:t>
      </w:r>
      <w:r>
        <w:rPr>
          <w:spacing w:val="42"/>
        </w:rPr>
        <w:t> </w:t>
      </w:r>
      <w:r>
        <w:rPr/>
        <w:t>in</w:t>
      </w:r>
      <w:r>
        <w:rPr>
          <w:spacing w:val="50"/>
        </w:rPr>
        <w:t> </w:t>
      </w:r>
      <w:r>
        <w:rPr/>
        <w:t>the</w:t>
      </w:r>
      <w:r>
        <w:rPr>
          <w:spacing w:val="45"/>
        </w:rPr>
        <w:t> </w:t>
      </w:r>
      <w:r>
        <w:rPr/>
        <w:t>non-epileptogenic</w:t>
      </w:r>
    </w:p>
    <w:p>
      <w:pPr>
        <w:spacing w:after="0" w:line="480" w:lineRule="auto"/>
        <w:jc w:val="both"/>
        <w:sectPr>
          <w:pgSz w:w="12240" w:h="15840"/>
          <w:pgMar w:header="0" w:footer="792" w:top="1360" w:bottom="980" w:left="1080" w:right="760"/>
        </w:sectPr>
      </w:pPr>
    </w:p>
    <w:p>
      <w:pPr>
        <w:pStyle w:val="BodyText"/>
        <w:spacing w:line="480" w:lineRule="auto" w:before="72"/>
        <w:ind w:left="648" w:right="681"/>
        <w:jc w:val="both"/>
      </w:pPr>
      <w:r>
        <w:rPr/>
        <w:t>hippocampus. This leads to a toxic increase in extracellular glutamate due to reduce inhibition</w:t>
      </w:r>
      <w:r>
        <w:rPr>
          <w:spacing w:val="-57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epileptogenic</w:t>
      </w:r>
      <w:r>
        <w:rPr>
          <w:spacing w:val="-1"/>
        </w:rPr>
        <w:t> </w:t>
      </w:r>
      <w:r>
        <w:rPr/>
        <w:t>areas</w:t>
      </w:r>
      <w:r>
        <w:rPr>
          <w:spacing w:val="2"/>
        </w:rPr>
        <w:t> </w:t>
      </w:r>
      <w:r>
        <w:rPr/>
        <w:t>(During</w:t>
      </w:r>
      <w:r>
        <w:rPr>
          <w:spacing w:val="-3"/>
        </w:rPr>
        <w:t> </w:t>
      </w:r>
      <w:r>
        <w:rPr/>
        <w:t>and Spencer, 1993).</w:t>
      </w:r>
    </w:p>
    <w:p>
      <w:pPr>
        <w:pStyle w:val="BodyText"/>
      </w:pPr>
    </w:p>
    <w:p>
      <w:pPr>
        <w:pStyle w:val="BodyText"/>
        <w:spacing w:line="480" w:lineRule="auto"/>
        <w:ind w:left="648" w:right="676"/>
        <w:jc w:val="both"/>
      </w:pPr>
      <w:r>
        <w:rPr/>
        <w:t>In human hippocampal epilepsy, densities of glutamate AMPA receptor subunits correlated</w:t>
      </w:r>
      <w:r>
        <w:rPr>
          <w:spacing w:val="1"/>
        </w:rPr>
        <w:t> </w:t>
      </w:r>
      <w:r>
        <w:rPr/>
        <w:t>with the locations of the densest aberrant mossy fibers, increases in AMPA receptors in a KA</w:t>
      </w:r>
      <w:r>
        <w:rPr>
          <w:spacing w:val="1"/>
        </w:rPr>
        <w:t> </w:t>
      </w:r>
      <w:r>
        <w:rPr/>
        <w:t>model of epileptic rats preceded mossy fiber ingrowth and demonstrated a greater increases</w:t>
      </w:r>
      <w:r>
        <w:rPr>
          <w:spacing w:val="1"/>
        </w:rPr>
        <w:t> </w:t>
      </w:r>
      <w:r>
        <w:rPr/>
        <w:t>than the increase in pre-synaptic mossy fiber inputs (Babb </w:t>
      </w:r>
      <w:r>
        <w:rPr>
          <w:i/>
        </w:rPr>
        <w:t>et al</w:t>
      </w:r>
      <w:r>
        <w:rPr/>
        <w:t>., 1996), KA receptors have</w:t>
      </w:r>
      <w:r>
        <w:rPr>
          <w:spacing w:val="1"/>
        </w:rPr>
        <w:t> </w:t>
      </w:r>
      <w:r>
        <w:rPr/>
        <w:t>also been shown to be involved in ongoing glutamatergic transmission in granule cells of</w:t>
      </w:r>
      <w:r>
        <w:rPr>
          <w:spacing w:val="1"/>
        </w:rPr>
        <w:t> </w:t>
      </w:r>
      <w:r>
        <w:rPr/>
        <w:t>chronic epileptic animals.Thus while the role of NMDA receptors in epilepsy has been known</w:t>
      </w:r>
      <w:r>
        <w:rPr>
          <w:spacing w:val="-57"/>
        </w:rPr>
        <w:t> </w:t>
      </w:r>
      <w:r>
        <w:rPr/>
        <w:t>for some time, there is now growing evidence of the role of AMPA and KA receptors in</w:t>
      </w:r>
      <w:r>
        <w:rPr>
          <w:spacing w:val="1"/>
        </w:rPr>
        <w:t> </w:t>
      </w:r>
      <w:r>
        <w:rPr/>
        <w:t>epilepsy</w:t>
      </w:r>
      <w:r>
        <w:rPr>
          <w:spacing w:val="57"/>
        </w:rPr>
        <w:t> </w:t>
      </w:r>
      <w:r>
        <w:rPr/>
        <w:t>(Epsztein </w:t>
      </w:r>
      <w:r>
        <w:rPr>
          <w:i/>
        </w:rPr>
        <w:t>et al</w:t>
      </w:r>
      <w:r>
        <w:rPr/>
        <w:t>., 2005).</w:t>
      </w:r>
    </w:p>
    <w:p>
      <w:pPr>
        <w:pStyle w:val="BodyText"/>
        <w:spacing w:before="1"/>
      </w:pPr>
    </w:p>
    <w:p>
      <w:pPr>
        <w:pStyle w:val="BodyText"/>
        <w:spacing w:line="480" w:lineRule="auto"/>
        <w:ind w:left="648" w:right="675"/>
        <w:jc w:val="both"/>
      </w:pPr>
      <w:r>
        <w:rPr>
          <w:b/>
          <w:i/>
        </w:rPr>
        <w:t>c.Thalamocortical network excitation ;</w:t>
      </w:r>
      <w:r>
        <w:rPr/>
        <w:t>Epilepsies of the generalized types are characterized</w:t>
      </w:r>
      <w:r>
        <w:rPr>
          <w:spacing w:val="1"/>
        </w:rPr>
        <w:t> </w:t>
      </w:r>
      <w:r>
        <w:rPr/>
        <w:t>by abnormally synchronized activity in large neuronal networks.In absence seizures, the 3-4</w:t>
      </w:r>
      <w:r>
        <w:rPr>
          <w:spacing w:val="1"/>
        </w:rPr>
        <w:t> </w:t>
      </w:r>
      <w:r>
        <w:rPr/>
        <w:t>Hz spike- and-wave patterns are thought to be the result of high frequency thalamocortical</w:t>
      </w:r>
      <w:r>
        <w:rPr>
          <w:spacing w:val="1"/>
        </w:rPr>
        <w:t> </w:t>
      </w:r>
      <w:r>
        <w:rPr/>
        <w:t>oscillations (Blumenfeld, 2003). Thalamocortical oscillations are generated by the synaptic</w:t>
      </w:r>
      <w:r>
        <w:rPr>
          <w:spacing w:val="1"/>
        </w:rPr>
        <w:t> </w:t>
      </w:r>
      <w:r>
        <w:rPr/>
        <w:t>interplay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3</w:t>
      </w:r>
      <w:r>
        <w:rPr>
          <w:spacing w:val="1"/>
        </w:rPr>
        <w:t> </w:t>
      </w:r>
      <w:r>
        <w:rPr/>
        <w:t>structures</w:t>
      </w:r>
      <w:r>
        <w:rPr>
          <w:spacing w:val="1"/>
        </w:rPr>
        <w:t> </w:t>
      </w:r>
      <w:r>
        <w:rPr/>
        <w:t>viz,</w:t>
      </w:r>
      <w:r>
        <w:rPr>
          <w:spacing w:val="1"/>
        </w:rPr>
        <w:t> </w:t>
      </w:r>
      <w:r>
        <w:rPr/>
        <w:t>nucleus</w:t>
      </w:r>
      <w:r>
        <w:rPr>
          <w:spacing w:val="1"/>
        </w:rPr>
        <w:t> </w:t>
      </w:r>
      <w:r>
        <w:rPr/>
        <w:t>reticularis</w:t>
      </w:r>
      <w:r>
        <w:rPr>
          <w:spacing w:val="1"/>
        </w:rPr>
        <w:t> </w:t>
      </w:r>
      <w:r>
        <w:rPr/>
        <w:t>thalami</w:t>
      </w:r>
      <w:r>
        <w:rPr>
          <w:spacing w:val="1"/>
        </w:rPr>
        <w:t> </w:t>
      </w:r>
      <w:r>
        <w:rPr/>
        <w:t>(nRT),</w:t>
      </w:r>
      <w:r>
        <w:rPr>
          <w:spacing w:val="1"/>
        </w:rPr>
        <w:t> </w:t>
      </w:r>
      <w:r>
        <w:rPr/>
        <w:t>thalamocortical</w:t>
      </w:r>
      <w:r>
        <w:rPr>
          <w:spacing w:val="1"/>
        </w:rPr>
        <w:t> </w:t>
      </w:r>
      <w:r>
        <w:rPr/>
        <w:t>neurons</w:t>
      </w:r>
      <w:r>
        <w:rPr>
          <w:spacing w:val="1"/>
        </w:rPr>
        <w:t> </w:t>
      </w:r>
      <w:r>
        <w:rPr/>
        <w:t>(TCNs)</w:t>
      </w:r>
      <w:r>
        <w:rPr>
          <w:spacing w:val="14"/>
        </w:rPr>
        <w:t> </w:t>
      </w:r>
      <w:r>
        <w:rPr/>
        <w:t>and</w:t>
      </w:r>
      <w:r>
        <w:rPr>
          <w:spacing w:val="15"/>
        </w:rPr>
        <w:t> </w:t>
      </w:r>
      <w:r>
        <w:rPr/>
        <w:t>cortical</w:t>
      </w:r>
      <w:r>
        <w:rPr>
          <w:spacing w:val="16"/>
        </w:rPr>
        <w:t> </w:t>
      </w:r>
      <w:r>
        <w:rPr/>
        <w:t>pyramidal</w:t>
      </w:r>
      <w:r>
        <w:rPr>
          <w:spacing w:val="17"/>
        </w:rPr>
        <w:t> </w:t>
      </w:r>
      <w:r>
        <w:rPr/>
        <w:t>neurons.</w:t>
      </w:r>
      <w:r>
        <w:rPr>
          <w:spacing w:val="15"/>
        </w:rPr>
        <w:t> </w:t>
      </w:r>
      <w:r>
        <w:rPr/>
        <w:t>Both</w:t>
      </w:r>
      <w:r>
        <w:rPr>
          <w:spacing w:val="16"/>
        </w:rPr>
        <w:t> </w:t>
      </w:r>
      <w:r>
        <w:rPr/>
        <w:t>nRT</w:t>
      </w:r>
      <w:r>
        <w:rPr>
          <w:spacing w:val="16"/>
        </w:rPr>
        <w:t> </w:t>
      </w:r>
      <w:r>
        <w:rPr/>
        <w:t>and</w:t>
      </w:r>
      <w:r>
        <w:rPr>
          <w:spacing w:val="16"/>
        </w:rPr>
        <w:t> </w:t>
      </w:r>
      <w:r>
        <w:rPr/>
        <w:t>TCNs</w:t>
      </w:r>
      <w:r>
        <w:rPr>
          <w:spacing w:val="15"/>
        </w:rPr>
        <w:t> </w:t>
      </w:r>
      <w:r>
        <w:rPr/>
        <w:t>have</w:t>
      </w:r>
      <w:r>
        <w:rPr>
          <w:spacing w:val="14"/>
        </w:rPr>
        <w:t> </w:t>
      </w:r>
      <w:r>
        <w:rPr/>
        <w:t>an</w:t>
      </w:r>
      <w:r>
        <w:rPr>
          <w:spacing w:val="16"/>
        </w:rPr>
        <w:t> </w:t>
      </w:r>
      <w:r>
        <w:rPr/>
        <w:t>intrinsic</w:t>
      </w:r>
      <w:r>
        <w:rPr>
          <w:spacing w:val="15"/>
        </w:rPr>
        <w:t> </w:t>
      </w:r>
      <w:r>
        <w:rPr/>
        <w:t>ability</w:t>
      </w:r>
      <w:r>
        <w:rPr>
          <w:spacing w:val="8"/>
        </w:rPr>
        <w:t> </w:t>
      </w:r>
      <w:r>
        <w:rPr/>
        <w:t>to</w:t>
      </w:r>
      <w:r>
        <w:rPr>
          <w:spacing w:val="17"/>
        </w:rPr>
        <w:t> </w:t>
      </w:r>
      <w:r>
        <w:rPr/>
        <w:t>fire</w:t>
      </w:r>
      <w:r>
        <w:rPr>
          <w:spacing w:val="-58"/>
        </w:rPr>
        <w:t> </w:t>
      </w:r>
      <w:r>
        <w:rPr/>
        <w:t>in</w:t>
      </w:r>
      <w:r>
        <w:rPr>
          <w:spacing w:val="1"/>
        </w:rPr>
        <w:t> </w:t>
      </w:r>
      <w:r>
        <w:rPr/>
        <w:t>bursts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cell</w:t>
      </w:r>
      <w:r>
        <w:rPr>
          <w:spacing w:val="1"/>
        </w:rPr>
        <w:t> </w:t>
      </w:r>
      <w:r>
        <w:rPr/>
        <w:t>membrane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hyperpolarized,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process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dependent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extracellular Ca</w:t>
      </w:r>
      <w:r>
        <w:rPr>
          <w:vertAlign w:val="superscript"/>
        </w:rPr>
        <w:t>2+</w:t>
      </w:r>
      <w:r>
        <w:rPr>
          <w:vertAlign w:val="baseline"/>
        </w:rPr>
        <w:t> and the transient or T-type Ca</w:t>
      </w:r>
      <w:r>
        <w:rPr>
          <w:vertAlign w:val="superscript"/>
        </w:rPr>
        <w:t>2+</w:t>
      </w:r>
      <w:r>
        <w:rPr>
          <w:vertAlign w:val="baseline"/>
        </w:rPr>
        <w:t> channels. TCNs fire action potentials in</w:t>
      </w:r>
      <w:r>
        <w:rPr>
          <w:spacing w:val="1"/>
          <w:vertAlign w:val="baseline"/>
        </w:rPr>
        <w:t> </w:t>
      </w:r>
      <w:r>
        <w:rPr>
          <w:vertAlign w:val="baseline"/>
        </w:rPr>
        <w:t>high frequency and short duration bursts hence, they play a key role in the pathophysiology of</w:t>
      </w:r>
      <w:r>
        <w:rPr>
          <w:spacing w:val="-57"/>
          <w:vertAlign w:val="baseline"/>
        </w:rPr>
        <w:t> </w:t>
      </w:r>
      <w:r>
        <w:rPr>
          <w:vertAlign w:val="baseline"/>
        </w:rPr>
        <w:t>epilepsy</w:t>
      </w:r>
      <w:r>
        <w:rPr>
          <w:spacing w:val="-4"/>
          <w:vertAlign w:val="baseline"/>
        </w:rPr>
        <w:t> </w:t>
      </w:r>
      <w:r>
        <w:rPr>
          <w:vertAlign w:val="baseline"/>
        </w:rPr>
        <w:t>(Acharya, 2002).</w:t>
      </w:r>
    </w:p>
    <w:p>
      <w:pPr>
        <w:spacing w:after="0" w:line="480" w:lineRule="auto"/>
        <w:jc w:val="both"/>
        <w:sectPr>
          <w:pgSz w:w="12240" w:h="15840"/>
          <w:pgMar w:header="0" w:footer="792" w:top="1360" w:bottom="980" w:left="1080" w:right="760"/>
        </w:sectPr>
      </w:pPr>
    </w:p>
    <w:p>
      <w:pPr>
        <w:pStyle w:val="BodyText"/>
        <w:spacing w:line="480" w:lineRule="auto" w:before="72"/>
        <w:ind w:left="648" w:right="674"/>
        <w:jc w:val="both"/>
      </w:pPr>
      <w:r>
        <w:rPr>
          <w:b/>
          <w:i/>
        </w:rPr>
        <w:t>d.   </w:t>
      </w:r>
      <w:r>
        <w:rPr>
          <w:b/>
          <w:i/>
          <w:spacing w:val="1"/>
        </w:rPr>
        <w:t> </w:t>
      </w:r>
      <w:r>
        <w:rPr>
          <w:b/>
          <w:i/>
        </w:rPr>
        <w:t>Role of glial cells in excitation ;</w:t>
      </w:r>
      <w:r>
        <w:rPr/>
        <w:t>Despite the fact that substantial interest have been</w:t>
      </w:r>
      <w:r>
        <w:rPr>
          <w:spacing w:val="1"/>
        </w:rPr>
        <w:t> </w:t>
      </w:r>
      <w:r>
        <w:rPr/>
        <w:t>focused on neurones in the pathogenesis of epilepsy, recent studies have shown that glial cells</w:t>
      </w:r>
      <w:r>
        <w:rPr>
          <w:spacing w:val="-57"/>
        </w:rPr>
        <w:t> </w:t>
      </w:r>
      <w:r>
        <w:rPr/>
        <w:t>play a key role in buffering functions that maintain the uptake of K</w:t>
      </w:r>
      <w:r>
        <w:rPr>
          <w:vertAlign w:val="superscript"/>
        </w:rPr>
        <w:t>+</w:t>
      </w:r>
      <w:r>
        <w:rPr>
          <w:vertAlign w:val="baseline"/>
        </w:rPr>
        <w:t> and glutamate; disrupting</w:t>
      </w:r>
      <w:r>
        <w:rPr>
          <w:spacing w:val="-57"/>
          <w:vertAlign w:val="baseline"/>
        </w:rPr>
        <w:t> </w:t>
      </w:r>
      <w:r>
        <w:rPr>
          <w:vertAlign w:val="baseline"/>
        </w:rPr>
        <w:t>these functions may cause hyperexcitability, also recent evidence suggests that glial cells</w:t>
      </w:r>
      <w:r>
        <w:rPr>
          <w:spacing w:val="1"/>
          <w:vertAlign w:val="baseline"/>
        </w:rPr>
        <w:t> </w:t>
      </w:r>
      <w:r>
        <w:rPr>
          <w:vertAlign w:val="baseline"/>
        </w:rPr>
        <w:t>releases glutamate which can generate paroxysmal depolarizing shift (PDS), the prolonged</w:t>
      </w:r>
      <w:r>
        <w:rPr>
          <w:spacing w:val="1"/>
          <w:vertAlign w:val="baseline"/>
        </w:rPr>
        <w:t> </w:t>
      </w:r>
      <w:r>
        <w:rPr>
          <w:vertAlign w:val="baseline"/>
        </w:rPr>
        <w:t>depolarization reflected in EEG recordings of interictal discharges. Even in the absence of</w:t>
      </w:r>
      <w:r>
        <w:rPr>
          <w:spacing w:val="1"/>
          <w:vertAlign w:val="baseline"/>
        </w:rPr>
        <w:t> </w:t>
      </w:r>
      <w:r>
        <w:rPr>
          <w:vertAlign w:val="baseline"/>
        </w:rPr>
        <w:t>synaptic interactions, astrocytic release of glutamate can trigger PDS-like events (Rogawski,</w:t>
      </w:r>
      <w:r>
        <w:rPr>
          <w:spacing w:val="1"/>
          <w:vertAlign w:val="baseline"/>
        </w:rPr>
        <w:t> </w:t>
      </w:r>
      <w:r>
        <w:rPr>
          <w:vertAlign w:val="baseline"/>
        </w:rPr>
        <w:t>2005).</w:t>
      </w: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2"/>
        </w:rPr>
      </w:pPr>
    </w:p>
    <w:p>
      <w:pPr>
        <w:pStyle w:val="Heading1"/>
        <w:numPr>
          <w:ilvl w:val="2"/>
          <w:numId w:val="10"/>
        </w:numPr>
        <w:tabs>
          <w:tab w:pos="1369" w:val="left" w:leader="none"/>
        </w:tabs>
        <w:spacing w:line="240" w:lineRule="auto" w:before="0" w:after="0"/>
        <w:ind w:left="1368" w:right="0" w:hanging="721"/>
        <w:jc w:val="both"/>
      </w:pPr>
      <w:bookmarkStart w:name="_TOC_250044" w:id="17"/>
      <w:r>
        <w:rPr/>
        <w:t>Pathophysiology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specific</w:t>
      </w:r>
      <w:r>
        <w:rPr>
          <w:spacing w:val="-2"/>
        </w:rPr>
        <w:t> </w:t>
      </w:r>
      <w:r>
        <w:rPr/>
        <w:t>epileptic</w:t>
      </w:r>
      <w:r>
        <w:rPr>
          <w:spacing w:val="-1"/>
        </w:rPr>
        <w:t> </w:t>
      </w:r>
      <w:bookmarkEnd w:id="17"/>
      <w:r>
        <w:rPr/>
        <w:t>disorders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648" w:right="675"/>
        <w:jc w:val="both"/>
      </w:pPr>
      <w:r>
        <w:rPr/>
        <w:t>The pathogenesis of some epileptic disorders is not fully understood (Engelborghs </w:t>
      </w:r>
      <w:r>
        <w:rPr>
          <w:i/>
        </w:rPr>
        <w:t>et al</w:t>
      </w:r>
      <w:r>
        <w:rPr/>
        <w:t>.,</w:t>
      </w:r>
      <w:r>
        <w:rPr>
          <w:spacing w:val="1"/>
        </w:rPr>
        <w:t> </w:t>
      </w:r>
      <w:r>
        <w:rPr/>
        <w:t>2000).</w:t>
      </w:r>
      <w:r>
        <w:rPr>
          <w:spacing w:val="1"/>
        </w:rPr>
        <w:t> </w:t>
      </w:r>
      <w:r>
        <w:rPr/>
        <w:t>Insults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brain,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traumatic</w:t>
      </w:r>
      <w:r>
        <w:rPr>
          <w:spacing w:val="1"/>
        </w:rPr>
        <w:t> </w:t>
      </w:r>
      <w:r>
        <w:rPr/>
        <w:t>brain</w:t>
      </w:r>
      <w:r>
        <w:rPr>
          <w:spacing w:val="1"/>
        </w:rPr>
        <w:t> </w:t>
      </w:r>
      <w:r>
        <w:rPr/>
        <w:t>injury,</w:t>
      </w:r>
      <w:r>
        <w:rPr>
          <w:spacing w:val="1"/>
        </w:rPr>
        <w:t> </w:t>
      </w:r>
      <w:r>
        <w:rPr/>
        <w:t>neonatal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adult</w:t>
      </w:r>
      <w:r>
        <w:rPr>
          <w:spacing w:val="1"/>
        </w:rPr>
        <w:t> </w:t>
      </w:r>
      <w:r>
        <w:rPr/>
        <w:t>hypoxia-</w:t>
      </w:r>
      <w:r>
        <w:rPr>
          <w:spacing w:val="-57"/>
        </w:rPr>
        <w:t> </w:t>
      </w:r>
      <w:r>
        <w:rPr/>
        <w:t>ischaemia,</w:t>
      </w:r>
      <w:r>
        <w:rPr>
          <w:spacing w:val="1"/>
        </w:rPr>
        <w:t> </w:t>
      </w:r>
      <w:r>
        <w:rPr/>
        <w:t>encephalitis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degenerative</w:t>
      </w:r>
      <w:r>
        <w:rPr>
          <w:spacing w:val="1"/>
        </w:rPr>
        <w:t> </w:t>
      </w:r>
      <w:r>
        <w:rPr/>
        <w:t>disorders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associated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epilepsy and specific mechanisms underlying each of these conditions are unclear, they may</w:t>
      </w:r>
      <w:r>
        <w:rPr>
          <w:spacing w:val="1"/>
        </w:rPr>
        <w:t> </w:t>
      </w:r>
      <w:r>
        <w:rPr/>
        <w:t>serve as triggers to events that leads to structural and functional changes in the brain that can</w:t>
      </w:r>
      <w:r>
        <w:rPr>
          <w:spacing w:val="1"/>
        </w:rPr>
        <w:t> </w:t>
      </w:r>
      <w:r>
        <w:rPr/>
        <w:t>initiate</w:t>
      </w:r>
      <w:r>
        <w:rPr>
          <w:spacing w:val="-1"/>
        </w:rPr>
        <w:t> </w:t>
      </w:r>
      <w:r>
        <w:rPr/>
        <w:t>ictogenesis and</w:t>
      </w:r>
      <w:r>
        <w:rPr>
          <w:spacing w:val="2"/>
        </w:rPr>
        <w:t> </w:t>
      </w:r>
      <w:r>
        <w:rPr/>
        <w:t>epileptogenesis (Bialer</w:t>
      </w:r>
      <w:r>
        <w:rPr>
          <w:spacing w:val="-1"/>
        </w:rPr>
        <w:t> </w:t>
      </w:r>
      <w:r>
        <w:rPr/>
        <w:t>and White, 2010).</w:t>
      </w:r>
    </w:p>
    <w:p>
      <w:pPr>
        <w:pStyle w:val="BodyText"/>
        <w:spacing w:line="480" w:lineRule="auto"/>
        <w:ind w:left="648" w:right="679"/>
        <w:jc w:val="both"/>
      </w:pPr>
      <w:r>
        <w:rPr>
          <w:b/>
          <w:i/>
        </w:rPr>
        <w:t>Monogenic</w:t>
      </w:r>
      <w:r>
        <w:rPr>
          <w:b/>
          <w:i/>
          <w:spacing w:val="1"/>
        </w:rPr>
        <w:t> </w:t>
      </w:r>
      <w:r>
        <w:rPr>
          <w:b/>
          <w:i/>
        </w:rPr>
        <w:t>mutations;</w:t>
      </w:r>
      <w:r>
        <w:rPr>
          <w:b/>
          <w:i/>
          <w:spacing w:val="1"/>
        </w:rPr>
        <w:t> </w:t>
      </w:r>
      <w:r>
        <w:rPr/>
        <w:t>Several</w:t>
      </w:r>
      <w:r>
        <w:rPr>
          <w:spacing w:val="1"/>
        </w:rPr>
        <w:t> </w:t>
      </w:r>
      <w:r>
        <w:rPr/>
        <w:t>familial</w:t>
      </w:r>
      <w:r>
        <w:rPr>
          <w:spacing w:val="1"/>
        </w:rPr>
        <w:t> </w:t>
      </w:r>
      <w:r>
        <w:rPr/>
        <w:t>epilepsies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complex</w:t>
      </w:r>
      <w:r>
        <w:rPr>
          <w:spacing w:val="1"/>
        </w:rPr>
        <w:t> </w:t>
      </w:r>
      <w:r>
        <w:rPr/>
        <w:t>modes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inheritance</w:t>
      </w:r>
      <w:r>
        <w:rPr>
          <w:spacing w:val="1"/>
        </w:rPr>
        <w:t> </w:t>
      </w:r>
      <w:r>
        <w:rPr/>
        <w:t>resulting from interaction of several genetic loci with environmental factors. However, some</w:t>
      </w:r>
      <w:r>
        <w:rPr>
          <w:spacing w:val="1"/>
        </w:rPr>
        <w:t> </w:t>
      </w:r>
      <w:r>
        <w:rPr/>
        <w:t>epileptic disorders, been in only 1% of patients, (Engelborghs</w:t>
      </w:r>
      <w:r>
        <w:rPr>
          <w:spacing w:val="60"/>
        </w:rPr>
        <w:t> </w:t>
      </w:r>
      <w:r>
        <w:rPr>
          <w:i/>
        </w:rPr>
        <w:t>et al</w:t>
      </w:r>
      <w:r>
        <w:rPr/>
        <w:t>., 2000), are associated</w:t>
      </w:r>
      <w:r>
        <w:rPr>
          <w:spacing w:val="1"/>
        </w:rPr>
        <w:t> </w:t>
      </w:r>
      <w:r>
        <w:rPr/>
        <w:t>with</w:t>
      </w:r>
      <w:r>
        <w:rPr>
          <w:spacing w:val="-1"/>
        </w:rPr>
        <w:t> </w:t>
      </w:r>
      <w:r>
        <w:rPr/>
        <w:t>single</w:t>
      </w:r>
      <w:r>
        <w:rPr>
          <w:spacing w:val="1"/>
        </w:rPr>
        <w:t> </w:t>
      </w:r>
      <w:r>
        <w:rPr/>
        <w:t>gene</w:t>
      </w:r>
      <w:r>
        <w:rPr>
          <w:spacing w:val="-1"/>
        </w:rPr>
        <w:t> </w:t>
      </w:r>
      <w:r>
        <w:rPr/>
        <w:t>mutations, many</w:t>
      </w:r>
      <w:r>
        <w:rPr>
          <w:spacing w:val="-6"/>
        </w:rPr>
        <w:t> </w:t>
      </w:r>
      <w:r>
        <w:rPr/>
        <w:t>of</w:t>
      </w:r>
      <w:r>
        <w:rPr>
          <w:spacing w:val="1"/>
        </w:rPr>
        <w:t> </w:t>
      </w:r>
      <w:r>
        <w:rPr/>
        <w:t>which have</w:t>
      </w:r>
      <w:r>
        <w:rPr>
          <w:spacing w:val="1"/>
        </w:rPr>
        <w:t> </w:t>
      </w:r>
      <w:r>
        <w:rPr/>
        <w:t>been found</w:t>
      </w:r>
      <w:r>
        <w:rPr>
          <w:spacing w:val="-1"/>
        </w:rPr>
        <w:t> </w:t>
      </w:r>
      <w:r>
        <w:rPr/>
        <w:t>in ion channel proteins.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480" w:lineRule="auto"/>
        <w:ind w:left="648" w:right="681"/>
        <w:jc w:val="both"/>
      </w:pPr>
      <w:r>
        <w:rPr>
          <w:b/>
          <w:i/>
        </w:rPr>
        <w:t>Autoimmune pathogenesis</w:t>
      </w:r>
      <w:r>
        <w:rPr>
          <w:b/>
        </w:rPr>
        <w:t>; </w:t>
      </w:r>
      <w:r>
        <w:rPr/>
        <w:t>Rasmussen‟s encephalitis is a progressive degenerative disease</w:t>
      </w:r>
      <w:r>
        <w:rPr>
          <w:spacing w:val="1"/>
        </w:rPr>
        <w:t> </w:t>
      </w:r>
      <w:r>
        <w:rPr/>
        <w:t>affecting</w:t>
      </w:r>
      <w:r>
        <w:rPr>
          <w:spacing w:val="21"/>
        </w:rPr>
        <w:t> </w:t>
      </w:r>
      <w:r>
        <w:rPr/>
        <w:t>children;</w:t>
      </w:r>
      <w:r>
        <w:rPr>
          <w:spacing w:val="22"/>
        </w:rPr>
        <w:t> </w:t>
      </w:r>
      <w:r>
        <w:rPr/>
        <w:t>patients</w:t>
      </w:r>
      <w:r>
        <w:rPr>
          <w:spacing w:val="21"/>
        </w:rPr>
        <w:t> </w:t>
      </w:r>
      <w:r>
        <w:rPr/>
        <w:t>have</w:t>
      </w:r>
      <w:r>
        <w:rPr>
          <w:spacing w:val="19"/>
        </w:rPr>
        <w:t> </w:t>
      </w:r>
      <w:r>
        <w:rPr/>
        <w:t>seizures</w:t>
      </w:r>
      <w:r>
        <w:rPr>
          <w:spacing w:val="23"/>
        </w:rPr>
        <w:t> </w:t>
      </w:r>
      <w:r>
        <w:rPr/>
        <w:t>that</w:t>
      </w:r>
      <w:r>
        <w:rPr>
          <w:spacing w:val="20"/>
        </w:rPr>
        <w:t> </w:t>
      </w:r>
      <w:r>
        <w:rPr/>
        <w:t>are</w:t>
      </w:r>
      <w:r>
        <w:rPr>
          <w:spacing w:val="19"/>
        </w:rPr>
        <w:t> </w:t>
      </w:r>
      <w:r>
        <w:rPr/>
        <w:t>typically</w:t>
      </w:r>
      <w:r>
        <w:rPr>
          <w:spacing w:val="16"/>
        </w:rPr>
        <w:t> </w:t>
      </w:r>
      <w:r>
        <w:rPr/>
        <w:t>resistant</w:t>
      </w:r>
      <w:r>
        <w:rPr>
          <w:spacing w:val="20"/>
        </w:rPr>
        <w:t> </w:t>
      </w:r>
      <w:r>
        <w:rPr/>
        <w:t>to</w:t>
      </w:r>
      <w:r>
        <w:rPr>
          <w:spacing w:val="20"/>
        </w:rPr>
        <w:t> </w:t>
      </w:r>
      <w:r>
        <w:rPr/>
        <w:t>antiepileptic</w:t>
      </w:r>
      <w:r>
        <w:rPr>
          <w:spacing w:val="19"/>
        </w:rPr>
        <w:t> </w:t>
      </w:r>
      <w:r>
        <w:rPr/>
        <w:t>drugs.</w:t>
      </w:r>
      <w:r>
        <w:rPr>
          <w:spacing w:val="24"/>
        </w:rPr>
        <w:t> </w:t>
      </w:r>
      <w:r>
        <w:rPr/>
        <w:t>It</w:t>
      </w:r>
    </w:p>
    <w:p>
      <w:pPr>
        <w:spacing w:after="0" w:line="480" w:lineRule="auto"/>
        <w:jc w:val="both"/>
        <w:sectPr>
          <w:pgSz w:w="12240" w:h="15840"/>
          <w:pgMar w:header="0" w:footer="792" w:top="1360" w:bottom="980" w:left="1080" w:right="760"/>
        </w:sectPr>
      </w:pPr>
    </w:p>
    <w:p>
      <w:pPr>
        <w:pStyle w:val="BodyText"/>
        <w:spacing w:line="480" w:lineRule="auto" w:before="72"/>
        <w:ind w:left="648" w:right="676"/>
        <w:jc w:val="both"/>
      </w:pPr>
      <w:r>
        <w:rPr/>
        <w:t>has been shown that progressive hemiparesis</w:t>
      </w:r>
      <w:r>
        <w:rPr>
          <w:spacing w:val="1"/>
        </w:rPr>
        <w:t> </w:t>
      </w:r>
      <w:r>
        <w:rPr/>
        <w:t>with dementia is</w:t>
      </w:r>
      <w:r>
        <w:rPr>
          <w:spacing w:val="1"/>
        </w:rPr>
        <w:t> </w:t>
      </w:r>
      <w:r>
        <w:rPr/>
        <w:t>characteristic of this</w:t>
      </w:r>
      <w:r>
        <w:rPr>
          <w:spacing w:val="1"/>
        </w:rPr>
        <w:t> </w:t>
      </w:r>
      <w:r>
        <w:rPr/>
        <w:t>rare</w:t>
      </w:r>
      <w:r>
        <w:rPr>
          <w:spacing w:val="1"/>
        </w:rPr>
        <w:t> </w:t>
      </w:r>
      <w:r>
        <w:rPr/>
        <w:t>disease (Acharya, 2002). Subsequently, discovery of anti-GluR3 antibodies suggests that this</w:t>
      </w:r>
      <w:r>
        <w:rPr>
          <w:spacing w:val="1"/>
        </w:rPr>
        <w:t> </w:t>
      </w:r>
      <w:r>
        <w:rPr/>
        <w:t>disease</w:t>
      </w:r>
      <w:r>
        <w:rPr>
          <w:spacing w:val="-2"/>
        </w:rPr>
        <w:t> </w:t>
      </w:r>
      <w:r>
        <w:rPr/>
        <w:t>may</w:t>
      </w:r>
      <w:r>
        <w:rPr>
          <w:spacing w:val="-5"/>
        </w:rPr>
        <w:t> </w:t>
      </w:r>
      <w:r>
        <w:rPr/>
        <w:t>be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result</w:t>
      </w:r>
      <w:r>
        <w:rPr>
          <w:spacing w:val="3"/>
        </w:rPr>
        <w:t> </w:t>
      </w:r>
      <w:r>
        <w:rPr/>
        <w:t>of</w:t>
      </w:r>
      <w:r>
        <w:rPr>
          <w:spacing w:val="-1"/>
        </w:rPr>
        <w:t> </w:t>
      </w:r>
      <w:r>
        <w:rPr/>
        <w:t>autoimmune</w:t>
      </w:r>
      <w:r>
        <w:rPr>
          <w:spacing w:val="-1"/>
        </w:rPr>
        <w:t> </w:t>
      </w:r>
      <w:r>
        <w:rPr/>
        <w:t>pathogenesis (Engelborghs</w:t>
      </w:r>
      <w:r>
        <w:rPr>
          <w:spacing w:val="2"/>
        </w:rPr>
        <w:t> </w:t>
      </w:r>
      <w:r>
        <w:rPr>
          <w:i/>
        </w:rPr>
        <w:t>et al</w:t>
      </w:r>
      <w:r>
        <w:rPr/>
        <w:t>.,</w:t>
      </w:r>
      <w:r>
        <w:rPr>
          <w:spacing w:val="1"/>
        </w:rPr>
        <w:t> </w:t>
      </w:r>
      <w:r>
        <w:rPr/>
        <w:t>2000).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/>
        <w:ind w:left="648" w:right="676"/>
        <w:jc w:val="both"/>
      </w:pPr>
      <w:r>
        <w:rPr>
          <w:b/>
          <w:i/>
        </w:rPr>
        <w:t>Epilepsy-associated</w:t>
      </w:r>
      <w:r>
        <w:rPr>
          <w:b/>
          <w:i/>
          <w:spacing w:val="1"/>
        </w:rPr>
        <w:t> </w:t>
      </w:r>
      <w:r>
        <w:rPr>
          <w:b/>
          <w:i/>
        </w:rPr>
        <w:t>neuronal</w:t>
      </w:r>
      <w:r>
        <w:rPr>
          <w:b/>
          <w:i/>
          <w:spacing w:val="1"/>
        </w:rPr>
        <w:t> </w:t>
      </w:r>
      <w:r>
        <w:rPr>
          <w:b/>
          <w:i/>
        </w:rPr>
        <w:t>migration;</w:t>
      </w:r>
      <w:r>
        <w:rPr>
          <w:b/>
          <w:i/>
          <w:spacing w:val="1"/>
        </w:rPr>
        <w:t> </w:t>
      </w:r>
      <w:r>
        <w:rPr/>
        <w:t>Several</w:t>
      </w:r>
      <w:r>
        <w:rPr>
          <w:spacing w:val="1"/>
        </w:rPr>
        <w:t> </w:t>
      </w:r>
      <w:r>
        <w:rPr/>
        <w:t>developmental</w:t>
      </w:r>
      <w:r>
        <w:rPr>
          <w:spacing w:val="1"/>
        </w:rPr>
        <w:t> </w:t>
      </w:r>
      <w:r>
        <w:rPr/>
        <w:t>disorders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neuronal</w:t>
      </w:r>
      <w:r>
        <w:rPr>
          <w:spacing w:val="1"/>
        </w:rPr>
        <w:t> </w:t>
      </w:r>
      <w:r>
        <w:rPr/>
        <w:t>migration, with underlying genetic or intrauterine causes are associated with epilepsy, Agyria</w:t>
      </w:r>
      <w:r>
        <w:rPr>
          <w:spacing w:val="1"/>
        </w:rPr>
        <w:t> </w:t>
      </w:r>
      <w:r>
        <w:rPr/>
        <w:t>or lack of gyri and sulci, and pachygyria (thick convolutions) are commonly associated with</w:t>
      </w:r>
      <w:r>
        <w:rPr>
          <w:spacing w:val="1"/>
        </w:rPr>
        <w:t> </w:t>
      </w:r>
      <w:r>
        <w:rPr/>
        <w:t>abnormalities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neuronal</w:t>
      </w:r>
      <w:r>
        <w:rPr>
          <w:spacing w:val="1"/>
        </w:rPr>
        <w:t> </w:t>
      </w:r>
      <w:r>
        <w:rPr/>
        <w:t>migration.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cortical</w:t>
      </w:r>
      <w:r>
        <w:rPr>
          <w:spacing w:val="1"/>
        </w:rPr>
        <w:t> </w:t>
      </w:r>
      <w:r>
        <w:rPr/>
        <w:t>malformations</w:t>
      </w:r>
      <w:r>
        <w:rPr>
          <w:spacing w:val="1"/>
        </w:rPr>
        <w:t> </w:t>
      </w:r>
      <w:r>
        <w:rPr/>
        <w:t>including</w:t>
      </w:r>
      <w:r>
        <w:rPr>
          <w:spacing w:val="1"/>
        </w:rPr>
        <w:t> </w:t>
      </w:r>
      <w:r>
        <w:rPr/>
        <w:t>microgyric</w:t>
      </w:r>
      <w:r>
        <w:rPr>
          <w:spacing w:val="1"/>
        </w:rPr>
        <w:t> </w:t>
      </w:r>
      <w:r>
        <w:rPr/>
        <w:t>cortices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associated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increases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postsynaptic</w:t>
      </w:r>
      <w:r>
        <w:rPr>
          <w:spacing w:val="1"/>
        </w:rPr>
        <w:t> </w:t>
      </w:r>
      <w:r>
        <w:rPr/>
        <w:t>glutamate</w:t>
      </w:r>
      <w:r>
        <w:rPr>
          <w:spacing w:val="1"/>
        </w:rPr>
        <w:t> </w:t>
      </w:r>
      <w:r>
        <w:rPr/>
        <w:t>receptors</w:t>
      </w:r>
      <w:r>
        <w:rPr>
          <w:spacing w:val="60"/>
        </w:rPr>
        <w:t> </w:t>
      </w:r>
      <w:r>
        <w:rPr/>
        <w:t>and</w:t>
      </w:r>
      <w:r>
        <w:rPr>
          <w:spacing w:val="1"/>
        </w:rPr>
        <w:t> </w:t>
      </w:r>
      <w:r>
        <w:rPr/>
        <w:t>decreases in GABA receptors, a condition that can promote epileptogenesis (Engelborghs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 2000). Tuberous sclerosis, x-linked lissencephaly, and double cortex syndrome are other</w:t>
      </w:r>
      <w:r>
        <w:rPr>
          <w:spacing w:val="1"/>
        </w:rPr>
        <w:t> </w:t>
      </w:r>
      <w:r>
        <w:rPr/>
        <w:t>examples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developmental</w:t>
      </w:r>
      <w:r>
        <w:rPr>
          <w:spacing w:val="1"/>
        </w:rPr>
        <w:t> </w:t>
      </w:r>
      <w:r>
        <w:rPr/>
        <w:t>disorders</w:t>
      </w:r>
      <w:r>
        <w:rPr>
          <w:spacing w:val="1"/>
        </w:rPr>
        <w:t> </w:t>
      </w:r>
      <w:r>
        <w:rPr/>
        <w:t>associated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epilepsy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disordered</w:t>
      </w:r>
      <w:r>
        <w:rPr>
          <w:spacing w:val="1"/>
        </w:rPr>
        <w:t> </w:t>
      </w:r>
      <w:r>
        <w:rPr/>
        <w:t>neuronal</w:t>
      </w:r>
      <w:r>
        <w:rPr>
          <w:spacing w:val="1"/>
        </w:rPr>
        <w:t> </w:t>
      </w:r>
      <w:r>
        <w:rPr/>
        <w:t>migration</w:t>
      </w:r>
      <w:r>
        <w:rPr>
          <w:spacing w:val="-1"/>
        </w:rPr>
        <w:t> </w:t>
      </w:r>
      <w:r>
        <w:rPr/>
        <w:t>(Engelborghs</w:t>
      </w:r>
      <w:r>
        <w:rPr>
          <w:spacing w:val="1"/>
        </w:rPr>
        <w:t> </w:t>
      </w:r>
      <w:r>
        <w:rPr>
          <w:i/>
        </w:rPr>
        <w:t>et al</w:t>
      </w:r>
      <w:r>
        <w:rPr/>
        <w:t>., 2000).</w:t>
      </w:r>
    </w:p>
    <w:p>
      <w:pPr>
        <w:pStyle w:val="BodyText"/>
        <w:spacing w:before="6"/>
      </w:pPr>
    </w:p>
    <w:p>
      <w:pPr>
        <w:pStyle w:val="Heading1"/>
        <w:numPr>
          <w:ilvl w:val="2"/>
          <w:numId w:val="10"/>
        </w:numPr>
        <w:tabs>
          <w:tab w:pos="1369" w:val="left" w:leader="none"/>
        </w:tabs>
        <w:spacing w:line="240" w:lineRule="auto" w:before="0" w:after="0"/>
        <w:ind w:left="1368" w:right="0" w:hanging="721"/>
        <w:jc w:val="both"/>
      </w:pPr>
      <w:bookmarkStart w:name="_TOC_250043" w:id="18"/>
      <w:r>
        <w:rPr/>
        <w:t>Seizure</w:t>
      </w:r>
      <w:r>
        <w:rPr>
          <w:spacing w:val="-3"/>
        </w:rPr>
        <w:t> </w:t>
      </w:r>
      <w:bookmarkEnd w:id="18"/>
      <w:r>
        <w:rPr/>
        <w:t>types.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648" w:right="679"/>
        <w:jc w:val="both"/>
      </w:pPr>
      <w:r>
        <w:rPr/>
        <w:t>According to Rogers and Cavazos, (2008), seizures, based on EEG recording and clinical</w:t>
      </w:r>
      <w:r>
        <w:rPr>
          <w:spacing w:val="1"/>
        </w:rPr>
        <w:t> </w:t>
      </w:r>
      <w:r>
        <w:rPr/>
        <w:t>symptomatology, are divided into two main pathophysiologic groups; partial and generalized</w:t>
      </w:r>
      <w:r>
        <w:rPr>
          <w:spacing w:val="1"/>
        </w:rPr>
        <w:t> </w:t>
      </w:r>
      <w:r>
        <w:rPr/>
        <w:t>seizures.</w:t>
      </w:r>
    </w:p>
    <w:p>
      <w:pPr>
        <w:pStyle w:val="BodyText"/>
        <w:spacing w:line="480" w:lineRule="auto"/>
        <w:ind w:left="648" w:right="676"/>
        <w:jc w:val="both"/>
      </w:pPr>
      <w:r>
        <w:rPr>
          <w:b/>
          <w:i/>
        </w:rPr>
        <w:t>Partial</w:t>
      </w:r>
      <w:r>
        <w:rPr>
          <w:b/>
          <w:i/>
          <w:spacing w:val="1"/>
        </w:rPr>
        <w:t> </w:t>
      </w:r>
      <w:r>
        <w:rPr>
          <w:b/>
          <w:i/>
        </w:rPr>
        <w:t>epilepsy</w:t>
      </w:r>
      <w:r>
        <w:rPr>
          <w:b/>
        </w:rPr>
        <w:t>;</w:t>
      </w:r>
      <w:r>
        <w:rPr>
          <w:b/>
          <w:spacing w:val="1"/>
        </w:rPr>
        <w:t> </w:t>
      </w:r>
      <w:r>
        <w:rPr/>
        <w:t>Partial</w:t>
      </w:r>
      <w:r>
        <w:rPr>
          <w:spacing w:val="1"/>
        </w:rPr>
        <w:t> </w:t>
      </w:r>
      <w:r>
        <w:rPr/>
        <w:t>(focal)</w:t>
      </w:r>
      <w:r>
        <w:rPr>
          <w:spacing w:val="1"/>
        </w:rPr>
        <w:t> </w:t>
      </w:r>
      <w:r>
        <w:rPr/>
        <w:t>seizures</w:t>
      </w:r>
      <w:r>
        <w:rPr>
          <w:spacing w:val="1"/>
        </w:rPr>
        <w:t> </w:t>
      </w:r>
      <w:r>
        <w:rPr/>
        <w:t>begin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cerebral</w:t>
      </w:r>
      <w:r>
        <w:rPr>
          <w:spacing w:val="1"/>
        </w:rPr>
        <w:t> </w:t>
      </w:r>
      <w:r>
        <w:rPr/>
        <w:t>hemisphere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brain</w:t>
      </w:r>
      <w:r>
        <w:rPr>
          <w:spacing w:val="1"/>
        </w:rPr>
        <w:t> </w:t>
      </w:r>
      <w:r>
        <w:rPr/>
        <w:t>resulting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asymmetric</w:t>
      </w:r>
      <w:r>
        <w:rPr>
          <w:spacing w:val="1"/>
        </w:rPr>
        <w:t> </w:t>
      </w:r>
      <w:r>
        <w:rPr/>
        <w:t>motor</w:t>
      </w:r>
      <w:r>
        <w:rPr>
          <w:spacing w:val="1"/>
        </w:rPr>
        <w:t> </w:t>
      </w:r>
      <w:r>
        <w:rPr/>
        <w:t>manifestation</w:t>
      </w:r>
      <w:r>
        <w:rPr>
          <w:spacing w:val="1"/>
        </w:rPr>
        <w:t> </w:t>
      </w:r>
      <w:r>
        <w:rPr/>
        <w:t>(Rogers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Cavazos,</w:t>
      </w:r>
      <w:r>
        <w:rPr>
          <w:spacing w:val="1"/>
        </w:rPr>
        <w:t> </w:t>
      </w:r>
      <w:r>
        <w:rPr/>
        <w:t>2008),</w:t>
      </w:r>
      <w:r>
        <w:rPr>
          <w:spacing w:val="1"/>
        </w:rPr>
        <w:t> </w:t>
      </w:r>
      <w:r>
        <w:rPr/>
        <w:t>here,</w:t>
      </w:r>
      <w:r>
        <w:rPr>
          <w:spacing w:val="1"/>
        </w:rPr>
        <w:t> </w:t>
      </w:r>
      <w:r>
        <w:rPr/>
        <w:t>clinical</w:t>
      </w:r>
      <w:r>
        <w:rPr>
          <w:spacing w:val="1"/>
        </w:rPr>
        <w:t> </w:t>
      </w:r>
      <w:r>
        <w:rPr/>
        <w:t>manifestation is determined by the cortical area involved (Ogunrin, 2006). For example,</w:t>
      </w:r>
      <w:r>
        <w:rPr>
          <w:spacing w:val="1"/>
        </w:rPr>
        <w:t> </w:t>
      </w:r>
      <w:r>
        <w:rPr/>
        <w:t>seizure arising from the occipital region presents with visual phenomena, those from the</w:t>
      </w:r>
      <w:r>
        <w:rPr>
          <w:spacing w:val="1"/>
        </w:rPr>
        <w:t> </w:t>
      </w:r>
      <w:r>
        <w:rPr/>
        <w:t>precentral gyrus with motor phenomena and those from the post central gyrus with sensory</w:t>
      </w:r>
      <w:r>
        <w:rPr>
          <w:spacing w:val="1"/>
        </w:rPr>
        <w:t> </w:t>
      </w:r>
      <w:r>
        <w:rPr/>
        <w:t>symptoms</w:t>
      </w:r>
      <w:r>
        <w:rPr>
          <w:spacing w:val="10"/>
        </w:rPr>
        <w:t> </w:t>
      </w:r>
      <w:r>
        <w:rPr/>
        <w:t>(Ogunrin,</w:t>
      </w:r>
      <w:r>
        <w:rPr>
          <w:spacing w:val="10"/>
        </w:rPr>
        <w:t> </w:t>
      </w:r>
      <w:r>
        <w:rPr/>
        <w:t>2006).</w:t>
      </w:r>
      <w:r>
        <w:rPr>
          <w:spacing w:val="12"/>
        </w:rPr>
        <w:t> </w:t>
      </w:r>
      <w:r>
        <w:rPr/>
        <w:t>If</w:t>
      </w:r>
      <w:r>
        <w:rPr>
          <w:spacing w:val="10"/>
        </w:rPr>
        <w:t> </w:t>
      </w:r>
      <w:r>
        <w:rPr/>
        <w:t>the</w:t>
      </w:r>
      <w:r>
        <w:rPr>
          <w:spacing w:val="9"/>
        </w:rPr>
        <w:t> </w:t>
      </w:r>
      <w:r>
        <w:rPr/>
        <w:t>seizure</w:t>
      </w:r>
      <w:r>
        <w:rPr>
          <w:spacing w:val="9"/>
        </w:rPr>
        <w:t> </w:t>
      </w:r>
      <w:r>
        <w:rPr/>
        <w:t>is</w:t>
      </w:r>
      <w:r>
        <w:rPr>
          <w:spacing w:val="10"/>
        </w:rPr>
        <w:t> </w:t>
      </w:r>
      <w:r>
        <w:rPr/>
        <w:t>without</w:t>
      </w:r>
      <w:r>
        <w:rPr>
          <w:spacing w:val="11"/>
        </w:rPr>
        <w:t> </w:t>
      </w:r>
      <w:r>
        <w:rPr/>
        <w:t>loss</w:t>
      </w:r>
      <w:r>
        <w:rPr>
          <w:spacing w:val="10"/>
        </w:rPr>
        <w:t> </w:t>
      </w:r>
      <w:r>
        <w:rPr/>
        <w:t>of</w:t>
      </w:r>
      <w:r>
        <w:rPr>
          <w:spacing w:val="10"/>
        </w:rPr>
        <w:t> </w:t>
      </w:r>
      <w:r>
        <w:rPr/>
        <w:t>consciousness,</w:t>
      </w:r>
      <w:r>
        <w:rPr>
          <w:spacing w:val="7"/>
        </w:rPr>
        <w:t> </w:t>
      </w:r>
      <w:r>
        <w:rPr/>
        <w:t>it</w:t>
      </w:r>
      <w:r>
        <w:rPr>
          <w:spacing w:val="11"/>
        </w:rPr>
        <w:t> </w:t>
      </w:r>
      <w:r>
        <w:rPr/>
        <w:t>is</w:t>
      </w:r>
      <w:r>
        <w:rPr>
          <w:spacing w:val="9"/>
        </w:rPr>
        <w:t> </w:t>
      </w:r>
      <w:r>
        <w:rPr/>
        <w:t>referred</w:t>
      </w:r>
      <w:r>
        <w:rPr>
          <w:spacing w:val="9"/>
        </w:rPr>
        <w:t> </w:t>
      </w:r>
      <w:r>
        <w:rPr/>
        <w:t>to</w:t>
      </w:r>
      <w:r>
        <w:rPr>
          <w:spacing w:val="11"/>
        </w:rPr>
        <w:t> </w:t>
      </w:r>
      <w:r>
        <w:rPr/>
        <w:t>as</w:t>
      </w:r>
    </w:p>
    <w:p>
      <w:pPr>
        <w:spacing w:after="0" w:line="480" w:lineRule="auto"/>
        <w:jc w:val="both"/>
        <w:sectPr>
          <w:pgSz w:w="12240" w:h="15840"/>
          <w:pgMar w:header="0" w:footer="792" w:top="1360" w:bottom="980" w:left="1080" w:right="760"/>
        </w:sectPr>
      </w:pPr>
    </w:p>
    <w:p>
      <w:pPr>
        <w:pStyle w:val="BodyText"/>
        <w:spacing w:line="480" w:lineRule="auto" w:before="72"/>
        <w:ind w:left="648" w:right="674"/>
        <w:jc w:val="both"/>
      </w:pPr>
      <w:r>
        <w:rPr/>
        <w:t>simple partial (focal motor or sensory) seizure (McAuley and Lott, 2008), on the other hand,</w:t>
      </w:r>
      <w:r>
        <w:rPr>
          <w:spacing w:val="1"/>
        </w:rPr>
        <w:t> </w:t>
      </w:r>
      <w:r>
        <w:rPr/>
        <w:t>complex</w:t>
      </w:r>
      <w:r>
        <w:rPr>
          <w:spacing w:val="1"/>
        </w:rPr>
        <w:t> </w:t>
      </w:r>
      <w:r>
        <w:rPr/>
        <w:t>partial (psychomotor or temporal lobe) seizure results from the spread of focal</w:t>
      </w:r>
      <w:r>
        <w:rPr>
          <w:spacing w:val="1"/>
        </w:rPr>
        <w:t> </w:t>
      </w:r>
      <w:r>
        <w:rPr/>
        <w:t>discharges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involve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larger</w:t>
      </w:r>
      <w:r>
        <w:rPr>
          <w:spacing w:val="1"/>
        </w:rPr>
        <w:t> </w:t>
      </w:r>
      <w:r>
        <w:rPr/>
        <w:t>area.</w:t>
      </w:r>
      <w:r>
        <w:rPr>
          <w:spacing w:val="1"/>
        </w:rPr>
        <w:t> </w:t>
      </w:r>
      <w:r>
        <w:rPr/>
        <w:t>Consciousness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impaired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patients</w:t>
      </w:r>
      <w:r>
        <w:rPr>
          <w:spacing w:val="1"/>
        </w:rPr>
        <w:t> </w:t>
      </w:r>
      <w:r>
        <w:rPr/>
        <w:t>may exhibit</w:t>
      </w:r>
      <w:r>
        <w:rPr>
          <w:spacing w:val="-57"/>
        </w:rPr>
        <w:t> </w:t>
      </w:r>
      <w:r>
        <w:rPr/>
        <w:t>complex</w:t>
      </w:r>
      <w:r>
        <w:rPr>
          <w:spacing w:val="1"/>
        </w:rPr>
        <w:t> </w:t>
      </w:r>
      <w:r>
        <w:rPr/>
        <w:t>but inappropriate behaviour (automatism) such as lip smacking,</w:t>
      </w:r>
      <w:r>
        <w:rPr>
          <w:spacing w:val="60"/>
        </w:rPr>
        <w:t> </w:t>
      </w:r>
      <w:r>
        <w:rPr/>
        <w:t>picking at clothing</w:t>
      </w:r>
      <w:r>
        <w:rPr>
          <w:spacing w:val="1"/>
        </w:rPr>
        <w:t> </w:t>
      </w:r>
      <w:r>
        <w:rPr/>
        <w:t>or aimless wandering (McAuley and Lott, 2008). It has been demonstrated that ninety-five</w:t>
      </w:r>
      <w:r>
        <w:rPr>
          <w:spacing w:val="1"/>
        </w:rPr>
        <w:t> </w:t>
      </w:r>
      <w:r>
        <w:rPr/>
        <w:t>percent of adult patients with complex partial seizures would have automatisms (Ogunrin,</w:t>
      </w:r>
      <w:r>
        <w:rPr>
          <w:spacing w:val="1"/>
        </w:rPr>
        <w:t> </w:t>
      </w:r>
      <w:r>
        <w:rPr/>
        <w:t>2006).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480" w:lineRule="auto"/>
        <w:ind w:left="648" w:right="673"/>
        <w:jc w:val="both"/>
      </w:pPr>
      <w:r>
        <w:rPr/>
        <w:t>Studies carried out in Nigeria have shown that simple partial seizures are less common than</w:t>
      </w:r>
      <w:r>
        <w:rPr>
          <w:spacing w:val="1"/>
        </w:rPr>
        <w:t> </w:t>
      </w:r>
      <w:r>
        <w:rPr/>
        <w:t>complex partial seizures (Ahmed and Obembe, 1991 Obembe and Ahmed, 1998) and of the</w:t>
      </w:r>
      <w:r>
        <w:rPr>
          <w:spacing w:val="1"/>
        </w:rPr>
        <w:t> </w:t>
      </w:r>
      <w:r>
        <w:rPr/>
        <w:t>simple partial seizures, those with motor symptomatology are the most common (Ogunrin,</w:t>
      </w:r>
      <w:r>
        <w:rPr>
          <w:spacing w:val="1"/>
        </w:rPr>
        <w:t> </w:t>
      </w:r>
      <w:r>
        <w:rPr/>
        <w:t>2006). It is however to be noted that the higher proportion of complex partial seizures might</w:t>
      </w:r>
      <w:r>
        <w:rPr>
          <w:spacing w:val="1"/>
        </w:rPr>
        <w:t> </w:t>
      </w:r>
      <w:r>
        <w:rPr/>
        <w:t>probably be due to higher incidence of birth injuries, central nervous system infections and</w:t>
      </w:r>
      <w:r>
        <w:rPr>
          <w:spacing w:val="1"/>
        </w:rPr>
        <w:t> </w:t>
      </w:r>
      <w:r>
        <w:rPr/>
        <w:t>more</w:t>
      </w:r>
      <w:r>
        <w:rPr>
          <w:spacing w:val="-3"/>
        </w:rPr>
        <w:t> </w:t>
      </w:r>
      <w:r>
        <w:rPr/>
        <w:t>importantly, recurrent childhood febrile convulsions (Danesi, 1985).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480" w:lineRule="auto"/>
        <w:ind w:left="648" w:right="675"/>
        <w:jc w:val="both"/>
      </w:pPr>
      <w:r>
        <w:rPr>
          <w:b/>
        </w:rPr>
        <w:t>Generalized</w:t>
      </w:r>
      <w:r>
        <w:rPr>
          <w:b/>
          <w:spacing w:val="1"/>
        </w:rPr>
        <w:t> </w:t>
      </w:r>
      <w:r>
        <w:rPr>
          <w:b/>
        </w:rPr>
        <w:t>epilepsy:</w:t>
      </w:r>
      <w:r>
        <w:rPr>
          <w:b/>
          <w:spacing w:val="1"/>
        </w:rPr>
        <w:t> </w:t>
      </w:r>
      <w:r>
        <w:rPr/>
        <w:t>Generalized</w:t>
      </w:r>
      <w:r>
        <w:rPr>
          <w:spacing w:val="1"/>
        </w:rPr>
        <w:t> </w:t>
      </w:r>
      <w:r>
        <w:rPr/>
        <w:t>seizures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clinical</w:t>
      </w:r>
      <w:r>
        <w:rPr>
          <w:spacing w:val="1"/>
        </w:rPr>
        <w:t> </w:t>
      </w:r>
      <w:r>
        <w:rPr/>
        <w:t>manifestations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indicate</w:t>
      </w:r>
      <w:r>
        <w:rPr>
          <w:spacing w:val="1"/>
        </w:rPr>
        <w:t> </w:t>
      </w:r>
      <w:r>
        <w:rPr/>
        <w:t>involvement of both hemispheres (Rogers and Cavazos, 2008), here, motor manifestations are</w:t>
      </w:r>
      <w:r>
        <w:rPr>
          <w:spacing w:val="-57"/>
        </w:rPr>
        <w:t> </w:t>
      </w:r>
      <w:r>
        <w:rPr/>
        <w:t>bilateral with clear loss of consciousness. There are two basic types of generalized tonic-</w:t>
      </w:r>
      <w:r>
        <w:rPr>
          <w:spacing w:val="1"/>
        </w:rPr>
        <w:t> </w:t>
      </w:r>
      <w:r>
        <w:rPr/>
        <w:t>clonic</w:t>
      </w:r>
      <w:r>
        <w:rPr>
          <w:spacing w:val="1"/>
        </w:rPr>
        <w:t> </w:t>
      </w:r>
      <w:r>
        <w:rPr/>
        <w:t>seizures,</w:t>
      </w:r>
      <w:r>
        <w:rPr>
          <w:spacing w:val="1"/>
        </w:rPr>
        <w:t> </w:t>
      </w:r>
      <w:r>
        <w:rPr/>
        <w:t>primary</w:t>
      </w:r>
      <w:r>
        <w:rPr>
          <w:spacing w:val="1"/>
        </w:rPr>
        <w:t> </w:t>
      </w:r>
      <w:r>
        <w:rPr/>
        <w:t>generalized</w:t>
      </w:r>
      <w:r>
        <w:rPr>
          <w:spacing w:val="1"/>
        </w:rPr>
        <w:t> </w:t>
      </w:r>
      <w:r>
        <w:rPr/>
        <w:t>tonic-clonic</w:t>
      </w:r>
      <w:r>
        <w:rPr>
          <w:spacing w:val="1"/>
        </w:rPr>
        <w:t> </w:t>
      </w:r>
      <w:r>
        <w:rPr/>
        <w:t>seizures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bilaterally</w:t>
      </w:r>
      <w:r>
        <w:rPr>
          <w:spacing w:val="1"/>
        </w:rPr>
        <w:t> </w:t>
      </w:r>
      <w:r>
        <w:rPr/>
        <w:t>symmetrical</w:t>
      </w:r>
      <w:r>
        <w:rPr>
          <w:spacing w:val="1"/>
        </w:rPr>
        <w:t> </w:t>
      </w:r>
      <w:r>
        <w:rPr/>
        <w:t>involvement without focal features at onset and secondary generalized tonic clonic seizures</w:t>
      </w:r>
      <w:r>
        <w:rPr>
          <w:spacing w:val="1"/>
        </w:rPr>
        <w:t> </w:t>
      </w:r>
      <w:r>
        <w:rPr/>
        <w:t>which begin focally and then becomes generalized. Identification of secondarily generalized</w:t>
      </w:r>
      <w:r>
        <w:rPr>
          <w:spacing w:val="1"/>
        </w:rPr>
        <w:t> </w:t>
      </w:r>
      <w:r>
        <w:rPr/>
        <w:t>seizure</w:t>
      </w:r>
      <w:r>
        <w:rPr>
          <w:spacing w:val="10"/>
        </w:rPr>
        <w:t> </w:t>
      </w:r>
      <w:r>
        <w:rPr/>
        <w:t>is</w:t>
      </w:r>
      <w:r>
        <w:rPr>
          <w:spacing w:val="12"/>
        </w:rPr>
        <w:t> </w:t>
      </w:r>
      <w:r>
        <w:rPr/>
        <w:t>important</w:t>
      </w:r>
      <w:r>
        <w:rPr>
          <w:spacing w:val="12"/>
        </w:rPr>
        <w:t> </w:t>
      </w:r>
      <w:r>
        <w:rPr/>
        <w:t>because</w:t>
      </w:r>
      <w:r>
        <w:rPr>
          <w:spacing w:val="11"/>
        </w:rPr>
        <w:t> </w:t>
      </w:r>
      <w:r>
        <w:rPr/>
        <w:t>some</w:t>
      </w:r>
      <w:r>
        <w:rPr>
          <w:spacing w:val="11"/>
        </w:rPr>
        <w:t> </w:t>
      </w:r>
      <w:r>
        <w:rPr/>
        <w:t>antiepileptic</w:t>
      </w:r>
      <w:r>
        <w:rPr>
          <w:spacing w:val="10"/>
        </w:rPr>
        <w:t> </w:t>
      </w:r>
      <w:r>
        <w:rPr/>
        <w:t>drugs</w:t>
      </w:r>
      <w:r>
        <w:rPr>
          <w:spacing w:val="12"/>
        </w:rPr>
        <w:t> </w:t>
      </w:r>
      <w:r>
        <w:rPr/>
        <w:t>are</w:t>
      </w:r>
      <w:r>
        <w:rPr>
          <w:spacing w:val="10"/>
        </w:rPr>
        <w:t> </w:t>
      </w:r>
      <w:r>
        <w:rPr/>
        <w:t>more</w:t>
      </w:r>
      <w:r>
        <w:rPr>
          <w:spacing w:val="10"/>
        </w:rPr>
        <w:t> </w:t>
      </w:r>
      <w:r>
        <w:rPr/>
        <w:t>effective</w:t>
      </w:r>
      <w:r>
        <w:rPr>
          <w:spacing w:val="10"/>
        </w:rPr>
        <w:t> </w:t>
      </w:r>
      <w:r>
        <w:rPr/>
        <w:t>in</w:t>
      </w:r>
      <w:r>
        <w:rPr>
          <w:spacing w:val="12"/>
        </w:rPr>
        <w:t> </w:t>
      </w:r>
      <w:r>
        <w:rPr/>
        <w:t>controlling</w:t>
      </w:r>
    </w:p>
    <w:p>
      <w:pPr>
        <w:spacing w:after="0" w:line="480" w:lineRule="auto"/>
        <w:jc w:val="both"/>
        <w:sectPr>
          <w:pgSz w:w="12240" w:h="15840"/>
          <w:pgMar w:header="0" w:footer="792" w:top="1360" w:bottom="980" w:left="1080" w:right="760"/>
        </w:sectPr>
      </w:pPr>
    </w:p>
    <w:p>
      <w:pPr>
        <w:pStyle w:val="BodyText"/>
        <w:spacing w:line="480" w:lineRule="auto" w:before="72"/>
        <w:ind w:left="648" w:right="676"/>
        <w:jc w:val="both"/>
      </w:pPr>
      <w:r>
        <w:rPr/>
        <w:t>primary generalized seizure since partial seizures are often more difficult to control (Ogunrin,</w:t>
      </w:r>
      <w:r>
        <w:rPr>
          <w:spacing w:val="1"/>
        </w:rPr>
        <w:t> </w:t>
      </w:r>
      <w:r>
        <w:rPr/>
        <w:t>2006).</w:t>
      </w:r>
    </w:p>
    <w:p>
      <w:pPr>
        <w:pStyle w:val="BodyText"/>
      </w:pPr>
    </w:p>
    <w:p>
      <w:pPr>
        <w:pStyle w:val="BodyText"/>
        <w:spacing w:line="480" w:lineRule="auto"/>
        <w:ind w:left="648" w:right="676"/>
        <w:jc w:val="both"/>
      </w:pPr>
      <w:r>
        <w:rPr/>
        <w:t>Patient might describe somatosensory symptoms as a „warning‟ prior to the development of a</w:t>
      </w:r>
      <w:r>
        <w:rPr>
          <w:spacing w:val="-57"/>
        </w:rPr>
        <w:t> </w:t>
      </w:r>
      <w:r>
        <w:rPr/>
        <w:t>generalized tonic clonic seizure known as aura (Rogers and Cavazos, 2008) and this aura is</w:t>
      </w:r>
      <w:r>
        <w:rPr>
          <w:spacing w:val="1"/>
        </w:rPr>
        <w:t> </w:t>
      </w:r>
      <w:r>
        <w:rPr/>
        <w:t>strongly</w:t>
      </w:r>
      <w:r>
        <w:rPr>
          <w:spacing w:val="1"/>
        </w:rPr>
        <w:t> </w:t>
      </w:r>
      <w:r>
        <w:rPr/>
        <w:t>indicative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focal</w:t>
      </w:r>
      <w:r>
        <w:rPr>
          <w:spacing w:val="1"/>
        </w:rPr>
        <w:t> </w:t>
      </w:r>
      <w:r>
        <w:rPr/>
        <w:t>onset</w:t>
      </w:r>
      <w:r>
        <w:rPr>
          <w:spacing w:val="1"/>
        </w:rPr>
        <w:t> </w:t>
      </w:r>
      <w:r>
        <w:rPr/>
        <w:t>(Ogunrin,</w:t>
      </w:r>
      <w:r>
        <w:rPr>
          <w:spacing w:val="1"/>
        </w:rPr>
        <w:t> </w:t>
      </w:r>
      <w:r>
        <w:rPr/>
        <w:t>2006).Several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shown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generalized tonic-clonic seizures constitute the largest subgroup of generalized epilepsies in</w:t>
      </w:r>
      <w:r>
        <w:rPr>
          <w:spacing w:val="1"/>
        </w:rPr>
        <w:t> </w:t>
      </w:r>
      <w:r>
        <w:rPr/>
        <w:t>Nigerian children (Obembe and Ahmed, 1988; Ahmed And Obembe, 1991). It accounted for</w:t>
      </w:r>
      <w:r>
        <w:rPr>
          <w:spacing w:val="1"/>
        </w:rPr>
        <w:t> </w:t>
      </w:r>
      <w:r>
        <w:rPr/>
        <w:t>between 25 and 65 percent of the generalized epilepsies in several series published in Nigeria</w:t>
      </w:r>
      <w:r>
        <w:rPr>
          <w:spacing w:val="1"/>
        </w:rPr>
        <w:t> </w:t>
      </w:r>
      <w:r>
        <w:rPr/>
        <w:t>(Danesi, 1985; Ahmed and Obembe, 1991), though community based studies showed a higher</w:t>
      </w:r>
      <w:r>
        <w:rPr>
          <w:spacing w:val="-57"/>
        </w:rPr>
        <w:t> </w:t>
      </w:r>
      <w:r>
        <w:rPr/>
        <w:t>prevalence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partial</w:t>
      </w:r>
      <w:r>
        <w:rPr>
          <w:spacing w:val="1"/>
        </w:rPr>
        <w:t> </w:t>
      </w:r>
      <w:r>
        <w:rPr/>
        <w:t>seizures</w:t>
      </w:r>
      <w:r>
        <w:rPr>
          <w:spacing w:val="1"/>
        </w:rPr>
        <w:t> </w:t>
      </w:r>
      <w:r>
        <w:rPr/>
        <w:t>over</w:t>
      </w:r>
      <w:r>
        <w:rPr>
          <w:spacing w:val="1"/>
        </w:rPr>
        <w:t> </w:t>
      </w:r>
      <w:r>
        <w:rPr/>
        <w:t>generalized,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latter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prevalent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hospital</w:t>
      </w:r>
      <w:r>
        <w:rPr>
          <w:spacing w:val="1"/>
        </w:rPr>
        <w:t> </w:t>
      </w:r>
      <w:r>
        <w:rPr/>
        <w:t>admissions</w:t>
      </w:r>
      <w:r>
        <w:rPr>
          <w:spacing w:val="-1"/>
        </w:rPr>
        <w:t> </w:t>
      </w:r>
      <w:r>
        <w:rPr/>
        <w:t>data (Osuntokun, 1978).</w:t>
      </w:r>
    </w:p>
    <w:p>
      <w:pPr>
        <w:pStyle w:val="BodyText"/>
        <w:spacing w:before="1"/>
      </w:pPr>
    </w:p>
    <w:p>
      <w:pPr>
        <w:pStyle w:val="BodyText"/>
        <w:spacing w:line="480" w:lineRule="auto"/>
        <w:ind w:left="648" w:right="680"/>
        <w:jc w:val="both"/>
      </w:pPr>
      <w:r>
        <w:rPr/>
        <w:t>Absence (Petit Mal) seizures occur primarily in children and often remit during puberty</w:t>
      </w:r>
      <w:r>
        <w:rPr>
          <w:spacing w:val="1"/>
        </w:rPr>
        <w:t> </w:t>
      </w:r>
      <w:r>
        <w:rPr/>
        <w:t>(McAuley and</w:t>
      </w:r>
      <w:r>
        <w:rPr>
          <w:spacing w:val="1"/>
        </w:rPr>
        <w:t> </w:t>
      </w:r>
      <w:r>
        <w:rPr/>
        <w:t>Lott, 2008).</w:t>
      </w:r>
      <w:r>
        <w:rPr>
          <w:spacing w:val="1"/>
        </w:rPr>
        <w:t> </w:t>
      </w:r>
      <w:r>
        <w:rPr/>
        <w:t>Its hallmark</w:t>
      </w:r>
      <w:r>
        <w:rPr>
          <w:spacing w:val="60"/>
        </w:rPr>
        <w:t> </w:t>
      </w:r>
      <w:r>
        <w:rPr/>
        <w:t>is suppression of mental functions, usually to the</w:t>
      </w:r>
      <w:r>
        <w:rPr>
          <w:spacing w:val="1"/>
        </w:rPr>
        <w:t> </w:t>
      </w:r>
      <w:r>
        <w:rPr/>
        <w:t>point of complete abolition of awareness, responsiveness and memory (Ogunrin, 2006), its</w:t>
      </w:r>
      <w:r>
        <w:rPr>
          <w:spacing w:val="1"/>
        </w:rPr>
        <w:t> </w:t>
      </w:r>
      <w:r>
        <w:rPr/>
        <w:t>duration is usually less than 10 seconds and rarely more than 45 seconds (Katzung, 2004).</w:t>
      </w:r>
      <w:r>
        <w:rPr>
          <w:spacing w:val="1"/>
        </w:rPr>
        <w:t> </w:t>
      </w:r>
      <w:r>
        <w:rPr/>
        <w:t>Studies have shown that alteration in the circuitry between the thalamus and the cerebral</w:t>
      </w:r>
      <w:r>
        <w:rPr>
          <w:spacing w:val="1"/>
        </w:rPr>
        <w:t> </w:t>
      </w:r>
      <w:r>
        <w:rPr/>
        <w:t>cortex may</w:t>
      </w:r>
      <w:r>
        <w:rPr>
          <w:spacing w:val="-5"/>
        </w:rPr>
        <w:t> </w:t>
      </w:r>
      <w:r>
        <w:rPr/>
        <w:t>underlie the</w:t>
      </w:r>
      <w:r>
        <w:rPr>
          <w:spacing w:val="-1"/>
        </w:rPr>
        <w:t> </w:t>
      </w:r>
      <w:r>
        <w:rPr/>
        <w:t>mechanism that generates</w:t>
      </w:r>
      <w:r>
        <w:rPr>
          <w:spacing w:val="-1"/>
        </w:rPr>
        <w:t> </w:t>
      </w:r>
      <w:r>
        <w:rPr/>
        <w:t>absence</w:t>
      </w:r>
      <w:r>
        <w:rPr>
          <w:spacing w:val="-1"/>
        </w:rPr>
        <w:t> </w:t>
      </w:r>
      <w:r>
        <w:rPr/>
        <w:t>seizure</w:t>
      </w:r>
      <w:r>
        <w:rPr>
          <w:spacing w:val="-1"/>
        </w:rPr>
        <w:t> </w:t>
      </w:r>
      <w:r>
        <w:rPr/>
        <w:t>(Kostopoulos,</w:t>
      </w:r>
      <w:r>
        <w:rPr>
          <w:spacing w:val="-1"/>
        </w:rPr>
        <w:t> </w:t>
      </w:r>
      <w:r>
        <w:rPr/>
        <w:t>2001).</w:t>
      </w:r>
    </w:p>
    <w:p>
      <w:pPr>
        <w:pStyle w:val="Heading1"/>
        <w:numPr>
          <w:ilvl w:val="2"/>
          <w:numId w:val="10"/>
        </w:numPr>
        <w:tabs>
          <w:tab w:pos="1369" w:val="left" w:leader="none"/>
        </w:tabs>
        <w:spacing w:line="240" w:lineRule="auto" w:before="6" w:after="0"/>
        <w:ind w:left="1368" w:right="0" w:hanging="721"/>
        <w:jc w:val="both"/>
      </w:pPr>
      <w:bookmarkStart w:name="_TOC_250042" w:id="19"/>
      <w:r>
        <w:rPr/>
        <w:t>Epilepsy</w:t>
      </w:r>
      <w:r>
        <w:rPr>
          <w:spacing w:val="-4"/>
        </w:rPr>
        <w:t> </w:t>
      </w:r>
      <w:bookmarkEnd w:id="19"/>
      <w:r>
        <w:rPr/>
        <w:t>syndromes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648" w:right="679"/>
        <w:jc w:val="both"/>
      </w:pPr>
      <w:r>
        <w:rPr/>
        <w:t>Epilepsy syndromes can be defined on the basis of seizure type as well as cause (if known),</w:t>
      </w:r>
      <w:r>
        <w:rPr>
          <w:spacing w:val="1"/>
        </w:rPr>
        <w:t> </w:t>
      </w:r>
      <w:r>
        <w:rPr/>
        <w:t>precipitating factors, age of onset, characteristic EEG patterns, severity, chronicity family</w:t>
      </w:r>
      <w:r>
        <w:rPr>
          <w:spacing w:val="1"/>
        </w:rPr>
        <w:t> </w:t>
      </w:r>
      <w:r>
        <w:rPr/>
        <w:t>history</w:t>
      </w:r>
      <w:r>
        <w:rPr>
          <w:spacing w:val="-6"/>
        </w:rPr>
        <w:t> </w:t>
      </w:r>
      <w:r>
        <w:rPr/>
        <w:t>and prognosis (McAuley</w:t>
      </w:r>
      <w:r>
        <w:rPr>
          <w:spacing w:val="-5"/>
        </w:rPr>
        <w:t> </w:t>
      </w:r>
      <w:r>
        <w:rPr/>
        <w:t>and</w:t>
      </w:r>
      <w:r>
        <w:rPr>
          <w:spacing w:val="2"/>
        </w:rPr>
        <w:t> </w:t>
      </w:r>
      <w:r>
        <w:rPr/>
        <w:t>Lott, 2008).</w:t>
      </w:r>
    </w:p>
    <w:p>
      <w:pPr>
        <w:spacing w:after="0" w:line="480" w:lineRule="auto"/>
        <w:jc w:val="both"/>
        <w:sectPr>
          <w:pgSz w:w="12240" w:h="15840"/>
          <w:pgMar w:header="0" w:footer="792" w:top="1360" w:bottom="980" w:left="1080" w:right="760"/>
        </w:sectPr>
      </w:pPr>
    </w:p>
    <w:p>
      <w:pPr>
        <w:pStyle w:val="BodyText"/>
        <w:spacing w:line="480" w:lineRule="auto" w:before="72"/>
        <w:ind w:left="648" w:right="676"/>
        <w:jc w:val="both"/>
      </w:pPr>
      <w:r>
        <w:rPr>
          <w:b/>
          <w:i/>
        </w:rPr>
        <w:t>Benign</w:t>
      </w:r>
      <w:r>
        <w:rPr>
          <w:b/>
          <w:i/>
          <w:spacing w:val="1"/>
        </w:rPr>
        <w:t> </w:t>
      </w:r>
      <w:r>
        <w:rPr>
          <w:b/>
          <w:i/>
        </w:rPr>
        <w:t>childhood</w:t>
      </w:r>
      <w:r>
        <w:rPr>
          <w:b/>
          <w:i/>
          <w:spacing w:val="1"/>
        </w:rPr>
        <w:t> </w:t>
      </w:r>
      <w:r>
        <w:rPr>
          <w:b/>
          <w:i/>
        </w:rPr>
        <w:t>epilepsy</w:t>
      </w:r>
      <w:r>
        <w:rPr>
          <w:b/>
          <w:i/>
          <w:spacing w:val="1"/>
        </w:rPr>
        <w:t> </w:t>
      </w:r>
      <w:r>
        <w:rPr>
          <w:b/>
          <w:i/>
        </w:rPr>
        <w:t>with</w:t>
      </w:r>
      <w:r>
        <w:rPr>
          <w:b/>
          <w:i/>
          <w:spacing w:val="1"/>
        </w:rPr>
        <w:t> </w:t>
      </w:r>
      <w:r>
        <w:rPr>
          <w:b/>
          <w:i/>
        </w:rPr>
        <w:t>centrotemporal</w:t>
      </w:r>
      <w:r>
        <w:rPr>
          <w:b/>
          <w:i/>
          <w:spacing w:val="1"/>
        </w:rPr>
        <w:t> </w:t>
      </w:r>
      <w:r>
        <w:rPr>
          <w:b/>
          <w:i/>
        </w:rPr>
        <w:t>spikes</w:t>
      </w:r>
      <w:r>
        <w:rPr>
          <w:b/>
        </w:rPr>
        <w:t>;</w:t>
      </w:r>
      <w:r>
        <w:rPr>
          <w:b/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common</w:t>
      </w:r>
      <w:r>
        <w:rPr>
          <w:spacing w:val="1"/>
        </w:rPr>
        <w:t> </w:t>
      </w:r>
      <w:r>
        <w:rPr/>
        <w:t>epileptic syndromes in childhood and is benign as seizures are infrequent but often responsive</w:t>
      </w:r>
      <w:r>
        <w:rPr>
          <w:spacing w:val="-57"/>
        </w:rPr>
        <w:t> </w:t>
      </w:r>
      <w:r>
        <w:rPr/>
        <w:t>to treatment and typically subside in adolescence. It has an optimistic prognosis, though</w:t>
      </w:r>
      <w:r>
        <w:rPr>
          <w:spacing w:val="1"/>
        </w:rPr>
        <w:t> </w:t>
      </w:r>
      <w:r>
        <w:rPr/>
        <w:t>neuropsychiatric</w:t>
      </w:r>
      <w:r>
        <w:rPr>
          <w:spacing w:val="1"/>
        </w:rPr>
        <w:t> </w:t>
      </w:r>
      <w:r>
        <w:rPr/>
        <w:t>testing</w:t>
      </w:r>
      <w:r>
        <w:rPr>
          <w:spacing w:val="1"/>
        </w:rPr>
        <w:t> </w:t>
      </w:r>
      <w:r>
        <w:rPr/>
        <w:t>indicates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cognitive</w:t>
      </w:r>
      <w:r>
        <w:rPr>
          <w:spacing w:val="1"/>
        </w:rPr>
        <w:t> </w:t>
      </w:r>
      <w:r>
        <w:rPr/>
        <w:t>difficulties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exist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areas</w:t>
      </w:r>
      <w:r>
        <w:rPr>
          <w:spacing w:val="1"/>
        </w:rPr>
        <w:t> </w:t>
      </w:r>
      <w:r>
        <w:rPr/>
        <w:t>such</w:t>
      </w:r>
      <w:r>
        <w:rPr>
          <w:spacing w:val="60"/>
        </w:rPr>
        <w:t> </w:t>
      </w:r>
      <w:r>
        <w:rPr/>
        <w:t>as</w:t>
      </w:r>
      <w:r>
        <w:rPr>
          <w:spacing w:val="1"/>
        </w:rPr>
        <w:t> </w:t>
      </w:r>
      <w:r>
        <w:rPr/>
        <w:t>language</w:t>
      </w:r>
      <w:r>
        <w:rPr>
          <w:spacing w:val="-1"/>
        </w:rPr>
        <w:t> </w:t>
      </w:r>
      <w:r>
        <w:rPr/>
        <w:t>and memory</w:t>
      </w:r>
      <w:r>
        <w:rPr>
          <w:spacing w:val="-4"/>
        </w:rPr>
        <w:t> </w:t>
      </w:r>
      <w:r>
        <w:rPr/>
        <w:t>(Monjauze</w:t>
      </w:r>
      <w:r>
        <w:rPr>
          <w:spacing w:val="-1"/>
        </w:rPr>
        <w:t> </w:t>
      </w:r>
      <w:r>
        <w:rPr>
          <w:i/>
        </w:rPr>
        <w:t>et al</w:t>
      </w:r>
      <w:r>
        <w:rPr/>
        <w:t>., 2005).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/>
        <w:ind w:left="648" w:right="683"/>
        <w:jc w:val="both"/>
      </w:pPr>
      <w:r>
        <w:rPr>
          <w:b/>
          <w:i/>
        </w:rPr>
        <w:t>Lennox-Gastaut syndrome; It </w:t>
      </w:r>
      <w:r>
        <w:rPr/>
        <w:t>is less frequent but severe and can consists of multiple types of</w:t>
      </w:r>
      <w:r>
        <w:rPr>
          <w:spacing w:val="-57"/>
        </w:rPr>
        <w:t> </w:t>
      </w:r>
      <w:r>
        <w:rPr/>
        <w:t>seizures, developmental delay and a high prevalence of status epilepticus with poor prognosis</w:t>
      </w:r>
      <w:r>
        <w:rPr>
          <w:spacing w:val="1"/>
        </w:rPr>
        <w:t> </w:t>
      </w:r>
      <w:r>
        <w:rPr/>
        <w:t>especially</w:t>
      </w:r>
      <w:r>
        <w:rPr>
          <w:spacing w:val="-6"/>
        </w:rPr>
        <w:t> </w:t>
      </w:r>
      <w:r>
        <w:rPr/>
        <w:t>in those</w:t>
      </w:r>
      <w:r>
        <w:rPr>
          <w:spacing w:val="-1"/>
        </w:rPr>
        <w:t> </w:t>
      </w:r>
      <w:r>
        <w:rPr/>
        <w:t>with earlier</w:t>
      </w:r>
      <w:r>
        <w:rPr>
          <w:spacing w:val="-2"/>
        </w:rPr>
        <w:t> </w:t>
      </w:r>
      <w:r>
        <w:rPr/>
        <w:t>onset (Chevrie</w:t>
      </w:r>
      <w:r>
        <w:rPr>
          <w:spacing w:val="-2"/>
        </w:rPr>
        <w:t> </w:t>
      </w:r>
      <w:r>
        <w:rPr/>
        <w:t>and</w:t>
      </w:r>
      <w:r>
        <w:rPr>
          <w:spacing w:val="2"/>
        </w:rPr>
        <w:t> </w:t>
      </w:r>
      <w:r>
        <w:rPr/>
        <w:t>Aicardi, 1972; Roger</w:t>
      </w:r>
      <w:r>
        <w:rPr>
          <w:spacing w:val="2"/>
        </w:rPr>
        <w:t> </w:t>
      </w:r>
      <w:r>
        <w:rPr>
          <w:i/>
        </w:rPr>
        <w:t>et al.</w:t>
      </w:r>
      <w:r>
        <w:rPr/>
        <w:t>, 1987).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480" w:lineRule="auto"/>
        <w:ind w:left="648" w:right="678"/>
        <w:jc w:val="both"/>
      </w:pPr>
      <w:r>
        <w:rPr>
          <w:b/>
          <w:i/>
        </w:rPr>
        <w:t>Primary reading epilepsy; </w:t>
      </w:r>
      <w:r>
        <w:rPr/>
        <w:t>It is reflex epilepsy first described by Bickford and co (Bickford </w:t>
      </w:r>
      <w:r>
        <w:rPr>
          <w:i/>
        </w:rPr>
        <w:t>et</w:t>
      </w:r>
      <w:r>
        <w:rPr>
          <w:i/>
          <w:spacing w:val="-57"/>
        </w:rPr>
        <w:t> </w:t>
      </w:r>
      <w:r>
        <w:rPr>
          <w:i/>
        </w:rPr>
        <w:t>al.,</w:t>
      </w:r>
      <w:r>
        <w:rPr>
          <w:i/>
          <w:spacing w:val="1"/>
        </w:rPr>
        <w:t> </w:t>
      </w:r>
      <w:r>
        <w:rPr/>
        <w:t>1957).</w:t>
      </w:r>
      <w:r>
        <w:rPr>
          <w:spacing w:val="1"/>
        </w:rPr>
        <w:t> </w:t>
      </w:r>
      <w:r>
        <w:rPr/>
        <w:t>Here</w:t>
      </w:r>
      <w:r>
        <w:rPr>
          <w:spacing w:val="1"/>
        </w:rPr>
        <w:t> </w:t>
      </w:r>
      <w:r>
        <w:rPr/>
        <w:t>reading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susceptible</w:t>
      </w:r>
      <w:r>
        <w:rPr>
          <w:spacing w:val="1"/>
        </w:rPr>
        <w:t> </w:t>
      </w:r>
      <w:r>
        <w:rPr/>
        <w:t>individuals‟</w:t>
      </w:r>
      <w:r>
        <w:rPr>
          <w:spacing w:val="1"/>
        </w:rPr>
        <w:t> </w:t>
      </w:r>
      <w:r>
        <w:rPr/>
        <w:t>triggers</w:t>
      </w:r>
      <w:r>
        <w:rPr>
          <w:spacing w:val="1"/>
        </w:rPr>
        <w:t> </w:t>
      </w:r>
      <w:r>
        <w:rPr/>
        <w:t>characteristic</w:t>
      </w:r>
      <w:r>
        <w:rPr>
          <w:spacing w:val="1"/>
        </w:rPr>
        <w:t> </w:t>
      </w:r>
      <w:r>
        <w:rPr/>
        <w:t>seizures</w:t>
      </w:r>
      <w:r>
        <w:rPr>
          <w:spacing w:val="1"/>
        </w:rPr>
        <w:t> </w:t>
      </w:r>
      <w:r>
        <w:rPr/>
        <w:t>(Koutroumanidis </w:t>
      </w:r>
      <w:r>
        <w:rPr>
          <w:i/>
        </w:rPr>
        <w:t>et al</w:t>
      </w:r>
      <w:r>
        <w:rPr/>
        <w:t>., 1998).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480" w:lineRule="auto"/>
        <w:ind w:left="648" w:right="676"/>
        <w:jc w:val="both"/>
      </w:pPr>
      <w:r>
        <w:rPr>
          <w:b/>
          <w:i/>
        </w:rPr>
        <w:t>Dravet</w:t>
      </w:r>
      <w:r>
        <w:rPr>
          <w:b/>
          <w:i/>
          <w:spacing w:val="1"/>
        </w:rPr>
        <w:t> </w:t>
      </w:r>
      <w:r>
        <w:rPr>
          <w:b/>
          <w:i/>
        </w:rPr>
        <w:t>syndrome;</w:t>
      </w:r>
      <w:r>
        <w:rPr>
          <w:b/>
          <w:i/>
          <w:spacing w:val="1"/>
        </w:rPr>
        <w:t> </w:t>
      </w:r>
      <w:r>
        <w:rPr/>
        <w:t>Previously</w:t>
      </w:r>
      <w:r>
        <w:rPr>
          <w:spacing w:val="1"/>
        </w:rPr>
        <w:t> </w:t>
      </w:r>
      <w:r>
        <w:rPr/>
        <w:t>known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severe</w:t>
      </w:r>
      <w:r>
        <w:rPr>
          <w:spacing w:val="1"/>
        </w:rPr>
        <w:t> </w:t>
      </w:r>
      <w:r>
        <w:rPr/>
        <w:t>myoclonic</w:t>
      </w:r>
      <w:r>
        <w:rPr>
          <w:spacing w:val="1"/>
        </w:rPr>
        <w:t> </w:t>
      </w:r>
      <w:r>
        <w:rPr/>
        <w:t>epilepsy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infancy,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neurodevelopmental disorder that begins in infancy, characterized by severe epilepsy that is</w:t>
      </w:r>
      <w:r>
        <w:rPr>
          <w:spacing w:val="1"/>
        </w:rPr>
        <w:t> </w:t>
      </w:r>
      <w:r>
        <w:rPr/>
        <w:t>refractory to treatment as first described by French Psychiatrist charlotte Dravet in 1978</w:t>
      </w:r>
      <w:r>
        <w:rPr>
          <w:spacing w:val="1"/>
        </w:rPr>
        <w:t> </w:t>
      </w:r>
      <w:r>
        <w:rPr/>
        <w:t>(Dravet,</w:t>
      </w:r>
      <w:r>
        <w:rPr>
          <w:spacing w:val="-1"/>
        </w:rPr>
        <w:t> </w:t>
      </w:r>
      <w:r>
        <w:rPr/>
        <w:t>1978).</w:t>
      </w:r>
    </w:p>
    <w:p>
      <w:pPr>
        <w:pStyle w:val="BodyText"/>
        <w:spacing w:line="480" w:lineRule="auto"/>
        <w:ind w:left="648" w:right="681"/>
        <w:jc w:val="both"/>
      </w:pPr>
      <w:r>
        <w:rPr>
          <w:b/>
          <w:i/>
        </w:rPr>
        <w:t>Landau-KleffnersSyndrome;</w:t>
      </w:r>
      <w:r>
        <w:rPr>
          <w:b/>
          <w:i/>
          <w:spacing w:val="1"/>
        </w:rPr>
        <w:t> </w:t>
      </w:r>
      <w:r>
        <w:rPr/>
        <w:t>Very rare</w:t>
      </w:r>
      <w:r>
        <w:rPr>
          <w:spacing w:val="1"/>
        </w:rPr>
        <w:t> </w:t>
      </w:r>
      <w:r>
        <w:rPr/>
        <w:t>form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epilepsy syndrome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only</w:t>
      </w:r>
      <w:r>
        <w:rPr>
          <w:spacing w:val="1"/>
        </w:rPr>
        <w:t> </w:t>
      </w:r>
      <w:r>
        <w:rPr/>
        <w:t>about</w:t>
      </w:r>
      <w:r>
        <w:rPr>
          <w:spacing w:val="1"/>
        </w:rPr>
        <w:t> </w:t>
      </w:r>
      <w:r>
        <w:rPr/>
        <w:t>200</w:t>
      </w:r>
      <w:r>
        <w:rPr>
          <w:spacing w:val="1"/>
        </w:rPr>
        <w:t> </w:t>
      </w:r>
      <w:r>
        <w:rPr/>
        <w:t>reported</w:t>
      </w:r>
      <w:r>
        <w:rPr>
          <w:spacing w:val="1"/>
        </w:rPr>
        <w:t> </w:t>
      </w:r>
      <w:r>
        <w:rPr/>
        <w:t>cases</w:t>
      </w:r>
      <w:r>
        <w:rPr>
          <w:spacing w:val="1"/>
        </w:rPr>
        <w:t> </w:t>
      </w:r>
      <w:r>
        <w:rPr/>
        <w:t>since</w:t>
      </w:r>
      <w:r>
        <w:rPr>
          <w:spacing w:val="1"/>
        </w:rPr>
        <w:t> </w:t>
      </w:r>
      <w:r>
        <w:rPr/>
        <w:t>1957</w:t>
      </w:r>
      <w:r>
        <w:rPr>
          <w:spacing w:val="1"/>
        </w:rPr>
        <w:t> </w:t>
      </w:r>
      <w:r>
        <w:rPr/>
        <w:t>(Beaumanoir,</w:t>
      </w:r>
      <w:r>
        <w:rPr>
          <w:spacing w:val="1"/>
        </w:rPr>
        <w:t> </w:t>
      </w:r>
      <w:r>
        <w:rPr/>
        <w:t>1995).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abrupt</w:t>
      </w:r>
      <w:r>
        <w:rPr>
          <w:spacing w:val="1"/>
        </w:rPr>
        <w:t> </w:t>
      </w:r>
      <w:r>
        <w:rPr/>
        <w:t>onset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seizures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regression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language</w:t>
      </w:r>
      <w:r>
        <w:rPr>
          <w:spacing w:val="-1"/>
        </w:rPr>
        <w:t> </w:t>
      </w:r>
      <w:r>
        <w:rPr/>
        <w:t>skills.</w:t>
      </w:r>
    </w:p>
    <w:p>
      <w:pPr>
        <w:spacing w:after="0" w:line="480" w:lineRule="auto"/>
        <w:jc w:val="both"/>
        <w:sectPr>
          <w:pgSz w:w="12240" w:h="15840"/>
          <w:pgMar w:header="0" w:footer="792" w:top="1360" w:bottom="980" w:left="1080" w:right="760"/>
        </w:sectPr>
      </w:pPr>
    </w:p>
    <w:p>
      <w:pPr>
        <w:pStyle w:val="BodyText"/>
        <w:spacing w:line="480" w:lineRule="auto" w:before="72"/>
        <w:ind w:left="648" w:right="675"/>
        <w:jc w:val="both"/>
      </w:pPr>
      <w:r>
        <w:rPr>
          <w:b/>
          <w:i/>
        </w:rPr>
        <w:t>Temporal lobe epilepsy </w:t>
      </w:r>
      <w:r>
        <w:rPr>
          <w:b/>
        </w:rPr>
        <w:t>;</w:t>
      </w:r>
      <w:r>
        <w:rPr/>
        <w:t>This is one of the most common forms of epilepsy that comprises</w:t>
      </w:r>
      <w:r>
        <w:rPr>
          <w:spacing w:val="1"/>
        </w:rPr>
        <w:t> </w:t>
      </w:r>
      <w:r>
        <w:rPr/>
        <w:t>simple partial seizures, complex partial seizure with automatism and secondary generalized</w:t>
      </w:r>
      <w:r>
        <w:rPr>
          <w:spacing w:val="1"/>
        </w:rPr>
        <w:t> </w:t>
      </w:r>
      <w:r>
        <w:rPr/>
        <w:t>seizures occurring in about 50% of patients (McAuley and Lott, 2008). In most cases, the</w:t>
      </w:r>
      <w:r>
        <w:rPr>
          <w:spacing w:val="1"/>
        </w:rPr>
        <w:t> </w:t>
      </w:r>
      <w:r>
        <w:rPr/>
        <w:t>epileptogenic</w:t>
      </w:r>
      <w:r>
        <w:rPr>
          <w:spacing w:val="1"/>
        </w:rPr>
        <w:t> </w:t>
      </w:r>
      <w:r>
        <w:rPr/>
        <w:t>region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found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midline</w:t>
      </w:r>
      <w:r>
        <w:rPr>
          <w:spacing w:val="1"/>
        </w:rPr>
        <w:t> </w:t>
      </w:r>
      <w:r>
        <w:rPr/>
        <w:t>(mesial)</w:t>
      </w:r>
      <w:r>
        <w:rPr>
          <w:spacing w:val="1"/>
        </w:rPr>
        <w:t> </w:t>
      </w:r>
      <w:r>
        <w:rPr/>
        <w:t>temporal</w:t>
      </w:r>
      <w:r>
        <w:rPr>
          <w:spacing w:val="1"/>
        </w:rPr>
        <w:t> </w:t>
      </w:r>
      <w:r>
        <w:rPr/>
        <w:t>structures</w:t>
      </w:r>
      <w:r>
        <w:rPr>
          <w:spacing w:val="1"/>
        </w:rPr>
        <w:t> </w:t>
      </w:r>
      <w:r>
        <w:rPr/>
        <w:t>(e.g.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hippocampus,</w:t>
      </w:r>
      <w:r>
        <w:rPr>
          <w:spacing w:val="-1"/>
        </w:rPr>
        <w:t> </w:t>
      </w:r>
      <w:r>
        <w:rPr/>
        <w:t>amygdala</w:t>
      </w:r>
      <w:r>
        <w:rPr>
          <w:spacing w:val="1"/>
        </w:rPr>
        <w:t> </w:t>
      </w:r>
      <w:r>
        <w:rPr/>
        <w:t>and parahippocampal</w:t>
      </w:r>
      <w:r>
        <w:rPr>
          <w:spacing w:val="4"/>
        </w:rPr>
        <w:t> </w:t>
      </w:r>
      <w:r>
        <w:rPr/>
        <w:t>gyrus).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/>
        <w:ind w:left="648" w:right="676"/>
        <w:jc w:val="both"/>
      </w:pPr>
      <w:r>
        <w:rPr>
          <w:b/>
          <w:i/>
        </w:rPr>
        <w:t>Rasmussen’s encephalitis; </w:t>
      </w:r>
      <w:r>
        <w:rPr/>
        <w:t>This occurs as a result of an immunological attack on glutamate</w:t>
      </w:r>
      <w:r>
        <w:rPr>
          <w:spacing w:val="1"/>
        </w:rPr>
        <w:t> </w:t>
      </w:r>
      <w:r>
        <w:rPr/>
        <w:t>receptors a common neurotransmitter in the brain (Rogers </w:t>
      </w:r>
      <w:r>
        <w:rPr>
          <w:i/>
        </w:rPr>
        <w:t>et al.</w:t>
      </w:r>
      <w:r>
        <w:rPr/>
        <w:t>, 1994). It affects children and</w:t>
      </w:r>
      <w:r>
        <w:rPr>
          <w:spacing w:val="1"/>
        </w:rPr>
        <w:t> </w:t>
      </w:r>
      <w:r>
        <w:rPr/>
        <w:t>start as simple or complex partial seizures progressing to </w:t>
      </w:r>
      <w:r>
        <w:rPr>
          <w:i/>
        </w:rPr>
        <w:t>epilepsia partialis continua </w:t>
      </w:r>
      <w:r>
        <w:rPr>
          <w:b/>
        </w:rPr>
        <w:t>(a </w:t>
      </w:r>
      <w:r>
        <w:rPr/>
        <w:t>rare</w:t>
      </w:r>
      <w:r>
        <w:rPr>
          <w:spacing w:val="1"/>
        </w:rPr>
        <w:t> </w:t>
      </w:r>
      <w:r>
        <w:rPr/>
        <w:t>form of brain disorder characterized by</w:t>
      </w:r>
      <w:r>
        <w:rPr>
          <w:spacing w:val="-5"/>
        </w:rPr>
        <w:t> </w:t>
      </w:r>
      <w:r>
        <w:rPr/>
        <w:t>continous focal jerking</w:t>
      </w:r>
      <w:r>
        <w:rPr>
          <w:spacing w:val="-3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-1"/>
        </w:rPr>
        <w:t> </w:t>
      </w:r>
      <w:r>
        <w:rPr/>
        <w:t>body</w:t>
      </w:r>
      <w:r>
        <w:rPr>
          <w:spacing w:val="-5"/>
        </w:rPr>
        <w:t> </w:t>
      </w:r>
      <w:r>
        <w:rPr/>
        <w:t>part).</w:t>
      </w:r>
    </w:p>
    <w:p>
      <w:pPr>
        <w:pStyle w:val="Heading1"/>
        <w:numPr>
          <w:ilvl w:val="2"/>
          <w:numId w:val="10"/>
        </w:numPr>
        <w:tabs>
          <w:tab w:pos="1369" w:val="left" w:leader="none"/>
        </w:tabs>
        <w:spacing w:line="240" w:lineRule="auto" w:before="6" w:after="0"/>
        <w:ind w:left="1368" w:right="0" w:hanging="721"/>
        <w:jc w:val="both"/>
      </w:pPr>
      <w:bookmarkStart w:name="_TOC_250041" w:id="20"/>
      <w:r>
        <w:rPr/>
        <w:t>Management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bookmarkEnd w:id="20"/>
      <w:r>
        <w:rPr/>
        <w:t>epilepsy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648" w:right="679"/>
        <w:jc w:val="both"/>
      </w:pPr>
      <w:r>
        <w:rPr/>
        <w:t>Management of epilepsy usually requires the use of antiepileptic drugs; however, in cases of</w:t>
      </w:r>
      <w:r>
        <w:rPr>
          <w:spacing w:val="1"/>
        </w:rPr>
        <w:t> </w:t>
      </w:r>
      <w:r>
        <w:rPr/>
        <w:t>refractory</w:t>
      </w:r>
      <w:r>
        <w:rPr>
          <w:spacing w:val="1"/>
        </w:rPr>
        <w:t> </w:t>
      </w:r>
      <w:r>
        <w:rPr/>
        <w:t>epilepsy</w:t>
      </w:r>
      <w:r>
        <w:rPr>
          <w:spacing w:val="1"/>
        </w:rPr>
        <w:t> </w:t>
      </w:r>
      <w:r>
        <w:rPr/>
        <w:t>non</w:t>
      </w:r>
      <w:r>
        <w:rPr>
          <w:spacing w:val="1"/>
        </w:rPr>
        <w:t> </w:t>
      </w:r>
      <w:r>
        <w:rPr/>
        <w:t>pharmacological</w:t>
      </w:r>
      <w:r>
        <w:rPr>
          <w:spacing w:val="1"/>
        </w:rPr>
        <w:t> </w:t>
      </w:r>
      <w:r>
        <w:rPr/>
        <w:t>methods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employed.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non</w:t>
      </w:r>
      <w:r>
        <w:rPr>
          <w:spacing w:val="1"/>
        </w:rPr>
        <w:t> </w:t>
      </w:r>
      <w:r>
        <w:rPr/>
        <w:t>pharmacological methods include surgery, ketogenic diet and implantation of medical devices</w:t>
      </w:r>
      <w:r>
        <w:rPr>
          <w:spacing w:val="-57"/>
        </w:rPr>
        <w:t> </w:t>
      </w:r>
      <w:r>
        <w:rPr/>
        <w:t>like</w:t>
      </w:r>
      <w:r>
        <w:rPr>
          <w:spacing w:val="-2"/>
        </w:rPr>
        <w:t> </w:t>
      </w:r>
      <w:r>
        <w:rPr/>
        <w:t>those employed</w:t>
      </w:r>
      <w:r>
        <w:rPr>
          <w:spacing w:val="2"/>
        </w:rPr>
        <w:t> </w:t>
      </w:r>
      <w:r>
        <w:rPr/>
        <w:t>for</w:t>
      </w:r>
      <w:r>
        <w:rPr>
          <w:spacing w:val="-2"/>
        </w:rPr>
        <w:t> </w:t>
      </w:r>
      <w:r>
        <w:rPr/>
        <w:t>vagus nerve</w:t>
      </w:r>
      <w:r>
        <w:rPr>
          <w:spacing w:val="-2"/>
        </w:rPr>
        <w:t> </w:t>
      </w:r>
      <w:r>
        <w:rPr/>
        <w:t>stimulation</w:t>
      </w:r>
      <w:r>
        <w:rPr>
          <w:spacing w:val="3"/>
        </w:rPr>
        <w:t> </w:t>
      </w:r>
      <w:r>
        <w:rPr/>
        <w:t>(VNS).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/>
        <w:ind w:left="648" w:right="674" w:firstLine="60"/>
        <w:jc w:val="both"/>
      </w:pPr>
      <w:r>
        <w:rPr>
          <w:b/>
          <w:i/>
        </w:rPr>
        <w:t>Antiepileptic drugs (AEDs</w:t>
      </w:r>
      <w:r>
        <w:rPr>
          <w:b/>
        </w:rPr>
        <w:t>);</w:t>
      </w:r>
      <w:r>
        <w:rPr/>
        <w:t>Antiepileptic drugs (AEDs) are agents used to manage various</w:t>
      </w:r>
      <w:r>
        <w:rPr>
          <w:spacing w:val="1"/>
        </w:rPr>
        <w:t> </w:t>
      </w:r>
      <w:r>
        <w:rPr/>
        <w:t>types of epilepsy disorders and most AEDs chiefly targets the basic mechanism underlying</w:t>
      </w:r>
      <w:r>
        <w:rPr>
          <w:spacing w:val="1"/>
        </w:rPr>
        <w:t> </w:t>
      </w:r>
      <w:r>
        <w:rPr/>
        <w:t>ictogenesis that is hyperexcitation. The mechanism of action of AEDs may conveniently be</w:t>
      </w:r>
      <w:r>
        <w:rPr>
          <w:spacing w:val="1"/>
        </w:rPr>
        <w:t> </w:t>
      </w:r>
      <w:r>
        <w:rPr/>
        <w:t>grouped into 3 major categories: modulation of voltage-gated ion channels (Na</w:t>
      </w:r>
      <w:r>
        <w:rPr>
          <w:vertAlign w:val="superscript"/>
        </w:rPr>
        <w:t>+</w:t>
      </w:r>
      <w:r>
        <w:rPr>
          <w:vertAlign w:val="baseline"/>
        </w:rPr>
        <w:t>, K</w:t>
      </w:r>
      <w:r>
        <w:rPr>
          <w:vertAlign w:val="superscript"/>
        </w:rPr>
        <w:t>+</w:t>
      </w:r>
      <w:r>
        <w:rPr>
          <w:vertAlign w:val="baseline"/>
        </w:rPr>
        <w:t>, Ca</w:t>
      </w:r>
      <w:r>
        <w:rPr>
          <w:vertAlign w:val="superscript"/>
        </w:rPr>
        <w:t>2+</w:t>
      </w:r>
      <w:r>
        <w:rPr>
          <w:vertAlign w:val="baseline"/>
        </w:rPr>
        <w:t>),</w:t>
      </w:r>
      <w:r>
        <w:rPr>
          <w:spacing w:val="1"/>
          <w:vertAlign w:val="baseline"/>
        </w:rPr>
        <w:t> </w:t>
      </w:r>
      <w:r>
        <w:rPr>
          <w:vertAlign w:val="baseline"/>
        </w:rPr>
        <w:t>enhancement of GABA-mediated synaptic inhibition and inhibition of (particularly glutamate</w:t>
      </w:r>
      <w:r>
        <w:rPr>
          <w:spacing w:val="1"/>
          <w:vertAlign w:val="baseline"/>
        </w:rPr>
        <w:t> </w:t>
      </w:r>
      <w:r>
        <w:rPr>
          <w:vertAlign w:val="baseline"/>
        </w:rPr>
        <w:t>mediated) synaptic excitation (Rogawski and Loscher, 2004). However, there are some AEDs</w:t>
      </w:r>
      <w:r>
        <w:rPr>
          <w:spacing w:val="1"/>
          <w:vertAlign w:val="baseline"/>
        </w:rPr>
        <w:t> </w:t>
      </w:r>
      <w:r>
        <w:rPr>
          <w:vertAlign w:val="baseline"/>
        </w:rPr>
        <w:t>that</w:t>
      </w:r>
      <w:r>
        <w:rPr>
          <w:spacing w:val="-2"/>
          <w:vertAlign w:val="baseline"/>
        </w:rPr>
        <w:t> </w:t>
      </w:r>
      <w:r>
        <w:rPr>
          <w:vertAlign w:val="baseline"/>
        </w:rPr>
        <w:t>act via complex</w:t>
      </w:r>
      <w:r>
        <w:rPr>
          <w:spacing w:val="1"/>
          <w:vertAlign w:val="baseline"/>
        </w:rPr>
        <w:t> </w:t>
      </w:r>
      <w:r>
        <w:rPr>
          <w:vertAlign w:val="baseline"/>
        </w:rPr>
        <w:t>complementary</w:t>
      </w:r>
      <w:r>
        <w:rPr>
          <w:spacing w:val="-5"/>
          <w:vertAlign w:val="baseline"/>
        </w:rPr>
        <w:t> </w:t>
      </w:r>
      <w:r>
        <w:rPr>
          <w:vertAlign w:val="baseline"/>
        </w:rPr>
        <w:t>mechanism involving</w:t>
      </w:r>
      <w:r>
        <w:rPr>
          <w:spacing w:val="-3"/>
          <w:vertAlign w:val="baseline"/>
        </w:rPr>
        <w:t> </w:t>
      </w:r>
      <w:r>
        <w:rPr>
          <w:vertAlign w:val="baseline"/>
        </w:rPr>
        <w:t>more</w:t>
      </w:r>
      <w:r>
        <w:rPr>
          <w:spacing w:val="-2"/>
          <w:vertAlign w:val="baseline"/>
        </w:rPr>
        <w:t> </w:t>
      </w:r>
      <w:r>
        <w:rPr>
          <w:vertAlign w:val="baseline"/>
        </w:rPr>
        <w:t>than one of</w:t>
      </w:r>
      <w:r>
        <w:rPr>
          <w:spacing w:val="-1"/>
          <w:vertAlign w:val="baseline"/>
        </w:rPr>
        <w:t> </w:t>
      </w:r>
      <w:r>
        <w:rPr>
          <w:vertAlign w:val="baseline"/>
        </w:rPr>
        <w:t>the above.</w:t>
      </w:r>
    </w:p>
    <w:p>
      <w:pPr>
        <w:spacing w:after="0" w:line="480" w:lineRule="auto"/>
        <w:jc w:val="both"/>
        <w:sectPr>
          <w:pgSz w:w="12240" w:h="15840"/>
          <w:pgMar w:header="0" w:footer="792" w:top="1360" w:bottom="980" w:left="1080" w:right="760"/>
        </w:sectPr>
      </w:pPr>
    </w:p>
    <w:p>
      <w:pPr>
        <w:pStyle w:val="ListParagraph"/>
        <w:numPr>
          <w:ilvl w:val="0"/>
          <w:numId w:val="15"/>
        </w:numPr>
        <w:tabs>
          <w:tab w:pos="1069" w:val="left" w:leader="none"/>
        </w:tabs>
        <w:spacing w:line="480" w:lineRule="auto" w:before="112" w:after="0"/>
        <w:ind w:left="1008" w:right="674" w:hanging="360"/>
        <w:jc w:val="both"/>
        <w:rPr>
          <w:sz w:val="24"/>
        </w:rPr>
      </w:pPr>
      <w:r>
        <w:rPr/>
        <w:tab/>
      </w:r>
      <w:r>
        <w:rPr>
          <w:b/>
          <w:i/>
          <w:sz w:val="24"/>
        </w:rPr>
        <w:t>Modulation of voltage-gated ion channels </w:t>
      </w:r>
      <w:r>
        <w:rPr>
          <w:b/>
          <w:sz w:val="24"/>
        </w:rPr>
        <w:t>;</w:t>
      </w:r>
      <w:r>
        <w:rPr>
          <w:sz w:val="24"/>
        </w:rPr>
        <w:t>Ion channels, Na</w:t>
      </w:r>
      <w:r>
        <w:rPr>
          <w:sz w:val="24"/>
          <w:vertAlign w:val="superscript"/>
        </w:rPr>
        <w:t>+</w:t>
      </w:r>
      <w:r>
        <w:rPr>
          <w:sz w:val="24"/>
          <w:vertAlign w:val="baseline"/>
        </w:rPr>
        <w:t>, K</w:t>
      </w:r>
      <w:r>
        <w:rPr>
          <w:sz w:val="24"/>
          <w:vertAlign w:val="superscript"/>
        </w:rPr>
        <w:t>+</w:t>
      </w:r>
      <w:r>
        <w:rPr>
          <w:sz w:val="24"/>
          <w:vertAlign w:val="baseline"/>
        </w:rPr>
        <w:t>, Ca</w:t>
      </w:r>
      <w:r>
        <w:rPr>
          <w:sz w:val="24"/>
          <w:vertAlign w:val="superscript"/>
        </w:rPr>
        <w:t>2+</w:t>
      </w:r>
      <w:r>
        <w:rPr>
          <w:sz w:val="24"/>
          <w:vertAlign w:val="baseline"/>
        </w:rPr>
        <w:t> shapes the sub-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threshold electrical activity of the neuron, regulate response to synaptic activity and thus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contribute to the paroxysmal depolarizing shift (PDS) involved in seizure generation,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hence agents that modulates voltage-gated ion channels are potential antiepileptic agents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(Rogawski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and</w:t>
      </w:r>
      <w:r>
        <w:rPr>
          <w:spacing w:val="2"/>
          <w:sz w:val="24"/>
          <w:vertAlign w:val="baseline"/>
        </w:rPr>
        <w:t> </w:t>
      </w:r>
      <w:r>
        <w:rPr>
          <w:sz w:val="24"/>
          <w:vertAlign w:val="baseline"/>
        </w:rPr>
        <w:t>Loscher,</w:t>
      </w:r>
      <w:r>
        <w:rPr>
          <w:spacing w:val="2"/>
          <w:sz w:val="24"/>
          <w:vertAlign w:val="baseline"/>
        </w:rPr>
        <w:t> </w:t>
      </w:r>
      <w:r>
        <w:rPr>
          <w:sz w:val="24"/>
          <w:vertAlign w:val="baseline"/>
        </w:rPr>
        <w:t>2004; Meldrum and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Rogawski, 2007).</w:t>
      </w:r>
    </w:p>
    <w:p>
      <w:pPr>
        <w:pStyle w:val="ListParagraph"/>
        <w:numPr>
          <w:ilvl w:val="0"/>
          <w:numId w:val="15"/>
        </w:numPr>
        <w:tabs>
          <w:tab w:pos="844" w:val="left" w:leader="none"/>
        </w:tabs>
        <w:spacing w:line="480" w:lineRule="auto" w:before="0" w:after="0"/>
        <w:ind w:left="648" w:right="674" w:firstLine="0"/>
        <w:jc w:val="both"/>
        <w:rPr>
          <w:sz w:val="24"/>
        </w:rPr>
      </w:pPr>
      <w:r>
        <w:rPr>
          <w:b/>
          <w:i/>
          <w:sz w:val="24"/>
        </w:rPr>
        <w:t>Enhancement</w:t>
      </w:r>
      <w:r>
        <w:rPr>
          <w:b/>
          <w:i/>
          <w:spacing w:val="19"/>
          <w:sz w:val="24"/>
        </w:rPr>
        <w:t> </w:t>
      </w:r>
      <w:r>
        <w:rPr>
          <w:b/>
          <w:i/>
          <w:sz w:val="24"/>
        </w:rPr>
        <w:t>of</w:t>
      </w:r>
      <w:r>
        <w:rPr>
          <w:b/>
          <w:i/>
          <w:spacing w:val="18"/>
          <w:sz w:val="24"/>
        </w:rPr>
        <w:t> </w:t>
      </w:r>
      <w:r>
        <w:rPr>
          <w:b/>
          <w:i/>
          <w:sz w:val="24"/>
        </w:rPr>
        <w:t>GABA-mediated</w:t>
      </w:r>
      <w:r>
        <w:rPr>
          <w:b/>
          <w:i/>
          <w:spacing w:val="20"/>
          <w:sz w:val="24"/>
        </w:rPr>
        <w:t> </w:t>
      </w:r>
      <w:r>
        <w:rPr>
          <w:b/>
          <w:i/>
          <w:sz w:val="24"/>
        </w:rPr>
        <w:t>synaptic</w:t>
      </w:r>
      <w:r>
        <w:rPr>
          <w:b/>
          <w:i/>
          <w:spacing w:val="18"/>
          <w:sz w:val="24"/>
        </w:rPr>
        <w:t> </w:t>
      </w:r>
      <w:r>
        <w:rPr>
          <w:b/>
          <w:i/>
          <w:sz w:val="24"/>
        </w:rPr>
        <w:t>inhibition</w:t>
      </w:r>
      <w:r>
        <w:rPr>
          <w:b/>
          <w:i/>
          <w:spacing w:val="22"/>
          <w:sz w:val="24"/>
        </w:rPr>
        <w:t> </w:t>
      </w:r>
      <w:r>
        <w:rPr>
          <w:b/>
          <w:sz w:val="24"/>
        </w:rPr>
        <w:t>;</w:t>
      </w:r>
      <w:r>
        <w:rPr>
          <w:sz w:val="24"/>
        </w:rPr>
        <w:t>Several</w:t>
      </w:r>
      <w:r>
        <w:rPr>
          <w:spacing w:val="19"/>
          <w:sz w:val="24"/>
        </w:rPr>
        <w:t> </w:t>
      </w:r>
      <w:r>
        <w:rPr>
          <w:sz w:val="24"/>
        </w:rPr>
        <w:t>AEDs</w:t>
      </w:r>
      <w:r>
        <w:rPr>
          <w:spacing w:val="20"/>
          <w:sz w:val="24"/>
        </w:rPr>
        <w:t> </w:t>
      </w:r>
      <w:r>
        <w:rPr>
          <w:sz w:val="24"/>
        </w:rPr>
        <w:t>available</w:t>
      </w:r>
      <w:r>
        <w:rPr>
          <w:spacing w:val="18"/>
          <w:sz w:val="24"/>
        </w:rPr>
        <w:t> </w:t>
      </w:r>
      <w:r>
        <w:rPr>
          <w:sz w:val="24"/>
        </w:rPr>
        <w:t>today</w:t>
      </w:r>
      <w:r>
        <w:rPr>
          <w:spacing w:val="15"/>
          <w:sz w:val="24"/>
        </w:rPr>
        <w:t> </w:t>
      </w:r>
      <w:r>
        <w:rPr>
          <w:sz w:val="24"/>
        </w:rPr>
        <w:t>aim</w:t>
      </w:r>
      <w:r>
        <w:rPr>
          <w:spacing w:val="-58"/>
          <w:sz w:val="24"/>
        </w:rPr>
        <w:t> </w:t>
      </w:r>
      <w:r>
        <w:rPr>
          <w:spacing w:val="-1"/>
          <w:sz w:val="24"/>
        </w:rPr>
        <w:t>to enhance </w:t>
      </w:r>
      <w:r>
        <w:rPr>
          <w:sz w:val="24"/>
        </w:rPr>
        <w:t>GABAergic inhibition by interacting with fast ionotrophic GABA</w:t>
      </w:r>
      <w:r>
        <w:rPr>
          <w:sz w:val="24"/>
          <w:vertAlign w:val="subscript"/>
        </w:rPr>
        <w:t>A</w:t>
      </w:r>
      <w:r>
        <w:rPr>
          <w:sz w:val="24"/>
          <w:vertAlign w:val="baseline"/>
        </w:rPr>
        <w:t> receptors or by</w:t>
      </w:r>
      <w:r>
        <w:rPr>
          <w:spacing w:val="-57"/>
          <w:sz w:val="24"/>
          <w:vertAlign w:val="baseline"/>
        </w:rPr>
        <w:t> </w:t>
      </w:r>
      <w:r>
        <w:rPr>
          <w:sz w:val="24"/>
          <w:vertAlign w:val="baseline"/>
        </w:rPr>
        <w:t>modifying the activity of enzymes and transporters involved in GABA synthesis or re-uptake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(Meldrum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and Rogawski, 2007).</w:t>
      </w:r>
    </w:p>
    <w:p>
      <w:pPr>
        <w:pStyle w:val="ListParagraph"/>
        <w:numPr>
          <w:ilvl w:val="0"/>
          <w:numId w:val="15"/>
        </w:numPr>
        <w:tabs>
          <w:tab w:pos="912" w:val="left" w:leader="none"/>
          <w:tab w:pos="4448" w:val="left" w:leader="none"/>
        </w:tabs>
        <w:spacing w:line="480" w:lineRule="auto" w:before="1" w:after="0"/>
        <w:ind w:left="648" w:right="678" w:firstLine="0"/>
        <w:jc w:val="both"/>
        <w:rPr>
          <w:sz w:val="24"/>
        </w:rPr>
      </w:pPr>
      <w:r>
        <w:rPr>
          <w:b/>
          <w:i/>
          <w:sz w:val="24"/>
        </w:rPr>
        <w:t>Suppression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of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(particularly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glutamate-mediated)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synaptic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excitation;</w:t>
      </w:r>
      <w:r>
        <w:rPr>
          <w:b/>
          <w:i/>
          <w:spacing w:val="1"/>
          <w:sz w:val="24"/>
        </w:rPr>
        <w:t> </w:t>
      </w:r>
      <w:r>
        <w:rPr>
          <w:sz w:val="24"/>
        </w:rPr>
        <w:t>Glutamatergic</w:t>
      </w:r>
      <w:r>
        <w:rPr>
          <w:spacing w:val="1"/>
          <w:sz w:val="24"/>
        </w:rPr>
        <w:t> </w:t>
      </w:r>
      <w:r>
        <w:rPr>
          <w:sz w:val="24"/>
        </w:rPr>
        <w:t>excitation may be influenced through action on NMDA, AMPA or KA receptors, However,</w:t>
      </w:r>
      <w:r>
        <w:rPr>
          <w:spacing w:val="1"/>
          <w:sz w:val="24"/>
        </w:rPr>
        <w:t> </w:t>
      </w:r>
      <w:r>
        <w:rPr>
          <w:sz w:val="24"/>
        </w:rPr>
        <w:t>AMPA receptors are the most abundant ionotrophic glutamate receptors that mediate synaptic</w:t>
      </w:r>
      <w:r>
        <w:rPr>
          <w:spacing w:val="-57"/>
          <w:sz w:val="24"/>
        </w:rPr>
        <w:t> </w:t>
      </w:r>
      <w:r>
        <w:rPr>
          <w:sz w:val="24"/>
        </w:rPr>
        <w:t>signaling</w:t>
      </w:r>
      <w:r>
        <w:rPr>
          <w:spacing w:val="-4"/>
          <w:sz w:val="24"/>
        </w:rPr>
        <w:t> </w:t>
      </w:r>
      <w:r>
        <w:rPr>
          <w:sz w:val="24"/>
        </w:rPr>
        <w:t>(Rogawski, 2011)</w:t>
        <w:tab/>
        <w:t>.</w:t>
      </w:r>
    </w:p>
    <w:p>
      <w:pPr>
        <w:pStyle w:val="ListParagraph"/>
        <w:numPr>
          <w:ilvl w:val="1"/>
          <w:numId w:val="15"/>
        </w:numPr>
        <w:tabs>
          <w:tab w:pos="930" w:val="left" w:leader="none"/>
        </w:tabs>
        <w:spacing w:line="240" w:lineRule="auto" w:before="1" w:after="0"/>
        <w:ind w:left="929" w:right="0" w:hanging="282"/>
        <w:jc w:val="both"/>
        <w:rPr>
          <w:i/>
          <w:sz w:val="24"/>
        </w:rPr>
      </w:pPr>
      <w:r>
        <w:rPr>
          <w:i/>
          <w:sz w:val="24"/>
        </w:rPr>
        <w:t>Examples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some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antiepileptic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drugs</w:t>
      </w:r>
    </w:p>
    <w:p>
      <w:pPr>
        <w:pStyle w:val="BodyText"/>
        <w:spacing w:before="4"/>
        <w:rPr>
          <w:i/>
        </w:rPr>
      </w:pPr>
    </w:p>
    <w:p>
      <w:pPr>
        <w:pStyle w:val="Heading2"/>
        <w:numPr>
          <w:ilvl w:val="2"/>
          <w:numId w:val="15"/>
        </w:numPr>
        <w:tabs>
          <w:tab w:pos="889" w:val="left" w:leader="none"/>
        </w:tabs>
        <w:spacing w:line="240" w:lineRule="auto" w:before="0" w:after="0"/>
        <w:ind w:left="888" w:right="0" w:hanging="241"/>
        <w:jc w:val="both"/>
      </w:pPr>
      <w:r>
        <w:rPr/>
        <w:t>Agents</w:t>
      </w:r>
      <w:r>
        <w:rPr>
          <w:spacing w:val="-1"/>
        </w:rPr>
        <w:t> </w:t>
      </w:r>
      <w:r>
        <w:rPr/>
        <w:t>that</w:t>
      </w:r>
      <w:r>
        <w:rPr>
          <w:spacing w:val="-2"/>
        </w:rPr>
        <w:t> </w:t>
      </w:r>
      <w:r>
        <w:rPr/>
        <w:t>modulates</w:t>
      </w:r>
      <w:r>
        <w:rPr>
          <w:spacing w:val="-3"/>
        </w:rPr>
        <w:t> </w:t>
      </w:r>
      <w:r>
        <w:rPr/>
        <w:t>ion</w:t>
      </w:r>
      <w:r>
        <w:rPr>
          <w:spacing w:val="1"/>
        </w:rPr>
        <w:t> </w:t>
      </w:r>
      <w:r>
        <w:rPr/>
        <w:t>channels</w:t>
      </w:r>
    </w:p>
    <w:p>
      <w:pPr>
        <w:pStyle w:val="BodyText"/>
        <w:spacing w:before="7"/>
        <w:rPr>
          <w:b/>
          <w:i/>
          <w:sz w:val="23"/>
        </w:rPr>
      </w:pPr>
    </w:p>
    <w:p>
      <w:pPr>
        <w:pStyle w:val="ListParagraph"/>
        <w:numPr>
          <w:ilvl w:val="0"/>
          <w:numId w:val="16"/>
        </w:numPr>
        <w:tabs>
          <w:tab w:pos="918" w:val="left" w:leader="none"/>
        </w:tabs>
        <w:spacing w:line="480" w:lineRule="auto" w:before="0" w:after="0"/>
        <w:ind w:left="648" w:right="677" w:firstLine="0"/>
        <w:jc w:val="both"/>
        <w:rPr>
          <w:sz w:val="24"/>
        </w:rPr>
      </w:pPr>
      <w:r>
        <w:rPr>
          <w:b/>
          <w:i/>
          <w:sz w:val="24"/>
        </w:rPr>
        <w:t>Phenytoin;</w:t>
      </w:r>
      <w:r>
        <w:rPr>
          <w:b/>
          <w:i/>
          <w:spacing w:val="1"/>
          <w:sz w:val="24"/>
        </w:rPr>
        <w:t> </w:t>
      </w:r>
      <w:r>
        <w:rPr>
          <w:sz w:val="24"/>
        </w:rPr>
        <w:t>Phenytoin</w:t>
      </w:r>
      <w:r>
        <w:rPr>
          <w:spacing w:val="1"/>
          <w:sz w:val="24"/>
        </w:rPr>
        <w:t> </w:t>
      </w:r>
      <w:r>
        <w:rPr>
          <w:sz w:val="24"/>
        </w:rPr>
        <w:t>was</w:t>
      </w:r>
      <w:r>
        <w:rPr>
          <w:spacing w:val="1"/>
          <w:sz w:val="24"/>
        </w:rPr>
        <w:t> </w:t>
      </w:r>
      <w:r>
        <w:rPr>
          <w:sz w:val="24"/>
        </w:rPr>
        <w:t>discovered</w:t>
      </w:r>
      <w:r>
        <w:rPr>
          <w:spacing w:val="1"/>
          <w:sz w:val="24"/>
        </w:rPr>
        <w:t> </w:t>
      </w:r>
      <w:r>
        <w:rPr>
          <w:sz w:val="24"/>
        </w:rPr>
        <w:t>following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search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identify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non-sedative</w:t>
      </w:r>
      <w:r>
        <w:rPr>
          <w:spacing w:val="1"/>
          <w:sz w:val="24"/>
        </w:rPr>
        <w:t> </w:t>
      </w:r>
      <w:r>
        <w:rPr>
          <w:sz w:val="24"/>
        </w:rPr>
        <w:t>analogue of phenobarbitone (Merritt and Putnam, 1934). It has become a first line treatment</w:t>
      </w:r>
      <w:r>
        <w:rPr>
          <w:spacing w:val="1"/>
          <w:sz w:val="24"/>
        </w:rPr>
        <w:t> </w:t>
      </w:r>
      <w:r>
        <w:rPr>
          <w:sz w:val="24"/>
        </w:rPr>
        <w:t>for primary generalized and partial seizures (Brodie and Dichter, 1996; Rogers and Cavazos,</w:t>
      </w:r>
      <w:r>
        <w:rPr>
          <w:spacing w:val="1"/>
          <w:sz w:val="24"/>
        </w:rPr>
        <w:t> </w:t>
      </w:r>
      <w:r>
        <w:rPr>
          <w:sz w:val="24"/>
        </w:rPr>
        <w:t>2008).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480" w:lineRule="auto"/>
        <w:ind w:left="648" w:right="673"/>
        <w:jc w:val="both"/>
      </w:pPr>
      <w:r>
        <w:rPr/>
        <w:t>Phenytoin is believed to exert its anticonvulsant effect primarily by an action on voltage</w:t>
      </w:r>
      <w:r>
        <w:rPr>
          <w:spacing w:val="1"/>
        </w:rPr>
        <w:t> </w:t>
      </w:r>
      <w:r>
        <w:rPr/>
        <w:t>dependent sodium channels (Tunnicliff 1996; Ferraro and Buono, 2005). Phenytoin has also</w:t>
      </w:r>
      <w:r>
        <w:rPr>
          <w:spacing w:val="1"/>
        </w:rPr>
        <w:t> </w:t>
      </w:r>
      <w:r>
        <w:rPr/>
        <w:t>been</w:t>
      </w:r>
      <w:r>
        <w:rPr>
          <w:spacing w:val="37"/>
        </w:rPr>
        <w:t> </w:t>
      </w:r>
      <w:r>
        <w:rPr/>
        <w:t>reported</w:t>
      </w:r>
      <w:r>
        <w:rPr>
          <w:spacing w:val="37"/>
        </w:rPr>
        <w:t> </w:t>
      </w:r>
      <w:r>
        <w:rPr/>
        <w:t>to</w:t>
      </w:r>
      <w:r>
        <w:rPr>
          <w:spacing w:val="37"/>
        </w:rPr>
        <w:t> </w:t>
      </w:r>
      <w:r>
        <w:rPr/>
        <w:t>block</w:t>
      </w:r>
      <w:r>
        <w:rPr>
          <w:spacing w:val="36"/>
        </w:rPr>
        <w:t> </w:t>
      </w:r>
      <w:r>
        <w:rPr/>
        <w:t>high</w:t>
      </w:r>
      <w:r>
        <w:rPr>
          <w:spacing w:val="37"/>
        </w:rPr>
        <w:t> </w:t>
      </w:r>
      <w:r>
        <w:rPr/>
        <w:t>voltage</w:t>
      </w:r>
      <w:r>
        <w:rPr>
          <w:spacing w:val="36"/>
        </w:rPr>
        <w:t> </w:t>
      </w:r>
      <w:r>
        <w:rPr/>
        <w:t>activated</w:t>
      </w:r>
      <w:r>
        <w:rPr>
          <w:spacing w:val="37"/>
        </w:rPr>
        <w:t> </w:t>
      </w:r>
      <w:r>
        <w:rPr/>
        <w:t>Ca</w:t>
      </w:r>
      <w:r>
        <w:rPr>
          <w:vertAlign w:val="superscript"/>
        </w:rPr>
        <w:t>2+</w:t>
      </w:r>
      <w:r>
        <w:rPr>
          <w:spacing w:val="38"/>
          <w:vertAlign w:val="baseline"/>
        </w:rPr>
        <w:t> </w:t>
      </w:r>
      <w:r>
        <w:rPr>
          <w:vertAlign w:val="baseline"/>
        </w:rPr>
        <w:t>channels</w:t>
      </w:r>
      <w:r>
        <w:rPr>
          <w:spacing w:val="37"/>
          <w:vertAlign w:val="baseline"/>
        </w:rPr>
        <w:t> </w:t>
      </w:r>
      <w:r>
        <w:rPr>
          <w:vertAlign w:val="baseline"/>
        </w:rPr>
        <w:t>(Schumacher</w:t>
      </w:r>
      <w:r>
        <w:rPr>
          <w:spacing w:val="37"/>
          <w:vertAlign w:val="baseline"/>
        </w:rPr>
        <w:t> </w:t>
      </w:r>
      <w:r>
        <w:rPr>
          <w:i/>
          <w:vertAlign w:val="baseline"/>
        </w:rPr>
        <w:t>et</w:t>
      </w:r>
      <w:r>
        <w:rPr>
          <w:i/>
          <w:spacing w:val="37"/>
          <w:vertAlign w:val="baseline"/>
        </w:rPr>
        <w:t> </w:t>
      </w:r>
      <w:r>
        <w:rPr>
          <w:i/>
          <w:vertAlign w:val="baseline"/>
        </w:rPr>
        <w:t>al</w:t>
      </w:r>
      <w:r>
        <w:rPr>
          <w:vertAlign w:val="baseline"/>
        </w:rPr>
        <w:t>.,</w:t>
      </w:r>
      <w:r>
        <w:rPr>
          <w:spacing w:val="37"/>
          <w:vertAlign w:val="baseline"/>
        </w:rPr>
        <w:t> </w:t>
      </w:r>
      <w:r>
        <w:rPr>
          <w:vertAlign w:val="baseline"/>
        </w:rPr>
        <w:t>1998),</w:t>
      </w:r>
      <w:r>
        <w:rPr>
          <w:spacing w:val="37"/>
          <w:vertAlign w:val="baseline"/>
        </w:rPr>
        <w:t> </w:t>
      </w:r>
      <w:r>
        <w:rPr>
          <w:vertAlign w:val="baseline"/>
        </w:rPr>
        <w:t>to</w:t>
      </w:r>
    </w:p>
    <w:p>
      <w:pPr>
        <w:spacing w:after="0" w:line="480" w:lineRule="auto"/>
        <w:jc w:val="both"/>
        <w:sectPr>
          <w:pgSz w:w="12240" w:h="15840"/>
          <w:pgMar w:header="0" w:footer="792" w:top="1320" w:bottom="980" w:left="1080" w:right="760"/>
        </w:sectPr>
      </w:pPr>
    </w:p>
    <w:p>
      <w:pPr>
        <w:pStyle w:val="BodyText"/>
        <w:spacing w:line="480" w:lineRule="auto" w:before="112"/>
        <w:ind w:left="648" w:right="674"/>
        <w:jc w:val="both"/>
      </w:pPr>
      <w:r>
        <w:rPr/>
        <w:t>attenuate post-ictal glutamate release (Rowley </w:t>
      </w:r>
      <w:r>
        <w:rPr>
          <w:i/>
        </w:rPr>
        <w:t>et al</w:t>
      </w:r>
      <w:r>
        <w:rPr/>
        <w:t>., 1995) and paradoxically to reduce K</w:t>
      </w:r>
      <w:r>
        <w:rPr>
          <w:vertAlign w:val="superscript"/>
        </w:rPr>
        <w:t>+</w:t>
      </w:r>
      <w:r>
        <w:rPr>
          <w:spacing w:val="1"/>
          <w:vertAlign w:val="baseline"/>
        </w:rPr>
        <w:t> </w:t>
      </w:r>
      <w:r>
        <w:rPr>
          <w:vertAlign w:val="baseline"/>
        </w:rPr>
        <w:t>currents (Nobile and Vercellino, 1997). There is further unsubstantiated evidence suggesting</w:t>
      </w:r>
      <w:r>
        <w:rPr>
          <w:spacing w:val="1"/>
          <w:vertAlign w:val="baseline"/>
        </w:rPr>
        <w:t> </w:t>
      </w:r>
      <w:r>
        <w:rPr>
          <w:vertAlign w:val="baseline"/>
        </w:rPr>
        <w:t>that phenytoin potentiates the action of GABA at specific molecular subtypes of the GABA</w:t>
      </w:r>
      <w:r>
        <w:rPr>
          <w:vertAlign w:val="subscript"/>
        </w:rPr>
        <w:t>A</w:t>
      </w:r>
      <w:r>
        <w:rPr>
          <w:spacing w:val="1"/>
          <w:vertAlign w:val="baseline"/>
        </w:rPr>
        <w:t> </w:t>
      </w:r>
      <w:r>
        <w:rPr>
          <w:vertAlign w:val="baseline"/>
        </w:rPr>
        <w:t>receptors</w:t>
      </w:r>
      <w:r>
        <w:rPr>
          <w:spacing w:val="-1"/>
          <w:vertAlign w:val="baseline"/>
        </w:rPr>
        <w:t> </w:t>
      </w:r>
      <w:r>
        <w:rPr>
          <w:vertAlign w:val="baseline"/>
        </w:rPr>
        <w:t>(Granger</w:t>
      </w:r>
      <w:r>
        <w:rPr>
          <w:spacing w:val="3"/>
          <w:vertAlign w:val="baseline"/>
        </w:rPr>
        <w:t> </w:t>
      </w:r>
      <w:r>
        <w:rPr>
          <w:i/>
          <w:vertAlign w:val="baseline"/>
        </w:rPr>
        <w:t>et al</w:t>
      </w:r>
      <w:r>
        <w:rPr>
          <w:vertAlign w:val="baseline"/>
        </w:rPr>
        <w:t>., 1995).</w:t>
      </w:r>
    </w:p>
    <w:p>
      <w:pPr>
        <w:pStyle w:val="ListParagraph"/>
        <w:numPr>
          <w:ilvl w:val="0"/>
          <w:numId w:val="16"/>
        </w:numPr>
        <w:tabs>
          <w:tab w:pos="932" w:val="left" w:leader="none"/>
        </w:tabs>
        <w:spacing w:line="480" w:lineRule="auto" w:before="0" w:after="0"/>
        <w:ind w:left="648" w:right="675" w:firstLine="0"/>
        <w:jc w:val="both"/>
        <w:rPr>
          <w:sz w:val="24"/>
        </w:rPr>
      </w:pPr>
      <w:r>
        <w:rPr>
          <w:b/>
          <w:i/>
          <w:sz w:val="24"/>
        </w:rPr>
        <w:t>Carbamazepine:</w:t>
      </w:r>
      <w:r>
        <w:rPr>
          <w:sz w:val="24"/>
        </w:rPr>
        <w:t>Carbamazepine is a compound that is chemically related to the tricyclic</w:t>
      </w:r>
      <w:r>
        <w:rPr>
          <w:spacing w:val="1"/>
          <w:sz w:val="24"/>
        </w:rPr>
        <w:t> </w:t>
      </w:r>
      <w:r>
        <w:rPr>
          <w:sz w:val="24"/>
        </w:rPr>
        <w:t>antidepressants (Kwan </w:t>
      </w:r>
      <w:r>
        <w:rPr>
          <w:i/>
          <w:sz w:val="24"/>
        </w:rPr>
        <w:t>et al., </w:t>
      </w:r>
      <w:r>
        <w:rPr>
          <w:sz w:val="24"/>
        </w:rPr>
        <w:t>2001). It was first introduced in 1963 and used in the treatment</w:t>
      </w:r>
      <w:r>
        <w:rPr>
          <w:spacing w:val="1"/>
          <w:sz w:val="24"/>
        </w:rPr>
        <w:t> </w:t>
      </w:r>
      <w:r>
        <w:rPr>
          <w:sz w:val="24"/>
        </w:rPr>
        <w:t>of partial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generalized</w:t>
      </w:r>
      <w:r>
        <w:rPr>
          <w:spacing w:val="1"/>
          <w:sz w:val="24"/>
        </w:rPr>
        <w:t> </w:t>
      </w:r>
      <w:r>
        <w:rPr>
          <w:sz w:val="24"/>
        </w:rPr>
        <w:t>tonic-clonic</w:t>
      </w:r>
      <w:r>
        <w:rPr>
          <w:spacing w:val="1"/>
          <w:sz w:val="24"/>
        </w:rPr>
        <w:t> </w:t>
      </w:r>
      <w:r>
        <w:rPr>
          <w:sz w:val="24"/>
        </w:rPr>
        <w:t>seizures</w:t>
      </w:r>
      <w:r>
        <w:rPr>
          <w:spacing w:val="1"/>
          <w:sz w:val="24"/>
        </w:rPr>
        <w:t> </w:t>
      </w:r>
      <w:r>
        <w:rPr>
          <w:sz w:val="24"/>
        </w:rPr>
        <w:t>(Brodie and</w:t>
      </w:r>
      <w:r>
        <w:rPr>
          <w:spacing w:val="1"/>
          <w:sz w:val="24"/>
        </w:rPr>
        <w:t> </w:t>
      </w:r>
      <w:r>
        <w:rPr>
          <w:sz w:val="24"/>
        </w:rPr>
        <w:t>French,</w:t>
      </w:r>
      <w:r>
        <w:rPr>
          <w:spacing w:val="1"/>
          <w:sz w:val="24"/>
        </w:rPr>
        <w:t> </w:t>
      </w:r>
      <w:r>
        <w:rPr>
          <w:sz w:val="24"/>
        </w:rPr>
        <w:t>2000).</w:t>
      </w:r>
      <w:r>
        <w:rPr>
          <w:spacing w:val="1"/>
          <w:sz w:val="24"/>
        </w:rPr>
        <w:t> </w:t>
      </w:r>
      <w:r>
        <w:rPr>
          <w:sz w:val="24"/>
        </w:rPr>
        <w:t>Studies</w:t>
      </w:r>
      <w:r>
        <w:rPr>
          <w:spacing w:val="60"/>
          <w:sz w:val="24"/>
        </w:rPr>
        <w:t> </w:t>
      </w:r>
      <w:r>
        <w:rPr>
          <w:sz w:val="24"/>
        </w:rPr>
        <w:t>have</w:t>
      </w:r>
      <w:r>
        <w:rPr>
          <w:spacing w:val="1"/>
          <w:sz w:val="24"/>
        </w:rPr>
        <w:t> </w:t>
      </w:r>
      <w:r>
        <w:rPr>
          <w:sz w:val="24"/>
        </w:rPr>
        <w:t>shown</w:t>
      </w:r>
      <w:r>
        <w:rPr>
          <w:spacing w:val="1"/>
          <w:sz w:val="24"/>
        </w:rPr>
        <w:t> </w:t>
      </w:r>
      <w:r>
        <w:rPr>
          <w:sz w:val="24"/>
        </w:rPr>
        <w:t>that</w:t>
      </w:r>
      <w:r>
        <w:rPr>
          <w:spacing w:val="1"/>
          <w:sz w:val="24"/>
        </w:rPr>
        <w:t> </w:t>
      </w:r>
      <w:r>
        <w:rPr>
          <w:sz w:val="24"/>
        </w:rPr>
        <w:t>carbamazepine</w:t>
      </w:r>
      <w:r>
        <w:rPr>
          <w:spacing w:val="1"/>
          <w:sz w:val="24"/>
        </w:rPr>
        <w:t> </w:t>
      </w:r>
      <w:r>
        <w:rPr>
          <w:sz w:val="24"/>
        </w:rPr>
        <w:t>stabilizes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inactive</w:t>
      </w:r>
      <w:r>
        <w:rPr>
          <w:spacing w:val="1"/>
          <w:sz w:val="24"/>
        </w:rPr>
        <w:t> </w:t>
      </w:r>
      <w:r>
        <w:rPr>
          <w:sz w:val="24"/>
        </w:rPr>
        <w:t>form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Na</w:t>
      </w:r>
      <w:r>
        <w:rPr>
          <w:sz w:val="24"/>
          <w:vertAlign w:val="superscript"/>
        </w:rPr>
        <w:t>+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channel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in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a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voltage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frequency,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and time-dependent fashion (Courtney</w:t>
      </w:r>
      <w:r>
        <w:rPr>
          <w:spacing w:val="-3"/>
          <w:sz w:val="24"/>
          <w:vertAlign w:val="baseline"/>
        </w:rPr>
        <w:t> </w:t>
      </w:r>
      <w:r>
        <w:rPr>
          <w:sz w:val="24"/>
          <w:vertAlign w:val="baseline"/>
        </w:rPr>
        <w:t>and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Etter, 1983).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480" w:lineRule="auto"/>
        <w:ind w:left="648" w:right="677"/>
        <w:jc w:val="both"/>
      </w:pPr>
      <w:r>
        <w:rPr/>
        <w:t>Inhibition of glutamatergic neurotransmission has also been implicated in the mechanism of</w:t>
      </w:r>
      <w:r>
        <w:rPr>
          <w:spacing w:val="1"/>
        </w:rPr>
        <w:t> </w:t>
      </w:r>
      <w:r>
        <w:rPr/>
        <w:t>action of carbamazepine (Kwan </w:t>
      </w:r>
      <w:r>
        <w:rPr>
          <w:i/>
        </w:rPr>
        <w:t>et al., </w:t>
      </w:r>
      <w:r>
        <w:rPr/>
        <w:t>2001). Evidence suggests that carbamazepine inhibits</w:t>
      </w:r>
      <w:r>
        <w:rPr>
          <w:spacing w:val="1"/>
        </w:rPr>
        <w:t> </w:t>
      </w:r>
      <w:r>
        <w:rPr/>
        <w:t>the rise in intracellular free Ca</w:t>
      </w:r>
      <w:r>
        <w:rPr>
          <w:vertAlign w:val="superscript"/>
        </w:rPr>
        <w:t>2+</w:t>
      </w:r>
      <w:r>
        <w:rPr>
          <w:vertAlign w:val="baseline"/>
        </w:rPr>
        <w:t> induced by NMDA and glycine in rat cerebellar granule cells</w:t>
      </w:r>
      <w:r>
        <w:rPr>
          <w:spacing w:val="-57"/>
          <w:vertAlign w:val="baseline"/>
        </w:rPr>
        <w:t> </w:t>
      </w:r>
      <w:r>
        <w:rPr>
          <w:vertAlign w:val="baseline"/>
        </w:rPr>
        <w:t>(Hough </w:t>
      </w:r>
      <w:r>
        <w:rPr>
          <w:i/>
          <w:vertAlign w:val="baseline"/>
        </w:rPr>
        <w:t>et al</w:t>
      </w:r>
      <w:r>
        <w:rPr>
          <w:vertAlign w:val="baseline"/>
        </w:rPr>
        <w:t>, 1996) and blocks veratrine-induced release of endogenous glutamate (Waldmeir</w:t>
      </w:r>
      <w:r>
        <w:rPr>
          <w:spacing w:val="-57"/>
          <w:vertAlign w:val="baseline"/>
        </w:rPr>
        <w:t> </w:t>
      </w:r>
      <w:r>
        <w:rPr>
          <w:i/>
          <w:vertAlign w:val="baseline"/>
        </w:rPr>
        <w:t>et al</w:t>
      </w:r>
      <w:r>
        <w:rPr>
          <w:vertAlign w:val="baseline"/>
        </w:rPr>
        <w:t>., 1995). Unlike phenytoin, there is no evidence that carbamazepine directly interacts with</w:t>
      </w:r>
      <w:r>
        <w:rPr>
          <w:spacing w:val="-57"/>
          <w:vertAlign w:val="baseline"/>
        </w:rPr>
        <w:t> </w:t>
      </w:r>
      <w:r>
        <w:rPr>
          <w:vertAlign w:val="baseline"/>
        </w:rPr>
        <w:t>Ca</w:t>
      </w:r>
      <w:r>
        <w:rPr>
          <w:vertAlign w:val="superscript"/>
        </w:rPr>
        <w:t>2+</w:t>
      </w:r>
      <w:r>
        <w:rPr>
          <w:spacing w:val="-1"/>
          <w:vertAlign w:val="baseline"/>
        </w:rPr>
        <w:t> </w:t>
      </w:r>
      <w:r>
        <w:rPr>
          <w:vertAlign w:val="baseline"/>
        </w:rPr>
        <w:t>channels or potentiates the action of</w:t>
      </w:r>
      <w:r>
        <w:rPr>
          <w:spacing w:val="-2"/>
          <w:vertAlign w:val="baseline"/>
        </w:rPr>
        <w:t> </w:t>
      </w:r>
      <w:r>
        <w:rPr>
          <w:vertAlign w:val="baseline"/>
        </w:rPr>
        <w:t>GABA</w:t>
      </w:r>
      <w:r>
        <w:rPr>
          <w:spacing w:val="1"/>
          <w:vertAlign w:val="baseline"/>
        </w:rPr>
        <w:t> </w:t>
      </w:r>
      <w:r>
        <w:rPr>
          <w:vertAlign w:val="baseline"/>
        </w:rPr>
        <w:t>(Kwan</w:t>
      </w:r>
      <w:r>
        <w:rPr>
          <w:spacing w:val="2"/>
          <w:vertAlign w:val="baseline"/>
        </w:rPr>
        <w:t> </w:t>
      </w:r>
      <w:r>
        <w:rPr>
          <w:i/>
          <w:vertAlign w:val="baseline"/>
        </w:rPr>
        <w:t>et al</w:t>
      </w:r>
      <w:r>
        <w:rPr>
          <w:vertAlign w:val="baseline"/>
        </w:rPr>
        <w:t>., 2001).</w:t>
      </w:r>
    </w:p>
    <w:p>
      <w:pPr>
        <w:pStyle w:val="BodyText"/>
        <w:rPr>
          <w:sz w:val="30"/>
        </w:rPr>
      </w:pPr>
    </w:p>
    <w:p>
      <w:pPr>
        <w:pStyle w:val="ListParagraph"/>
        <w:numPr>
          <w:ilvl w:val="0"/>
          <w:numId w:val="16"/>
        </w:numPr>
        <w:tabs>
          <w:tab w:pos="1004" w:val="left" w:leader="none"/>
        </w:tabs>
        <w:spacing w:line="480" w:lineRule="auto" w:before="208" w:after="0"/>
        <w:ind w:left="648" w:right="673" w:firstLine="0"/>
        <w:jc w:val="both"/>
        <w:rPr>
          <w:sz w:val="24"/>
        </w:rPr>
      </w:pPr>
      <w:r>
        <w:rPr>
          <w:b/>
          <w:i/>
          <w:sz w:val="24"/>
        </w:rPr>
        <w:t>Lamotrigine: </w:t>
      </w:r>
      <w:r>
        <w:rPr>
          <w:sz w:val="24"/>
        </w:rPr>
        <w:t>This is a new broad spectrum antiepileptic drug with efficacy for partial,</w:t>
      </w:r>
      <w:r>
        <w:rPr>
          <w:spacing w:val="1"/>
          <w:sz w:val="24"/>
        </w:rPr>
        <w:t> </w:t>
      </w:r>
      <w:r>
        <w:rPr>
          <w:sz w:val="24"/>
        </w:rPr>
        <w:t>absence,</w:t>
      </w:r>
      <w:r>
        <w:rPr>
          <w:spacing w:val="1"/>
          <w:sz w:val="24"/>
        </w:rPr>
        <w:t> </w:t>
      </w:r>
      <w:r>
        <w:rPr>
          <w:sz w:val="24"/>
        </w:rPr>
        <w:t>myoclonic and</w:t>
      </w:r>
      <w:r>
        <w:rPr>
          <w:spacing w:val="1"/>
          <w:sz w:val="24"/>
        </w:rPr>
        <w:t> </w:t>
      </w:r>
      <w:r>
        <w:rPr>
          <w:sz w:val="24"/>
        </w:rPr>
        <w:t>tonic-clonic seizures (Leach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Brodie, 1995) lamotrigine, like</w:t>
      </w:r>
      <w:r>
        <w:rPr>
          <w:spacing w:val="1"/>
          <w:sz w:val="24"/>
        </w:rPr>
        <w:t> </w:t>
      </w:r>
      <w:r>
        <w:rPr>
          <w:sz w:val="24"/>
        </w:rPr>
        <w:t>phenytoin and carbamazepine inhibits sustained repetitive firing of action potential (Wang </w:t>
      </w:r>
      <w:r>
        <w:rPr>
          <w:i/>
          <w:sz w:val="24"/>
        </w:rPr>
        <w:t>et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al., </w:t>
      </w:r>
      <w:r>
        <w:rPr>
          <w:sz w:val="24"/>
        </w:rPr>
        <w:t>1993) by blocking Na</w:t>
      </w:r>
      <w:r>
        <w:rPr>
          <w:sz w:val="24"/>
          <w:vertAlign w:val="superscript"/>
        </w:rPr>
        <w:t>+</w:t>
      </w:r>
      <w:r>
        <w:rPr>
          <w:sz w:val="24"/>
          <w:vertAlign w:val="baseline"/>
        </w:rPr>
        <w:t> channels in a voltage and use dependent manner (Zona and Avoli,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1997).</w:t>
      </w:r>
    </w:p>
    <w:p>
      <w:pPr>
        <w:spacing w:after="0" w:line="480" w:lineRule="auto"/>
        <w:jc w:val="both"/>
        <w:rPr>
          <w:sz w:val="24"/>
        </w:rPr>
        <w:sectPr>
          <w:pgSz w:w="12240" w:h="15840"/>
          <w:pgMar w:header="0" w:footer="792" w:top="1320" w:bottom="980" w:left="1080" w:right="760"/>
        </w:sectPr>
      </w:pPr>
    </w:p>
    <w:p>
      <w:pPr>
        <w:pStyle w:val="BodyText"/>
        <w:spacing w:line="480" w:lineRule="auto" w:before="112"/>
        <w:ind w:left="648" w:right="674"/>
        <w:jc w:val="both"/>
      </w:pPr>
      <w:r>
        <w:rPr/>
        <w:t>The broad spectrum profile of lamotrigine may suggests that its effects on Na</w:t>
      </w:r>
      <w:r>
        <w:rPr>
          <w:vertAlign w:val="superscript"/>
        </w:rPr>
        <w:t>+</w:t>
      </w:r>
      <w:r>
        <w:rPr>
          <w:vertAlign w:val="baseline"/>
        </w:rPr>
        <w:t> channel may</w:t>
      </w:r>
      <w:r>
        <w:rPr>
          <w:spacing w:val="1"/>
          <w:vertAlign w:val="baseline"/>
        </w:rPr>
        <w:t> </w:t>
      </w:r>
      <w:r>
        <w:rPr>
          <w:vertAlign w:val="baseline"/>
        </w:rPr>
        <w:t>differ from those observed with phenytoin and carbamazepine (Kwan </w:t>
      </w:r>
      <w:r>
        <w:rPr>
          <w:i/>
          <w:vertAlign w:val="baseline"/>
        </w:rPr>
        <w:t>et al., </w:t>
      </w:r>
      <w:r>
        <w:rPr>
          <w:vertAlign w:val="baseline"/>
        </w:rPr>
        <w:t>2001).</w:t>
      </w:r>
      <w:r>
        <w:rPr>
          <w:spacing w:val="1"/>
          <w:vertAlign w:val="baseline"/>
        </w:rPr>
        <w:t> </w:t>
      </w:r>
      <w:r>
        <w:rPr>
          <w:vertAlign w:val="baseline"/>
        </w:rPr>
        <w:t>Unlike</w:t>
      </w:r>
      <w:r>
        <w:rPr>
          <w:spacing w:val="1"/>
          <w:vertAlign w:val="baseline"/>
        </w:rPr>
        <w:t> </w:t>
      </w:r>
      <w:r>
        <w:rPr>
          <w:vertAlign w:val="baseline"/>
        </w:rPr>
        <w:t>phenytoin, lamotrigine acts principally on the slow inactivated state of the channel (Kuo and</w:t>
      </w:r>
      <w:r>
        <w:rPr>
          <w:spacing w:val="1"/>
          <w:vertAlign w:val="baseline"/>
        </w:rPr>
        <w:t> </w:t>
      </w:r>
      <w:r>
        <w:rPr>
          <w:vertAlign w:val="baseline"/>
        </w:rPr>
        <w:t>Lu, 1997). In fact, it has been suggested that Lamotrigine may selectivity target Na</w:t>
      </w:r>
      <w:r>
        <w:rPr>
          <w:vertAlign w:val="superscript"/>
        </w:rPr>
        <w:t>+</w:t>
      </w:r>
      <w:r>
        <w:rPr>
          <w:vertAlign w:val="baseline"/>
        </w:rPr>
        <w:t> channels</w:t>
      </w:r>
      <w:r>
        <w:rPr>
          <w:spacing w:val="1"/>
          <w:vertAlign w:val="baseline"/>
        </w:rPr>
        <w:t> </w:t>
      </w:r>
      <w:r>
        <w:rPr>
          <w:vertAlign w:val="baseline"/>
        </w:rPr>
        <w:t>on</w:t>
      </w:r>
      <w:r>
        <w:rPr>
          <w:spacing w:val="-1"/>
          <w:vertAlign w:val="baseline"/>
        </w:rPr>
        <w:t> </w:t>
      </w:r>
      <w:r>
        <w:rPr>
          <w:vertAlign w:val="baseline"/>
        </w:rPr>
        <w:t>neurons that synthesise glutamate</w:t>
      </w:r>
      <w:r>
        <w:rPr>
          <w:spacing w:val="-1"/>
          <w:vertAlign w:val="baseline"/>
        </w:rPr>
        <w:t> </w:t>
      </w:r>
      <w:r>
        <w:rPr>
          <w:vertAlign w:val="baseline"/>
        </w:rPr>
        <w:t>and aspartate</w:t>
      </w:r>
      <w:r>
        <w:rPr>
          <w:spacing w:val="1"/>
          <w:vertAlign w:val="baseline"/>
        </w:rPr>
        <w:t> </w:t>
      </w:r>
      <w:r>
        <w:rPr>
          <w:vertAlign w:val="baseline"/>
        </w:rPr>
        <w:t>(Leach </w:t>
      </w:r>
      <w:r>
        <w:rPr>
          <w:i/>
          <w:vertAlign w:val="baseline"/>
        </w:rPr>
        <w:t>et</w:t>
      </w:r>
      <w:r>
        <w:rPr>
          <w:i/>
          <w:spacing w:val="-1"/>
          <w:vertAlign w:val="baseline"/>
        </w:rPr>
        <w:t> </w:t>
      </w:r>
      <w:r>
        <w:rPr>
          <w:i/>
          <w:vertAlign w:val="baseline"/>
        </w:rPr>
        <w:t>al</w:t>
      </w:r>
      <w:r>
        <w:rPr>
          <w:vertAlign w:val="baseline"/>
        </w:rPr>
        <w:t>., 1986).</w:t>
      </w:r>
    </w:p>
    <w:p>
      <w:pPr>
        <w:pStyle w:val="BodyText"/>
        <w:spacing w:line="480" w:lineRule="auto"/>
        <w:ind w:left="648" w:right="677"/>
        <w:jc w:val="both"/>
      </w:pPr>
      <w:r>
        <w:rPr/>
        <w:t>In</w:t>
      </w:r>
      <w:r>
        <w:rPr>
          <w:spacing w:val="1"/>
        </w:rPr>
        <w:t> </w:t>
      </w:r>
      <w:r>
        <w:rPr/>
        <w:t>addition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Na</w:t>
      </w:r>
      <w:r>
        <w:rPr>
          <w:vertAlign w:val="superscript"/>
        </w:rPr>
        <w:t>+</w:t>
      </w:r>
      <w:r>
        <w:rPr>
          <w:spacing w:val="1"/>
          <w:vertAlign w:val="baseline"/>
        </w:rPr>
        <w:t> </w:t>
      </w:r>
      <w:r>
        <w:rPr>
          <w:vertAlign w:val="baseline"/>
        </w:rPr>
        <w:t>channel</w:t>
      </w:r>
      <w:r>
        <w:rPr>
          <w:spacing w:val="1"/>
          <w:vertAlign w:val="baseline"/>
        </w:rPr>
        <w:t> </w:t>
      </w:r>
      <w:r>
        <w:rPr>
          <w:vertAlign w:val="baseline"/>
        </w:rPr>
        <w:t>effects,</w:t>
      </w:r>
      <w:r>
        <w:rPr>
          <w:spacing w:val="1"/>
          <w:vertAlign w:val="baseline"/>
        </w:rPr>
        <w:t> </w:t>
      </w:r>
      <w:r>
        <w:rPr>
          <w:vertAlign w:val="baseline"/>
        </w:rPr>
        <w:t>lamotrigine</w:t>
      </w:r>
      <w:r>
        <w:rPr>
          <w:spacing w:val="1"/>
          <w:vertAlign w:val="baseline"/>
        </w:rPr>
        <w:t> </w:t>
      </w:r>
      <w:r>
        <w:rPr>
          <w:vertAlign w:val="baseline"/>
        </w:rPr>
        <w:t>reduces</w:t>
      </w:r>
      <w:r>
        <w:rPr>
          <w:spacing w:val="1"/>
          <w:vertAlign w:val="baseline"/>
        </w:rPr>
        <w:t> </w:t>
      </w:r>
      <w:r>
        <w:rPr>
          <w:vertAlign w:val="baseline"/>
        </w:rPr>
        <w:t>whole</w:t>
      </w:r>
      <w:r>
        <w:rPr>
          <w:spacing w:val="1"/>
          <w:vertAlign w:val="baseline"/>
        </w:rPr>
        <w:t> </w:t>
      </w:r>
      <w:r>
        <w:rPr>
          <w:vertAlign w:val="baseline"/>
        </w:rPr>
        <w:t>cell</w:t>
      </w:r>
      <w:r>
        <w:rPr>
          <w:spacing w:val="1"/>
          <w:vertAlign w:val="baseline"/>
        </w:rPr>
        <w:t> </w:t>
      </w:r>
      <w:r>
        <w:rPr>
          <w:vertAlign w:val="baseline"/>
        </w:rPr>
        <w:t>Ca</w:t>
      </w:r>
      <w:r>
        <w:rPr>
          <w:vertAlign w:val="superscript"/>
        </w:rPr>
        <w:t>2+</w:t>
      </w:r>
      <w:r>
        <w:rPr>
          <w:spacing w:val="1"/>
          <w:vertAlign w:val="baseline"/>
        </w:rPr>
        <w:t> </w:t>
      </w:r>
      <w:r>
        <w:rPr>
          <w:vertAlign w:val="baseline"/>
        </w:rPr>
        <w:t>currents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rat</w:t>
      </w:r>
      <w:r>
        <w:rPr>
          <w:spacing w:val="1"/>
          <w:vertAlign w:val="baseline"/>
        </w:rPr>
        <w:t> </w:t>
      </w:r>
      <w:r>
        <w:rPr>
          <w:vertAlign w:val="baseline"/>
        </w:rPr>
        <w:t>amygdalar neurons, possibly via the N- and P- type channels that have been implicated in</w:t>
      </w:r>
      <w:r>
        <w:rPr>
          <w:spacing w:val="1"/>
          <w:vertAlign w:val="baseline"/>
        </w:rPr>
        <w:t> </w:t>
      </w:r>
      <w:r>
        <w:rPr>
          <w:vertAlign w:val="baseline"/>
        </w:rPr>
        <w:t>neurotransmitter</w:t>
      </w:r>
      <w:r>
        <w:rPr>
          <w:spacing w:val="-1"/>
          <w:vertAlign w:val="baseline"/>
        </w:rPr>
        <w:t> </w:t>
      </w:r>
      <w:r>
        <w:rPr>
          <w:vertAlign w:val="baseline"/>
        </w:rPr>
        <w:t>release</w:t>
      </w:r>
      <w:r>
        <w:rPr>
          <w:spacing w:val="-1"/>
          <w:vertAlign w:val="baseline"/>
        </w:rPr>
        <w:t> </w:t>
      </w:r>
      <w:r>
        <w:rPr>
          <w:vertAlign w:val="baseline"/>
        </w:rPr>
        <w:t>(Stefani</w:t>
      </w:r>
      <w:r>
        <w:rPr>
          <w:spacing w:val="2"/>
          <w:vertAlign w:val="baseline"/>
        </w:rPr>
        <w:t> </w:t>
      </w:r>
      <w:r>
        <w:rPr>
          <w:i/>
          <w:vertAlign w:val="baseline"/>
        </w:rPr>
        <w:t>et al</w:t>
      </w:r>
      <w:r>
        <w:rPr>
          <w:vertAlign w:val="baseline"/>
        </w:rPr>
        <w:t>., 1997).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16"/>
        </w:numPr>
        <w:tabs>
          <w:tab w:pos="1369" w:val="left" w:leader="none"/>
        </w:tabs>
        <w:spacing w:line="480" w:lineRule="auto" w:before="0" w:after="0"/>
        <w:ind w:left="648" w:right="673" w:firstLine="0"/>
        <w:jc w:val="both"/>
        <w:rPr>
          <w:sz w:val="24"/>
        </w:rPr>
      </w:pPr>
      <w:r>
        <w:rPr>
          <w:b/>
          <w:i/>
          <w:sz w:val="24"/>
        </w:rPr>
        <w:t>Oxcarbazepine </w:t>
      </w:r>
      <w:r>
        <w:rPr>
          <w:b/>
          <w:sz w:val="24"/>
        </w:rPr>
        <w:t>;</w:t>
      </w:r>
      <w:r>
        <w:rPr>
          <w:sz w:val="24"/>
        </w:rPr>
        <w:t>It is closely related to carbamazepine structurally (Kwan </w:t>
      </w:r>
      <w:r>
        <w:rPr>
          <w:i/>
          <w:sz w:val="24"/>
        </w:rPr>
        <w:t>et al</w:t>
      </w:r>
      <w:r>
        <w:rPr>
          <w:sz w:val="24"/>
        </w:rPr>
        <w:t>., 2001),</w:t>
      </w:r>
      <w:r>
        <w:rPr>
          <w:spacing w:val="-57"/>
          <w:sz w:val="24"/>
        </w:rPr>
        <w:t> </w:t>
      </w:r>
      <w:r>
        <w:rPr>
          <w:sz w:val="24"/>
        </w:rPr>
        <w:t>the keto substitutions at the 10 and 11 positions of the dibenzazepine nucleus do not affect the</w:t>
      </w:r>
      <w:r>
        <w:rPr>
          <w:spacing w:val="-57"/>
          <w:sz w:val="24"/>
        </w:rPr>
        <w:t> </w:t>
      </w:r>
      <w:r>
        <w:rPr>
          <w:sz w:val="24"/>
        </w:rPr>
        <w:t>therapeutic</w:t>
      </w:r>
      <w:r>
        <w:rPr>
          <w:spacing w:val="1"/>
          <w:sz w:val="24"/>
        </w:rPr>
        <w:t> </w:t>
      </w:r>
      <w:r>
        <w:rPr>
          <w:sz w:val="24"/>
        </w:rPr>
        <w:t>profile</w:t>
      </w:r>
      <w:r>
        <w:rPr>
          <w:spacing w:val="1"/>
          <w:sz w:val="24"/>
        </w:rPr>
        <w:t> </w:t>
      </w:r>
      <w:r>
        <w:rPr>
          <w:sz w:val="24"/>
        </w:rPr>
        <w:t>of the drug</w:t>
      </w:r>
      <w:r>
        <w:rPr>
          <w:spacing w:val="1"/>
          <w:sz w:val="24"/>
        </w:rPr>
        <w:t> </w:t>
      </w:r>
      <w:r>
        <w:rPr>
          <w:sz w:val="24"/>
        </w:rPr>
        <w:t>when</w:t>
      </w:r>
      <w:r>
        <w:rPr>
          <w:spacing w:val="1"/>
          <w:sz w:val="24"/>
        </w:rPr>
        <w:t> </w:t>
      </w:r>
      <w:r>
        <w:rPr>
          <w:sz w:val="24"/>
        </w:rPr>
        <w:t>compared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1"/>
          <w:sz w:val="24"/>
        </w:rPr>
        <w:t> </w:t>
      </w:r>
      <w:r>
        <w:rPr>
          <w:sz w:val="24"/>
        </w:rPr>
        <w:t>carbamazepine</w:t>
      </w:r>
      <w:r>
        <w:rPr>
          <w:spacing w:val="1"/>
          <w:sz w:val="24"/>
        </w:rPr>
        <w:t> </w:t>
      </w:r>
      <w:r>
        <w:rPr>
          <w:sz w:val="24"/>
        </w:rPr>
        <w:t>but</w:t>
      </w:r>
      <w:r>
        <w:rPr>
          <w:spacing w:val="1"/>
          <w:sz w:val="24"/>
        </w:rPr>
        <w:t> </w:t>
      </w:r>
      <w:r>
        <w:rPr>
          <w:sz w:val="24"/>
        </w:rPr>
        <w:t>result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altered</w:t>
      </w:r>
      <w:r>
        <w:rPr>
          <w:spacing w:val="1"/>
          <w:sz w:val="24"/>
        </w:rPr>
        <w:t> </w:t>
      </w:r>
      <w:r>
        <w:rPr>
          <w:sz w:val="24"/>
        </w:rPr>
        <w:t>biotransformation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better</w:t>
      </w:r>
      <w:r>
        <w:rPr>
          <w:spacing w:val="1"/>
          <w:sz w:val="24"/>
        </w:rPr>
        <w:t> </w:t>
      </w:r>
      <w:r>
        <w:rPr>
          <w:sz w:val="24"/>
        </w:rPr>
        <w:t>tolerability</w:t>
      </w:r>
      <w:r>
        <w:rPr>
          <w:spacing w:val="1"/>
          <w:sz w:val="24"/>
        </w:rPr>
        <w:t> </w:t>
      </w:r>
      <w:r>
        <w:rPr>
          <w:sz w:val="24"/>
        </w:rPr>
        <w:t>(White,</w:t>
      </w:r>
      <w:r>
        <w:rPr>
          <w:spacing w:val="1"/>
          <w:sz w:val="24"/>
        </w:rPr>
        <w:t> </w:t>
      </w:r>
      <w:r>
        <w:rPr>
          <w:sz w:val="24"/>
        </w:rPr>
        <w:t>1999).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structural</w:t>
      </w:r>
      <w:r>
        <w:rPr>
          <w:spacing w:val="1"/>
          <w:sz w:val="24"/>
        </w:rPr>
        <w:t> </w:t>
      </w:r>
      <w:r>
        <w:rPr>
          <w:sz w:val="24"/>
        </w:rPr>
        <w:t>modifications</w:t>
      </w:r>
      <w:r>
        <w:rPr>
          <w:spacing w:val="1"/>
          <w:sz w:val="24"/>
        </w:rPr>
        <w:t> </w:t>
      </w:r>
      <w:r>
        <w:rPr>
          <w:sz w:val="24"/>
        </w:rPr>
        <w:t>circumvent the 10, 11-epoxide metabolite of carbamazepine that is believed to be responsible</w:t>
      </w:r>
      <w:r>
        <w:rPr>
          <w:spacing w:val="1"/>
          <w:sz w:val="24"/>
        </w:rPr>
        <w:t> </w:t>
      </w:r>
      <w:r>
        <w:rPr>
          <w:sz w:val="24"/>
        </w:rPr>
        <w:t>for many of its side effects and its ability to induce cytochrome P450 dependent hepatic</w:t>
      </w:r>
      <w:r>
        <w:rPr>
          <w:spacing w:val="1"/>
          <w:sz w:val="24"/>
        </w:rPr>
        <w:t> </w:t>
      </w:r>
      <w:r>
        <w:rPr>
          <w:sz w:val="24"/>
        </w:rPr>
        <w:t>metabolism (Tecoma, 1999).</w:t>
      </w:r>
      <w:r>
        <w:rPr>
          <w:spacing w:val="1"/>
          <w:sz w:val="24"/>
        </w:rPr>
        <w:t> </w:t>
      </w:r>
      <w:r>
        <w:rPr>
          <w:sz w:val="24"/>
        </w:rPr>
        <w:t>Oxcarbazepine is a prodrug that is rapidly and completely</w:t>
      </w:r>
      <w:r>
        <w:rPr>
          <w:spacing w:val="1"/>
          <w:sz w:val="24"/>
        </w:rPr>
        <w:t> </w:t>
      </w:r>
      <w:r>
        <w:rPr>
          <w:sz w:val="24"/>
        </w:rPr>
        <w:t>reduced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liver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its</w:t>
      </w:r>
      <w:r>
        <w:rPr>
          <w:spacing w:val="1"/>
          <w:sz w:val="24"/>
        </w:rPr>
        <w:t> </w:t>
      </w:r>
      <w:r>
        <w:rPr>
          <w:sz w:val="24"/>
        </w:rPr>
        <w:t>active</w:t>
      </w:r>
      <w:r>
        <w:rPr>
          <w:spacing w:val="1"/>
          <w:sz w:val="24"/>
        </w:rPr>
        <w:t> </w:t>
      </w:r>
      <w:r>
        <w:rPr>
          <w:sz w:val="24"/>
        </w:rPr>
        <w:t>metabolite</w:t>
      </w:r>
      <w:r>
        <w:rPr>
          <w:spacing w:val="1"/>
          <w:sz w:val="24"/>
        </w:rPr>
        <w:t> </w:t>
      </w:r>
      <w:r>
        <w:rPr>
          <w:sz w:val="24"/>
        </w:rPr>
        <w:t>(10,</w:t>
      </w:r>
      <w:r>
        <w:rPr>
          <w:spacing w:val="1"/>
          <w:sz w:val="24"/>
        </w:rPr>
        <w:t> </w:t>
      </w:r>
      <w:r>
        <w:rPr>
          <w:sz w:val="24"/>
        </w:rPr>
        <w:t>11-dihydro-10-hydroxycarbamazepine)</w:t>
      </w:r>
      <w:r>
        <w:rPr>
          <w:spacing w:val="1"/>
          <w:sz w:val="24"/>
        </w:rPr>
        <w:t> </w:t>
      </w:r>
      <w:r>
        <w:rPr>
          <w:sz w:val="24"/>
        </w:rPr>
        <w:t>(Editorial,</w:t>
      </w:r>
      <w:r>
        <w:rPr>
          <w:spacing w:val="-1"/>
          <w:sz w:val="24"/>
        </w:rPr>
        <w:t> </w:t>
      </w:r>
      <w:r>
        <w:rPr>
          <w:sz w:val="24"/>
        </w:rPr>
        <w:t>1989).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480" w:lineRule="auto" w:before="1"/>
        <w:ind w:left="648" w:right="676"/>
        <w:jc w:val="both"/>
      </w:pPr>
      <w:r>
        <w:rPr/>
        <w:t>Oxcarbazepine exerts its effects by blockade of voltage dependent Na</w:t>
      </w:r>
      <w:r>
        <w:rPr>
          <w:vertAlign w:val="superscript"/>
        </w:rPr>
        <w:t>+</w:t>
      </w:r>
      <w:r>
        <w:rPr>
          <w:vertAlign w:val="baseline"/>
        </w:rPr>
        <w:t> channels (McLean </w:t>
      </w:r>
      <w:r>
        <w:rPr>
          <w:i/>
          <w:vertAlign w:val="baseline"/>
        </w:rPr>
        <w:t>et</w:t>
      </w:r>
      <w:r>
        <w:rPr>
          <w:i/>
          <w:spacing w:val="1"/>
          <w:vertAlign w:val="baseline"/>
        </w:rPr>
        <w:t> </w:t>
      </w:r>
      <w:r>
        <w:rPr>
          <w:i/>
          <w:vertAlign w:val="baseline"/>
        </w:rPr>
        <w:t>al</w:t>
      </w:r>
      <w:r>
        <w:rPr>
          <w:vertAlign w:val="baseline"/>
        </w:rPr>
        <w:t>., 1994); it also reduces presynaptic glutamate release possibly by blocking high voltage</w:t>
      </w:r>
      <w:r>
        <w:rPr>
          <w:spacing w:val="1"/>
          <w:vertAlign w:val="baseline"/>
        </w:rPr>
        <w:t> </w:t>
      </w:r>
      <w:r>
        <w:rPr>
          <w:vertAlign w:val="baseline"/>
        </w:rPr>
        <w:t>activated Ca</w:t>
      </w:r>
      <w:r>
        <w:rPr>
          <w:vertAlign w:val="superscript"/>
        </w:rPr>
        <w:t>2+</w:t>
      </w:r>
      <w:r>
        <w:rPr>
          <w:vertAlign w:val="baseline"/>
        </w:rPr>
        <w:t> channels (Stefani </w:t>
      </w:r>
      <w:r>
        <w:rPr>
          <w:i/>
          <w:vertAlign w:val="baseline"/>
        </w:rPr>
        <w:t>et al</w:t>
      </w:r>
      <w:r>
        <w:rPr>
          <w:vertAlign w:val="baseline"/>
        </w:rPr>
        <w:t>., 1997), where as carbamazepine may modulate L type</w:t>
      </w:r>
      <w:r>
        <w:rPr>
          <w:spacing w:val="1"/>
          <w:vertAlign w:val="baseline"/>
        </w:rPr>
        <w:t> </w:t>
      </w:r>
      <w:r>
        <w:rPr>
          <w:vertAlign w:val="baseline"/>
        </w:rPr>
        <w:t>Ca</w:t>
      </w:r>
      <w:r>
        <w:rPr>
          <w:vertAlign w:val="superscript"/>
        </w:rPr>
        <w:t>2+</w:t>
      </w:r>
      <w:r>
        <w:rPr>
          <w:spacing w:val="6"/>
          <w:vertAlign w:val="baseline"/>
        </w:rPr>
        <w:t> </w:t>
      </w:r>
      <w:r>
        <w:rPr>
          <w:vertAlign w:val="baseline"/>
        </w:rPr>
        <w:t>channels,</w:t>
      </w:r>
      <w:r>
        <w:rPr>
          <w:spacing w:val="6"/>
          <w:vertAlign w:val="baseline"/>
        </w:rPr>
        <w:t> </w:t>
      </w:r>
      <w:r>
        <w:rPr>
          <w:vertAlign w:val="baseline"/>
        </w:rPr>
        <w:t>oxcarbazepine</w:t>
      </w:r>
      <w:r>
        <w:rPr>
          <w:spacing w:val="5"/>
          <w:vertAlign w:val="baseline"/>
        </w:rPr>
        <w:t> </w:t>
      </w:r>
      <w:r>
        <w:rPr>
          <w:vertAlign w:val="baseline"/>
        </w:rPr>
        <w:t>appears</w:t>
      </w:r>
      <w:r>
        <w:rPr>
          <w:spacing w:val="5"/>
          <w:vertAlign w:val="baseline"/>
        </w:rPr>
        <w:t> </w:t>
      </w:r>
      <w:r>
        <w:rPr>
          <w:vertAlign w:val="baseline"/>
        </w:rPr>
        <w:t>to</w:t>
      </w:r>
      <w:r>
        <w:rPr>
          <w:spacing w:val="6"/>
          <w:vertAlign w:val="baseline"/>
        </w:rPr>
        <w:t> </w:t>
      </w:r>
      <w:r>
        <w:rPr>
          <w:vertAlign w:val="baseline"/>
        </w:rPr>
        <w:t>modulate</w:t>
      </w:r>
      <w:r>
        <w:rPr>
          <w:spacing w:val="5"/>
          <w:vertAlign w:val="baseline"/>
        </w:rPr>
        <w:t> </w:t>
      </w:r>
      <w:r>
        <w:rPr>
          <w:vertAlign w:val="baseline"/>
        </w:rPr>
        <w:t>N-and</w:t>
      </w:r>
      <w:r>
        <w:rPr>
          <w:spacing w:val="6"/>
          <w:vertAlign w:val="baseline"/>
        </w:rPr>
        <w:t> </w:t>
      </w:r>
      <w:r>
        <w:rPr>
          <w:vertAlign w:val="baseline"/>
        </w:rPr>
        <w:t>P-type</w:t>
      </w:r>
      <w:r>
        <w:rPr>
          <w:spacing w:val="5"/>
          <w:vertAlign w:val="baseline"/>
        </w:rPr>
        <w:t> </w:t>
      </w:r>
      <w:r>
        <w:rPr>
          <w:vertAlign w:val="baseline"/>
        </w:rPr>
        <w:t>calcium</w:t>
      </w:r>
      <w:r>
        <w:rPr>
          <w:spacing w:val="6"/>
          <w:vertAlign w:val="baseline"/>
        </w:rPr>
        <w:t> </w:t>
      </w:r>
      <w:r>
        <w:rPr>
          <w:vertAlign w:val="baseline"/>
        </w:rPr>
        <w:t>channels</w:t>
      </w:r>
      <w:r>
        <w:rPr>
          <w:spacing w:val="6"/>
          <w:vertAlign w:val="baseline"/>
        </w:rPr>
        <w:t> </w:t>
      </w:r>
      <w:r>
        <w:rPr>
          <w:vertAlign w:val="baseline"/>
        </w:rPr>
        <w:t>(Ambrosio</w:t>
      </w:r>
    </w:p>
    <w:p>
      <w:pPr>
        <w:spacing w:after="0" w:line="480" w:lineRule="auto"/>
        <w:jc w:val="both"/>
        <w:sectPr>
          <w:pgSz w:w="12240" w:h="15840"/>
          <w:pgMar w:header="0" w:footer="792" w:top="1320" w:bottom="980" w:left="1080" w:right="760"/>
        </w:sectPr>
      </w:pPr>
    </w:p>
    <w:p>
      <w:pPr>
        <w:pStyle w:val="BodyText"/>
        <w:spacing w:line="480" w:lineRule="auto" w:before="112"/>
        <w:ind w:left="648" w:right="676"/>
        <w:jc w:val="both"/>
      </w:pP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</w:t>
      </w:r>
      <w:r>
        <w:rPr>
          <w:spacing w:val="1"/>
        </w:rPr>
        <w:t> </w:t>
      </w:r>
      <w:r>
        <w:rPr/>
        <w:t>1999).</w:t>
      </w:r>
      <w:r>
        <w:rPr>
          <w:spacing w:val="1"/>
        </w:rPr>
        <w:t> </w:t>
      </w:r>
      <w:r>
        <w:rPr/>
        <w:t>Unlike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AEDs</w:t>
      </w:r>
      <w:r>
        <w:rPr>
          <w:spacing w:val="1"/>
        </w:rPr>
        <w:t> </w:t>
      </w:r>
      <w:r>
        <w:rPr/>
        <w:t>oxcarbazepine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addition</w:t>
      </w:r>
      <w:r>
        <w:rPr>
          <w:spacing w:val="1"/>
        </w:rPr>
        <w:t> </w:t>
      </w:r>
      <w:r>
        <w:rPr/>
        <w:t>increase</w:t>
      </w:r>
      <w:r>
        <w:rPr>
          <w:spacing w:val="1"/>
        </w:rPr>
        <w:t> </w:t>
      </w:r>
      <w:r>
        <w:rPr/>
        <w:t>K</w:t>
      </w:r>
      <w:r>
        <w:rPr>
          <w:vertAlign w:val="superscript"/>
        </w:rPr>
        <w:t>+</w:t>
      </w:r>
      <w:r>
        <w:rPr>
          <w:spacing w:val="1"/>
          <w:vertAlign w:val="baseline"/>
        </w:rPr>
        <w:t> </w:t>
      </w:r>
      <w:r>
        <w:rPr>
          <w:vertAlign w:val="baseline"/>
        </w:rPr>
        <w:t>channel</w:t>
      </w:r>
      <w:r>
        <w:rPr>
          <w:spacing w:val="1"/>
          <w:vertAlign w:val="baseline"/>
        </w:rPr>
        <w:t> </w:t>
      </w:r>
      <w:r>
        <w:rPr>
          <w:vertAlign w:val="baseline"/>
        </w:rPr>
        <w:t>conductance</w:t>
      </w:r>
      <w:r>
        <w:rPr>
          <w:spacing w:val="-2"/>
          <w:vertAlign w:val="baseline"/>
        </w:rPr>
        <w:t> </w:t>
      </w:r>
      <w:r>
        <w:rPr>
          <w:vertAlign w:val="baseline"/>
        </w:rPr>
        <w:t>(McLean</w:t>
      </w:r>
      <w:r>
        <w:rPr>
          <w:spacing w:val="3"/>
          <w:vertAlign w:val="baseline"/>
        </w:rPr>
        <w:t> </w:t>
      </w:r>
      <w:r>
        <w:rPr>
          <w:i/>
          <w:vertAlign w:val="baseline"/>
        </w:rPr>
        <w:t>et al</w:t>
      </w:r>
      <w:r>
        <w:rPr>
          <w:vertAlign w:val="baseline"/>
        </w:rPr>
        <w:t>., 1994).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ListParagraph"/>
        <w:numPr>
          <w:ilvl w:val="0"/>
          <w:numId w:val="16"/>
        </w:numPr>
        <w:tabs>
          <w:tab w:pos="830" w:val="left" w:leader="none"/>
        </w:tabs>
        <w:spacing w:line="480" w:lineRule="auto" w:before="0" w:after="0"/>
        <w:ind w:left="648" w:right="677" w:firstLine="0"/>
        <w:jc w:val="both"/>
        <w:rPr>
          <w:sz w:val="24"/>
        </w:rPr>
      </w:pPr>
      <w:r>
        <w:rPr>
          <w:b/>
          <w:i/>
          <w:sz w:val="24"/>
        </w:rPr>
        <w:t>Ethosuximide; Ethiosuximide </w:t>
      </w:r>
      <w:r>
        <w:rPr>
          <w:sz w:val="24"/>
        </w:rPr>
        <w:t>exerts its antiabsence seizure effects by inhibiting T-type</w:t>
      </w:r>
      <w:r>
        <w:rPr>
          <w:spacing w:val="1"/>
          <w:sz w:val="24"/>
        </w:rPr>
        <w:t> </w:t>
      </w:r>
      <w:r>
        <w:rPr>
          <w:sz w:val="24"/>
        </w:rPr>
        <w:t>calcium channels in thalamocortical relay neurones (Coulter </w:t>
      </w:r>
      <w:r>
        <w:rPr>
          <w:i/>
          <w:sz w:val="24"/>
        </w:rPr>
        <w:t>et al</w:t>
      </w:r>
      <w:r>
        <w:rPr>
          <w:sz w:val="24"/>
        </w:rPr>
        <w:t>., 1989; Ferraro and Buono,</w:t>
      </w:r>
      <w:r>
        <w:rPr>
          <w:spacing w:val="1"/>
          <w:sz w:val="24"/>
        </w:rPr>
        <w:t> </w:t>
      </w:r>
      <w:r>
        <w:rPr>
          <w:sz w:val="24"/>
        </w:rPr>
        <w:t>2005). These low voltage activated T-type calcium channels predominates in these neurones</w:t>
      </w:r>
      <w:r>
        <w:rPr>
          <w:spacing w:val="1"/>
          <w:sz w:val="24"/>
        </w:rPr>
        <w:t> </w:t>
      </w:r>
      <w:r>
        <w:rPr>
          <w:sz w:val="24"/>
        </w:rPr>
        <w:t>where it is believed to play a fundamental role in the generation of the characteristics 3-Hz</w:t>
      </w:r>
      <w:r>
        <w:rPr>
          <w:spacing w:val="1"/>
          <w:sz w:val="24"/>
        </w:rPr>
        <w:t> </w:t>
      </w:r>
      <w:r>
        <w:rPr>
          <w:sz w:val="24"/>
        </w:rPr>
        <w:t>spike-and-wake</w:t>
      </w:r>
      <w:r>
        <w:rPr>
          <w:spacing w:val="-2"/>
          <w:sz w:val="24"/>
        </w:rPr>
        <w:t> </w:t>
      </w:r>
      <w:r>
        <w:rPr>
          <w:sz w:val="24"/>
        </w:rPr>
        <w:t>discharge</w:t>
      </w:r>
      <w:r>
        <w:rPr>
          <w:spacing w:val="-1"/>
          <w:sz w:val="24"/>
        </w:rPr>
        <w:t> </w:t>
      </w:r>
      <w:r>
        <w:rPr>
          <w:sz w:val="24"/>
        </w:rPr>
        <w:t>typical of absence epilepsy</w:t>
      </w:r>
      <w:r>
        <w:rPr>
          <w:spacing w:val="-5"/>
          <w:sz w:val="24"/>
        </w:rPr>
        <w:t> </w:t>
      </w:r>
      <w:r>
        <w:rPr>
          <w:sz w:val="24"/>
        </w:rPr>
        <w:t>(Coulter</w:t>
      </w:r>
      <w:r>
        <w:rPr>
          <w:spacing w:val="6"/>
          <w:sz w:val="24"/>
        </w:rPr>
        <w:t> </w:t>
      </w:r>
      <w:r>
        <w:rPr>
          <w:i/>
          <w:sz w:val="24"/>
        </w:rPr>
        <w:t>et al</w:t>
      </w:r>
      <w:r>
        <w:rPr>
          <w:sz w:val="24"/>
        </w:rPr>
        <w:t>.,</w:t>
      </w:r>
      <w:r>
        <w:rPr>
          <w:spacing w:val="-1"/>
          <w:sz w:val="24"/>
        </w:rPr>
        <w:t> </w:t>
      </w:r>
      <w:r>
        <w:rPr>
          <w:sz w:val="24"/>
        </w:rPr>
        <w:t>1989).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ListParagraph"/>
        <w:numPr>
          <w:ilvl w:val="0"/>
          <w:numId w:val="16"/>
        </w:numPr>
        <w:tabs>
          <w:tab w:pos="897" w:val="left" w:leader="none"/>
        </w:tabs>
        <w:spacing w:line="480" w:lineRule="auto" w:before="0" w:after="0"/>
        <w:ind w:left="648" w:right="676" w:firstLine="0"/>
        <w:jc w:val="both"/>
        <w:rPr>
          <w:sz w:val="24"/>
        </w:rPr>
      </w:pPr>
      <w:r>
        <w:rPr>
          <w:b/>
          <w:i/>
          <w:sz w:val="24"/>
        </w:rPr>
        <w:t>Zonisamide;</w:t>
      </w:r>
      <w:r>
        <w:rPr>
          <w:b/>
          <w:i/>
          <w:spacing w:val="1"/>
          <w:sz w:val="24"/>
        </w:rPr>
        <w:t> </w:t>
      </w:r>
      <w:r>
        <w:rPr>
          <w:sz w:val="24"/>
        </w:rPr>
        <w:t>Zonisamide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effective</w:t>
      </w:r>
      <w:r>
        <w:rPr>
          <w:spacing w:val="1"/>
          <w:sz w:val="24"/>
        </w:rPr>
        <w:t> </w:t>
      </w:r>
      <w:r>
        <w:rPr>
          <w:sz w:val="24"/>
        </w:rPr>
        <w:t>against</w:t>
      </w:r>
      <w:r>
        <w:rPr>
          <w:spacing w:val="1"/>
          <w:sz w:val="24"/>
        </w:rPr>
        <w:t> </w:t>
      </w:r>
      <w:r>
        <w:rPr>
          <w:sz w:val="24"/>
        </w:rPr>
        <w:t>partial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generalized</w:t>
      </w:r>
      <w:r>
        <w:rPr>
          <w:spacing w:val="1"/>
          <w:sz w:val="24"/>
        </w:rPr>
        <w:t> </w:t>
      </w:r>
      <w:r>
        <w:rPr>
          <w:sz w:val="24"/>
        </w:rPr>
        <w:t>seizures,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has</w:t>
      </w:r>
      <w:r>
        <w:rPr>
          <w:spacing w:val="-57"/>
          <w:sz w:val="24"/>
        </w:rPr>
        <w:t> </w:t>
      </w:r>
      <w:r>
        <w:rPr>
          <w:sz w:val="24"/>
        </w:rPr>
        <w:t>particular efficacy in the progressive myoclonic epilepsies that are often resistant to AED</w:t>
      </w:r>
      <w:r>
        <w:rPr>
          <w:spacing w:val="1"/>
          <w:sz w:val="24"/>
        </w:rPr>
        <w:t> </w:t>
      </w:r>
      <w:r>
        <w:rPr>
          <w:sz w:val="24"/>
        </w:rPr>
        <w:t>treatment (Kyllerman and Ben-menachem, 1998). Zonisamide acts by modulation of voltage</w:t>
      </w:r>
      <w:r>
        <w:rPr>
          <w:spacing w:val="1"/>
          <w:sz w:val="24"/>
        </w:rPr>
        <w:t> </w:t>
      </w:r>
      <w:r>
        <w:rPr>
          <w:sz w:val="24"/>
        </w:rPr>
        <w:t>gated ion channels (Kwan </w:t>
      </w:r>
      <w:r>
        <w:rPr>
          <w:i/>
          <w:sz w:val="24"/>
        </w:rPr>
        <w:t>et al</w:t>
      </w:r>
      <w:r>
        <w:rPr>
          <w:sz w:val="24"/>
        </w:rPr>
        <w:t>., 2001). Like Lamotrigine, Zonisamide enhances slow Na</w:t>
      </w:r>
      <w:r>
        <w:rPr>
          <w:sz w:val="24"/>
          <w:vertAlign w:val="superscript"/>
        </w:rPr>
        <w:t>+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channel inactivation (Schauf, 1987; Welty, 2006) and reduces sustained repetitive firing in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spinal cord neurones (Rock </w:t>
      </w:r>
      <w:r>
        <w:rPr>
          <w:i/>
          <w:sz w:val="24"/>
          <w:vertAlign w:val="baseline"/>
        </w:rPr>
        <w:t>et al</w:t>
      </w:r>
      <w:r>
        <w:rPr>
          <w:sz w:val="24"/>
          <w:vertAlign w:val="baseline"/>
        </w:rPr>
        <w:t>., 1989). It also blocks low voltage activated T-type calcium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channels which may account for its anti absence seizure effects (Suzuki </w:t>
      </w:r>
      <w:r>
        <w:rPr>
          <w:i/>
          <w:sz w:val="24"/>
          <w:vertAlign w:val="baseline"/>
        </w:rPr>
        <w:t>et al</w:t>
      </w:r>
      <w:r>
        <w:rPr>
          <w:sz w:val="24"/>
          <w:vertAlign w:val="baseline"/>
        </w:rPr>
        <w:t>., 1992; Welty,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2006). Zonisamide also inhibits carbonic anhydrase (Welty 2006), although this action is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believed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to be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too weak to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contribute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to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its antiepileptic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effect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(Rho and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Sankar, 1999).</w:t>
      </w:r>
    </w:p>
    <w:p>
      <w:pPr>
        <w:pStyle w:val="Heading2"/>
        <w:numPr>
          <w:ilvl w:val="2"/>
          <w:numId w:val="15"/>
        </w:numPr>
        <w:tabs>
          <w:tab w:pos="903" w:val="left" w:leader="none"/>
        </w:tabs>
        <w:spacing w:line="240" w:lineRule="auto" w:before="6" w:after="0"/>
        <w:ind w:left="902" w:right="0" w:hanging="255"/>
        <w:jc w:val="both"/>
      </w:pPr>
      <w:r>
        <w:rPr/>
        <w:t>Agents</w:t>
      </w:r>
      <w:r>
        <w:rPr>
          <w:spacing w:val="-2"/>
        </w:rPr>
        <w:t> </w:t>
      </w:r>
      <w:r>
        <w:rPr/>
        <w:t>that</w:t>
      </w:r>
      <w:r>
        <w:rPr>
          <w:spacing w:val="-1"/>
        </w:rPr>
        <w:t> </w:t>
      </w:r>
      <w:r>
        <w:rPr/>
        <w:t>potentiates</w:t>
      </w:r>
      <w:r>
        <w:rPr>
          <w:spacing w:val="-1"/>
        </w:rPr>
        <w:t> </w:t>
      </w:r>
      <w:r>
        <w:rPr/>
        <w:t>GABA</w:t>
      </w:r>
    </w:p>
    <w:p>
      <w:pPr>
        <w:pStyle w:val="BodyText"/>
        <w:spacing w:before="7"/>
        <w:rPr>
          <w:b/>
          <w:i/>
          <w:sz w:val="23"/>
        </w:rPr>
      </w:pPr>
    </w:p>
    <w:p>
      <w:pPr>
        <w:pStyle w:val="ListParagraph"/>
        <w:numPr>
          <w:ilvl w:val="0"/>
          <w:numId w:val="17"/>
        </w:numPr>
        <w:tabs>
          <w:tab w:pos="777" w:val="left" w:leader="none"/>
        </w:tabs>
        <w:spacing w:line="480" w:lineRule="auto" w:before="0" w:after="0"/>
        <w:ind w:left="648" w:right="676" w:firstLine="0"/>
        <w:jc w:val="both"/>
        <w:rPr>
          <w:sz w:val="24"/>
        </w:rPr>
      </w:pPr>
      <w:r>
        <w:rPr>
          <w:b/>
          <w:i/>
          <w:sz w:val="24"/>
        </w:rPr>
        <w:t>Phenobarbital; </w:t>
      </w:r>
      <w:r>
        <w:rPr>
          <w:sz w:val="24"/>
        </w:rPr>
        <w:t>The mechanism of action of phenobarbital is by allosteric activation of the</w:t>
      </w:r>
      <w:r>
        <w:rPr>
          <w:spacing w:val="1"/>
          <w:sz w:val="24"/>
        </w:rPr>
        <w:t> </w:t>
      </w:r>
      <w:r>
        <w:rPr>
          <w:sz w:val="24"/>
        </w:rPr>
        <w:t>GABA</w:t>
      </w:r>
      <w:r>
        <w:rPr>
          <w:sz w:val="24"/>
          <w:vertAlign w:val="subscript"/>
        </w:rPr>
        <w:t>A</w:t>
      </w:r>
      <w:r>
        <w:rPr>
          <w:sz w:val="24"/>
          <w:vertAlign w:val="baseline"/>
        </w:rPr>
        <w:t> receptor, increasing the duration of chloride channel opening, without affecting the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frequency of opening or channel conductance (Macdonald </w:t>
      </w:r>
      <w:r>
        <w:rPr>
          <w:i/>
          <w:sz w:val="24"/>
          <w:vertAlign w:val="baseline"/>
        </w:rPr>
        <w:t>et al</w:t>
      </w:r>
      <w:r>
        <w:rPr>
          <w:sz w:val="24"/>
          <w:vertAlign w:val="baseline"/>
        </w:rPr>
        <w:t>., 1989). The barbiturates can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also</w:t>
      </w:r>
      <w:r>
        <w:rPr>
          <w:spacing w:val="49"/>
          <w:sz w:val="24"/>
          <w:vertAlign w:val="baseline"/>
        </w:rPr>
        <w:t> </w:t>
      </w:r>
      <w:r>
        <w:rPr>
          <w:sz w:val="24"/>
          <w:vertAlign w:val="baseline"/>
        </w:rPr>
        <w:t>activate</w:t>
      </w:r>
      <w:r>
        <w:rPr>
          <w:spacing w:val="49"/>
          <w:sz w:val="24"/>
          <w:vertAlign w:val="baseline"/>
        </w:rPr>
        <w:t> </w:t>
      </w:r>
      <w:r>
        <w:rPr>
          <w:sz w:val="24"/>
          <w:vertAlign w:val="baseline"/>
        </w:rPr>
        <w:t>the</w:t>
      </w:r>
      <w:r>
        <w:rPr>
          <w:spacing w:val="49"/>
          <w:sz w:val="24"/>
          <w:vertAlign w:val="baseline"/>
        </w:rPr>
        <w:t> </w:t>
      </w:r>
      <w:r>
        <w:rPr>
          <w:sz w:val="24"/>
          <w:vertAlign w:val="baseline"/>
        </w:rPr>
        <w:t>GABA</w:t>
      </w:r>
      <w:r>
        <w:rPr>
          <w:sz w:val="24"/>
          <w:vertAlign w:val="subscript"/>
        </w:rPr>
        <w:t>A</w:t>
      </w:r>
      <w:r>
        <w:rPr>
          <w:spacing w:val="47"/>
          <w:sz w:val="24"/>
          <w:vertAlign w:val="baseline"/>
        </w:rPr>
        <w:t> </w:t>
      </w:r>
      <w:r>
        <w:rPr>
          <w:sz w:val="24"/>
          <w:vertAlign w:val="baseline"/>
        </w:rPr>
        <w:t>receptor</w:t>
      </w:r>
      <w:r>
        <w:rPr>
          <w:spacing w:val="49"/>
          <w:sz w:val="24"/>
          <w:vertAlign w:val="baseline"/>
        </w:rPr>
        <w:t> </w:t>
      </w:r>
      <w:r>
        <w:rPr>
          <w:sz w:val="24"/>
          <w:vertAlign w:val="baseline"/>
        </w:rPr>
        <w:t>directly,</w:t>
      </w:r>
      <w:r>
        <w:rPr>
          <w:spacing w:val="50"/>
          <w:sz w:val="24"/>
          <w:vertAlign w:val="baseline"/>
        </w:rPr>
        <w:t> </w:t>
      </w:r>
      <w:r>
        <w:rPr>
          <w:sz w:val="24"/>
          <w:vertAlign w:val="baseline"/>
        </w:rPr>
        <w:t>in</w:t>
      </w:r>
      <w:r>
        <w:rPr>
          <w:spacing w:val="50"/>
          <w:sz w:val="24"/>
          <w:vertAlign w:val="baseline"/>
        </w:rPr>
        <w:t> </w:t>
      </w:r>
      <w:r>
        <w:rPr>
          <w:sz w:val="24"/>
          <w:vertAlign w:val="baseline"/>
        </w:rPr>
        <w:t>the</w:t>
      </w:r>
      <w:r>
        <w:rPr>
          <w:spacing w:val="49"/>
          <w:sz w:val="24"/>
          <w:vertAlign w:val="baseline"/>
        </w:rPr>
        <w:t> </w:t>
      </w:r>
      <w:r>
        <w:rPr>
          <w:sz w:val="24"/>
          <w:vertAlign w:val="baseline"/>
        </w:rPr>
        <w:t>absence</w:t>
      </w:r>
      <w:r>
        <w:rPr>
          <w:spacing w:val="49"/>
          <w:sz w:val="24"/>
          <w:vertAlign w:val="baseline"/>
        </w:rPr>
        <w:t> </w:t>
      </w:r>
      <w:r>
        <w:rPr>
          <w:sz w:val="24"/>
          <w:vertAlign w:val="baseline"/>
        </w:rPr>
        <w:t>of</w:t>
      </w:r>
      <w:r>
        <w:rPr>
          <w:spacing w:val="49"/>
          <w:sz w:val="24"/>
          <w:vertAlign w:val="baseline"/>
        </w:rPr>
        <w:t> </w:t>
      </w:r>
      <w:r>
        <w:rPr>
          <w:sz w:val="24"/>
          <w:vertAlign w:val="baseline"/>
        </w:rPr>
        <w:t>GABA,</w:t>
      </w:r>
      <w:r>
        <w:rPr>
          <w:spacing w:val="52"/>
          <w:sz w:val="24"/>
          <w:vertAlign w:val="baseline"/>
        </w:rPr>
        <w:t> </w:t>
      </w:r>
      <w:r>
        <w:rPr>
          <w:sz w:val="24"/>
          <w:vertAlign w:val="baseline"/>
        </w:rPr>
        <w:t>an</w:t>
      </w:r>
      <w:r>
        <w:rPr>
          <w:spacing w:val="50"/>
          <w:sz w:val="24"/>
          <w:vertAlign w:val="baseline"/>
        </w:rPr>
        <w:t> </w:t>
      </w:r>
      <w:r>
        <w:rPr>
          <w:sz w:val="24"/>
          <w:vertAlign w:val="baseline"/>
        </w:rPr>
        <w:t>effect</w:t>
      </w:r>
      <w:r>
        <w:rPr>
          <w:spacing w:val="50"/>
          <w:sz w:val="24"/>
          <w:vertAlign w:val="baseline"/>
        </w:rPr>
        <w:t> </w:t>
      </w:r>
      <w:r>
        <w:rPr>
          <w:sz w:val="24"/>
          <w:vertAlign w:val="baseline"/>
        </w:rPr>
        <w:t>that</w:t>
      </w:r>
      <w:r>
        <w:rPr>
          <w:spacing w:val="50"/>
          <w:sz w:val="24"/>
          <w:vertAlign w:val="baseline"/>
        </w:rPr>
        <w:t> </w:t>
      </w:r>
      <w:r>
        <w:rPr>
          <w:sz w:val="24"/>
          <w:vertAlign w:val="baseline"/>
        </w:rPr>
        <w:t>may</w:t>
      </w:r>
    </w:p>
    <w:p>
      <w:pPr>
        <w:spacing w:after="0" w:line="480" w:lineRule="auto"/>
        <w:jc w:val="both"/>
        <w:rPr>
          <w:sz w:val="24"/>
        </w:rPr>
        <w:sectPr>
          <w:pgSz w:w="12240" w:h="15840"/>
          <w:pgMar w:header="0" w:footer="792" w:top="1320" w:bottom="980" w:left="1080" w:right="760"/>
        </w:sectPr>
      </w:pPr>
    </w:p>
    <w:p>
      <w:pPr>
        <w:pStyle w:val="BodyText"/>
        <w:spacing w:line="480" w:lineRule="auto" w:before="72"/>
        <w:ind w:left="648" w:right="683"/>
        <w:jc w:val="both"/>
      </w:pPr>
      <w:r>
        <w:rPr/>
        <w:t>account for their sedative properties (White, 1999), additionally, barbiturates can block high</w:t>
      </w:r>
      <w:r>
        <w:rPr>
          <w:spacing w:val="1"/>
        </w:rPr>
        <w:t> </w:t>
      </w:r>
      <w:r>
        <w:rPr/>
        <w:t>voltage activated Ca</w:t>
      </w:r>
      <w:r>
        <w:rPr>
          <w:vertAlign w:val="superscript"/>
        </w:rPr>
        <w:t>2+</w:t>
      </w:r>
      <w:r>
        <w:rPr>
          <w:vertAlign w:val="baseline"/>
        </w:rPr>
        <w:t> channels (Rogawski and Porter, 1990; Ferraro and Buono, 2005) and</w:t>
      </w:r>
      <w:r>
        <w:rPr>
          <w:spacing w:val="1"/>
          <w:vertAlign w:val="baseline"/>
        </w:rPr>
        <w:t> </w:t>
      </w:r>
      <w:r>
        <w:rPr>
          <w:vertAlign w:val="baseline"/>
        </w:rPr>
        <w:t>also inhibit AMPA/Kainate subtype of glutamate receptors (Davies, 1995; Ferraro and Buono,</w:t>
      </w:r>
      <w:r>
        <w:rPr>
          <w:spacing w:val="-57"/>
          <w:vertAlign w:val="baseline"/>
        </w:rPr>
        <w:t> </w:t>
      </w:r>
      <w:r>
        <w:rPr>
          <w:vertAlign w:val="baseline"/>
        </w:rPr>
        <w:t>2005).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ListParagraph"/>
        <w:numPr>
          <w:ilvl w:val="0"/>
          <w:numId w:val="17"/>
        </w:numPr>
        <w:tabs>
          <w:tab w:pos="844" w:val="left" w:leader="none"/>
        </w:tabs>
        <w:spacing w:line="480" w:lineRule="auto" w:before="0" w:after="0"/>
        <w:ind w:left="648" w:right="678" w:firstLine="0"/>
        <w:jc w:val="both"/>
        <w:rPr>
          <w:sz w:val="24"/>
        </w:rPr>
      </w:pPr>
      <w:r>
        <w:rPr>
          <w:b/>
          <w:i/>
          <w:sz w:val="24"/>
        </w:rPr>
        <w:t>Benzodiazepines;</w:t>
      </w:r>
      <w:r>
        <w:rPr>
          <w:b/>
          <w:i/>
          <w:spacing w:val="1"/>
          <w:sz w:val="24"/>
        </w:rPr>
        <w:t> </w:t>
      </w:r>
      <w:r>
        <w:rPr>
          <w:sz w:val="24"/>
        </w:rPr>
        <w:t>More</w:t>
      </w:r>
      <w:r>
        <w:rPr>
          <w:spacing w:val="1"/>
          <w:sz w:val="24"/>
        </w:rPr>
        <w:t> </w:t>
      </w:r>
      <w:r>
        <w:rPr>
          <w:sz w:val="24"/>
        </w:rPr>
        <w:t>than</w:t>
      </w:r>
      <w:r>
        <w:rPr>
          <w:spacing w:val="1"/>
          <w:sz w:val="24"/>
        </w:rPr>
        <w:t> </w:t>
      </w:r>
      <w:r>
        <w:rPr>
          <w:sz w:val="24"/>
        </w:rPr>
        <w:t>50</w:t>
      </w:r>
      <w:r>
        <w:rPr>
          <w:spacing w:val="1"/>
          <w:sz w:val="24"/>
        </w:rPr>
        <w:t> </w:t>
      </w:r>
      <w:r>
        <w:rPr>
          <w:sz w:val="24"/>
        </w:rPr>
        <w:t>chemically</w:t>
      </w:r>
      <w:r>
        <w:rPr>
          <w:spacing w:val="1"/>
          <w:sz w:val="24"/>
        </w:rPr>
        <w:t> </w:t>
      </w:r>
      <w:r>
        <w:rPr>
          <w:sz w:val="24"/>
        </w:rPr>
        <w:t>distinct</w:t>
      </w:r>
      <w:r>
        <w:rPr>
          <w:spacing w:val="1"/>
          <w:sz w:val="24"/>
        </w:rPr>
        <w:t> </w:t>
      </w:r>
      <w:r>
        <w:rPr>
          <w:sz w:val="24"/>
        </w:rPr>
        <w:t>benzodiazepines</w:t>
      </w:r>
      <w:r>
        <w:rPr>
          <w:spacing w:val="1"/>
          <w:sz w:val="24"/>
        </w:rPr>
        <w:t> </w:t>
      </w:r>
      <w:r>
        <w:rPr>
          <w:sz w:val="24"/>
        </w:rPr>
        <w:t>are</w:t>
      </w:r>
      <w:r>
        <w:rPr>
          <w:spacing w:val="1"/>
          <w:sz w:val="24"/>
        </w:rPr>
        <w:t> </w:t>
      </w:r>
      <w:r>
        <w:rPr>
          <w:sz w:val="24"/>
        </w:rPr>
        <w:t>marketed</w:t>
      </w:r>
      <w:r>
        <w:rPr>
          <w:spacing w:val="-57"/>
          <w:sz w:val="24"/>
        </w:rPr>
        <w:t> </w:t>
      </w:r>
      <w:r>
        <w:rPr>
          <w:sz w:val="24"/>
        </w:rPr>
        <w:t>worldwide (Kwan </w:t>
      </w:r>
      <w:r>
        <w:rPr>
          <w:i/>
          <w:sz w:val="24"/>
        </w:rPr>
        <w:t>et al</w:t>
      </w:r>
      <w:r>
        <w:rPr>
          <w:sz w:val="24"/>
        </w:rPr>
        <w:t>., 2001) but among this only Diazepam, Lorazepam, clobazam and</w:t>
      </w:r>
      <w:r>
        <w:rPr>
          <w:spacing w:val="1"/>
          <w:sz w:val="24"/>
        </w:rPr>
        <w:t> </w:t>
      </w:r>
      <w:r>
        <w:rPr>
          <w:sz w:val="24"/>
        </w:rPr>
        <w:t>clonazepam are most commonly employed as AEDs (Dichter and Brodie, 1996). They are</w:t>
      </w:r>
      <w:r>
        <w:rPr>
          <w:spacing w:val="1"/>
          <w:sz w:val="24"/>
        </w:rPr>
        <w:t> </w:t>
      </w:r>
      <w:r>
        <w:rPr>
          <w:sz w:val="24"/>
        </w:rPr>
        <w:t>broad spectrum AEDs efficacious in the management of partial and idiopathic generalized</w:t>
      </w:r>
      <w:r>
        <w:rPr>
          <w:spacing w:val="1"/>
          <w:sz w:val="24"/>
        </w:rPr>
        <w:t> </w:t>
      </w:r>
      <w:r>
        <w:rPr>
          <w:sz w:val="24"/>
        </w:rPr>
        <w:t>epilepsies</w:t>
      </w:r>
      <w:r>
        <w:rPr>
          <w:spacing w:val="1"/>
          <w:sz w:val="24"/>
        </w:rPr>
        <w:t> </w:t>
      </w:r>
      <w:r>
        <w:rPr>
          <w:sz w:val="24"/>
        </w:rPr>
        <w:t>(Dichter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Brodie,</w:t>
      </w:r>
      <w:r>
        <w:rPr>
          <w:spacing w:val="1"/>
          <w:sz w:val="24"/>
        </w:rPr>
        <w:t> </w:t>
      </w:r>
      <w:r>
        <w:rPr>
          <w:sz w:val="24"/>
        </w:rPr>
        <w:t>1996)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also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acute</w:t>
      </w:r>
      <w:r>
        <w:rPr>
          <w:spacing w:val="1"/>
          <w:sz w:val="24"/>
        </w:rPr>
        <w:t> </w:t>
      </w:r>
      <w:r>
        <w:rPr>
          <w:sz w:val="24"/>
        </w:rPr>
        <w:t>treatment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status</w:t>
      </w:r>
      <w:r>
        <w:rPr>
          <w:spacing w:val="1"/>
          <w:sz w:val="24"/>
        </w:rPr>
        <w:t> </w:t>
      </w:r>
      <w:r>
        <w:rPr>
          <w:sz w:val="24"/>
        </w:rPr>
        <w:t>epilepticus</w:t>
      </w:r>
      <w:r>
        <w:rPr>
          <w:spacing w:val="-57"/>
          <w:sz w:val="24"/>
        </w:rPr>
        <w:t> </w:t>
      </w:r>
      <w:r>
        <w:rPr>
          <w:sz w:val="24"/>
        </w:rPr>
        <w:t>(Treiman</w:t>
      </w:r>
      <w:r>
        <w:rPr>
          <w:spacing w:val="-1"/>
          <w:sz w:val="24"/>
        </w:rPr>
        <w:t> </w:t>
      </w:r>
      <w:r>
        <w:rPr>
          <w:i/>
          <w:sz w:val="24"/>
        </w:rPr>
        <w:t>et al</w:t>
      </w:r>
      <w:r>
        <w:rPr>
          <w:sz w:val="24"/>
        </w:rPr>
        <w:t>., 1998).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line="480" w:lineRule="auto" w:before="155"/>
        <w:ind w:left="648" w:right="677"/>
        <w:jc w:val="both"/>
      </w:pPr>
      <w:r>
        <w:rPr/>
        <w:t>The benzodiazepines bind to the α subunit of the GABA</w:t>
      </w:r>
      <w:r>
        <w:rPr>
          <w:vertAlign w:val="subscript"/>
        </w:rPr>
        <w:t>A</w:t>
      </w:r>
      <w:r>
        <w:rPr>
          <w:vertAlign w:val="baseline"/>
        </w:rPr>
        <w:t> receptor (Macdonald and Kelly,</w:t>
      </w:r>
      <w:r>
        <w:rPr>
          <w:spacing w:val="1"/>
          <w:vertAlign w:val="baseline"/>
        </w:rPr>
        <w:t> </w:t>
      </w:r>
      <w:r>
        <w:rPr>
          <w:vertAlign w:val="baseline"/>
        </w:rPr>
        <w:t>1995) resulting in allosteric activation of the receptor, increasing the frequency of Cl</w:t>
      </w:r>
      <w:r>
        <w:rPr>
          <w:vertAlign w:val="superscript"/>
        </w:rPr>
        <w:t>-</w:t>
      </w:r>
      <w:r>
        <w:rPr>
          <w:vertAlign w:val="baseline"/>
        </w:rPr>
        <w:t> channel</w:t>
      </w:r>
      <w:r>
        <w:rPr>
          <w:spacing w:val="1"/>
          <w:vertAlign w:val="baseline"/>
        </w:rPr>
        <w:t> </w:t>
      </w:r>
      <w:r>
        <w:rPr>
          <w:vertAlign w:val="baseline"/>
        </w:rPr>
        <w:t>opening, without affecting open duration or channel conductance (Twyman </w:t>
      </w:r>
      <w:r>
        <w:rPr>
          <w:i/>
          <w:vertAlign w:val="baseline"/>
        </w:rPr>
        <w:t>et al</w:t>
      </w:r>
      <w:r>
        <w:rPr>
          <w:vertAlign w:val="baseline"/>
        </w:rPr>
        <w:t>., 1989).</w:t>
      </w:r>
      <w:r>
        <w:rPr>
          <w:spacing w:val="1"/>
          <w:vertAlign w:val="baseline"/>
        </w:rPr>
        <w:t> </w:t>
      </w:r>
      <w:r>
        <w:rPr>
          <w:vertAlign w:val="baseline"/>
        </w:rPr>
        <w:t>Unlike</w:t>
      </w:r>
      <w:r>
        <w:rPr>
          <w:spacing w:val="1"/>
          <w:vertAlign w:val="baseline"/>
        </w:rPr>
        <w:t> </w:t>
      </w:r>
      <w:r>
        <w:rPr>
          <w:vertAlign w:val="baseline"/>
        </w:rPr>
        <w:t>Barbiturates,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benzodiazepines</w:t>
      </w:r>
      <w:r>
        <w:rPr>
          <w:spacing w:val="1"/>
          <w:vertAlign w:val="baseline"/>
        </w:rPr>
        <w:t> </w:t>
      </w:r>
      <w:r>
        <w:rPr>
          <w:vertAlign w:val="baseline"/>
        </w:rPr>
        <w:t>are</w:t>
      </w:r>
      <w:r>
        <w:rPr>
          <w:spacing w:val="1"/>
          <w:vertAlign w:val="baseline"/>
        </w:rPr>
        <w:t> </w:t>
      </w:r>
      <w:r>
        <w:rPr>
          <w:vertAlign w:val="baseline"/>
        </w:rPr>
        <w:t>unable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activate</w:t>
      </w:r>
      <w:r>
        <w:rPr>
          <w:spacing w:val="1"/>
          <w:vertAlign w:val="baseline"/>
        </w:rPr>
        <w:t> </w:t>
      </w:r>
      <w:r>
        <w:rPr>
          <w:vertAlign w:val="baseline"/>
        </w:rPr>
        <w:t>GABA</w:t>
      </w:r>
      <w:r>
        <w:rPr>
          <w:vertAlign w:val="subscript"/>
        </w:rPr>
        <w:t>A</w:t>
      </w:r>
      <w:r>
        <w:rPr>
          <w:vertAlign w:val="baseline"/>
        </w:rPr>
        <w:t> receptor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absence of GABA (White, 1999). Augmentation of GABAergic inhibition in the thalamus can</w:t>
      </w:r>
      <w:r>
        <w:rPr>
          <w:spacing w:val="-57"/>
          <w:vertAlign w:val="baseline"/>
        </w:rPr>
        <w:t> </w:t>
      </w:r>
      <w:r>
        <w:rPr>
          <w:vertAlign w:val="baseline"/>
        </w:rPr>
        <w:t>result in the de-inactivation of T-type Ca</w:t>
      </w:r>
      <w:r>
        <w:rPr>
          <w:vertAlign w:val="superscript"/>
        </w:rPr>
        <w:t>2+</w:t>
      </w:r>
      <w:r>
        <w:rPr>
          <w:vertAlign w:val="baseline"/>
        </w:rPr>
        <w:t> channels, triggering a strong low threshold burst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enhancing</w:t>
      </w:r>
      <w:r>
        <w:rPr>
          <w:spacing w:val="1"/>
          <w:vertAlign w:val="baseline"/>
        </w:rPr>
        <w:t> </w:t>
      </w:r>
      <w:r>
        <w:rPr>
          <w:vertAlign w:val="baseline"/>
        </w:rPr>
        <w:t>development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thalamocortical</w:t>
      </w:r>
      <w:r>
        <w:rPr>
          <w:spacing w:val="1"/>
          <w:vertAlign w:val="baseline"/>
        </w:rPr>
        <w:t> </w:t>
      </w:r>
      <w:r>
        <w:rPr>
          <w:vertAlign w:val="baseline"/>
        </w:rPr>
        <w:t>rhythmicity</w:t>
      </w:r>
      <w:r>
        <w:rPr>
          <w:spacing w:val="1"/>
          <w:vertAlign w:val="baseline"/>
        </w:rPr>
        <w:t> </w:t>
      </w:r>
      <w:r>
        <w:rPr>
          <w:vertAlign w:val="baseline"/>
        </w:rPr>
        <w:t>that</w:t>
      </w:r>
      <w:r>
        <w:rPr>
          <w:spacing w:val="1"/>
          <w:vertAlign w:val="baseline"/>
        </w:rPr>
        <w:t> </w:t>
      </w:r>
      <w:r>
        <w:rPr>
          <w:vertAlign w:val="baseline"/>
        </w:rPr>
        <w:t>is</w:t>
      </w:r>
      <w:r>
        <w:rPr>
          <w:spacing w:val="1"/>
          <w:vertAlign w:val="baseline"/>
        </w:rPr>
        <w:t> </w:t>
      </w:r>
      <w:r>
        <w:rPr>
          <w:vertAlign w:val="baseline"/>
        </w:rPr>
        <w:t>characteristic</w:t>
      </w:r>
      <w:r>
        <w:rPr>
          <w:spacing w:val="60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absence</w:t>
      </w:r>
      <w:r>
        <w:rPr>
          <w:spacing w:val="-2"/>
          <w:vertAlign w:val="baseline"/>
        </w:rPr>
        <w:t> </w:t>
      </w:r>
      <w:r>
        <w:rPr>
          <w:vertAlign w:val="baseline"/>
        </w:rPr>
        <w:t>seizures (Coulter, 1997).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ListParagraph"/>
        <w:numPr>
          <w:ilvl w:val="0"/>
          <w:numId w:val="17"/>
        </w:numPr>
        <w:tabs>
          <w:tab w:pos="912" w:val="left" w:leader="none"/>
        </w:tabs>
        <w:spacing w:line="480" w:lineRule="auto" w:before="0" w:after="0"/>
        <w:ind w:left="648" w:right="678" w:firstLine="0"/>
        <w:jc w:val="both"/>
        <w:rPr>
          <w:sz w:val="24"/>
        </w:rPr>
      </w:pPr>
      <w:r>
        <w:rPr>
          <w:b/>
          <w:i/>
          <w:sz w:val="24"/>
        </w:rPr>
        <w:t>Vigabatrin; Vigabatrin </w:t>
      </w:r>
      <w:r>
        <w:rPr>
          <w:sz w:val="24"/>
        </w:rPr>
        <w:t>inhibits GABA-T; the enzyme responsible for the catabolism of</w:t>
      </w:r>
      <w:r>
        <w:rPr>
          <w:spacing w:val="1"/>
          <w:sz w:val="24"/>
        </w:rPr>
        <w:t> </w:t>
      </w:r>
      <w:r>
        <w:rPr>
          <w:sz w:val="24"/>
        </w:rPr>
        <w:t>GABA</w:t>
      </w:r>
      <w:r>
        <w:rPr>
          <w:spacing w:val="8"/>
          <w:sz w:val="24"/>
        </w:rPr>
        <w:t> </w:t>
      </w:r>
      <w:r>
        <w:rPr>
          <w:sz w:val="24"/>
        </w:rPr>
        <w:t>(Jung</w:t>
      </w:r>
      <w:r>
        <w:rPr>
          <w:spacing w:val="5"/>
          <w:sz w:val="24"/>
        </w:rPr>
        <w:t> </w:t>
      </w:r>
      <w:r>
        <w:rPr>
          <w:i/>
          <w:sz w:val="24"/>
        </w:rPr>
        <w:t>et</w:t>
      </w:r>
      <w:r>
        <w:rPr>
          <w:i/>
          <w:spacing w:val="7"/>
          <w:sz w:val="24"/>
        </w:rPr>
        <w:t> </w:t>
      </w:r>
      <w:r>
        <w:rPr>
          <w:i/>
          <w:sz w:val="24"/>
        </w:rPr>
        <w:t>al</w:t>
      </w:r>
      <w:r>
        <w:rPr>
          <w:sz w:val="24"/>
        </w:rPr>
        <w:t>.,</w:t>
      </w:r>
      <w:r>
        <w:rPr>
          <w:spacing w:val="6"/>
          <w:sz w:val="24"/>
        </w:rPr>
        <w:t> </w:t>
      </w:r>
      <w:r>
        <w:rPr>
          <w:sz w:val="24"/>
        </w:rPr>
        <w:t>1977),</w:t>
      </w:r>
      <w:r>
        <w:rPr>
          <w:spacing w:val="6"/>
          <w:sz w:val="24"/>
        </w:rPr>
        <w:t> </w:t>
      </w:r>
      <w:r>
        <w:rPr>
          <w:sz w:val="24"/>
        </w:rPr>
        <w:t>consequently,</w:t>
      </w:r>
      <w:r>
        <w:rPr>
          <w:spacing w:val="6"/>
          <w:sz w:val="24"/>
        </w:rPr>
        <w:t> </w:t>
      </w:r>
      <w:r>
        <w:rPr>
          <w:sz w:val="24"/>
        </w:rPr>
        <w:t>GABA</w:t>
      </w:r>
      <w:r>
        <w:rPr>
          <w:spacing w:val="6"/>
          <w:sz w:val="24"/>
        </w:rPr>
        <w:t> </w:t>
      </w:r>
      <w:r>
        <w:rPr>
          <w:sz w:val="24"/>
        </w:rPr>
        <w:t>level</w:t>
      </w:r>
      <w:r>
        <w:rPr>
          <w:spacing w:val="7"/>
          <w:sz w:val="24"/>
        </w:rPr>
        <w:t> </w:t>
      </w:r>
      <w:r>
        <w:rPr>
          <w:sz w:val="24"/>
        </w:rPr>
        <w:t>is</w:t>
      </w:r>
      <w:r>
        <w:rPr>
          <w:spacing w:val="7"/>
          <w:sz w:val="24"/>
        </w:rPr>
        <w:t> </w:t>
      </w:r>
      <w:r>
        <w:rPr>
          <w:sz w:val="24"/>
        </w:rPr>
        <w:t>elevated,</w:t>
      </w:r>
      <w:r>
        <w:rPr>
          <w:spacing w:val="6"/>
          <w:sz w:val="24"/>
        </w:rPr>
        <w:t> </w:t>
      </w:r>
      <w:r>
        <w:rPr>
          <w:sz w:val="24"/>
        </w:rPr>
        <w:t>thereby</w:t>
      </w:r>
      <w:r>
        <w:rPr>
          <w:spacing w:val="2"/>
          <w:sz w:val="24"/>
        </w:rPr>
        <w:t> </w:t>
      </w:r>
      <w:r>
        <w:rPr>
          <w:sz w:val="24"/>
        </w:rPr>
        <w:t>potentiating</w:t>
      </w:r>
    </w:p>
    <w:p>
      <w:pPr>
        <w:spacing w:after="0" w:line="480" w:lineRule="auto"/>
        <w:jc w:val="both"/>
        <w:rPr>
          <w:sz w:val="24"/>
        </w:rPr>
        <w:sectPr>
          <w:pgSz w:w="12240" w:h="15840"/>
          <w:pgMar w:header="0" w:footer="792" w:top="1360" w:bottom="980" w:left="1080" w:right="760"/>
        </w:sectPr>
      </w:pPr>
    </w:p>
    <w:p>
      <w:pPr>
        <w:pStyle w:val="BodyText"/>
        <w:spacing w:line="480" w:lineRule="auto" w:before="72"/>
        <w:ind w:left="648" w:right="678"/>
        <w:jc w:val="both"/>
      </w:pPr>
      <w:r>
        <w:rPr/>
        <w:t>inhibitory neurotransmission throughout the brain (Schechter</w:t>
      </w:r>
      <w:r>
        <w:rPr>
          <w:spacing w:val="60"/>
        </w:rPr>
        <w:t> </w:t>
      </w:r>
      <w:r>
        <w:rPr>
          <w:i/>
        </w:rPr>
        <w:t>et al</w:t>
      </w:r>
      <w:r>
        <w:rPr/>
        <w:t>., 1977). It is transformed</w:t>
      </w:r>
      <w:r>
        <w:rPr>
          <w:spacing w:val="1"/>
        </w:rPr>
        <w:t> </w:t>
      </w:r>
      <w:r>
        <w:rPr/>
        <w:t>by</w:t>
      </w:r>
      <w:r>
        <w:rPr>
          <w:spacing w:val="10"/>
        </w:rPr>
        <w:t> </w:t>
      </w:r>
      <w:r>
        <w:rPr/>
        <w:t>GABA-T</w:t>
      </w:r>
      <w:r>
        <w:rPr>
          <w:spacing w:val="16"/>
        </w:rPr>
        <w:t> </w:t>
      </w:r>
      <w:r>
        <w:rPr/>
        <w:t>to</w:t>
      </w:r>
      <w:r>
        <w:rPr>
          <w:spacing w:val="17"/>
        </w:rPr>
        <w:t> </w:t>
      </w:r>
      <w:r>
        <w:rPr/>
        <w:t>an</w:t>
      </w:r>
      <w:r>
        <w:rPr>
          <w:spacing w:val="17"/>
        </w:rPr>
        <w:t> </w:t>
      </w:r>
      <w:r>
        <w:rPr/>
        <w:t>active</w:t>
      </w:r>
      <w:r>
        <w:rPr>
          <w:spacing w:val="17"/>
        </w:rPr>
        <w:t> </w:t>
      </w:r>
      <w:r>
        <w:rPr/>
        <w:t>metabolite</w:t>
      </w:r>
      <w:r>
        <w:rPr>
          <w:spacing w:val="16"/>
        </w:rPr>
        <w:t> </w:t>
      </w:r>
      <w:r>
        <w:rPr/>
        <w:t>which</w:t>
      </w:r>
      <w:r>
        <w:rPr>
          <w:spacing w:val="15"/>
        </w:rPr>
        <w:t> </w:t>
      </w:r>
      <w:r>
        <w:rPr/>
        <w:t>consequently,</w:t>
      </w:r>
      <w:r>
        <w:rPr>
          <w:spacing w:val="16"/>
        </w:rPr>
        <w:t> </w:t>
      </w:r>
      <w:r>
        <w:rPr/>
        <w:t>irreversibly</w:t>
      </w:r>
      <w:r>
        <w:rPr>
          <w:spacing w:val="11"/>
        </w:rPr>
        <w:t> </w:t>
      </w:r>
      <w:r>
        <w:rPr/>
        <w:t>binds</w:t>
      </w:r>
      <w:r>
        <w:rPr>
          <w:spacing w:val="15"/>
        </w:rPr>
        <w:t> </w:t>
      </w:r>
      <w:r>
        <w:rPr/>
        <w:t>to</w:t>
      </w:r>
      <w:r>
        <w:rPr>
          <w:spacing w:val="17"/>
        </w:rPr>
        <w:t> </w:t>
      </w:r>
      <w:r>
        <w:rPr/>
        <w:t>the</w:t>
      </w:r>
      <w:r>
        <w:rPr>
          <w:spacing w:val="16"/>
        </w:rPr>
        <w:t> </w:t>
      </w:r>
      <w:r>
        <w:rPr/>
        <w:t>active</w:t>
      </w:r>
      <w:r>
        <w:rPr>
          <w:spacing w:val="14"/>
        </w:rPr>
        <w:t> </w:t>
      </w:r>
      <w:r>
        <w:rPr/>
        <w:t>site</w:t>
      </w:r>
      <w:r>
        <w:rPr>
          <w:spacing w:val="-57"/>
        </w:rPr>
        <w:t> </w:t>
      </w:r>
      <w:r>
        <w:rPr/>
        <w:t>of the enzyme (Lippert</w:t>
      </w:r>
      <w:r>
        <w:rPr>
          <w:spacing w:val="1"/>
        </w:rPr>
        <w:t> </w:t>
      </w:r>
      <w:r>
        <w:rPr>
          <w:i/>
        </w:rPr>
        <w:t>et al</w:t>
      </w:r>
      <w:r>
        <w:rPr/>
        <w:t>., 1977). Evidence</w:t>
      </w:r>
      <w:r>
        <w:rPr>
          <w:spacing w:val="60"/>
        </w:rPr>
        <w:t> </w:t>
      </w:r>
      <w:r>
        <w:rPr/>
        <w:t>also exists suggesting that vigabatrin may</w:t>
      </w:r>
      <w:r>
        <w:rPr>
          <w:spacing w:val="1"/>
        </w:rPr>
        <w:t> </w:t>
      </w:r>
      <w:r>
        <w:rPr/>
        <w:t>block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uptake</w:t>
      </w:r>
      <w:r>
        <w:rPr>
          <w:spacing w:val="-2"/>
        </w:rPr>
        <w:t> </w:t>
      </w:r>
      <w:r>
        <w:rPr/>
        <w:t>of GABA into glial</w:t>
      </w:r>
      <w:r>
        <w:rPr>
          <w:spacing w:val="-1"/>
        </w:rPr>
        <w:t> </w:t>
      </w:r>
      <w:r>
        <w:rPr/>
        <w:t>cells (Leach</w:t>
      </w:r>
      <w:r>
        <w:rPr>
          <w:spacing w:val="5"/>
        </w:rPr>
        <w:t> </w:t>
      </w:r>
      <w:r>
        <w:rPr>
          <w:i/>
        </w:rPr>
        <w:t>et al</w:t>
      </w:r>
      <w:r>
        <w:rPr/>
        <w:t>., 1996).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/>
        <w:ind w:left="648" w:right="681"/>
        <w:jc w:val="both"/>
      </w:pPr>
      <w:r>
        <w:rPr/>
        <w:t>Vigabatrin is approved as adjunctive therapy for partial seizures with or without secondary</w:t>
      </w:r>
      <w:r>
        <w:rPr>
          <w:spacing w:val="1"/>
        </w:rPr>
        <w:t> </w:t>
      </w:r>
      <w:r>
        <w:rPr/>
        <w:t>generalizations (Dichter and Brodie, 1996) there is also evidence of efficacy against infantile</w:t>
      </w:r>
      <w:r>
        <w:rPr>
          <w:spacing w:val="1"/>
        </w:rPr>
        <w:t> </w:t>
      </w:r>
      <w:r>
        <w:rPr/>
        <w:t>spasms</w:t>
      </w:r>
      <w:r>
        <w:rPr>
          <w:spacing w:val="-1"/>
        </w:rPr>
        <w:t> </w:t>
      </w:r>
      <w:r>
        <w:rPr/>
        <w:t>(Appleton </w:t>
      </w:r>
      <w:r>
        <w:rPr>
          <w:i/>
        </w:rPr>
        <w:t>et al., </w:t>
      </w:r>
      <w:r>
        <w:rPr/>
        <w:t>1999).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ListParagraph"/>
        <w:numPr>
          <w:ilvl w:val="0"/>
          <w:numId w:val="17"/>
        </w:numPr>
        <w:tabs>
          <w:tab w:pos="897" w:val="left" w:leader="none"/>
        </w:tabs>
        <w:spacing w:line="480" w:lineRule="auto" w:before="0" w:after="0"/>
        <w:ind w:left="648" w:right="675" w:firstLine="0"/>
        <w:jc w:val="both"/>
        <w:rPr>
          <w:sz w:val="24"/>
        </w:rPr>
      </w:pPr>
      <w:r>
        <w:rPr>
          <w:b/>
          <w:i/>
          <w:sz w:val="24"/>
        </w:rPr>
        <w:t>Tiagabine; </w:t>
      </w:r>
      <w:r>
        <w:rPr>
          <w:sz w:val="24"/>
        </w:rPr>
        <w:t>It is licensed for the adjunctive management of partial seizures with or without</w:t>
      </w:r>
      <w:r>
        <w:rPr>
          <w:spacing w:val="1"/>
          <w:sz w:val="24"/>
        </w:rPr>
        <w:t> </w:t>
      </w:r>
      <w:r>
        <w:rPr>
          <w:sz w:val="24"/>
        </w:rPr>
        <w:t>secondary generalizations (Leach and Brodie, 1998). Tiagabine inhibits GABA uptake into</w:t>
      </w:r>
      <w:r>
        <w:rPr>
          <w:spacing w:val="1"/>
          <w:sz w:val="24"/>
        </w:rPr>
        <w:t> </w:t>
      </w:r>
      <w:r>
        <w:rPr>
          <w:sz w:val="24"/>
        </w:rPr>
        <w:t>synaptosomal membranes, neurons and glial cells (Kwan </w:t>
      </w:r>
      <w:r>
        <w:rPr>
          <w:i/>
          <w:sz w:val="24"/>
        </w:rPr>
        <w:t>et al</w:t>
      </w:r>
      <w:r>
        <w:rPr>
          <w:sz w:val="24"/>
        </w:rPr>
        <w:t>., 2001) and it has a greater</w:t>
      </w:r>
      <w:r>
        <w:rPr>
          <w:spacing w:val="1"/>
          <w:sz w:val="24"/>
        </w:rPr>
        <w:t> </w:t>
      </w:r>
      <w:r>
        <w:rPr>
          <w:sz w:val="24"/>
        </w:rPr>
        <w:t>affinity (2.5-fold) for glial than for neuronal uptake (Braestrup </w:t>
      </w:r>
      <w:r>
        <w:rPr>
          <w:i/>
          <w:sz w:val="24"/>
        </w:rPr>
        <w:t>et al</w:t>
      </w:r>
      <w:r>
        <w:rPr>
          <w:sz w:val="24"/>
        </w:rPr>
        <w:t>., 1990). Tiagabine has a</w:t>
      </w:r>
      <w:r>
        <w:rPr>
          <w:spacing w:val="1"/>
          <w:sz w:val="24"/>
        </w:rPr>
        <w:t> </w:t>
      </w:r>
      <w:r>
        <w:rPr>
          <w:sz w:val="24"/>
        </w:rPr>
        <w:t>selective action on the GAT-1 GABA transporter, with little or no activity on GAT-2, GAT-3,</w:t>
      </w:r>
      <w:r>
        <w:rPr>
          <w:spacing w:val="-57"/>
          <w:sz w:val="24"/>
        </w:rPr>
        <w:t> </w:t>
      </w:r>
      <w:r>
        <w:rPr>
          <w:sz w:val="24"/>
        </w:rPr>
        <w:t>or BGT-1 (Borden </w:t>
      </w:r>
      <w:r>
        <w:rPr>
          <w:i/>
          <w:sz w:val="24"/>
        </w:rPr>
        <w:t>et al</w:t>
      </w:r>
      <w:r>
        <w:rPr>
          <w:sz w:val="24"/>
        </w:rPr>
        <w:t>., 1994), hence, the pharmacological effects of Tiagabine reflects the</w:t>
      </w:r>
      <w:r>
        <w:rPr>
          <w:spacing w:val="1"/>
          <w:sz w:val="24"/>
        </w:rPr>
        <w:t> </w:t>
      </w:r>
      <w:r>
        <w:rPr>
          <w:sz w:val="24"/>
        </w:rPr>
        <w:t>regional</w:t>
      </w:r>
      <w:r>
        <w:rPr>
          <w:spacing w:val="1"/>
          <w:sz w:val="24"/>
        </w:rPr>
        <w:t> </w:t>
      </w:r>
      <w:r>
        <w:rPr>
          <w:sz w:val="24"/>
        </w:rPr>
        <w:t>distribution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GAT-1,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mainly</w:t>
      </w:r>
      <w:r>
        <w:rPr>
          <w:spacing w:val="1"/>
          <w:sz w:val="24"/>
        </w:rPr>
        <w:t> </w:t>
      </w:r>
      <w:r>
        <w:rPr>
          <w:sz w:val="24"/>
        </w:rPr>
        <w:t>restricted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cerebral</w:t>
      </w:r>
      <w:r>
        <w:rPr>
          <w:spacing w:val="1"/>
          <w:sz w:val="24"/>
        </w:rPr>
        <w:t> </w:t>
      </w:r>
      <w:r>
        <w:rPr>
          <w:sz w:val="24"/>
        </w:rPr>
        <w:t>cortex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hippocampus</w:t>
      </w:r>
      <w:r>
        <w:rPr>
          <w:spacing w:val="-1"/>
          <w:sz w:val="24"/>
        </w:rPr>
        <w:t> </w:t>
      </w:r>
      <w:r>
        <w:rPr>
          <w:sz w:val="24"/>
        </w:rPr>
        <w:t>(Meldrum</w:t>
      </w:r>
      <w:r>
        <w:rPr>
          <w:spacing w:val="2"/>
          <w:sz w:val="24"/>
        </w:rPr>
        <w:t> </w:t>
      </w:r>
      <w:r>
        <w:rPr>
          <w:sz w:val="24"/>
        </w:rPr>
        <w:t>and Chapman, 1999).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2"/>
        <w:numPr>
          <w:ilvl w:val="2"/>
          <w:numId w:val="15"/>
        </w:numPr>
        <w:tabs>
          <w:tab w:pos="995" w:val="left" w:leader="none"/>
        </w:tabs>
        <w:spacing w:line="240" w:lineRule="auto" w:before="1" w:after="0"/>
        <w:ind w:left="994" w:right="0" w:hanging="347"/>
        <w:jc w:val="both"/>
      </w:pPr>
      <w:r>
        <w:rPr/>
        <w:t>Agents</w:t>
      </w:r>
      <w:r>
        <w:rPr>
          <w:spacing w:val="-1"/>
        </w:rPr>
        <w:t> </w:t>
      </w:r>
      <w:r>
        <w:rPr/>
        <w:t>with</w:t>
      </w:r>
      <w:r>
        <w:rPr>
          <w:spacing w:val="-2"/>
        </w:rPr>
        <w:t> </w:t>
      </w:r>
      <w:r>
        <w:rPr/>
        <w:t>multiple</w:t>
      </w:r>
      <w:r>
        <w:rPr>
          <w:spacing w:val="-1"/>
        </w:rPr>
        <w:t> </w:t>
      </w:r>
      <w:r>
        <w:rPr/>
        <w:t>mechanisms of</w:t>
      </w:r>
      <w:r>
        <w:rPr>
          <w:spacing w:val="-1"/>
        </w:rPr>
        <w:t> </w:t>
      </w:r>
      <w:r>
        <w:rPr/>
        <w:t>action</w:t>
      </w:r>
    </w:p>
    <w:p>
      <w:pPr>
        <w:pStyle w:val="BodyText"/>
        <w:spacing w:before="7"/>
        <w:rPr>
          <w:b/>
          <w:i/>
          <w:sz w:val="23"/>
        </w:rPr>
      </w:pPr>
    </w:p>
    <w:p>
      <w:pPr>
        <w:pStyle w:val="BodyText"/>
        <w:spacing w:line="480" w:lineRule="auto"/>
        <w:ind w:left="648" w:right="679"/>
        <w:jc w:val="both"/>
      </w:pPr>
      <w:r>
        <w:rPr>
          <w:b/>
        </w:rPr>
        <w:t>I.Sodium</w:t>
      </w:r>
      <w:r>
        <w:rPr>
          <w:b/>
          <w:spacing w:val="1"/>
        </w:rPr>
        <w:t> </w:t>
      </w:r>
      <w:r>
        <w:rPr>
          <w:b/>
          <w:i/>
        </w:rPr>
        <w:t>Valproate;</w:t>
      </w:r>
      <w:r>
        <w:rPr>
          <w:b/>
          <w:i/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antiepileptic</w:t>
      </w:r>
      <w:r>
        <w:rPr>
          <w:spacing w:val="1"/>
        </w:rPr>
        <w:t> </w:t>
      </w:r>
      <w:r>
        <w:rPr/>
        <w:t>properties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valproic</w:t>
      </w:r>
      <w:r>
        <w:rPr>
          <w:spacing w:val="1"/>
        </w:rPr>
        <w:t> </w:t>
      </w:r>
      <w:r>
        <w:rPr/>
        <w:t>acid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discovered</w:t>
      </w:r>
      <w:r>
        <w:rPr>
          <w:spacing w:val="-57"/>
        </w:rPr>
        <w:t> </w:t>
      </w:r>
      <w:r>
        <w:rPr/>
        <w:t>serendipitously when valproic acid was employed in animal studies as a solvent for drugs</w:t>
      </w:r>
      <w:r>
        <w:rPr>
          <w:spacing w:val="1"/>
        </w:rPr>
        <w:t> </w:t>
      </w:r>
      <w:r>
        <w:rPr/>
        <w:t>under formal investigation (Meunier </w:t>
      </w:r>
      <w:r>
        <w:rPr>
          <w:i/>
        </w:rPr>
        <w:t>et al., </w:t>
      </w:r>
      <w:r>
        <w:rPr/>
        <w:t>1963). Valproic acid has been reported to block</w:t>
      </w:r>
      <w:r>
        <w:rPr>
          <w:spacing w:val="1"/>
        </w:rPr>
        <w:t> </w:t>
      </w:r>
      <w:r>
        <w:rPr/>
        <w:t>voltage</w:t>
      </w:r>
      <w:r>
        <w:rPr>
          <w:spacing w:val="16"/>
        </w:rPr>
        <w:t> </w:t>
      </w:r>
      <w:r>
        <w:rPr/>
        <w:t>dependent</w:t>
      </w:r>
      <w:r>
        <w:rPr>
          <w:spacing w:val="17"/>
        </w:rPr>
        <w:t> </w:t>
      </w:r>
      <w:r>
        <w:rPr/>
        <w:t>Na</w:t>
      </w:r>
      <w:r>
        <w:rPr>
          <w:vertAlign w:val="superscript"/>
        </w:rPr>
        <w:t>+</w:t>
      </w:r>
      <w:r>
        <w:rPr>
          <w:spacing w:val="18"/>
          <w:vertAlign w:val="baseline"/>
        </w:rPr>
        <w:t> </w:t>
      </w:r>
      <w:r>
        <w:rPr>
          <w:vertAlign w:val="baseline"/>
        </w:rPr>
        <w:t>channels</w:t>
      </w:r>
      <w:r>
        <w:rPr>
          <w:spacing w:val="17"/>
          <w:vertAlign w:val="baseline"/>
        </w:rPr>
        <w:t> </w:t>
      </w:r>
      <w:r>
        <w:rPr>
          <w:vertAlign w:val="baseline"/>
        </w:rPr>
        <w:t>(Kwan</w:t>
      </w:r>
      <w:r>
        <w:rPr>
          <w:spacing w:val="19"/>
          <w:vertAlign w:val="baseline"/>
        </w:rPr>
        <w:t> </w:t>
      </w:r>
      <w:r>
        <w:rPr>
          <w:i/>
          <w:vertAlign w:val="baseline"/>
        </w:rPr>
        <w:t>et</w:t>
      </w:r>
      <w:r>
        <w:rPr>
          <w:i/>
          <w:spacing w:val="17"/>
          <w:vertAlign w:val="baseline"/>
        </w:rPr>
        <w:t> </w:t>
      </w:r>
      <w:r>
        <w:rPr>
          <w:i/>
          <w:vertAlign w:val="baseline"/>
        </w:rPr>
        <w:t>al</w:t>
      </w:r>
      <w:r>
        <w:rPr>
          <w:vertAlign w:val="baseline"/>
        </w:rPr>
        <w:t>.,</w:t>
      </w:r>
      <w:r>
        <w:rPr>
          <w:spacing w:val="17"/>
          <w:vertAlign w:val="baseline"/>
        </w:rPr>
        <w:t> </w:t>
      </w:r>
      <w:r>
        <w:rPr>
          <w:vertAlign w:val="baseline"/>
        </w:rPr>
        <w:t>2001),</w:t>
      </w:r>
      <w:r>
        <w:rPr>
          <w:spacing w:val="16"/>
          <w:vertAlign w:val="baseline"/>
        </w:rPr>
        <w:t> </w:t>
      </w:r>
      <w:r>
        <w:rPr>
          <w:vertAlign w:val="baseline"/>
        </w:rPr>
        <w:t>it</w:t>
      </w:r>
      <w:r>
        <w:rPr>
          <w:spacing w:val="18"/>
          <w:vertAlign w:val="baseline"/>
        </w:rPr>
        <w:t> </w:t>
      </w:r>
      <w:r>
        <w:rPr>
          <w:vertAlign w:val="baseline"/>
        </w:rPr>
        <w:t>reduces</w:t>
      </w:r>
      <w:r>
        <w:rPr>
          <w:spacing w:val="17"/>
          <w:vertAlign w:val="baseline"/>
        </w:rPr>
        <w:t> </w:t>
      </w:r>
      <w:r>
        <w:rPr>
          <w:vertAlign w:val="baseline"/>
        </w:rPr>
        <w:t>sustained</w:t>
      </w:r>
      <w:r>
        <w:rPr>
          <w:spacing w:val="17"/>
          <w:vertAlign w:val="baseline"/>
        </w:rPr>
        <w:t> </w:t>
      </w:r>
      <w:r>
        <w:rPr>
          <w:vertAlign w:val="baseline"/>
        </w:rPr>
        <w:t>repetitive</w:t>
      </w:r>
      <w:r>
        <w:rPr>
          <w:spacing w:val="16"/>
          <w:vertAlign w:val="baseline"/>
        </w:rPr>
        <w:t> </w:t>
      </w:r>
      <w:r>
        <w:rPr>
          <w:vertAlign w:val="baseline"/>
        </w:rPr>
        <w:t>firing</w:t>
      </w:r>
      <w:r>
        <w:rPr>
          <w:spacing w:val="15"/>
          <w:vertAlign w:val="baseline"/>
        </w:rPr>
        <w:t> </w:t>
      </w:r>
      <w:r>
        <w:rPr>
          <w:vertAlign w:val="baseline"/>
        </w:rPr>
        <w:t>of</w:t>
      </w:r>
    </w:p>
    <w:p>
      <w:pPr>
        <w:spacing w:after="0" w:line="480" w:lineRule="auto"/>
        <w:jc w:val="both"/>
        <w:sectPr>
          <w:pgSz w:w="12240" w:h="15840"/>
          <w:pgMar w:header="0" w:footer="792" w:top="1360" w:bottom="980" w:left="1080" w:right="760"/>
        </w:sectPr>
      </w:pPr>
    </w:p>
    <w:p>
      <w:pPr>
        <w:pStyle w:val="BodyText"/>
        <w:spacing w:line="480" w:lineRule="auto" w:before="112"/>
        <w:ind w:left="648" w:right="675"/>
        <w:jc w:val="both"/>
      </w:pPr>
      <w:r>
        <w:rPr/>
        <w:t>mouse neurones in culture (McLean and Macdonald, 1986), inhibits Na</w:t>
      </w:r>
      <w:r>
        <w:rPr>
          <w:vertAlign w:val="superscript"/>
        </w:rPr>
        <w:t>+</w:t>
      </w:r>
      <w:r>
        <w:rPr>
          <w:vertAlign w:val="baseline"/>
        </w:rPr>
        <w:t> channels in </w:t>
      </w:r>
      <w:r>
        <w:rPr>
          <w:i/>
          <w:vertAlign w:val="baseline"/>
        </w:rPr>
        <w:t>Xenopus</w:t>
      </w:r>
      <w:r>
        <w:rPr>
          <w:i/>
          <w:spacing w:val="1"/>
          <w:vertAlign w:val="baseline"/>
        </w:rPr>
        <w:t> </w:t>
      </w:r>
      <w:r>
        <w:rPr>
          <w:i/>
          <w:vertAlign w:val="baseline"/>
        </w:rPr>
        <w:t>leavis </w:t>
      </w:r>
      <w:r>
        <w:rPr>
          <w:vertAlign w:val="baseline"/>
        </w:rPr>
        <w:t>myelinated neurones (Van Dongen </w:t>
      </w:r>
      <w:r>
        <w:rPr>
          <w:i/>
          <w:vertAlign w:val="baseline"/>
        </w:rPr>
        <w:t>et al</w:t>
      </w:r>
      <w:r>
        <w:rPr>
          <w:vertAlign w:val="baseline"/>
        </w:rPr>
        <w:t>., 1986) and reduces Na</w:t>
      </w:r>
      <w:r>
        <w:rPr>
          <w:vertAlign w:val="superscript"/>
        </w:rPr>
        <w:t>+</w:t>
      </w:r>
      <w:r>
        <w:rPr>
          <w:vertAlign w:val="baseline"/>
        </w:rPr>
        <w:t> currents in neocortical</w:t>
      </w:r>
      <w:r>
        <w:rPr>
          <w:spacing w:val="-57"/>
          <w:vertAlign w:val="baseline"/>
        </w:rPr>
        <w:t> </w:t>
      </w:r>
      <w:r>
        <w:rPr>
          <w:vertAlign w:val="baseline"/>
        </w:rPr>
        <w:t>neurones</w:t>
      </w:r>
      <w:r>
        <w:rPr>
          <w:spacing w:val="-1"/>
          <w:vertAlign w:val="baseline"/>
        </w:rPr>
        <w:t> </w:t>
      </w:r>
      <w:r>
        <w:rPr>
          <w:vertAlign w:val="baseline"/>
        </w:rPr>
        <w:t>(Zona</w:t>
      </w:r>
      <w:r>
        <w:rPr>
          <w:spacing w:val="-1"/>
          <w:vertAlign w:val="baseline"/>
        </w:rPr>
        <w:t> </w:t>
      </w:r>
      <w:r>
        <w:rPr>
          <w:vertAlign w:val="baseline"/>
        </w:rPr>
        <w:t>and Avoli, 1990).</w:t>
      </w:r>
    </w:p>
    <w:p>
      <w:pPr>
        <w:pStyle w:val="BodyText"/>
      </w:pPr>
    </w:p>
    <w:p>
      <w:pPr>
        <w:pStyle w:val="BodyText"/>
        <w:spacing w:line="480" w:lineRule="auto"/>
        <w:ind w:left="648" w:right="675"/>
        <w:jc w:val="both"/>
      </w:pPr>
      <w:r>
        <w:rPr/>
        <w:t>Valproic acid may also block T-type Ca</w:t>
      </w:r>
      <w:r>
        <w:rPr>
          <w:vertAlign w:val="superscript"/>
        </w:rPr>
        <w:t>2+</w:t>
      </w:r>
      <w:r>
        <w:rPr>
          <w:vertAlign w:val="baseline"/>
        </w:rPr>
        <w:t> channels in a manner similar to that reported for</w:t>
      </w:r>
      <w:r>
        <w:rPr>
          <w:spacing w:val="1"/>
          <w:vertAlign w:val="baseline"/>
        </w:rPr>
        <w:t> </w:t>
      </w:r>
      <w:r>
        <w:rPr>
          <w:vertAlign w:val="baseline"/>
        </w:rPr>
        <w:t>ethosuximide and such an action may account for its efficacy against generalized absence</w:t>
      </w:r>
      <w:r>
        <w:rPr>
          <w:spacing w:val="1"/>
          <w:vertAlign w:val="baseline"/>
        </w:rPr>
        <w:t> </w:t>
      </w:r>
      <w:r>
        <w:rPr>
          <w:vertAlign w:val="baseline"/>
        </w:rPr>
        <w:t>seizures (Kwan </w:t>
      </w:r>
      <w:r>
        <w:rPr>
          <w:i/>
          <w:vertAlign w:val="baseline"/>
        </w:rPr>
        <w:t>et al., </w:t>
      </w:r>
      <w:r>
        <w:rPr>
          <w:vertAlign w:val="baseline"/>
        </w:rPr>
        <w:t>2001). There is also evidence suggesting that valproic acid elevates</w:t>
      </w:r>
      <w:r>
        <w:rPr>
          <w:spacing w:val="1"/>
          <w:vertAlign w:val="baseline"/>
        </w:rPr>
        <w:t> </w:t>
      </w:r>
      <w:r>
        <w:rPr>
          <w:vertAlign w:val="baseline"/>
        </w:rPr>
        <w:t>whole brain GABA levels and potentates GABA responses possibly by enhancing Glutamic</w:t>
      </w:r>
      <w:r>
        <w:rPr>
          <w:spacing w:val="1"/>
          <w:vertAlign w:val="baseline"/>
        </w:rPr>
        <w:t> </w:t>
      </w:r>
      <w:r>
        <w:rPr>
          <w:vertAlign w:val="baseline"/>
        </w:rPr>
        <w:t>acid</w:t>
      </w:r>
      <w:r>
        <w:rPr>
          <w:spacing w:val="1"/>
          <w:vertAlign w:val="baseline"/>
        </w:rPr>
        <w:t> </w:t>
      </w:r>
      <w:r>
        <w:rPr>
          <w:vertAlign w:val="baseline"/>
        </w:rPr>
        <w:t>decarboxylase</w:t>
      </w:r>
      <w:r>
        <w:rPr>
          <w:spacing w:val="1"/>
          <w:vertAlign w:val="baseline"/>
        </w:rPr>
        <w:t> </w:t>
      </w:r>
      <w:r>
        <w:rPr>
          <w:vertAlign w:val="baseline"/>
        </w:rPr>
        <w:t>enzyme</w:t>
      </w:r>
      <w:r>
        <w:rPr>
          <w:spacing w:val="1"/>
          <w:vertAlign w:val="baseline"/>
        </w:rPr>
        <w:t> </w:t>
      </w:r>
      <w:r>
        <w:rPr>
          <w:vertAlign w:val="baseline"/>
        </w:rPr>
        <w:t>activity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inhibiting</w:t>
      </w:r>
      <w:r>
        <w:rPr>
          <w:spacing w:val="1"/>
          <w:vertAlign w:val="baseline"/>
        </w:rPr>
        <w:t> </w:t>
      </w:r>
      <w:r>
        <w:rPr>
          <w:vertAlign w:val="baseline"/>
        </w:rPr>
        <w:t>GABA</w:t>
      </w:r>
      <w:r>
        <w:rPr>
          <w:spacing w:val="1"/>
          <w:vertAlign w:val="baseline"/>
        </w:rPr>
        <w:t> </w:t>
      </w:r>
      <w:r>
        <w:rPr>
          <w:vertAlign w:val="baseline"/>
        </w:rPr>
        <w:t>degradation</w:t>
      </w:r>
      <w:r>
        <w:rPr>
          <w:spacing w:val="1"/>
          <w:vertAlign w:val="baseline"/>
        </w:rPr>
        <w:t> </w:t>
      </w:r>
      <w:r>
        <w:rPr>
          <w:vertAlign w:val="baseline"/>
        </w:rPr>
        <w:t>(Loscher,</w:t>
      </w:r>
      <w:r>
        <w:rPr>
          <w:spacing w:val="1"/>
          <w:vertAlign w:val="baseline"/>
        </w:rPr>
        <w:t> </w:t>
      </w:r>
      <w:r>
        <w:rPr>
          <w:vertAlign w:val="baseline"/>
        </w:rPr>
        <w:t>1999).</w:t>
      </w:r>
      <w:r>
        <w:rPr>
          <w:spacing w:val="1"/>
          <w:vertAlign w:val="baseline"/>
        </w:rPr>
        <w:t> </w:t>
      </w:r>
      <w:r>
        <w:rPr>
          <w:vertAlign w:val="baseline"/>
        </w:rPr>
        <w:t>Anecdotal reports suggest that the drug also augments GABA release (Rowley </w:t>
      </w:r>
      <w:r>
        <w:rPr>
          <w:i/>
          <w:vertAlign w:val="baseline"/>
        </w:rPr>
        <w:t>et al</w:t>
      </w:r>
      <w:r>
        <w:rPr>
          <w:vertAlign w:val="baseline"/>
        </w:rPr>
        <w:t>., 1995)</w:t>
      </w:r>
      <w:r>
        <w:rPr>
          <w:spacing w:val="1"/>
          <w:vertAlign w:val="baseline"/>
        </w:rPr>
        <w:t> </w:t>
      </w:r>
      <w:r>
        <w:rPr>
          <w:vertAlign w:val="baseline"/>
        </w:rPr>
        <w:t>and blocks GABA uptake (Sills </w:t>
      </w:r>
      <w:r>
        <w:rPr>
          <w:i/>
          <w:vertAlign w:val="baseline"/>
        </w:rPr>
        <w:t>et al</w:t>
      </w:r>
      <w:r>
        <w:rPr>
          <w:vertAlign w:val="baseline"/>
        </w:rPr>
        <w:t>., 1996). Other studies showed that valproic acid also</w:t>
      </w:r>
      <w:r>
        <w:rPr>
          <w:spacing w:val="1"/>
          <w:vertAlign w:val="baseline"/>
        </w:rPr>
        <w:t> </w:t>
      </w:r>
      <w:r>
        <w:rPr>
          <w:vertAlign w:val="baseline"/>
        </w:rPr>
        <w:t>decreases brain levels of the excitatory amino acid aspartate, without influencing those of</w:t>
      </w:r>
      <w:r>
        <w:rPr>
          <w:spacing w:val="1"/>
          <w:vertAlign w:val="baseline"/>
        </w:rPr>
        <w:t> </w:t>
      </w:r>
      <w:r>
        <w:rPr>
          <w:vertAlign w:val="baseline"/>
        </w:rPr>
        <w:t>glutamate</w:t>
      </w:r>
      <w:r>
        <w:rPr>
          <w:spacing w:val="-2"/>
          <w:vertAlign w:val="baseline"/>
        </w:rPr>
        <w:t> </w:t>
      </w:r>
      <w:r>
        <w:rPr>
          <w:vertAlign w:val="baseline"/>
        </w:rPr>
        <w:t>or GABA (Schechter</w:t>
      </w:r>
      <w:r>
        <w:rPr>
          <w:spacing w:val="3"/>
          <w:vertAlign w:val="baseline"/>
        </w:rPr>
        <w:t> </w:t>
      </w:r>
      <w:r>
        <w:rPr>
          <w:i/>
          <w:vertAlign w:val="baseline"/>
        </w:rPr>
        <w:t>et al</w:t>
      </w:r>
      <w:r>
        <w:rPr>
          <w:vertAlign w:val="baseline"/>
        </w:rPr>
        <w:t>., 1978).</w:t>
      </w:r>
    </w:p>
    <w:p>
      <w:pPr>
        <w:pStyle w:val="BodyText"/>
        <w:spacing w:before="1"/>
      </w:pPr>
    </w:p>
    <w:p>
      <w:pPr>
        <w:pStyle w:val="BodyText"/>
        <w:spacing w:line="480" w:lineRule="auto" w:before="1"/>
        <w:ind w:left="648" w:right="680"/>
        <w:jc w:val="both"/>
      </w:pPr>
      <w:r>
        <w:rPr/>
        <w:t>Valproic acid is a broad spectrum antiepileptic efficacious against generalized epilepsies such</w:t>
      </w:r>
      <w:r>
        <w:rPr>
          <w:spacing w:val="1"/>
        </w:rPr>
        <w:t> </w:t>
      </w:r>
      <w:r>
        <w:rPr/>
        <w:t>as myoclonic, atonic, and absence seizures (Rogers and Cavazos, 2008). It can also be used as</w:t>
      </w:r>
      <w:r>
        <w:rPr>
          <w:spacing w:val="-57"/>
        </w:rPr>
        <w:t> </w:t>
      </w:r>
      <w:r>
        <w:rPr/>
        <w:t>monotherapy or adjunct in partial seizure or in patient with mixed seizure disorders, also</w:t>
      </w:r>
      <w:r>
        <w:rPr>
          <w:spacing w:val="1"/>
        </w:rPr>
        <w:t> </w:t>
      </w:r>
      <w:r>
        <w:rPr/>
        <w:t>useful in other neurological disorders like migraine headache and bipolar disorders (Rogers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Cavazos, 2008).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ListParagraph"/>
        <w:numPr>
          <w:ilvl w:val="0"/>
          <w:numId w:val="18"/>
        </w:numPr>
        <w:tabs>
          <w:tab w:pos="964" w:val="left" w:leader="none"/>
        </w:tabs>
        <w:spacing w:line="480" w:lineRule="auto" w:before="1" w:after="0"/>
        <w:ind w:left="648" w:right="675" w:firstLine="120"/>
        <w:jc w:val="both"/>
        <w:rPr>
          <w:sz w:val="24"/>
        </w:rPr>
      </w:pPr>
      <w:r>
        <w:rPr>
          <w:b/>
          <w:i/>
          <w:sz w:val="24"/>
        </w:rPr>
        <w:t>Topiramate ;</w:t>
      </w:r>
      <w:r>
        <w:rPr>
          <w:sz w:val="24"/>
        </w:rPr>
        <w:t>Topiramate has multiple mechanism of action including inhibition of Na</w:t>
      </w:r>
      <w:r>
        <w:rPr>
          <w:sz w:val="24"/>
          <w:vertAlign w:val="superscript"/>
        </w:rPr>
        <w:t>+</w:t>
      </w:r>
      <w:r>
        <w:rPr>
          <w:sz w:val="24"/>
          <w:vertAlign w:val="baseline"/>
        </w:rPr>
        <w:t> and</w:t>
      </w:r>
      <w:r>
        <w:rPr>
          <w:spacing w:val="-57"/>
          <w:sz w:val="24"/>
          <w:vertAlign w:val="baseline"/>
        </w:rPr>
        <w:t> </w:t>
      </w:r>
      <w:r>
        <w:rPr>
          <w:sz w:val="24"/>
          <w:vertAlign w:val="baseline"/>
        </w:rPr>
        <w:t>Ca</w:t>
      </w:r>
      <w:r>
        <w:rPr>
          <w:sz w:val="24"/>
          <w:vertAlign w:val="superscript"/>
        </w:rPr>
        <w:t>2+</w:t>
      </w:r>
      <w:r>
        <w:rPr>
          <w:sz w:val="24"/>
          <w:vertAlign w:val="baseline"/>
        </w:rPr>
        <w:t> channels, blockade of AMPA/Kainate subtype of glutamate receptors and facilitation of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GABA effects at GABA</w:t>
      </w:r>
      <w:r>
        <w:rPr>
          <w:sz w:val="24"/>
          <w:vertAlign w:val="subscript"/>
        </w:rPr>
        <w:t>A</w:t>
      </w:r>
      <w:r>
        <w:rPr>
          <w:sz w:val="24"/>
          <w:vertAlign w:val="baseline"/>
        </w:rPr>
        <w:t> receptor (Kwan </w:t>
      </w:r>
      <w:r>
        <w:rPr>
          <w:i/>
          <w:sz w:val="24"/>
          <w:vertAlign w:val="baseline"/>
        </w:rPr>
        <w:t>et al</w:t>
      </w:r>
      <w:r>
        <w:rPr>
          <w:sz w:val="24"/>
          <w:vertAlign w:val="baseline"/>
        </w:rPr>
        <w:t>., 2001). Like Zonisamide, it also inhibits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carbonic</w:t>
      </w:r>
      <w:r>
        <w:rPr>
          <w:spacing w:val="15"/>
          <w:sz w:val="24"/>
          <w:vertAlign w:val="baseline"/>
        </w:rPr>
        <w:t> </w:t>
      </w:r>
      <w:r>
        <w:rPr>
          <w:sz w:val="24"/>
          <w:vertAlign w:val="baseline"/>
        </w:rPr>
        <w:t>anhydrase</w:t>
      </w:r>
      <w:r>
        <w:rPr>
          <w:spacing w:val="17"/>
          <w:sz w:val="24"/>
          <w:vertAlign w:val="baseline"/>
        </w:rPr>
        <w:t> </w:t>
      </w:r>
      <w:r>
        <w:rPr>
          <w:sz w:val="24"/>
          <w:vertAlign w:val="baseline"/>
        </w:rPr>
        <w:t>though</w:t>
      </w:r>
      <w:r>
        <w:rPr>
          <w:spacing w:val="17"/>
          <w:sz w:val="24"/>
          <w:vertAlign w:val="baseline"/>
        </w:rPr>
        <w:t> </w:t>
      </w:r>
      <w:r>
        <w:rPr>
          <w:sz w:val="24"/>
          <w:vertAlign w:val="baseline"/>
        </w:rPr>
        <w:t>this</w:t>
      </w:r>
      <w:r>
        <w:rPr>
          <w:spacing w:val="17"/>
          <w:sz w:val="24"/>
          <w:vertAlign w:val="baseline"/>
        </w:rPr>
        <w:t> </w:t>
      </w:r>
      <w:r>
        <w:rPr>
          <w:sz w:val="24"/>
          <w:vertAlign w:val="baseline"/>
        </w:rPr>
        <w:t>effect</w:t>
      </w:r>
      <w:r>
        <w:rPr>
          <w:spacing w:val="18"/>
          <w:sz w:val="24"/>
          <w:vertAlign w:val="baseline"/>
        </w:rPr>
        <w:t> </w:t>
      </w:r>
      <w:r>
        <w:rPr>
          <w:sz w:val="24"/>
          <w:vertAlign w:val="baseline"/>
        </w:rPr>
        <w:t>is</w:t>
      </w:r>
      <w:r>
        <w:rPr>
          <w:spacing w:val="18"/>
          <w:sz w:val="24"/>
          <w:vertAlign w:val="baseline"/>
        </w:rPr>
        <w:t> </w:t>
      </w:r>
      <w:r>
        <w:rPr>
          <w:sz w:val="24"/>
          <w:vertAlign w:val="baseline"/>
        </w:rPr>
        <w:t>believed</w:t>
      </w:r>
      <w:r>
        <w:rPr>
          <w:spacing w:val="17"/>
          <w:sz w:val="24"/>
          <w:vertAlign w:val="baseline"/>
        </w:rPr>
        <w:t> </w:t>
      </w:r>
      <w:r>
        <w:rPr>
          <w:sz w:val="24"/>
          <w:vertAlign w:val="baseline"/>
        </w:rPr>
        <w:t>not</w:t>
      </w:r>
      <w:r>
        <w:rPr>
          <w:spacing w:val="17"/>
          <w:sz w:val="24"/>
          <w:vertAlign w:val="baseline"/>
        </w:rPr>
        <w:t> </w:t>
      </w:r>
      <w:r>
        <w:rPr>
          <w:sz w:val="24"/>
          <w:vertAlign w:val="baseline"/>
        </w:rPr>
        <w:t>to</w:t>
      </w:r>
      <w:r>
        <w:rPr>
          <w:spacing w:val="18"/>
          <w:sz w:val="24"/>
          <w:vertAlign w:val="baseline"/>
        </w:rPr>
        <w:t> </w:t>
      </w:r>
      <w:r>
        <w:rPr>
          <w:sz w:val="24"/>
          <w:vertAlign w:val="baseline"/>
        </w:rPr>
        <w:t>contribute</w:t>
      </w:r>
      <w:r>
        <w:rPr>
          <w:spacing w:val="17"/>
          <w:sz w:val="24"/>
          <w:vertAlign w:val="baseline"/>
        </w:rPr>
        <w:t> </w:t>
      </w:r>
      <w:r>
        <w:rPr>
          <w:sz w:val="24"/>
          <w:vertAlign w:val="baseline"/>
        </w:rPr>
        <w:t>to</w:t>
      </w:r>
      <w:r>
        <w:rPr>
          <w:spacing w:val="15"/>
          <w:sz w:val="24"/>
          <w:vertAlign w:val="baseline"/>
        </w:rPr>
        <w:t> </w:t>
      </w:r>
      <w:r>
        <w:rPr>
          <w:sz w:val="24"/>
          <w:vertAlign w:val="baseline"/>
        </w:rPr>
        <w:t>the</w:t>
      </w:r>
      <w:r>
        <w:rPr>
          <w:spacing w:val="15"/>
          <w:sz w:val="24"/>
          <w:vertAlign w:val="baseline"/>
        </w:rPr>
        <w:t> </w:t>
      </w:r>
      <w:r>
        <w:rPr>
          <w:sz w:val="24"/>
          <w:vertAlign w:val="baseline"/>
        </w:rPr>
        <w:t>antiepileptic</w:t>
      </w:r>
      <w:r>
        <w:rPr>
          <w:spacing w:val="17"/>
          <w:sz w:val="24"/>
          <w:vertAlign w:val="baseline"/>
        </w:rPr>
        <w:t> </w:t>
      </w:r>
      <w:r>
        <w:rPr>
          <w:sz w:val="24"/>
          <w:vertAlign w:val="baseline"/>
        </w:rPr>
        <w:t>action</w:t>
      </w:r>
    </w:p>
    <w:p>
      <w:pPr>
        <w:spacing w:after="0" w:line="480" w:lineRule="auto"/>
        <w:jc w:val="both"/>
        <w:rPr>
          <w:sz w:val="24"/>
        </w:rPr>
        <w:sectPr>
          <w:pgSz w:w="12240" w:h="15840"/>
          <w:pgMar w:header="0" w:footer="792" w:top="1320" w:bottom="980" w:left="1080" w:right="760"/>
        </w:sectPr>
      </w:pPr>
    </w:p>
    <w:p>
      <w:pPr>
        <w:pStyle w:val="BodyText"/>
        <w:spacing w:line="480" w:lineRule="auto" w:before="72"/>
        <w:ind w:left="648" w:right="681"/>
        <w:jc w:val="both"/>
      </w:pPr>
      <w:r>
        <w:rPr/>
        <w:t>(Shank</w:t>
      </w:r>
      <w:r>
        <w:rPr>
          <w:spacing w:val="57"/>
        </w:rPr>
        <w:t> </w:t>
      </w:r>
      <w:r>
        <w:rPr>
          <w:i/>
        </w:rPr>
        <w:t>et</w:t>
      </w:r>
      <w:r>
        <w:rPr>
          <w:i/>
          <w:spacing w:val="58"/>
        </w:rPr>
        <w:t> </w:t>
      </w:r>
      <w:r>
        <w:rPr>
          <w:i/>
        </w:rPr>
        <w:t>al</w:t>
      </w:r>
      <w:r>
        <w:rPr/>
        <w:t>.,</w:t>
      </w:r>
      <w:r>
        <w:rPr>
          <w:spacing w:val="57"/>
        </w:rPr>
        <w:t> </w:t>
      </w:r>
      <w:r>
        <w:rPr/>
        <w:t>1994).</w:t>
      </w:r>
      <w:r>
        <w:rPr>
          <w:spacing w:val="57"/>
        </w:rPr>
        <w:t> </w:t>
      </w:r>
      <w:r>
        <w:rPr/>
        <w:t>Topiramate</w:t>
      </w:r>
      <w:r>
        <w:rPr>
          <w:spacing w:val="58"/>
        </w:rPr>
        <w:t> </w:t>
      </w:r>
      <w:r>
        <w:rPr/>
        <w:t>is</w:t>
      </w:r>
      <w:r>
        <w:rPr>
          <w:spacing w:val="58"/>
        </w:rPr>
        <w:t> </w:t>
      </w:r>
      <w:r>
        <w:rPr/>
        <w:t>active</w:t>
      </w:r>
      <w:r>
        <w:rPr>
          <w:spacing w:val="56"/>
        </w:rPr>
        <w:t> </w:t>
      </w:r>
      <w:r>
        <w:rPr/>
        <w:t>against</w:t>
      </w:r>
      <w:r>
        <w:rPr>
          <w:spacing w:val="58"/>
        </w:rPr>
        <w:t> </w:t>
      </w:r>
      <w:r>
        <w:rPr/>
        <w:t>partial</w:t>
      </w:r>
      <w:r>
        <w:rPr>
          <w:spacing w:val="58"/>
        </w:rPr>
        <w:t> </w:t>
      </w:r>
      <w:r>
        <w:rPr/>
        <w:t>onset</w:t>
      </w:r>
      <w:r>
        <w:rPr>
          <w:spacing w:val="57"/>
        </w:rPr>
        <w:t> </w:t>
      </w:r>
      <w:r>
        <w:rPr/>
        <w:t>and</w:t>
      </w:r>
      <w:r>
        <w:rPr>
          <w:spacing w:val="57"/>
        </w:rPr>
        <w:t> </w:t>
      </w:r>
      <w:r>
        <w:rPr/>
        <w:t>generalized</w:t>
      </w:r>
      <w:r>
        <w:rPr>
          <w:spacing w:val="57"/>
        </w:rPr>
        <w:t> </w:t>
      </w:r>
      <w:r>
        <w:rPr/>
        <w:t>seizures</w:t>
      </w:r>
      <w:r>
        <w:rPr>
          <w:spacing w:val="-57"/>
        </w:rPr>
        <w:t> </w:t>
      </w:r>
      <w:r>
        <w:rPr/>
        <w:t>(Brodie</w:t>
      </w:r>
      <w:r>
        <w:rPr>
          <w:spacing w:val="-1"/>
        </w:rPr>
        <w:t> </w:t>
      </w:r>
      <w:r>
        <w:rPr/>
        <w:t>and</w:t>
      </w:r>
      <w:r>
        <w:rPr>
          <w:spacing w:val="2"/>
        </w:rPr>
        <w:t> </w:t>
      </w:r>
      <w:r>
        <w:rPr/>
        <w:t>French, 2000).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ListParagraph"/>
        <w:numPr>
          <w:ilvl w:val="0"/>
          <w:numId w:val="18"/>
        </w:numPr>
        <w:tabs>
          <w:tab w:pos="912" w:val="left" w:leader="none"/>
        </w:tabs>
        <w:spacing w:line="480" w:lineRule="auto" w:before="0" w:after="0"/>
        <w:ind w:left="648" w:right="673" w:firstLine="0"/>
        <w:jc w:val="both"/>
        <w:rPr>
          <w:sz w:val="24"/>
        </w:rPr>
      </w:pPr>
      <w:r>
        <w:rPr>
          <w:b/>
          <w:i/>
          <w:sz w:val="24"/>
        </w:rPr>
        <w:t>Felbamate; </w:t>
      </w:r>
      <w:r>
        <w:rPr>
          <w:sz w:val="24"/>
        </w:rPr>
        <w:t>Felbamate is used as a monotherapy and add-on treatment for partial onset and</w:t>
      </w:r>
      <w:r>
        <w:rPr>
          <w:spacing w:val="1"/>
          <w:sz w:val="24"/>
        </w:rPr>
        <w:t> </w:t>
      </w:r>
      <w:r>
        <w:rPr>
          <w:sz w:val="24"/>
        </w:rPr>
        <w:t>primary generalized tonic-clonic seizures in adults and for children with Lennox-Gastant</w:t>
      </w:r>
      <w:r>
        <w:rPr>
          <w:spacing w:val="1"/>
          <w:sz w:val="24"/>
        </w:rPr>
        <w:t> </w:t>
      </w:r>
      <w:r>
        <w:rPr>
          <w:sz w:val="24"/>
        </w:rPr>
        <w:t>Syndrome</w:t>
      </w:r>
      <w:r>
        <w:rPr>
          <w:spacing w:val="1"/>
          <w:sz w:val="24"/>
        </w:rPr>
        <w:t> </w:t>
      </w:r>
      <w:r>
        <w:rPr>
          <w:sz w:val="24"/>
        </w:rPr>
        <w:t>(Dichter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Brodie,</w:t>
      </w:r>
      <w:r>
        <w:rPr>
          <w:spacing w:val="1"/>
          <w:sz w:val="24"/>
        </w:rPr>
        <w:t> </w:t>
      </w:r>
      <w:r>
        <w:rPr>
          <w:sz w:val="24"/>
        </w:rPr>
        <w:t>1996) though</w:t>
      </w:r>
      <w:r>
        <w:rPr>
          <w:spacing w:val="1"/>
          <w:sz w:val="24"/>
        </w:rPr>
        <w:t> </w:t>
      </w:r>
      <w:r>
        <w:rPr>
          <w:sz w:val="24"/>
        </w:rPr>
        <w:t>it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associated with</w:t>
      </w:r>
      <w:r>
        <w:rPr>
          <w:spacing w:val="1"/>
          <w:sz w:val="24"/>
        </w:rPr>
        <w:t> </w:t>
      </w:r>
      <w:r>
        <w:rPr>
          <w:sz w:val="24"/>
        </w:rPr>
        <w:t>aplastic</w:t>
      </w:r>
      <w:r>
        <w:rPr>
          <w:spacing w:val="1"/>
          <w:sz w:val="24"/>
        </w:rPr>
        <w:t> </w:t>
      </w:r>
      <w:r>
        <w:rPr>
          <w:sz w:val="24"/>
        </w:rPr>
        <w:t>anaemia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hepatotoxicity (Rogers and Cavazos, 2008). Felbamate is the first AED with a direct action on</w:t>
      </w:r>
      <w:r>
        <w:rPr>
          <w:spacing w:val="-57"/>
          <w:sz w:val="24"/>
        </w:rPr>
        <w:t> </w:t>
      </w:r>
      <w:r>
        <w:rPr>
          <w:sz w:val="24"/>
        </w:rPr>
        <w:t>the NMDA subtype of glutamate receptor (Kwan </w:t>
      </w:r>
      <w:r>
        <w:rPr>
          <w:i/>
          <w:sz w:val="24"/>
        </w:rPr>
        <w:t>et al</w:t>
      </w:r>
      <w:r>
        <w:rPr>
          <w:sz w:val="24"/>
        </w:rPr>
        <w:t>., 2001). It inhibits NMDA/glycine</w:t>
      </w:r>
      <w:r>
        <w:rPr>
          <w:spacing w:val="1"/>
          <w:sz w:val="24"/>
        </w:rPr>
        <w:t> </w:t>
      </w:r>
      <w:r>
        <w:rPr>
          <w:sz w:val="24"/>
        </w:rPr>
        <w:t>stimulated increases in intracellular Ca</w:t>
      </w:r>
      <w:r>
        <w:rPr>
          <w:sz w:val="24"/>
          <w:vertAlign w:val="superscript"/>
        </w:rPr>
        <w:t>2+</w:t>
      </w:r>
      <w:r>
        <w:rPr>
          <w:sz w:val="24"/>
          <w:vertAlign w:val="baseline"/>
        </w:rPr>
        <w:t> (Taylor </w:t>
      </w:r>
      <w:r>
        <w:rPr>
          <w:i/>
          <w:sz w:val="24"/>
          <w:vertAlign w:val="baseline"/>
        </w:rPr>
        <w:t>et al., </w:t>
      </w:r>
      <w:r>
        <w:rPr>
          <w:sz w:val="24"/>
          <w:vertAlign w:val="baseline"/>
        </w:rPr>
        <w:t>1995) and blocks NMDA receptor-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mediated excitatory postsynaptic potentials (Pagliese and Coradetti, 1996). In addition to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inhibiting NMDA responses, felbamate also potentiates GABA</w:t>
      </w:r>
      <w:r>
        <w:rPr>
          <w:sz w:val="24"/>
          <w:vertAlign w:val="subscript"/>
        </w:rPr>
        <w:t>A</w:t>
      </w:r>
      <w:r>
        <w:rPr>
          <w:sz w:val="24"/>
          <w:vertAlign w:val="baseline"/>
        </w:rPr>
        <w:t> receptor (Rho </w:t>
      </w:r>
      <w:r>
        <w:rPr>
          <w:i/>
          <w:sz w:val="24"/>
          <w:vertAlign w:val="baseline"/>
        </w:rPr>
        <w:t>et al</w:t>
      </w:r>
      <w:r>
        <w:rPr>
          <w:sz w:val="24"/>
          <w:vertAlign w:val="baseline"/>
        </w:rPr>
        <w:t>., 1994).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Felbamate also reduces voltage dependent Na</w:t>
      </w:r>
      <w:r>
        <w:rPr>
          <w:sz w:val="24"/>
          <w:vertAlign w:val="superscript"/>
        </w:rPr>
        <w:t>+</w:t>
      </w:r>
      <w:r>
        <w:rPr>
          <w:sz w:val="24"/>
          <w:vertAlign w:val="baseline"/>
        </w:rPr>
        <w:t> channels in striated neurones (Pisani </w:t>
      </w:r>
      <w:r>
        <w:rPr>
          <w:i/>
          <w:sz w:val="24"/>
          <w:vertAlign w:val="baseline"/>
        </w:rPr>
        <w:t>et al</w:t>
      </w:r>
      <w:r>
        <w:rPr>
          <w:sz w:val="24"/>
          <w:vertAlign w:val="baseline"/>
        </w:rPr>
        <w:t>.,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1995)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and reduces high voltage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activated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Ca</w:t>
      </w:r>
      <w:r>
        <w:rPr>
          <w:sz w:val="24"/>
          <w:vertAlign w:val="superscript"/>
        </w:rPr>
        <w:t>2+</w:t>
      </w:r>
      <w:r>
        <w:rPr>
          <w:sz w:val="24"/>
          <w:vertAlign w:val="baseline"/>
        </w:rPr>
        <w:t> channels (Stefani</w:t>
      </w:r>
      <w:r>
        <w:rPr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et al</w:t>
      </w:r>
      <w:r>
        <w:rPr>
          <w:sz w:val="24"/>
          <w:vertAlign w:val="baseline"/>
        </w:rPr>
        <w:t>.,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1996).</w:t>
      </w:r>
    </w:p>
    <w:p>
      <w:pPr>
        <w:pStyle w:val="BodyText"/>
        <w:rPr>
          <w:sz w:val="30"/>
        </w:rPr>
      </w:pPr>
    </w:p>
    <w:p>
      <w:pPr>
        <w:pStyle w:val="Heading2"/>
        <w:numPr>
          <w:ilvl w:val="2"/>
          <w:numId w:val="15"/>
        </w:numPr>
        <w:tabs>
          <w:tab w:pos="903" w:val="left" w:leader="none"/>
        </w:tabs>
        <w:spacing w:line="240" w:lineRule="auto" w:before="213" w:after="0"/>
        <w:ind w:left="902" w:right="0" w:hanging="255"/>
        <w:jc w:val="both"/>
      </w:pPr>
      <w:r>
        <w:rPr/>
        <w:t>Agents</w:t>
      </w:r>
      <w:r>
        <w:rPr>
          <w:spacing w:val="-2"/>
        </w:rPr>
        <w:t> </w:t>
      </w:r>
      <w:r>
        <w:rPr/>
        <w:t>with unknown</w:t>
      </w:r>
      <w:r>
        <w:rPr>
          <w:spacing w:val="-3"/>
        </w:rPr>
        <w:t> </w:t>
      </w:r>
      <w:r>
        <w:rPr/>
        <w:t>mechanism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action</w:t>
      </w:r>
    </w:p>
    <w:p>
      <w:pPr>
        <w:pStyle w:val="BodyText"/>
        <w:spacing w:before="7"/>
        <w:rPr>
          <w:b/>
          <w:i/>
          <w:sz w:val="23"/>
        </w:rPr>
      </w:pPr>
    </w:p>
    <w:p>
      <w:pPr>
        <w:pStyle w:val="BodyText"/>
        <w:spacing w:line="480" w:lineRule="auto"/>
        <w:ind w:left="648" w:right="677"/>
        <w:jc w:val="both"/>
      </w:pPr>
      <w:r>
        <w:rPr>
          <w:b/>
        </w:rPr>
        <w:t>i.</w:t>
      </w:r>
      <w:r>
        <w:rPr>
          <w:b/>
          <w:i/>
        </w:rPr>
        <w:t>Levetiracetam; Levetiracetam </w:t>
      </w:r>
      <w:r>
        <w:rPr/>
        <w:t>is the s-enantiometer of the ethyl-analogue of piracetam, a</w:t>
      </w:r>
      <w:r>
        <w:rPr>
          <w:spacing w:val="1"/>
        </w:rPr>
        <w:t> </w:t>
      </w:r>
      <w:r>
        <w:rPr/>
        <w:t>widely used nootropic agent in the elderly (Loscher and Honack, 1993). As the latest AED,</w:t>
      </w:r>
      <w:r>
        <w:rPr>
          <w:spacing w:val="1"/>
        </w:rPr>
        <w:t> </w:t>
      </w:r>
      <w:r>
        <w:rPr/>
        <w:t>levetiracetan appears to have a unique mechanism of action (Kwan </w:t>
      </w:r>
      <w:r>
        <w:rPr>
          <w:i/>
        </w:rPr>
        <w:t>et al</w:t>
      </w:r>
      <w:r>
        <w:rPr/>
        <w:t>., 2001) it does not</w:t>
      </w:r>
      <w:r>
        <w:rPr>
          <w:spacing w:val="1"/>
        </w:rPr>
        <w:t> </w:t>
      </w:r>
      <w:r>
        <w:rPr/>
        <w:t>interact with any of the traditional targets, including Na</w:t>
      </w:r>
      <w:r>
        <w:rPr>
          <w:vertAlign w:val="superscript"/>
        </w:rPr>
        <w:t>+</w:t>
      </w:r>
      <w:r>
        <w:rPr>
          <w:vertAlign w:val="baseline"/>
        </w:rPr>
        <w:t>, Ca</w:t>
      </w:r>
      <w:r>
        <w:rPr>
          <w:vertAlign w:val="superscript"/>
        </w:rPr>
        <w:t>+</w:t>
      </w:r>
      <w:r>
        <w:rPr>
          <w:vertAlign w:val="baseline"/>
        </w:rPr>
        <w:t> and K</w:t>
      </w:r>
      <w:r>
        <w:rPr>
          <w:vertAlign w:val="superscript"/>
        </w:rPr>
        <w:t>+</w:t>
      </w:r>
      <w:r>
        <w:rPr>
          <w:vertAlign w:val="baseline"/>
        </w:rPr>
        <w:t> channels or GABA and</w:t>
      </w:r>
      <w:r>
        <w:rPr>
          <w:spacing w:val="1"/>
          <w:vertAlign w:val="baseline"/>
        </w:rPr>
        <w:t> </w:t>
      </w:r>
      <w:r>
        <w:rPr>
          <w:vertAlign w:val="baseline"/>
        </w:rPr>
        <w:t>glutamate neurotransmitter systems (Noyer </w:t>
      </w:r>
      <w:r>
        <w:rPr>
          <w:i/>
          <w:vertAlign w:val="baseline"/>
        </w:rPr>
        <w:t>et al</w:t>
      </w:r>
      <w:r>
        <w:rPr>
          <w:vertAlign w:val="baseline"/>
        </w:rPr>
        <w:t>., 1995), nor does it show any activity in the</w:t>
      </w:r>
      <w:r>
        <w:rPr>
          <w:spacing w:val="1"/>
          <w:vertAlign w:val="baseline"/>
        </w:rPr>
        <w:t> </w:t>
      </w:r>
      <w:r>
        <w:rPr>
          <w:vertAlign w:val="baseline"/>
        </w:rPr>
        <w:t>classic models used to test antiepileptic drugs (Rogers and Cavazos, 2008). However, it is</w:t>
      </w:r>
      <w:r>
        <w:rPr>
          <w:spacing w:val="1"/>
          <w:vertAlign w:val="baseline"/>
        </w:rPr>
        <w:t> </w:t>
      </w:r>
      <w:r>
        <w:rPr>
          <w:vertAlign w:val="baseline"/>
        </w:rPr>
        <w:t>believed to bind to the synaptic vesicle protein SV2A in the brain and this is thought to be</w:t>
      </w:r>
      <w:r>
        <w:rPr>
          <w:spacing w:val="1"/>
          <w:vertAlign w:val="baseline"/>
        </w:rPr>
        <w:t> </w:t>
      </w:r>
      <w:r>
        <w:rPr>
          <w:vertAlign w:val="baseline"/>
        </w:rPr>
        <w:t>important to its</w:t>
      </w:r>
      <w:r>
        <w:rPr>
          <w:spacing w:val="1"/>
          <w:vertAlign w:val="baseline"/>
        </w:rPr>
        <w:t> </w:t>
      </w:r>
      <w:r>
        <w:rPr>
          <w:vertAlign w:val="baseline"/>
        </w:rPr>
        <w:t>activity</w:t>
      </w:r>
      <w:r>
        <w:rPr>
          <w:spacing w:val="-8"/>
          <w:vertAlign w:val="baseline"/>
        </w:rPr>
        <w:t> </w:t>
      </w:r>
      <w:r>
        <w:rPr>
          <w:vertAlign w:val="baseline"/>
        </w:rPr>
        <w:t>(Lynch</w:t>
      </w:r>
      <w:r>
        <w:rPr>
          <w:spacing w:val="4"/>
          <w:vertAlign w:val="baseline"/>
        </w:rPr>
        <w:t> </w:t>
      </w:r>
      <w:r>
        <w:rPr>
          <w:i/>
          <w:vertAlign w:val="baseline"/>
        </w:rPr>
        <w:t>et al</w:t>
      </w:r>
      <w:r>
        <w:rPr>
          <w:vertAlign w:val="baseline"/>
        </w:rPr>
        <w:t>.,</w:t>
      </w:r>
      <w:r>
        <w:rPr>
          <w:spacing w:val="1"/>
          <w:vertAlign w:val="baseline"/>
        </w:rPr>
        <w:t> </w:t>
      </w:r>
      <w:r>
        <w:rPr>
          <w:vertAlign w:val="baseline"/>
        </w:rPr>
        <w:t>2004).</w:t>
      </w:r>
      <w:r>
        <w:rPr>
          <w:spacing w:val="2"/>
          <w:vertAlign w:val="baseline"/>
        </w:rPr>
        <w:t> </w:t>
      </w:r>
      <w:r>
        <w:rPr>
          <w:vertAlign w:val="baseline"/>
        </w:rPr>
        <w:t>There</w:t>
      </w:r>
      <w:r>
        <w:rPr>
          <w:spacing w:val="-2"/>
          <w:vertAlign w:val="baseline"/>
        </w:rPr>
        <w:t> </w:t>
      </w:r>
      <w:r>
        <w:rPr>
          <w:vertAlign w:val="baseline"/>
        </w:rPr>
        <w:t>is</w:t>
      </w:r>
      <w:r>
        <w:rPr>
          <w:spacing w:val="1"/>
          <w:vertAlign w:val="baseline"/>
        </w:rPr>
        <w:t> </w:t>
      </w:r>
      <w:r>
        <w:rPr>
          <w:vertAlign w:val="baseline"/>
        </w:rPr>
        <w:t>also limited evidence that levetiracetam</w:t>
      </w:r>
    </w:p>
    <w:p>
      <w:pPr>
        <w:spacing w:after="0" w:line="480" w:lineRule="auto"/>
        <w:jc w:val="both"/>
        <w:sectPr>
          <w:pgSz w:w="12240" w:h="15840"/>
          <w:pgMar w:header="0" w:footer="792" w:top="1360" w:bottom="980" w:left="1080" w:right="760"/>
        </w:sectPr>
      </w:pPr>
    </w:p>
    <w:p>
      <w:pPr>
        <w:pStyle w:val="BodyText"/>
        <w:spacing w:line="480" w:lineRule="auto" w:before="72"/>
        <w:ind w:left="648" w:right="675"/>
        <w:jc w:val="both"/>
      </w:pPr>
      <w:r>
        <w:rPr/>
        <w:t>may have epileptogenic effects, meaning that it may be able to prevent the development of</w:t>
      </w:r>
      <w:r>
        <w:rPr>
          <w:spacing w:val="1"/>
        </w:rPr>
        <w:t> </w:t>
      </w:r>
      <w:r>
        <w:rPr/>
        <w:t>epilepsy under certain circumstances (Loscher </w:t>
      </w:r>
      <w:r>
        <w:rPr>
          <w:i/>
        </w:rPr>
        <w:t>et al</w:t>
      </w:r>
      <w:r>
        <w:rPr/>
        <w:t>., 1998). Clinical studies suggest that</w:t>
      </w:r>
      <w:r>
        <w:rPr>
          <w:spacing w:val="1"/>
        </w:rPr>
        <w:t> </w:t>
      </w:r>
      <w:r>
        <w:rPr/>
        <w:t>levetiracetam is effective against partial seizures with or without secondary generalization</w:t>
      </w:r>
      <w:r>
        <w:rPr>
          <w:spacing w:val="1"/>
        </w:rPr>
        <w:t> </w:t>
      </w:r>
      <w:r>
        <w:rPr/>
        <w:t>(Bialer</w:t>
      </w:r>
      <w:r>
        <w:rPr>
          <w:spacing w:val="-2"/>
        </w:rPr>
        <w:t> </w:t>
      </w:r>
      <w:r>
        <w:rPr>
          <w:i/>
        </w:rPr>
        <w:t>et al., </w:t>
      </w:r>
      <w:r>
        <w:rPr/>
        <w:t>1999).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ListParagraph"/>
        <w:numPr>
          <w:ilvl w:val="1"/>
          <w:numId w:val="15"/>
        </w:numPr>
        <w:tabs>
          <w:tab w:pos="1028" w:val="left" w:leader="none"/>
        </w:tabs>
        <w:spacing w:line="480" w:lineRule="auto" w:before="0" w:after="0"/>
        <w:ind w:left="648" w:right="676" w:firstLine="0"/>
        <w:jc w:val="both"/>
        <w:rPr>
          <w:sz w:val="24"/>
        </w:rPr>
      </w:pPr>
      <w:r>
        <w:rPr>
          <w:b/>
          <w:sz w:val="24"/>
        </w:rPr>
        <w:t>AEDS and refractory epilepsy ;</w:t>
      </w:r>
      <w:r>
        <w:rPr>
          <w:sz w:val="24"/>
        </w:rPr>
        <w:t>Recent studies have made it possible for researchers to</w:t>
      </w:r>
      <w:r>
        <w:rPr>
          <w:spacing w:val="1"/>
          <w:sz w:val="24"/>
        </w:rPr>
        <w:t> </w:t>
      </w:r>
      <w:r>
        <w:rPr>
          <w:sz w:val="24"/>
        </w:rPr>
        <w:t>propose two major hypotheses that explain the mechanism of antiepileptic drug resistance in</w:t>
      </w:r>
      <w:r>
        <w:rPr>
          <w:spacing w:val="1"/>
          <w:sz w:val="24"/>
        </w:rPr>
        <w:t> </w:t>
      </w:r>
      <w:r>
        <w:rPr>
          <w:sz w:val="24"/>
        </w:rPr>
        <w:t>epilepsy, these are, the target hypothesis and the transporter hypothesis (Kwan and Brodie,</w:t>
      </w:r>
      <w:r>
        <w:rPr>
          <w:spacing w:val="1"/>
          <w:sz w:val="24"/>
        </w:rPr>
        <w:t> </w:t>
      </w:r>
      <w:r>
        <w:rPr>
          <w:sz w:val="24"/>
        </w:rPr>
        <w:t>2006).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480" w:lineRule="auto"/>
        <w:ind w:left="648" w:right="675"/>
        <w:jc w:val="both"/>
      </w:pPr>
      <w:r>
        <w:rPr>
          <w:b/>
          <w:i/>
        </w:rPr>
        <w:t>I.Target hypothesis</w:t>
      </w:r>
      <w:r>
        <w:rPr>
          <w:b/>
        </w:rPr>
        <w:t>; According </w:t>
      </w:r>
      <w:r>
        <w:rPr/>
        <w:t>to the target hypothesis, alterations in cellular or molecular</w:t>
      </w:r>
      <w:r>
        <w:rPr>
          <w:spacing w:val="1"/>
        </w:rPr>
        <w:t> </w:t>
      </w:r>
      <w:r>
        <w:rPr/>
        <w:t>target of an antiepileptic drug resulting in reduced sensitivity to the drug are responsible for</w:t>
      </w:r>
      <w:r>
        <w:rPr>
          <w:spacing w:val="1"/>
        </w:rPr>
        <w:t> </w:t>
      </w:r>
      <w:r>
        <w:rPr/>
        <w:t>drug</w:t>
      </w:r>
      <w:r>
        <w:rPr>
          <w:spacing w:val="1"/>
        </w:rPr>
        <w:t> </w:t>
      </w:r>
      <w:r>
        <w:rPr/>
        <w:t>resistance.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shown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GABA</w:t>
      </w:r>
      <w:r>
        <w:rPr>
          <w:vertAlign w:val="subscript"/>
        </w:rPr>
        <w:t>A</w:t>
      </w:r>
      <w:r>
        <w:rPr>
          <w:spacing w:val="1"/>
          <w:vertAlign w:val="baseline"/>
        </w:rPr>
        <w:t> </w:t>
      </w:r>
      <w:r>
        <w:rPr>
          <w:vertAlign w:val="baseline"/>
        </w:rPr>
        <w:t>receptor</w:t>
      </w:r>
      <w:r>
        <w:rPr>
          <w:spacing w:val="1"/>
          <w:vertAlign w:val="baseline"/>
        </w:rPr>
        <w:t> </w:t>
      </w:r>
      <w:r>
        <w:rPr>
          <w:vertAlign w:val="baseline"/>
        </w:rPr>
        <w:t>subtypes</w:t>
      </w:r>
      <w:r>
        <w:rPr>
          <w:spacing w:val="1"/>
          <w:vertAlign w:val="baseline"/>
        </w:rPr>
        <w:t> </w:t>
      </w:r>
      <w:r>
        <w:rPr>
          <w:vertAlign w:val="baseline"/>
        </w:rPr>
        <w:t>have</w:t>
      </w:r>
      <w:r>
        <w:rPr>
          <w:spacing w:val="1"/>
          <w:vertAlign w:val="baseline"/>
        </w:rPr>
        <w:t> </w:t>
      </w:r>
      <w:r>
        <w:rPr>
          <w:vertAlign w:val="baseline"/>
        </w:rPr>
        <w:t>been</w:t>
      </w:r>
      <w:r>
        <w:rPr>
          <w:spacing w:val="1"/>
          <w:vertAlign w:val="baseline"/>
        </w:rPr>
        <w:t> </w:t>
      </w:r>
      <w:r>
        <w:rPr>
          <w:vertAlign w:val="baseline"/>
        </w:rPr>
        <w:t>altered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-57"/>
          <w:vertAlign w:val="baseline"/>
        </w:rPr>
        <w:t> </w:t>
      </w:r>
      <w:r>
        <w:rPr>
          <w:vertAlign w:val="baseline"/>
        </w:rPr>
        <w:t>patients with uncontrolled temporal lobe epilepsy,however, it is not clear whether the altered</w:t>
      </w:r>
      <w:r>
        <w:rPr>
          <w:spacing w:val="1"/>
          <w:vertAlign w:val="baseline"/>
        </w:rPr>
        <w:t> </w:t>
      </w:r>
      <w:r>
        <w:rPr>
          <w:vertAlign w:val="baseline"/>
        </w:rPr>
        <w:t>receptor</w:t>
      </w:r>
      <w:r>
        <w:rPr>
          <w:spacing w:val="1"/>
          <w:vertAlign w:val="baseline"/>
        </w:rPr>
        <w:t> </w:t>
      </w:r>
      <w:r>
        <w:rPr>
          <w:vertAlign w:val="baseline"/>
        </w:rPr>
        <w:t>structure</w:t>
      </w:r>
      <w:r>
        <w:rPr>
          <w:spacing w:val="1"/>
          <w:vertAlign w:val="baseline"/>
        </w:rPr>
        <w:t> </w:t>
      </w:r>
      <w:r>
        <w:rPr>
          <w:vertAlign w:val="baseline"/>
        </w:rPr>
        <w:t>would</w:t>
      </w:r>
      <w:r>
        <w:rPr>
          <w:spacing w:val="1"/>
          <w:vertAlign w:val="baseline"/>
        </w:rPr>
        <w:t> </w:t>
      </w:r>
      <w:r>
        <w:rPr>
          <w:vertAlign w:val="baseline"/>
        </w:rPr>
        <w:t>itself</w:t>
      </w:r>
      <w:r>
        <w:rPr>
          <w:spacing w:val="1"/>
          <w:vertAlign w:val="baseline"/>
        </w:rPr>
        <w:t> </w:t>
      </w:r>
      <w:r>
        <w:rPr>
          <w:vertAlign w:val="baseline"/>
        </w:rPr>
        <w:t>affect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action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AED</w:t>
      </w:r>
      <w:r>
        <w:rPr>
          <w:spacing w:val="1"/>
          <w:vertAlign w:val="baseline"/>
        </w:rPr>
        <w:t> </w:t>
      </w:r>
      <w:r>
        <w:rPr>
          <w:vertAlign w:val="baseline"/>
        </w:rPr>
        <w:t>sufficiently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cause</w:t>
      </w:r>
      <w:r>
        <w:rPr>
          <w:spacing w:val="1"/>
          <w:vertAlign w:val="baseline"/>
        </w:rPr>
        <w:t> </w:t>
      </w:r>
      <w:r>
        <w:rPr>
          <w:vertAlign w:val="baseline"/>
        </w:rPr>
        <w:t>drug</w:t>
      </w:r>
      <w:r>
        <w:rPr>
          <w:spacing w:val="1"/>
          <w:vertAlign w:val="baseline"/>
        </w:rPr>
        <w:t> </w:t>
      </w:r>
      <w:r>
        <w:rPr>
          <w:vertAlign w:val="baseline"/>
        </w:rPr>
        <w:t>resistance (Kwan</w:t>
      </w:r>
      <w:r>
        <w:rPr>
          <w:spacing w:val="2"/>
          <w:vertAlign w:val="baseline"/>
        </w:rPr>
        <w:t> </w:t>
      </w:r>
      <w:r>
        <w:rPr>
          <w:vertAlign w:val="baseline"/>
        </w:rPr>
        <w:t>and</w:t>
      </w:r>
      <w:r>
        <w:rPr>
          <w:spacing w:val="3"/>
          <w:vertAlign w:val="baseline"/>
        </w:rPr>
        <w:t> </w:t>
      </w:r>
      <w:r>
        <w:rPr>
          <w:vertAlign w:val="baseline"/>
        </w:rPr>
        <w:t>Brodie, 2006).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480" w:lineRule="auto"/>
        <w:ind w:left="648" w:right="674"/>
        <w:jc w:val="both"/>
      </w:pPr>
      <w:r>
        <w:rPr>
          <w:b/>
          <w:i/>
        </w:rPr>
        <w:t>ii .Transporter Hypothesis; </w:t>
      </w:r>
      <w:r>
        <w:rPr/>
        <w:t>This hypothesis tries to account for the fact that drug resistance</w:t>
      </w:r>
      <w:r>
        <w:rPr>
          <w:spacing w:val="1"/>
        </w:rPr>
        <w:t> </w:t>
      </w:r>
      <w:r>
        <w:rPr/>
        <w:t>often involves intolerability to multiple drugs with varying mechanism of actions, suggesting</w:t>
      </w:r>
      <w:r>
        <w:rPr>
          <w:spacing w:val="1"/>
        </w:rPr>
        <w:t> </w:t>
      </w:r>
      <w:r>
        <w:rPr/>
        <w:t>that there must be an independent mechanism underlying drug resistance itself (Kwan and</w:t>
      </w:r>
      <w:r>
        <w:rPr>
          <w:spacing w:val="1"/>
        </w:rPr>
        <w:t> </w:t>
      </w:r>
      <w:r>
        <w:rPr/>
        <w:t>Brodie, 2006). An over expression of certain active drug transporters belonging to the ATP-</w:t>
      </w:r>
      <w:r>
        <w:rPr>
          <w:spacing w:val="1"/>
        </w:rPr>
        <w:t> </w:t>
      </w:r>
      <w:r>
        <w:rPr/>
        <w:t>binding</w:t>
      </w:r>
      <w:r>
        <w:rPr>
          <w:spacing w:val="1"/>
        </w:rPr>
        <w:t> </w:t>
      </w:r>
      <w:r>
        <w:rPr/>
        <w:t>cassette</w:t>
      </w:r>
      <w:r>
        <w:rPr>
          <w:spacing w:val="1"/>
        </w:rPr>
        <w:t> </w:t>
      </w:r>
      <w:r>
        <w:rPr/>
        <w:t>(ABC)</w:t>
      </w:r>
      <w:r>
        <w:rPr>
          <w:spacing w:val="1"/>
        </w:rPr>
        <w:t> </w:t>
      </w:r>
      <w:r>
        <w:rPr/>
        <w:t>transporter</w:t>
      </w:r>
      <w:r>
        <w:rPr>
          <w:spacing w:val="1"/>
        </w:rPr>
        <w:t> </w:t>
      </w:r>
      <w:r>
        <w:rPr/>
        <w:t>superfamily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implicated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drug</w:t>
      </w:r>
      <w:r>
        <w:rPr>
          <w:spacing w:val="1"/>
        </w:rPr>
        <w:t> </w:t>
      </w:r>
      <w:r>
        <w:rPr/>
        <w:t>resistance</w:t>
      </w:r>
      <w:r>
        <w:rPr>
          <w:spacing w:val="1"/>
        </w:rPr>
        <w:t> </w:t>
      </w:r>
      <w:r>
        <w:rPr/>
        <w:t>(Lazarowski</w:t>
      </w:r>
      <w:r>
        <w:rPr>
          <w:spacing w:val="11"/>
        </w:rPr>
        <w:t> </w:t>
      </w:r>
      <w:r>
        <w:rPr>
          <w:i/>
        </w:rPr>
        <w:t>et</w:t>
      </w:r>
      <w:r>
        <w:rPr>
          <w:i/>
          <w:spacing w:val="11"/>
        </w:rPr>
        <w:t> </w:t>
      </w:r>
      <w:r>
        <w:rPr>
          <w:i/>
        </w:rPr>
        <w:t>al</w:t>
      </w:r>
      <w:r>
        <w:rPr/>
        <w:t>.,</w:t>
      </w:r>
      <w:r>
        <w:rPr>
          <w:spacing w:val="10"/>
        </w:rPr>
        <w:t> </w:t>
      </w:r>
      <w:r>
        <w:rPr/>
        <w:t>2007).</w:t>
      </w:r>
      <w:r>
        <w:rPr>
          <w:spacing w:val="13"/>
        </w:rPr>
        <w:t> </w:t>
      </w:r>
      <w:r>
        <w:rPr/>
        <w:t>In</w:t>
      </w:r>
      <w:r>
        <w:rPr>
          <w:spacing w:val="10"/>
        </w:rPr>
        <w:t> </w:t>
      </w:r>
      <w:r>
        <w:rPr/>
        <w:t>fact,</w:t>
      </w:r>
      <w:r>
        <w:rPr>
          <w:spacing w:val="10"/>
        </w:rPr>
        <w:t> </w:t>
      </w:r>
      <w:r>
        <w:rPr/>
        <w:t>22</w:t>
      </w:r>
      <w:r>
        <w:rPr>
          <w:spacing w:val="10"/>
        </w:rPr>
        <w:t> </w:t>
      </w:r>
      <w:r>
        <w:rPr/>
        <w:t>of</w:t>
      </w:r>
      <w:r>
        <w:rPr>
          <w:spacing w:val="10"/>
        </w:rPr>
        <w:t> </w:t>
      </w:r>
      <w:r>
        <w:rPr/>
        <w:t>the</w:t>
      </w:r>
      <w:r>
        <w:rPr>
          <w:spacing w:val="10"/>
        </w:rPr>
        <w:t> </w:t>
      </w:r>
      <w:r>
        <w:rPr/>
        <w:t>known</w:t>
      </w:r>
      <w:r>
        <w:rPr>
          <w:spacing w:val="10"/>
        </w:rPr>
        <w:t> </w:t>
      </w:r>
      <w:r>
        <w:rPr/>
        <w:t>48</w:t>
      </w:r>
      <w:r>
        <w:rPr>
          <w:spacing w:val="10"/>
        </w:rPr>
        <w:t> </w:t>
      </w:r>
      <w:r>
        <w:rPr/>
        <w:t>members</w:t>
      </w:r>
      <w:r>
        <w:rPr>
          <w:spacing w:val="9"/>
        </w:rPr>
        <w:t> </w:t>
      </w:r>
      <w:r>
        <w:rPr/>
        <w:t>of</w:t>
      </w:r>
      <w:r>
        <w:rPr>
          <w:spacing w:val="10"/>
        </w:rPr>
        <w:t> </w:t>
      </w:r>
      <w:r>
        <w:rPr/>
        <w:t>this</w:t>
      </w:r>
      <w:r>
        <w:rPr>
          <w:spacing w:val="11"/>
        </w:rPr>
        <w:t> </w:t>
      </w:r>
      <w:r>
        <w:rPr/>
        <w:t>transporter</w:t>
      </w:r>
      <w:r>
        <w:rPr>
          <w:spacing w:val="10"/>
        </w:rPr>
        <w:t> </w:t>
      </w:r>
      <w:r>
        <w:rPr/>
        <w:t>family</w:t>
      </w:r>
      <w:r>
        <w:rPr>
          <w:spacing w:val="8"/>
        </w:rPr>
        <w:t> </w:t>
      </w:r>
      <w:r>
        <w:rPr/>
        <w:t>are</w:t>
      </w:r>
    </w:p>
    <w:p>
      <w:pPr>
        <w:spacing w:after="0" w:line="480" w:lineRule="auto"/>
        <w:jc w:val="both"/>
        <w:sectPr>
          <w:pgSz w:w="12240" w:h="15840"/>
          <w:pgMar w:header="0" w:footer="792" w:top="1360" w:bottom="980" w:left="1080" w:right="760"/>
        </w:sectPr>
      </w:pPr>
    </w:p>
    <w:p>
      <w:pPr>
        <w:pStyle w:val="BodyText"/>
        <w:spacing w:line="480" w:lineRule="auto" w:before="72"/>
        <w:ind w:left="648" w:right="675"/>
        <w:jc w:val="both"/>
      </w:pPr>
      <w:r>
        <w:rPr/>
        <w:t>associated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drug</w:t>
      </w:r>
      <w:r>
        <w:rPr>
          <w:spacing w:val="1"/>
        </w:rPr>
        <w:t> </w:t>
      </w:r>
      <w:r>
        <w:rPr/>
        <w:t>resistance.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these,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p-glycoprotein,</w:t>
      </w:r>
      <w:r>
        <w:rPr>
          <w:spacing w:val="1"/>
        </w:rPr>
        <w:t> </w:t>
      </w:r>
      <w:r>
        <w:rPr/>
        <w:t>(p-gp),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multi-resistant</w:t>
      </w:r>
      <w:r>
        <w:rPr>
          <w:spacing w:val="1"/>
        </w:rPr>
        <w:t> </w:t>
      </w:r>
      <w:r>
        <w:rPr/>
        <w:t>proteins (MRP1-7), and the breast cancer resistant protein (BCRP) occur in the blood brain</w:t>
      </w:r>
      <w:r>
        <w:rPr>
          <w:spacing w:val="1"/>
        </w:rPr>
        <w:t> </w:t>
      </w:r>
      <w:r>
        <w:rPr/>
        <w:t>barrier and cerebrospinal fluid-brain barrier and drive the flow of their substrates against their</w:t>
      </w:r>
      <w:r>
        <w:rPr>
          <w:spacing w:val="1"/>
        </w:rPr>
        <w:t> </w:t>
      </w:r>
      <w:r>
        <w:rPr/>
        <w:t>concentration</w:t>
      </w:r>
      <w:r>
        <w:rPr>
          <w:spacing w:val="1"/>
        </w:rPr>
        <w:t> </w:t>
      </w:r>
      <w:r>
        <w:rPr/>
        <w:t>gradients</w:t>
      </w:r>
      <w:r>
        <w:rPr>
          <w:spacing w:val="1"/>
        </w:rPr>
        <w:t> </w:t>
      </w:r>
      <w:r>
        <w:rPr/>
        <w:t>resulting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lowered</w:t>
      </w:r>
      <w:r>
        <w:rPr>
          <w:spacing w:val="1"/>
        </w:rPr>
        <w:t> </w:t>
      </w:r>
      <w:r>
        <w:rPr/>
        <w:t>plasma</w:t>
      </w:r>
      <w:r>
        <w:rPr>
          <w:spacing w:val="1"/>
        </w:rPr>
        <w:t> </w:t>
      </w:r>
      <w:r>
        <w:rPr/>
        <w:t>levels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drug</w:t>
      </w:r>
      <w:r>
        <w:rPr>
          <w:spacing w:val="1"/>
        </w:rPr>
        <w:t> </w:t>
      </w:r>
      <w:r>
        <w:rPr/>
        <w:t>despite</w:t>
      </w:r>
      <w:r>
        <w:rPr>
          <w:spacing w:val="1"/>
        </w:rPr>
        <w:t> </w:t>
      </w:r>
      <w:r>
        <w:rPr/>
        <w:t>adequate</w:t>
      </w:r>
      <w:r>
        <w:rPr>
          <w:spacing w:val="1"/>
        </w:rPr>
        <w:t> </w:t>
      </w:r>
      <w:r>
        <w:rPr/>
        <w:t>administration (Lazarowski </w:t>
      </w:r>
      <w:r>
        <w:rPr>
          <w:i/>
        </w:rPr>
        <w:t>et al</w:t>
      </w:r>
      <w:r>
        <w:rPr/>
        <w:t>., 2007). High levels of P-glycoprotein and multi-resistant</w:t>
      </w:r>
      <w:r>
        <w:rPr>
          <w:spacing w:val="1"/>
        </w:rPr>
        <w:t> </w:t>
      </w:r>
      <w:r>
        <w:rPr/>
        <w:t>proteins has been demonstrated in both vascular endothelial cells and brain parenchymal cells</w:t>
      </w:r>
      <w:r>
        <w:rPr>
          <w:spacing w:val="1"/>
        </w:rPr>
        <w:t> </w:t>
      </w:r>
      <w:r>
        <w:rPr/>
        <w:t>of epileptogenic brain</w:t>
      </w:r>
      <w:r>
        <w:rPr>
          <w:spacing w:val="1"/>
        </w:rPr>
        <w:t> </w:t>
      </w:r>
      <w:r>
        <w:rPr/>
        <w:t>specimens</w:t>
      </w:r>
      <w:r>
        <w:rPr>
          <w:spacing w:val="1"/>
        </w:rPr>
        <w:t> </w:t>
      </w:r>
      <w:r>
        <w:rPr/>
        <w:t>of patients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refractory epilepsy (Lazarowski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60"/>
        </w:rPr>
        <w:t> </w:t>
      </w:r>
      <w:r>
        <w:rPr>
          <w:i/>
        </w:rPr>
        <w:t>al</w:t>
      </w:r>
      <w:r>
        <w:rPr/>
        <w:t>.,</w:t>
      </w:r>
      <w:r>
        <w:rPr>
          <w:spacing w:val="1"/>
        </w:rPr>
        <w:t> </w:t>
      </w:r>
      <w:r>
        <w:rPr/>
        <w:t>2007). However, it is not clear, due to lack of control, if this over expression of transporters</w:t>
      </w:r>
      <w:r>
        <w:rPr>
          <w:spacing w:val="1"/>
        </w:rPr>
        <w:t> </w:t>
      </w:r>
      <w:r>
        <w:rPr/>
        <w:t>exist before the onset of epilepsy, or if it is a consequence of the seizure or the treatment</w:t>
      </w:r>
      <w:r>
        <w:rPr>
          <w:spacing w:val="1"/>
        </w:rPr>
        <w:t> </w:t>
      </w:r>
      <w:r>
        <w:rPr/>
        <w:t>(Lazarowski </w:t>
      </w:r>
      <w:r>
        <w:rPr>
          <w:i/>
        </w:rPr>
        <w:t>et al</w:t>
      </w:r>
      <w:r>
        <w:rPr/>
        <w:t>., 2007).</w:t>
      </w: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2"/>
        </w:rPr>
      </w:pPr>
    </w:p>
    <w:p>
      <w:pPr>
        <w:pStyle w:val="Heading1"/>
        <w:numPr>
          <w:ilvl w:val="2"/>
          <w:numId w:val="10"/>
        </w:numPr>
        <w:tabs>
          <w:tab w:pos="1309" w:val="left" w:leader="none"/>
        </w:tabs>
        <w:spacing w:line="240" w:lineRule="auto" w:before="0" w:after="0"/>
        <w:ind w:left="1308" w:right="0" w:hanging="661"/>
        <w:jc w:val="both"/>
      </w:pPr>
      <w:bookmarkStart w:name="_TOC_250040" w:id="21"/>
      <w:r>
        <w:rPr/>
        <w:t>Non</w:t>
      </w:r>
      <w:r>
        <w:rPr>
          <w:spacing w:val="-2"/>
        </w:rPr>
        <w:t> </w:t>
      </w:r>
      <w:r>
        <w:rPr/>
        <w:t>pharmacological</w:t>
      </w:r>
      <w:r>
        <w:rPr>
          <w:spacing w:val="-2"/>
        </w:rPr>
        <w:t> </w:t>
      </w:r>
      <w:r>
        <w:rPr/>
        <w:t>management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bookmarkEnd w:id="21"/>
      <w:r>
        <w:rPr/>
        <w:t>epilepsy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648" w:right="679"/>
        <w:jc w:val="both"/>
      </w:pPr>
      <w:r>
        <w:rPr/>
        <w:t>Non-pharmacological</w:t>
      </w:r>
      <w:r>
        <w:rPr>
          <w:spacing w:val="1"/>
        </w:rPr>
        <w:t> </w:t>
      </w:r>
      <w:r>
        <w:rPr/>
        <w:t>methods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managing</w:t>
      </w:r>
      <w:r>
        <w:rPr>
          <w:spacing w:val="1"/>
        </w:rPr>
        <w:t> </w:t>
      </w:r>
      <w:r>
        <w:rPr/>
        <w:t>epilepsy involve</w:t>
      </w:r>
      <w:r>
        <w:rPr>
          <w:spacing w:val="1"/>
        </w:rPr>
        <w:t> </w:t>
      </w:r>
      <w:r>
        <w:rPr/>
        <w:t>surgery,</w:t>
      </w:r>
      <w:r>
        <w:rPr>
          <w:spacing w:val="1"/>
        </w:rPr>
        <w:t> </w:t>
      </w:r>
      <w:r>
        <w:rPr/>
        <w:t>ketogenic</w:t>
      </w:r>
      <w:r>
        <w:rPr>
          <w:spacing w:val="1"/>
        </w:rPr>
        <w:t> </w:t>
      </w:r>
      <w:r>
        <w:rPr/>
        <w:t>diet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implantation</w:t>
      </w:r>
      <w:r>
        <w:rPr>
          <w:spacing w:val="-1"/>
        </w:rPr>
        <w:t> </w:t>
      </w:r>
      <w:r>
        <w:rPr/>
        <w:t>of medical devices.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ListParagraph"/>
        <w:numPr>
          <w:ilvl w:val="0"/>
          <w:numId w:val="19"/>
        </w:numPr>
        <w:tabs>
          <w:tab w:pos="841" w:val="left" w:leader="none"/>
        </w:tabs>
        <w:spacing w:line="480" w:lineRule="auto" w:before="0" w:after="0"/>
        <w:ind w:left="648" w:right="678" w:firstLine="0"/>
        <w:jc w:val="both"/>
        <w:rPr>
          <w:sz w:val="24"/>
        </w:rPr>
      </w:pPr>
      <w:r>
        <w:rPr>
          <w:b/>
          <w:i/>
          <w:sz w:val="24"/>
        </w:rPr>
        <w:t>Surgery; </w:t>
      </w:r>
      <w:r>
        <w:rPr>
          <w:sz w:val="24"/>
        </w:rPr>
        <w:t>Epilepsy surgery is an option for people with local seizures that have proven to be</w:t>
      </w:r>
      <w:r>
        <w:rPr>
          <w:spacing w:val="1"/>
          <w:sz w:val="24"/>
        </w:rPr>
        <w:t> </w:t>
      </w:r>
      <w:r>
        <w:rPr>
          <w:sz w:val="24"/>
        </w:rPr>
        <w:t>refractory to treatment with antiepileptic drugs (Duncan </w:t>
      </w:r>
      <w:r>
        <w:rPr>
          <w:i/>
          <w:sz w:val="24"/>
        </w:rPr>
        <w:t>et al</w:t>
      </w:r>
      <w:r>
        <w:rPr>
          <w:sz w:val="24"/>
        </w:rPr>
        <w:t>., 2006). The goal for these</w:t>
      </w:r>
      <w:r>
        <w:rPr>
          <w:spacing w:val="1"/>
          <w:sz w:val="24"/>
        </w:rPr>
        <w:t> </w:t>
      </w:r>
      <w:r>
        <w:rPr>
          <w:sz w:val="24"/>
        </w:rPr>
        <w:t>procedures is total control of epileptic seizures (Birbeck </w:t>
      </w:r>
      <w:r>
        <w:rPr>
          <w:i/>
          <w:sz w:val="24"/>
        </w:rPr>
        <w:t>et al</w:t>
      </w:r>
      <w:r>
        <w:rPr>
          <w:sz w:val="24"/>
        </w:rPr>
        <w:t>., 2002) although anticonvulsant</w:t>
      </w:r>
      <w:r>
        <w:rPr>
          <w:spacing w:val="1"/>
          <w:sz w:val="24"/>
        </w:rPr>
        <w:t> </w:t>
      </w:r>
      <w:r>
        <w:rPr>
          <w:sz w:val="24"/>
        </w:rPr>
        <w:t>medication may still be required (Berg </w:t>
      </w:r>
      <w:r>
        <w:rPr>
          <w:i/>
          <w:sz w:val="24"/>
        </w:rPr>
        <w:t>et al</w:t>
      </w:r>
      <w:r>
        <w:rPr>
          <w:sz w:val="24"/>
        </w:rPr>
        <w:t>., 2007).</w:t>
      </w:r>
      <w:r>
        <w:rPr>
          <w:spacing w:val="1"/>
          <w:sz w:val="24"/>
        </w:rPr>
        <w:t> </w:t>
      </w:r>
      <w:r>
        <w:rPr>
          <w:sz w:val="24"/>
        </w:rPr>
        <w:t>The most common epilepsy surgery is</w:t>
      </w:r>
      <w:r>
        <w:rPr>
          <w:spacing w:val="1"/>
          <w:sz w:val="24"/>
        </w:rPr>
        <w:t> </w:t>
      </w:r>
      <w:r>
        <w:rPr>
          <w:sz w:val="24"/>
        </w:rPr>
        <w:t>anterior temporal lobectomy for patients with temporal lobe epilepsy and is effective, durable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results in</w:t>
      </w:r>
      <w:r>
        <w:rPr>
          <w:spacing w:val="-1"/>
          <w:sz w:val="24"/>
        </w:rPr>
        <w:t> </w:t>
      </w:r>
      <w:r>
        <w:rPr>
          <w:sz w:val="24"/>
        </w:rPr>
        <w:t>decreased</w:t>
      </w:r>
      <w:r>
        <w:rPr>
          <w:spacing w:val="2"/>
          <w:sz w:val="24"/>
        </w:rPr>
        <w:t> </w:t>
      </w:r>
      <w:r>
        <w:rPr>
          <w:sz w:val="24"/>
        </w:rPr>
        <w:t>healthcare</w:t>
      </w:r>
      <w:r>
        <w:rPr>
          <w:spacing w:val="-2"/>
          <w:sz w:val="24"/>
        </w:rPr>
        <w:t> </w:t>
      </w:r>
      <w:r>
        <w:rPr>
          <w:sz w:val="24"/>
        </w:rPr>
        <w:t>cost. (Wiebe,</w:t>
      </w:r>
      <w:r>
        <w:rPr>
          <w:spacing w:val="4"/>
          <w:sz w:val="24"/>
        </w:rPr>
        <w:t> </w:t>
      </w:r>
      <w:r>
        <w:rPr>
          <w:sz w:val="24"/>
        </w:rPr>
        <w:t>2001;</w:t>
      </w:r>
      <w:r>
        <w:rPr>
          <w:spacing w:val="-1"/>
          <w:sz w:val="24"/>
        </w:rPr>
        <w:t> </w:t>
      </w:r>
      <w:r>
        <w:rPr>
          <w:sz w:val="24"/>
        </w:rPr>
        <w:t>Kelly</w:t>
      </w:r>
      <w:r>
        <w:rPr>
          <w:spacing w:val="-5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Theodore, 2005).</w:t>
      </w:r>
    </w:p>
    <w:p>
      <w:pPr>
        <w:spacing w:after="0" w:line="480" w:lineRule="auto"/>
        <w:jc w:val="both"/>
        <w:rPr>
          <w:sz w:val="24"/>
        </w:rPr>
        <w:sectPr>
          <w:pgSz w:w="12240" w:h="15840"/>
          <w:pgMar w:header="0" w:footer="792" w:top="1360" w:bottom="980" w:left="1080" w:right="760"/>
        </w:sectPr>
      </w:pPr>
    </w:p>
    <w:p>
      <w:pPr>
        <w:pStyle w:val="ListParagraph"/>
        <w:numPr>
          <w:ilvl w:val="0"/>
          <w:numId w:val="19"/>
        </w:numPr>
        <w:tabs>
          <w:tab w:pos="844" w:val="left" w:leader="none"/>
        </w:tabs>
        <w:spacing w:line="480" w:lineRule="auto" w:before="72" w:after="0"/>
        <w:ind w:left="648" w:right="675" w:firstLine="0"/>
        <w:jc w:val="both"/>
        <w:rPr>
          <w:sz w:val="24"/>
        </w:rPr>
      </w:pPr>
      <w:r>
        <w:rPr>
          <w:b/>
          <w:sz w:val="24"/>
        </w:rPr>
        <w:t>Electrical</w:t>
      </w:r>
      <w:r>
        <w:rPr>
          <w:b/>
          <w:spacing w:val="20"/>
          <w:sz w:val="24"/>
        </w:rPr>
        <w:t> </w:t>
      </w:r>
      <w:r>
        <w:rPr>
          <w:b/>
          <w:i/>
          <w:sz w:val="24"/>
        </w:rPr>
        <w:t>Stimulation;</w:t>
      </w:r>
      <w:r>
        <w:rPr>
          <w:b/>
          <w:i/>
          <w:spacing w:val="21"/>
          <w:sz w:val="24"/>
        </w:rPr>
        <w:t> </w:t>
      </w:r>
      <w:r>
        <w:rPr>
          <w:sz w:val="24"/>
        </w:rPr>
        <w:t>Electrical</w:t>
      </w:r>
      <w:r>
        <w:rPr>
          <w:spacing w:val="22"/>
          <w:sz w:val="24"/>
        </w:rPr>
        <w:t> </w:t>
      </w:r>
      <w:r>
        <w:rPr>
          <w:sz w:val="24"/>
        </w:rPr>
        <w:t>stimulation</w:t>
      </w:r>
      <w:r>
        <w:rPr>
          <w:spacing w:val="17"/>
          <w:sz w:val="24"/>
        </w:rPr>
        <w:t> </w:t>
      </w:r>
      <w:r>
        <w:rPr>
          <w:sz w:val="24"/>
        </w:rPr>
        <w:t>methods</w:t>
      </w:r>
      <w:r>
        <w:rPr>
          <w:spacing w:val="21"/>
          <w:sz w:val="24"/>
        </w:rPr>
        <w:t> </w:t>
      </w:r>
      <w:r>
        <w:rPr>
          <w:sz w:val="24"/>
        </w:rPr>
        <w:t>of</w:t>
      </w:r>
      <w:r>
        <w:rPr>
          <w:spacing w:val="19"/>
          <w:sz w:val="24"/>
        </w:rPr>
        <w:t> </w:t>
      </w:r>
      <w:r>
        <w:rPr>
          <w:sz w:val="24"/>
        </w:rPr>
        <w:t>managing</w:t>
      </w:r>
      <w:r>
        <w:rPr>
          <w:spacing w:val="18"/>
          <w:sz w:val="24"/>
        </w:rPr>
        <w:t> </w:t>
      </w:r>
      <w:r>
        <w:rPr>
          <w:sz w:val="24"/>
        </w:rPr>
        <w:t>epilepsy</w:t>
      </w:r>
      <w:r>
        <w:rPr>
          <w:spacing w:val="15"/>
          <w:sz w:val="24"/>
        </w:rPr>
        <w:t> </w:t>
      </w:r>
      <w:r>
        <w:rPr>
          <w:sz w:val="24"/>
        </w:rPr>
        <w:t>are</w:t>
      </w:r>
      <w:r>
        <w:rPr>
          <w:spacing w:val="18"/>
          <w:sz w:val="24"/>
        </w:rPr>
        <w:t> </w:t>
      </w:r>
      <w:r>
        <w:rPr>
          <w:sz w:val="24"/>
        </w:rPr>
        <w:t>currently</w:t>
      </w:r>
      <w:r>
        <w:rPr>
          <w:spacing w:val="-57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use</w:t>
      </w:r>
      <w:r>
        <w:rPr>
          <w:spacing w:val="1"/>
          <w:sz w:val="24"/>
        </w:rPr>
        <w:t> </w:t>
      </w:r>
      <w:r>
        <w:rPr>
          <w:sz w:val="24"/>
        </w:rPr>
        <w:t>(Theodore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Fisher,</w:t>
      </w:r>
      <w:r>
        <w:rPr>
          <w:spacing w:val="1"/>
          <w:sz w:val="24"/>
        </w:rPr>
        <w:t> </w:t>
      </w:r>
      <w:r>
        <w:rPr>
          <w:sz w:val="24"/>
        </w:rPr>
        <w:t>2004).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currently</w:t>
      </w:r>
      <w:r>
        <w:rPr>
          <w:spacing w:val="1"/>
          <w:sz w:val="24"/>
        </w:rPr>
        <w:t> </w:t>
      </w:r>
      <w:r>
        <w:rPr>
          <w:sz w:val="24"/>
        </w:rPr>
        <w:t>approved</w:t>
      </w:r>
      <w:r>
        <w:rPr>
          <w:spacing w:val="1"/>
          <w:sz w:val="24"/>
        </w:rPr>
        <w:t> </w:t>
      </w:r>
      <w:r>
        <w:rPr>
          <w:sz w:val="24"/>
        </w:rPr>
        <w:t>device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vagus</w:t>
      </w:r>
      <w:r>
        <w:rPr>
          <w:spacing w:val="1"/>
          <w:sz w:val="24"/>
        </w:rPr>
        <w:t> </w:t>
      </w:r>
      <w:r>
        <w:rPr>
          <w:sz w:val="24"/>
        </w:rPr>
        <w:t>nerve</w:t>
      </w:r>
      <w:r>
        <w:rPr>
          <w:spacing w:val="1"/>
          <w:sz w:val="24"/>
        </w:rPr>
        <w:t> </w:t>
      </w:r>
      <w:r>
        <w:rPr>
          <w:sz w:val="24"/>
        </w:rPr>
        <w:t>stimulation (VNS). This is an electrical stimulator that when implanted in the neck directs</w:t>
      </w:r>
      <w:r>
        <w:rPr>
          <w:spacing w:val="1"/>
          <w:sz w:val="24"/>
        </w:rPr>
        <w:t> </w:t>
      </w:r>
      <w:r>
        <w:rPr>
          <w:sz w:val="24"/>
        </w:rPr>
        <w:t>intermittent pulses to the vagus nerve. The patient can activate the stimulator magnetically if</w:t>
      </w:r>
      <w:r>
        <w:rPr>
          <w:spacing w:val="1"/>
          <w:sz w:val="24"/>
        </w:rPr>
        <w:t> </w:t>
      </w:r>
      <w:r>
        <w:rPr>
          <w:sz w:val="24"/>
        </w:rPr>
        <w:t>they feel a seizure is about to begin in order to prevent the seizure or reduce its severity,</w:t>
      </w:r>
      <w:r>
        <w:rPr>
          <w:spacing w:val="1"/>
          <w:sz w:val="24"/>
        </w:rPr>
        <w:t> </w:t>
      </w:r>
      <w:r>
        <w:rPr>
          <w:sz w:val="24"/>
        </w:rPr>
        <w:t>common side effects such as alterations in voice and tingling sensations are mild to moderate</w:t>
      </w:r>
      <w:r>
        <w:rPr>
          <w:spacing w:val="1"/>
          <w:sz w:val="24"/>
        </w:rPr>
        <w:t> </w:t>
      </w:r>
      <w:r>
        <w:rPr>
          <w:sz w:val="24"/>
        </w:rPr>
        <w:t>and subside with time (Ben-Menachem, 2002). Approximately, 30 - 40% of patients who are</w:t>
      </w:r>
      <w:r>
        <w:rPr>
          <w:spacing w:val="1"/>
          <w:sz w:val="24"/>
        </w:rPr>
        <w:t> </w:t>
      </w:r>
      <w:r>
        <w:rPr>
          <w:sz w:val="24"/>
        </w:rPr>
        <w:t>so treated have a 50% reduction in seizures (Schoenenberger, 1995; Tecoma and</w:t>
      </w:r>
      <w:r>
        <w:rPr>
          <w:spacing w:val="60"/>
          <w:sz w:val="24"/>
        </w:rPr>
        <w:t> </w:t>
      </w:r>
      <w:r>
        <w:rPr>
          <w:sz w:val="24"/>
        </w:rPr>
        <w:t>Iraqui,</w:t>
      </w:r>
      <w:r>
        <w:rPr>
          <w:spacing w:val="1"/>
          <w:sz w:val="24"/>
        </w:rPr>
        <w:t> </w:t>
      </w:r>
      <w:r>
        <w:rPr>
          <w:sz w:val="24"/>
        </w:rPr>
        <w:t>2006). Other investigational devices include responsive neurostimulator system (RNS) and</w:t>
      </w:r>
      <w:r>
        <w:rPr>
          <w:spacing w:val="1"/>
          <w:sz w:val="24"/>
        </w:rPr>
        <w:t> </w:t>
      </w:r>
      <w:r>
        <w:rPr>
          <w:sz w:val="24"/>
        </w:rPr>
        <w:t>deep</w:t>
      </w:r>
      <w:r>
        <w:rPr>
          <w:spacing w:val="-1"/>
          <w:sz w:val="24"/>
        </w:rPr>
        <w:t> </w:t>
      </w:r>
      <w:r>
        <w:rPr>
          <w:sz w:val="24"/>
        </w:rPr>
        <w:t>brain stimulation (DBS).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ListParagraph"/>
        <w:numPr>
          <w:ilvl w:val="0"/>
          <w:numId w:val="19"/>
        </w:numPr>
        <w:tabs>
          <w:tab w:pos="1369" w:val="left" w:leader="none"/>
        </w:tabs>
        <w:spacing w:line="480" w:lineRule="auto" w:before="0" w:after="0"/>
        <w:ind w:left="648" w:right="677" w:firstLine="0"/>
        <w:jc w:val="both"/>
        <w:rPr>
          <w:sz w:val="24"/>
        </w:rPr>
      </w:pPr>
      <w:r>
        <w:rPr>
          <w:b/>
          <w:i/>
          <w:sz w:val="24"/>
        </w:rPr>
        <w:t>Ketogenic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diet;</w:t>
      </w:r>
      <w:r>
        <w:rPr>
          <w:b/>
          <w:i/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early</w:t>
      </w:r>
      <w:r>
        <w:rPr>
          <w:spacing w:val="1"/>
          <w:sz w:val="24"/>
        </w:rPr>
        <w:t> </w:t>
      </w:r>
      <w:r>
        <w:rPr>
          <w:sz w:val="24"/>
        </w:rPr>
        <w:t>part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1900‟s,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few</w:t>
      </w:r>
      <w:r>
        <w:rPr>
          <w:spacing w:val="1"/>
          <w:sz w:val="24"/>
        </w:rPr>
        <w:t> </w:t>
      </w:r>
      <w:r>
        <w:rPr>
          <w:sz w:val="24"/>
        </w:rPr>
        <w:t>people</w:t>
      </w:r>
      <w:r>
        <w:rPr>
          <w:spacing w:val="1"/>
          <w:sz w:val="24"/>
        </w:rPr>
        <w:t> </w:t>
      </w:r>
      <w:r>
        <w:rPr>
          <w:sz w:val="24"/>
        </w:rPr>
        <w:t>noticed</w:t>
      </w:r>
      <w:r>
        <w:rPr>
          <w:spacing w:val="1"/>
          <w:sz w:val="24"/>
        </w:rPr>
        <w:t> </w:t>
      </w:r>
      <w:r>
        <w:rPr>
          <w:sz w:val="24"/>
        </w:rPr>
        <w:t>that</w:t>
      </w:r>
      <w:r>
        <w:rPr>
          <w:spacing w:val="1"/>
          <w:sz w:val="24"/>
        </w:rPr>
        <w:t> </w:t>
      </w:r>
      <w:r>
        <w:rPr>
          <w:sz w:val="24"/>
        </w:rPr>
        <w:t>their</w:t>
      </w:r>
      <w:r>
        <w:rPr>
          <w:spacing w:val="-57"/>
          <w:sz w:val="24"/>
        </w:rPr>
        <w:t> </w:t>
      </w:r>
      <w:r>
        <w:rPr>
          <w:sz w:val="24"/>
        </w:rPr>
        <w:t>children‟s seizure improved during times of fasting, the ketogenic diet is designed to imitate</w:t>
      </w:r>
      <w:r>
        <w:rPr>
          <w:spacing w:val="1"/>
          <w:sz w:val="24"/>
        </w:rPr>
        <w:t> </w:t>
      </w:r>
      <w:r>
        <w:rPr>
          <w:sz w:val="24"/>
        </w:rPr>
        <w:t>the chemistry of the fasting state by depriving the brain of sugar (Fisher, 2010).</w:t>
      </w:r>
      <w:r>
        <w:rPr>
          <w:spacing w:val="1"/>
          <w:sz w:val="24"/>
        </w:rPr>
        <w:t> </w:t>
      </w:r>
      <w:r>
        <w:rPr>
          <w:sz w:val="24"/>
        </w:rPr>
        <w:t>This low</w:t>
      </w:r>
      <w:r>
        <w:rPr>
          <w:spacing w:val="1"/>
          <w:sz w:val="24"/>
        </w:rPr>
        <w:t> </w:t>
      </w:r>
      <w:r>
        <w:rPr>
          <w:sz w:val="24"/>
        </w:rPr>
        <w:t>carbohydrate high fat diet results in persistent ketosis which raises seizure threshold, thereby</w:t>
      </w:r>
      <w:r>
        <w:rPr>
          <w:spacing w:val="1"/>
          <w:sz w:val="24"/>
        </w:rPr>
        <w:t> </w:t>
      </w:r>
      <w:r>
        <w:rPr>
          <w:sz w:val="24"/>
        </w:rPr>
        <w:t>making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brain</w:t>
      </w:r>
      <w:r>
        <w:rPr>
          <w:spacing w:val="1"/>
          <w:sz w:val="24"/>
        </w:rPr>
        <w:t> </w:t>
      </w:r>
      <w:r>
        <w:rPr>
          <w:sz w:val="24"/>
        </w:rPr>
        <w:t>more</w:t>
      </w:r>
      <w:r>
        <w:rPr>
          <w:spacing w:val="1"/>
          <w:sz w:val="24"/>
        </w:rPr>
        <w:t> </w:t>
      </w:r>
      <w:r>
        <w:rPr>
          <w:sz w:val="24"/>
        </w:rPr>
        <w:t>resistant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seizure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believed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play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major</w:t>
      </w:r>
      <w:r>
        <w:rPr>
          <w:spacing w:val="1"/>
          <w:sz w:val="24"/>
        </w:rPr>
        <w:t> </w:t>
      </w:r>
      <w:r>
        <w:rPr>
          <w:sz w:val="24"/>
        </w:rPr>
        <w:t>role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therapeutic effect (McAuley and Lott, 2008). Ketogenic diet has been used occasionally in the</w:t>
      </w:r>
      <w:r>
        <w:rPr>
          <w:spacing w:val="-57"/>
          <w:sz w:val="24"/>
        </w:rPr>
        <w:t> </w:t>
      </w:r>
      <w:r>
        <w:rPr>
          <w:sz w:val="24"/>
        </w:rPr>
        <w:t>management of refractory epilepsy following the report of Wilder in 1921 (Wilder, 1921) and</w:t>
      </w:r>
      <w:r>
        <w:rPr>
          <w:spacing w:val="1"/>
          <w:sz w:val="24"/>
        </w:rPr>
        <w:t> </w:t>
      </w:r>
      <w:r>
        <w:rPr>
          <w:sz w:val="24"/>
        </w:rPr>
        <w:t>it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most</w:t>
      </w:r>
      <w:r>
        <w:rPr>
          <w:spacing w:val="1"/>
          <w:sz w:val="24"/>
        </w:rPr>
        <w:t> </w:t>
      </w:r>
      <w:r>
        <w:rPr>
          <w:sz w:val="24"/>
        </w:rPr>
        <w:t>commonly</w:t>
      </w:r>
      <w:r>
        <w:rPr>
          <w:spacing w:val="1"/>
          <w:sz w:val="24"/>
        </w:rPr>
        <w:t> </w:t>
      </w:r>
      <w:r>
        <w:rPr>
          <w:sz w:val="24"/>
        </w:rPr>
        <w:t>used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seems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be</w:t>
      </w:r>
      <w:r>
        <w:rPr>
          <w:spacing w:val="1"/>
          <w:sz w:val="24"/>
        </w:rPr>
        <w:t> </w:t>
      </w:r>
      <w:r>
        <w:rPr>
          <w:sz w:val="24"/>
        </w:rPr>
        <w:t>most</w:t>
      </w:r>
      <w:r>
        <w:rPr>
          <w:spacing w:val="1"/>
          <w:sz w:val="24"/>
        </w:rPr>
        <w:t> </w:t>
      </w:r>
      <w:r>
        <w:rPr>
          <w:sz w:val="24"/>
        </w:rPr>
        <w:t>beneficial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children</w:t>
      </w:r>
      <w:r>
        <w:rPr>
          <w:spacing w:val="1"/>
          <w:sz w:val="24"/>
        </w:rPr>
        <w:t> </w:t>
      </w:r>
      <w:r>
        <w:rPr>
          <w:sz w:val="24"/>
        </w:rPr>
        <w:t>(Hassan,</w:t>
      </w:r>
      <w:r>
        <w:rPr>
          <w:spacing w:val="1"/>
          <w:sz w:val="24"/>
        </w:rPr>
        <w:t> </w:t>
      </w:r>
      <w:r>
        <w:rPr>
          <w:sz w:val="24"/>
        </w:rPr>
        <w:t>1999;</w:t>
      </w:r>
      <w:r>
        <w:rPr>
          <w:spacing w:val="-57"/>
          <w:sz w:val="24"/>
        </w:rPr>
        <w:t> </w:t>
      </w:r>
      <w:r>
        <w:rPr>
          <w:sz w:val="24"/>
        </w:rPr>
        <w:t>Bainbridge,</w:t>
      </w:r>
      <w:r>
        <w:rPr>
          <w:spacing w:val="-1"/>
          <w:sz w:val="24"/>
        </w:rPr>
        <w:t> </w:t>
      </w:r>
      <w:r>
        <w:rPr>
          <w:sz w:val="24"/>
        </w:rPr>
        <w:t>1999).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480" w:lineRule="auto" w:before="1"/>
        <w:ind w:left="648" w:right="675"/>
        <w:jc w:val="both"/>
      </w:pPr>
      <w:r>
        <w:rPr/>
        <w:t>The classical diet is based on an estimated daily requirement of 75 kilocalories per body</w:t>
      </w:r>
      <w:r>
        <w:rPr>
          <w:spacing w:val="1"/>
        </w:rPr>
        <w:t> </w:t>
      </w:r>
      <w:r>
        <w:rPr/>
        <w:t>weight;</w:t>
      </w:r>
      <w:r>
        <w:rPr>
          <w:spacing w:val="-1"/>
        </w:rPr>
        <w:t> </w:t>
      </w:r>
      <w:r>
        <w:rPr/>
        <w:t>50%</w:t>
      </w:r>
      <w:r>
        <w:rPr>
          <w:spacing w:val="-2"/>
        </w:rPr>
        <w:t> </w:t>
      </w:r>
      <w:r>
        <w:rPr/>
        <w:t>of calories</w:t>
      </w:r>
      <w:r>
        <w:rPr>
          <w:spacing w:val="1"/>
        </w:rPr>
        <w:t> </w:t>
      </w:r>
      <w:r>
        <w:rPr/>
        <w:t>are</w:t>
      </w:r>
      <w:r>
        <w:rPr>
          <w:spacing w:val="-1"/>
        </w:rPr>
        <w:t> </w:t>
      </w:r>
      <w:r>
        <w:rPr/>
        <w:t>given as</w:t>
      </w:r>
      <w:r>
        <w:rPr>
          <w:spacing w:val="-1"/>
        </w:rPr>
        <w:t> </w:t>
      </w:r>
      <w:r>
        <w:rPr/>
        <w:t>fat,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remainder</w:t>
      </w:r>
      <w:r>
        <w:rPr>
          <w:spacing w:val="-1"/>
        </w:rPr>
        <w:t> </w:t>
      </w:r>
      <w:r>
        <w:rPr/>
        <w:t>as</w:t>
      </w:r>
      <w:r>
        <w:rPr>
          <w:spacing w:val="1"/>
        </w:rPr>
        <w:t> </w:t>
      </w:r>
      <w:r>
        <w:rPr/>
        <w:t>protein</w:t>
      </w:r>
      <w:r>
        <w:rPr>
          <w:spacing w:val="-1"/>
        </w:rPr>
        <w:t> </w:t>
      </w:r>
      <w:r>
        <w:rPr/>
        <w:t>and carbohydrates</w:t>
      </w:r>
      <w:r>
        <w:rPr>
          <w:spacing w:val="-1"/>
        </w:rPr>
        <w:t> </w:t>
      </w:r>
      <w:r>
        <w:rPr/>
        <w:t>(Ogunrin,</w:t>
      </w:r>
    </w:p>
    <w:p>
      <w:pPr>
        <w:spacing w:after="0" w:line="480" w:lineRule="auto"/>
        <w:jc w:val="both"/>
        <w:sectPr>
          <w:pgSz w:w="12240" w:h="15840"/>
          <w:pgMar w:header="0" w:footer="792" w:top="1360" w:bottom="980" w:left="1080" w:right="760"/>
        </w:sectPr>
      </w:pPr>
    </w:p>
    <w:p>
      <w:pPr>
        <w:pStyle w:val="BodyText"/>
        <w:spacing w:line="480" w:lineRule="auto" w:before="72"/>
        <w:ind w:left="648" w:right="677"/>
        <w:jc w:val="both"/>
      </w:pPr>
      <w:r>
        <w:rPr/>
        <w:t>2006). In some centres, fats mainly used are long chain fats (Butter, Cream etc) and medium</w:t>
      </w:r>
      <w:r>
        <w:rPr>
          <w:spacing w:val="1"/>
        </w:rPr>
        <w:t> </w:t>
      </w:r>
      <w:r>
        <w:rPr/>
        <w:t>chain triglycerides (octanoic and decanoic acids). In a study from Oxford, 41% of 57 children</w:t>
      </w:r>
      <w:r>
        <w:rPr>
          <w:spacing w:val="1"/>
        </w:rPr>
        <w:t> </w:t>
      </w:r>
      <w:r>
        <w:rPr/>
        <w:t>with epilepsy showed greater than 90% reduction in seizure frequency within one month of</w:t>
      </w:r>
      <w:r>
        <w:rPr>
          <w:spacing w:val="1"/>
        </w:rPr>
        <w:t> </w:t>
      </w:r>
      <w:r>
        <w:rPr/>
        <w:t>starting the diet, 81% of the children had a greater than 50% reduction in seizure frequency</w:t>
      </w:r>
      <w:r>
        <w:rPr>
          <w:spacing w:val="1"/>
        </w:rPr>
        <w:t> </w:t>
      </w:r>
      <w:r>
        <w:rPr/>
        <w:t>and only 19% showed no benefit (Schwartz </w:t>
      </w:r>
      <w:r>
        <w:rPr>
          <w:i/>
        </w:rPr>
        <w:t>et al</w:t>
      </w:r>
      <w:r>
        <w:rPr/>
        <w:t>., 1983). However, such therapeutic option</w:t>
      </w:r>
      <w:r>
        <w:rPr>
          <w:spacing w:val="1"/>
        </w:rPr>
        <w:t> </w:t>
      </w:r>
      <w:r>
        <w:rPr/>
        <w:t>was</w:t>
      </w:r>
      <w:r>
        <w:rPr>
          <w:spacing w:val="-1"/>
        </w:rPr>
        <w:t> </w:t>
      </w:r>
      <w:r>
        <w:rPr/>
        <w:t>never reported</w:t>
      </w:r>
      <w:r>
        <w:rPr>
          <w:spacing w:val="1"/>
        </w:rPr>
        <w:t> </w:t>
      </w:r>
      <w:r>
        <w:rPr/>
        <w:t>among</w:t>
      </w:r>
      <w:r>
        <w:rPr>
          <w:spacing w:val="-3"/>
        </w:rPr>
        <w:t> </w:t>
      </w:r>
      <w:r>
        <w:rPr/>
        <w:t>Nigerian patients (Ogunrin,</w:t>
      </w:r>
      <w:r>
        <w:rPr>
          <w:spacing w:val="-1"/>
        </w:rPr>
        <w:t> </w:t>
      </w:r>
      <w:r>
        <w:rPr/>
        <w:t>2006).</w:t>
      </w:r>
    </w:p>
    <w:p>
      <w:pPr>
        <w:pStyle w:val="BodyText"/>
        <w:spacing w:before="6"/>
      </w:pPr>
    </w:p>
    <w:p>
      <w:pPr>
        <w:pStyle w:val="Heading1"/>
        <w:numPr>
          <w:ilvl w:val="2"/>
          <w:numId w:val="10"/>
        </w:numPr>
        <w:tabs>
          <w:tab w:pos="1489" w:val="left" w:leader="none"/>
        </w:tabs>
        <w:spacing w:line="240" w:lineRule="auto" w:before="0" w:after="0"/>
        <w:ind w:left="1488" w:right="0" w:hanging="841"/>
        <w:jc w:val="both"/>
      </w:pPr>
      <w:bookmarkStart w:name="_TOC_250039" w:id="22"/>
      <w:r>
        <w:rPr/>
        <w:t>Plants</w:t>
      </w:r>
      <w:r>
        <w:rPr>
          <w:spacing w:val="-2"/>
        </w:rPr>
        <w:t> </w:t>
      </w:r>
      <w:r>
        <w:rPr/>
        <w:t>with</w:t>
      </w:r>
      <w:r>
        <w:rPr>
          <w:spacing w:val="-1"/>
        </w:rPr>
        <w:t> </w:t>
      </w:r>
      <w:r>
        <w:rPr/>
        <w:t>antiepileptic</w:t>
      </w:r>
      <w:r>
        <w:rPr>
          <w:spacing w:val="-4"/>
        </w:rPr>
        <w:t> </w:t>
      </w:r>
      <w:bookmarkEnd w:id="22"/>
      <w:r>
        <w:rPr/>
        <w:t>activity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648" w:right="673"/>
        <w:jc w:val="both"/>
      </w:pPr>
      <w:r>
        <w:rPr/>
        <w:t>Traditional medical practices have remained as a component of health care system of many</w:t>
      </w:r>
      <w:r>
        <w:rPr>
          <w:spacing w:val="1"/>
        </w:rPr>
        <w:t> </w:t>
      </w:r>
      <w:r>
        <w:rPr/>
        <w:t>societies in spite of the availability of well established alternatives (Oyeka, 1981; Ndoye,</w:t>
      </w:r>
      <w:r>
        <w:rPr>
          <w:spacing w:val="1"/>
        </w:rPr>
        <w:t> </w:t>
      </w:r>
      <w:r>
        <w:rPr/>
        <w:t>2005). But lately focus has shifted to the use of herbal remedies in the management of</w:t>
      </w:r>
      <w:r>
        <w:rPr>
          <w:spacing w:val="1"/>
        </w:rPr>
        <w:t> </w:t>
      </w:r>
      <w:r>
        <w:rPr/>
        <w:t>epileptic seizures, probably because these measures fit into the cultures of people and are not</w:t>
      </w:r>
      <w:r>
        <w:rPr>
          <w:spacing w:val="1"/>
        </w:rPr>
        <w:t> </w:t>
      </w:r>
      <w:r>
        <w:rPr/>
        <w:t>usually as expensive and do not posses many side effects, contraindications and possible</w:t>
      </w:r>
      <w:r>
        <w:rPr>
          <w:spacing w:val="1"/>
        </w:rPr>
        <w:t> </w:t>
      </w:r>
      <w:r>
        <w:rPr/>
        <w:t>interactions with drugs used simultaneously (Hassan </w:t>
      </w:r>
      <w:r>
        <w:rPr>
          <w:i/>
        </w:rPr>
        <w:t>et al</w:t>
      </w:r>
      <w:r>
        <w:rPr/>
        <w:t>., 2012). There are so many plants</w:t>
      </w:r>
      <w:r>
        <w:rPr>
          <w:spacing w:val="1"/>
        </w:rPr>
        <w:t> </w:t>
      </w:r>
      <w:r>
        <w:rPr/>
        <w:t>that have been used locally for the management</w:t>
      </w:r>
      <w:r>
        <w:rPr>
          <w:spacing w:val="1"/>
        </w:rPr>
        <w:t> </w:t>
      </w:r>
      <w:r>
        <w:rPr/>
        <w:t>of epilepsy and whose anticonvulsant‟s</w:t>
      </w:r>
      <w:r>
        <w:rPr>
          <w:spacing w:val="1"/>
        </w:rPr>
        <w:t> </w:t>
      </w:r>
      <w:r>
        <w:rPr/>
        <w:t>properties have been scientifically evaluated and hence their local use justified, some few are</w:t>
      </w:r>
      <w:r>
        <w:rPr>
          <w:spacing w:val="1"/>
        </w:rPr>
        <w:t> </w:t>
      </w:r>
      <w:r>
        <w:rPr/>
        <w:t>listed</w:t>
      </w:r>
      <w:r>
        <w:rPr>
          <w:spacing w:val="-1"/>
        </w:rPr>
        <w:t> </w:t>
      </w:r>
      <w:r>
        <w:rPr/>
        <w:t>below: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20"/>
        </w:numPr>
        <w:tabs>
          <w:tab w:pos="889" w:val="left" w:leader="none"/>
        </w:tabs>
        <w:spacing w:line="480" w:lineRule="auto" w:before="0" w:after="0"/>
        <w:ind w:left="888" w:right="2754" w:hanging="240"/>
        <w:jc w:val="left"/>
        <w:rPr>
          <w:sz w:val="24"/>
        </w:rPr>
      </w:pPr>
      <w:r>
        <w:rPr>
          <w:i/>
          <w:sz w:val="24"/>
        </w:rPr>
        <w:t>Securidaca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longipedunculata</w:t>
      </w:r>
      <w:r>
        <w:rPr>
          <w:i/>
          <w:spacing w:val="-1"/>
          <w:sz w:val="24"/>
        </w:rPr>
        <w:t> </w:t>
      </w:r>
      <w:r>
        <w:rPr>
          <w:sz w:val="24"/>
        </w:rPr>
        <w:t>(Polygalaceae)</w:t>
      </w:r>
      <w:r>
        <w:rPr>
          <w:spacing w:val="-2"/>
          <w:sz w:val="24"/>
        </w:rPr>
        <w:t> </w:t>
      </w:r>
      <w:r>
        <w:rPr>
          <w:sz w:val="24"/>
        </w:rPr>
        <w:t>(Muazu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Kaita,</w:t>
      </w:r>
      <w:r>
        <w:rPr>
          <w:spacing w:val="-2"/>
          <w:sz w:val="24"/>
        </w:rPr>
        <w:t> </w:t>
      </w:r>
      <w:r>
        <w:rPr>
          <w:sz w:val="24"/>
        </w:rPr>
        <w:t>2008,</w:t>
      </w:r>
      <w:r>
        <w:rPr>
          <w:spacing w:val="-57"/>
          <w:sz w:val="24"/>
        </w:rPr>
        <w:t> </w:t>
      </w:r>
      <w:r>
        <w:rPr>
          <w:sz w:val="24"/>
        </w:rPr>
        <w:t>Adeyemi </w:t>
      </w:r>
      <w:r>
        <w:rPr>
          <w:i/>
          <w:sz w:val="24"/>
        </w:rPr>
        <w:t>et al., </w:t>
      </w:r>
      <w:r>
        <w:rPr>
          <w:sz w:val="24"/>
        </w:rPr>
        <w:t>2010)</w:t>
      </w:r>
    </w:p>
    <w:p>
      <w:pPr>
        <w:pStyle w:val="ListParagraph"/>
        <w:numPr>
          <w:ilvl w:val="0"/>
          <w:numId w:val="20"/>
        </w:numPr>
        <w:tabs>
          <w:tab w:pos="889" w:val="left" w:leader="none"/>
        </w:tabs>
        <w:spacing w:line="240" w:lineRule="auto" w:before="1" w:after="0"/>
        <w:ind w:left="888" w:right="0" w:hanging="241"/>
        <w:jc w:val="both"/>
        <w:rPr>
          <w:sz w:val="24"/>
        </w:rPr>
      </w:pPr>
      <w:r>
        <w:rPr>
          <w:i/>
          <w:sz w:val="24"/>
        </w:rPr>
        <w:t>Mitrogyna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inermis</w:t>
      </w:r>
      <w:r>
        <w:rPr>
          <w:i/>
          <w:spacing w:val="-1"/>
          <w:sz w:val="24"/>
        </w:rPr>
        <w:t> </w:t>
      </w:r>
      <w:r>
        <w:rPr>
          <w:sz w:val="24"/>
        </w:rPr>
        <w:t>(Rabiaceae)</w:t>
      </w:r>
      <w:r>
        <w:rPr>
          <w:spacing w:val="-1"/>
          <w:sz w:val="24"/>
        </w:rPr>
        <w:t> </w:t>
      </w:r>
      <w:r>
        <w:rPr>
          <w:sz w:val="24"/>
        </w:rPr>
        <w:t>Muazu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Kaita,</w:t>
      </w:r>
      <w:r>
        <w:rPr>
          <w:spacing w:val="-1"/>
          <w:sz w:val="24"/>
        </w:rPr>
        <w:t> </w:t>
      </w:r>
      <w:r>
        <w:rPr>
          <w:sz w:val="24"/>
        </w:rPr>
        <w:t>2008)</w:t>
      </w:r>
    </w:p>
    <w:p>
      <w:pPr>
        <w:pStyle w:val="BodyText"/>
      </w:pPr>
    </w:p>
    <w:p>
      <w:pPr>
        <w:spacing w:before="0"/>
        <w:ind w:left="648" w:right="0" w:firstLine="0"/>
        <w:jc w:val="both"/>
        <w:rPr>
          <w:sz w:val="24"/>
        </w:rPr>
      </w:pPr>
      <w:r>
        <w:rPr>
          <w:sz w:val="24"/>
        </w:rPr>
        <w:t>3</w:t>
      </w:r>
      <w:r>
        <w:rPr>
          <w:spacing w:val="-1"/>
          <w:sz w:val="24"/>
        </w:rPr>
        <w:t> </w:t>
      </w:r>
      <w:r>
        <w:rPr>
          <w:i/>
          <w:sz w:val="24"/>
        </w:rPr>
        <w:t>Annona Senegalensis </w:t>
      </w:r>
      <w:r>
        <w:rPr>
          <w:sz w:val="24"/>
        </w:rPr>
        <w:t>(Okoli </w:t>
      </w:r>
      <w:r>
        <w:rPr>
          <w:i/>
          <w:sz w:val="24"/>
        </w:rPr>
        <w:t>et al.,</w:t>
      </w:r>
      <w:r>
        <w:rPr>
          <w:i/>
          <w:spacing w:val="-1"/>
          <w:sz w:val="24"/>
        </w:rPr>
        <w:t> </w:t>
      </w:r>
      <w:r>
        <w:rPr>
          <w:sz w:val="24"/>
        </w:rPr>
        <w:t>2010; Konate </w:t>
      </w:r>
      <w:r>
        <w:rPr>
          <w:i/>
          <w:sz w:val="24"/>
        </w:rPr>
        <w:t>et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al</w:t>
      </w:r>
      <w:r>
        <w:rPr>
          <w:sz w:val="24"/>
        </w:rPr>
        <w:t>., 2012)</w:t>
      </w:r>
    </w:p>
    <w:p>
      <w:pPr>
        <w:pStyle w:val="BodyText"/>
      </w:pPr>
    </w:p>
    <w:p>
      <w:pPr>
        <w:pStyle w:val="ListParagraph"/>
        <w:numPr>
          <w:ilvl w:val="0"/>
          <w:numId w:val="21"/>
        </w:numPr>
        <w:tabs>
          <w:tab w:pos="889" w:val="left" w:leader="none"/>
        </w:tabs>
        <w:spacing w:line="240" w:lineRule="auto" w:before="0" w:after="0"/>
        <w:ind w:left="888" w:right="0" w:hanging="241"/>
        <w:jc w:val="both"/>
        <w:rPr>
          <w:sz w:val="24"/>
        </w:rPr>
      </w:pPr>
      <w:r>
        <w:rPr>
          <w:i/>
          <w:sz w:val="24"/>
        </w:rPr>
        <w:t>Chrysanthellum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Indicum</w:t>
      </w:r>
      <w:r>
        <w:rPr>
          <w:i/>
          <w:spacing w:val="-1"/>
          <w:sz w:val="24"/>
        </w:rPr>
        <w:t> </w:t>
      </w:r>
      <w:r>
        <w:rPr>
          <w:sz w:val="24"/>
        </w:rPr>
        <w:t>(compisitae)</w:t>
      </w:r>
      <w:r>
        <w:rPr>
          <w:spacing w:val="-1"/>
          <w:sz w:val="24"/>
        </w:rPr>
        <w:t> </w:t>
      </w:r>
      <w:r>
        <w:rPr>
          <w:sz w:val="24"/>
        </w:rPr>
        <w:t>(Yaro</w:t>
      </w:r>
      <w:r>
        <w:rPr>
          <w:spacing w:val="2"/>
          <w:sz w:val="24"/>
        </w:rPr>
        <w:t> </w:t>
      </w:r>
      <w:r>
        <w:rPr>
          <w:i/>
          <w:sz w:val="24"/>
        </w:rPr>
        <w:t>et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al</w:t>
      </w:r>
      <w:r>
        <w:rPr>
          <w:sz w:val="24"/>
        </w:rPr>
        <w:t>.,</w:t>
      </w:r>
      <w:r>
        <w:rPr>
          <w:spacing w:val="-1"/>
          <w:sz w:val="24"/>
        </w:rPr>
        <w:t> </w:t>
      </w:r>
      <w:r>
        <w:rPr>
          <w:sz w:val="24"/>
        </w:rPr>
        <w:t>2007)</w:t>
      </w:r>
    </w:p>
    <w:p>
      <w:pPr>
        <w:pStyle w:val="BodyText"/>
      </w:pPr>
    </w:p>
    <w:p>
      <w:pPr>
        <w:pStyle w:val="ListParagraph"/>
        <w:numPr>
          <w:ilvl w:val="0"/>
          <w:numId w:val="21"/>
        </w:numPr>
        <w:tabs>
          <w:tab w:pos="889" w:val="left" w:leader="none"/>
        </w:tabs>
        <w:spacing w:line="240" w:lineRule="auto" w:before="0" w:after="0"/>
        <w:ind w:left="888" w:right="0" w:hanging="241"/>
        <w:jc w:val="both"/>
        <w:rPr>
          <w:sz w:val="24"/>
        </w:rPr>
      </w:pPr>
      <w:r>
        <w:rPr>
          <w:i/>
          <w:sz w:val="24"/>
        </w:rPr>
        <w:t>Clausena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Anisata</w:t>
      </w:r>
      <w:r>
        <w:rPr>
          <w:i/>
          <w:spacing w:val="-1"/>
          <w:sz w:val="24"/>
        </w:rPr>
        <w:t> </w:t>
      </w:r>
      <w:r>
        <w:rPr>
          <w:sz w:val="24"/>
        </w:rPr>
        <w:t>(rutaceae)</w:t>
      </w:r>
      <w:r>
        <w:rPr>
          <w:spacing w:val="-1"/>
          <w:sz w:val="24"/>
        </w:rPr>
        <w:t> </w:t>
      </w:r>
      <w:r>
        <w:rPr>
          <w:sz w:val="24"/>
        </w:rPr>
        <w:t>(Kenechuckwu</w:t>
      </w:r>
      <w:r>
        <w:rPr>
          <w:spacing w:val="62"/>
          <w:sz w:val="24"/>
        </w:rPr>
        <w:t> </w:t>
      </w:r>
      <w:r>
        <w:rPr>
          <w:i/>
          <w:sz w:val="24"/>
        </w:rPr>
        <w:t>et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al</w:t>
      </w:r>
      <w:r>
        <w:rPr>
          <w:sz w:val="24"/>
        </w:rPr>
        <w:t>.,</w:t>
      </w:r>
      <w:r>
        <w:rPr>
          <w:spacing w:val="-1"/>
          <w:sz w:val="24"/>
        </w:rPr>
        <w:t> </w:t>
      </w:r>
      <w:r>
        <w:rPr>
          <w:sz w:val="24"/>
        </w:rPr>
        <w:t>2012)</w:t>
      </w:r>
    </w:p>
    <w:p>
      <w:pPr>
        <w:spacing w:after="0" w:line="240" w:lineRule="auto"/>
        <w:jc w:val="both"/>
        <w:rPr>
          <w:sz w:val="24"/>
        </w:rPr>
        <w:sectPr>
          <w:pgSz w:w="12240" w:h="15840"/>
          <w:pgMar w:header="0" w:footer="792" w:top="1360" w:bottom="980" w:left="1080" w:right="760"/>
        </w:sectPr>
      </w:pPr>
    </w:p>
    <w:p>
      <w:pPr>
        <w:pStyle w:val="ListParagraph"/>
        <w:numPr>
          <w:ilvl w:val="0"/>
          <w:numId w:val="21"/>
        </w:numPr>
        <w:tabs>
          <w:tab w:pos="889" w:val="left" w:leader="none"/>
        </w:tabs>
        <w:spacing w:line="240" w:lineRule="auto" w:before="72" w:after="0"/>
        <w:ind w:left="888" w:right="0" w:hanging="241"/>
        <w:jc w:val="left"/>
        <w:rPr>
          <w:sz w:val="24"/>
        </w:rPr>
      </w:pPr>
      <w:r>
        <w:rPr>
          <w:i/>
          <w:sz w:val="24"/>
        </w:rPr>
        <w:t>Tacazzea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Apiculata </w:t>
      </w:r>
      <w:r>
        <w:rPr>
          <w:sz w:val="24"/>
        </w:rPr>
        <w:t>(Periplocaceae)</w:t>
      </w:r>
      <w:r>
        <w:rPr>
          <w:spacing w:val="-1"/>
          <w:sz w:val="24"/>
        </w:rPr>
        <w:t> </w:t>
      </w:r>
      <w:r>
        <w:rPr>
          <w:sz w:val="24"/>
        </w:rPr>
        <w:t>(Ahmed </w:t>
      </w:r>
      <w:r>
        <w:rPr>
          <w:i/>
          <w:sz w:val="24"/>
        </w:rPr>
        <w:t>et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al</w:t>
      </w:r>
      <w:r>
        <w:rPr>
          <w:sz w:val="24"/>
        </w:rPr>
        <w:t>.,</w:t>
      </w:r>
      <w:r>
        <w:rPr>
          <w:spacing w:val="-1"/>
          <w:sz w:val="24"/>
        </w:rPr>
        <w:t> </w:t>
      </w:r>
      <w:r>
        <w:rPr>
          <w:sz w:val="24"/>
        </w:rPr>
        <w:t>2009)</w:t>
      </w:r>
    </w:p>
    <w:p>
      <w:pPr>
        <w:pStyle w:val="BodyText"/>
      </w:pPr>
    </w:p>
    <w:p>
      <w:pPr>
        <w:pStyle w:val="ListParagraph"/>
        <w:numPr>
          <w:ilvl w:val="0"/>
          <w:numId w:val="21"/>
        </w:numPr>
        <w:tabs>
          <w:tab w:pos="889" w:val="left" w:leader="none"/>
        </w:tabs>
        <w:spacing w:line="240" w:lineRule="auto" w:before="0" w:after="0"/>
        <w:ind w:left="888" w:right="0" w:hanging="241"/>
        <w:jc w:val="left"/>
        <w:rPr>
          <w:sz w:val="24"/>
        </w:rPr>
      </w:pPr>
      <w:r>
        <w:rPr>
          <w:sz w:val="24"/>
        </w:rPr>
        <w:t>Stereospernum</w:t>
      </w:r>
      <w:r>
        <w:rPr>
          <w:spacing w:val="-1"/>
          <w:sz w:val="24"/>
        </w:rPr>
        <w:t> </w:t>
      </w:r>
      <w:r>
        <w:rPr>
          <w:sz w:val="24"/>
        </w:rPr>
        <w:t>Kunthianum</w:t>
      </w:r>
      <w:r>
        <w:rPr>
          <w:spacing w:val="-1"/>
          <w:sz w:val="24"/>
        </w:rPr>
        <w:t> </w:t>
      </w:r>
      <w:r>
        <w:rPr>
          <w:sz w:val="24"/>
        </w:rPr>
        <w:t>(Bignoniaceae)</w:t>
      </w:r>
      <w:r>
        <w:rPr>
          <w:spacing w:val="-1"/>
          <w:sz w:val="24"/>
        </w:rPr>
        <w:t> </w:t>
      </w:r>
      <w:r>
        <w:rPr>
          <w:sz w:val="24"/>
        </w:rPr>
        <w:t>(Ching</w:t>
      </w:r>
      <w:r>
        <w:rPr>
          <w:spacing w:val="-1"/>
          <w:sz w:val="24"/>
        </w:rPr>
        <w:t> </w:t>
      </w:r>
      <w:r>
        <w:rPr>
          <w:i/>
          <w:sz w:val="24"/>
        </w:rPr>
        <w:t>et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al</w:t>
      </w:r>
      <w:r>
        <w:rPr>
          <w:sz w:val="24"/>
        </w:rPr>
        <w:t>.,</w:t>
      </w:r>
      <w:r>
        <w:rPr>
          <w:spacing w:val="-1"/>
          <w:sz w:val="24"/>
        </w:rPr>
        <w:t> </w:t>
      </w:r>
      <w:r>
        <w:rPr>
          <w:sz w:val="24"/>
        </w:rPr>
        <w:t>2009)</w:t>
      </w:r>
    </w:p>
    <w:p>
      <w:pPr>
        <w:pStyle w:val="BodyText"/>
      </w:pPr>
    </w:p>
    <w:p>
      <w:pPr>
        <w:pStyle w:val="ListParagraph"/>
        <w:numPr>
          <w:ilvl w:val="0"/>
          <w:numId w:val="21"/>
        </w:numPr>
        <w:tabs>
          <w:tab w:pos="889" w:val="left" w:leader="none"/>
        </w:tabs>
        <w:spacing w:line="240" w:lineRule="auto" w:before="0" w:after="0"/>
        <w:ind w:left="888" w:right="0" w:hanging="241"/>
        <w:jc w:val="left"/>
        <w:rPr>
          <w:sz w:val="24"/>
        </w:rPr>
      </w:pPr>
      <w:r>
        <w:rPr>
          <w:sz w:val="24"/>
        </w:rPr>
        <w:t>Ocimum</w:t>
      </w:r>
      <w:r>
        <w:rPr>
          <w:spacing w:val="-1"/>
          <w:sz w:val="24"/>
        </w:rPr>
        <w:t> </w:t>
      </w:r>
      <w:r>
        <w:rPr>
          <w:sz w:val="24"/>
        </w:rPr>
        <w:t>sanctum</w:t>
      </w:r>
      <w:r>
        <w:rPr>
          <w:spacing w:val="-1"/>
          <w:sz w:val="24"/>
        </w:rPr>
        <w:t> </w:t>
      </w:r>
      <w:r>
        <w:rPr>
          <w:sz w:val="24"/>
        </w:rPr>
        <w:t>(Jaggi </w:t>
      </w:r>
      <w:r>
        <w:rPr>
          <w:i/>
          <w:sz w:val="24"/>
        </w:rPr>
        <w:t>et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al.,</w:t>
      </w:r>
      <w:r>
        <w:rPr>
          <w:i/>
          <w:spacing w:val="-1"/>
          <w:sz w:val="24"/>
        </w:rPr>
        <w:t> </w:t>
      </w:r>
      <w:r>
        <w:rPr>
          <w:sz w:val="24"/>
        </w:rPr>
        <w:t>2003).</w:t>
      </w:r>
      <w:r>
        <w:rPr>
          <w:spacing w:val="-1"/>
          <w:sz w:val="24"/>
        </w:rPr>
        <w:t> </w:t>
      </w:r>
      <w:r>
        <w:rPr>
          <w:sz w:val="24"/>
        </w:rPr>
        <w:t>Among</w:t>
      </w:r>
      <w:r>
        <w:rPr>
          <w:spacing w:val="58"/>
          <w:sz w:val="24"/>
        </w:rPr>
        <w:t> </w:t>
      </w:r>
      <w:r>
        <w:rPr>
          <w:sz w:val="24"/>
        </w:rPr>
        <w:t>others.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ListParagraph"/>
        <w:numPr>
          <w:ilvl w:val="2"/>
          <w:numId w:val="10"/>
        </w:numPr>
        <w:tabs>
          <w:tab w:pos="1369" w:val="left" w:leader="none"/>
        </w:tabs>
        <w:spacing w:line="240" w:lineRule="auto" w:before="0" w:after="0"/>
        <w:ind w:left="1368" w:right="0" w:hanging="721"/>
        <w:jc w:val="left"/>
        <w:rPr>
          <w:b/>
          <w:i/>
          <w:sz w:val="24"/>
        </w:rPr>
      </w:pPr>
      <w:r>
        <w:rPr>
          <w:b/>
          <w:sz w:val="24"/>
        </w:rPr>
        <w:t>Previous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studies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done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on</w:t>
      </w:r>
      <w:r>
        <w:rPr>
          <w:b/>
          <w:spacing w:val="-1"/>
          <w:sz w:val="24"/>
        </w:rPr>
        <w:t> </w:t>
      </w:r>
      <w:r>
        <w:rPr>
          <w:b/>
          <w:i/>
          <w:sz w:val="24"/>
        </w:rPr>
        <w:t>Diospyros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mespiliformis</w:t>
      </w:r>
    </w:p>
    <w:p>
      <w:pPr>
        <w:pStyle w:val="BodyText"/>
        <w:spacing w:before="7"/>
        <w:rPr>
          <w:b/>
          <w:i/>
          <w:sz w:val="23"/>
        </w:rPr>
      </w:pPr>
    </w:p>
    <w:p>
      <w:pPr>
        <w:pStyle w:val="BodyText"/>
        <w:spacing w:line="482" w:lineRule="auto"/>
        <w:ind w:left="648" w:right="672"/>
        <w:jc w:val="both"/>
      </w:pPr>
      <w:r>
        <w:rPr/>
        <w:drawing>
          <wp:anchor distT="0" distB="0" distL="0" distR="0" allowOverlap="1" layoutInCell="1" locked="0" behindDoc="1" simplePos="0" relativeHeight="484915200">
            <wp:simplePos x="0" y="0"/>
            <wp:positionH relativeFrom="page">
              <wp:posOffset>2100326</wp:posOffset>
            </wp:positionH>
            <wp:positionV relativeFrom="paragraph">
              <wp:posOffset>703492</wp:posOffset>
            </wp:positionV>
            <wp:extent cx="173736" cy="187451"/>
            <wp:effectExtent l="0" t="0" r="0" b="0"/>
            <wp:wrapNone/>
            <wp:docPr id="9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736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Previous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done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phytochemistry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stem</w:t>
      </w:r>
      <w:r>
        <w:rPr>
          <w:spacing w:val="1"/>
        </w:rPr>
        <w:t> </w:t>
      </w:r>
      <w:r>
        <w:rPr/>
        <w:t>barks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wood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>
          <w:i/>
        </w:rPr>
        <w:t>Diospyros</w:t>
      </w:r>
      <w:r>
        <w:rPr>
          <w:i/>
          <w:spacing w:val="1"/>
        </w:rPr>
        <w:t> </w:t>
      </w:r>
      <w:r>
        <w:rPr>
          <w:i/>
        </w:rPr>
        <w:t>mespiliformis </w:t>
      </w:r>
      <w:r>
        <w:rPr/>
        <w:t>showed the presence of triterpenes, α-amyrin-baurenol, trihydroxy-triterpenoid</w:t>
      </w:r>
      <w:r>
        <w:rPr>
          <w:spacing w:val="1"/>
        </w:rPr>
        <w:t> </w:t>
      </w:r>
      <w:r>
        <w:rPr/>
        <w:t>acid, α-amyrin,</w:t>
      </w:r>
      <w:r>
        <w:rPr>
          <w:spacing w:val="1"/>
        </w:rPr>
        <w:t> </w:t>
      </w:r>
      <w:r>
        <w:rPr/>
        <w:t>-sitosterol, lupeol, betulin and betulinic acid (Fallas and Thompson, 1968;</w:t>
      </w:r>
      <w:r>
        <w:rPr>
          <w:spacing w:val="1"/>
        </w:rPr>
        <w:t> </w:t>
      </w:r>
      <w:r>
        <w:rPr/>
        <w:t>Khan </w:t>
      </w:r>
      <w:r>
        <w:rPr>
          <w:i/>
        </w:rPr>
        <w:t>et al</w:t>
      </w:r>
      <w:r>
        <w:rPr/>
        <w:t>., 1980; Zhong </w:t>
      </w:r>
      <w:r>
        <w:rPr>
          <w:i/>
        </w:rPr>
        <w:t>et al</w:t>
      </w:r>
      <w:r>
        <w:rPr/>
        <w:t>., 1984; Lajubutu </w:t>
      </w:r>
      <w:r>
        <w:rPr>
          <w:i/>
        </w:rPr>
        <w:t>et al</w:t>
      </w:r>
      <w:r>
        <w:rPr/>
        <w:t>., 1995) and Naphthoquinones such as</w:t>
      </w:r>
      <w:r>
        <w:rPr>
          <w:spacing w:val="1"/>
        </w:rPr>
        <w:t> </w:t>
      </w:r>
      <w:r>
        <w:rPr/>
        <w:t>diospyrin, Isodiospyrin, diosquinone and plumbagin (Fallas and Thompson, 1968; Lajubutu </w:t>
      </w:r>
      <w:r>
        <w:rPr>
          <w:i/>
        </w:rPr>
        <w:t>et</w:t>
      </w:r>
      <w:r>
        <w:rPr>
          <w:i/>
          <w:spacing w:val="-57"/>
        </w:rPr>
        <w:t> </w:t>
      </w:r>
      <w:r>
        <w:rPr>
          <w:i/>
        </w:rPr>
        <w:t>al</w:t>
      </w:r>
      <w:r>
        <w:rPr/>
        <w:t>., 1995). The cytotoxicity (Lajubutu</w:t>
      </w:r>
      <w:r>
        <w:rPr>
          <w:spacing w:val="1"/>
        </w:rPr>
        <w:t> </w:t>
      </w:r>
      <w:r>
        <w:rPr>
          <w:i/>
        </w:rPr>
        <w:t>et al</w:t>
      </w:r>
      <w:r>
        <w:rPr/>
        <w:t>., 1995), antibacterial (Lajubutu</w:t>
      </w:r>
      <w:r>
        <w:rPr>
          <w:spacing w:val="1"/>
        </w:rPr>
        <w:t> </w:t>
      </w:r>
      <w:r>
        <w:rPr>
          <w:i/>
        </w:rPr>
        <w:t>et al</w:t>
      </w:r>
      <w:r>
        <w:rPr/>
        <w:t>., 1995‟</w:t>
      </w:r>
      <w:r>
        <w:rPr>
          <w:spacing w:val="1"/>
        </w:rPr>
        <w:t> </w:t>
      </w:r>
      <w:r>
        <w:rPr/>
        <w:t>Adeniyi </w:t>
      </w:r>
      <w:r>
        <w:rPr>
          <w:i/>
        </w:rPr>
        <w:t>et al</w:t>
      </w:r>
      <w:r>
        <w:rPr/>
        <w:t>., 1996; Sanogo </w:t>
      </w:r>
      <w:r>
        <w:rPr>
          <w:i/>
        </w:rPr>
        <w:t>et al</w:t>
      </w:r>
      <w:r>
        <w:rPr/>
        <w:t>., 1998), and antifungal (Adeniyi </w:t>
      </w:r>
      <w:r>
        <w:rPr>
          <w:i/>
        </w:rPr>
        <w:t>et al</w:t>
      </w:r>
      <w:r>
        <w:rPr/>
        <w:t>., 1996) activities of</w:t>
      </w:r>
      <w:r>
        <w:rPr>
          <w:spacing w:val="1"/>
        </w:rPr>
        <w:t> </w:t>
      </w:r>
      <w:r>
        <w:rPr/>
        <w:t>the isolated compounds</w:t>
      </w:r>
      <w:r>
        <w:rPr>
          <w:spacing w:val="60"/>
        </w:rPr>
        <w:t> </w:t>
      </w:r>
      <w:r>
        <w:rPr/>
        <w:t>and crude extract of the plant have been reported. The stem bark of</w:t>
      </w:r>
      <w:r>
        <w:rPr>
          <w:spacing w:val="1"/>
        </w:rPr>
        <w:t> </w:t>
      </w:r>
      <w:r>
        <w:rPr/>
        <w:t>the plant in a neuropharmacological studies was found to prolonged onset of the phases of</w:t>
      </w:r>
      <w:r>
        <w:rPr>
          <w:spacing w:val="1"/>
        </w:rPr>
        <w:t> </w:t>
      </w:r>
      <w:r>
        <w:rPr/>
        <w:t>seizure activity induced by pentylenetetrazole (Adzu </w:t>
      </w:r>
      <w:r>
        <w:rPr>
          <w:i/>
        </w:rPr>
        <w:t>et al</w:t>
      </w:r>
      <w:r>
        <w:rPr/>
        <w:t>., 2002) and recently, subchronic</w:t>
      </w:r>
      <w:r>
        <w:rPr>
          <w:spacing w:val="1"/>
        </w:rPr>
        <w:t> </w:t>
      </w:r>
      <w:r>
        <w:rPr/>
        <w:t>toxicity studies on the root of the plant showed significant elevation of serum transaminases</w:t>
      </w:r>
      <w:r>
        <w:rPr>
          <w:spacing w:val="1"/>
        </w:rPr>
        <w:t> </w:t>
      </w:r>
      <w:r>
        <w:rPr/>
        <w:t>AST and ALT (Jigam </w:t>
      </w:r>
      <w:r>
        <w:rPr>
          <w:i/>
        </w:rPr>
        <w:t>et al</w:t>
      </w:r>
      <w:r>
        <w:rPr/>
        <w:t>., 2012) and lastly extract of the leaves of the plant has been shown</w:t>
      </w:r>
      <w:r>
        <w:rPr>
          <w:spacing w:val="-57"/>
        </w:rPr>
        <w:t> </w:t>
      </w:r>
      <w:r>
        <w:rPr/>
        <w:t>to inhibit caffeine induced calcium release from sarcoplasmic reticulum in dose dependent</w:t>
      </w:r>
      <w:r>
        <w:rPr>
          <w:spacing w:val="1"/>
        </w:rPr>
        <w:t> </w:t>
      </w:r>
      <w:r>
        <w:rPr/>
        <w:t>manner</w:t>
      </w:r>
      <w:r>
        <w:rPr>
          <w:spacing w:val="-1"/>
        </w:rPr>
        <w:t> </w:t>
      </w:r>
      <w:r>
        <w:rPr/>
        <w:t>which explains</w:t>
      </w:r>
      <w:r>
        <w:rPr>
          <w:spacing w:val="-1"/>
        </w:rPr>
        <w:t> </w:t>
      </w:r>
      <w:r>
        <w:rPr/>
        <w:t>its traditional</w:t>
      </w:r>
      <w:r>
        <w:rPr>
          <w:spacing w:val="-1"/>
        </w:rPr>
        <w:t> </w:t>
      </w:r>
      <w:r>
        <w:rPr/>
        <w:t>use</w:t>
      </w:r>
      <w:r>
        <w:rPr>
          <w:spacing w:val="-2"/>
        </w:rPr>
        <w:t> </w:t>
      </w:r>
      <w:r>
        <w:rPr/>
        <w:t>to treat</w:t>
      </w:r>
      <w:r>
        <w:rPr>
          <w:spacing w:val="1"/>
        </w:rPr>
        <w:t> </w:t>
      </w:r>
      <w:r>
        <w:rPr/>
        <w:t>many</w:t>
      </w:r>
      <w:r>
        <w:rPr>
          <w:spacing w:val="-6"/>
        </w:rPr>
        <w:t> </w:t>
      </w:r>
      <w:r>
        <w:rPr/>
        <w:t>diseases (Belemtongri</w:t>
      </w:r>
      <w:r>
        <w:rPr>
          <w:spacing w:val="3"/>
        </w:rPr>
        <w:t> </w:t>
      </w:r>
      <w:r>
        <w:rPr>
          <w:i/>
        </w:rPr>
        <w:t>et</w:t>
      </w:r>
      <w:r>
        <w:rPr>
          <w:i/>
          <w:spacing w:val="-1"/>
        </w:rPr>
        <w:t> </w:t>
      </w:r>
      <w:r>
        <w:rPr>
          <w:i/>
        </w:rPr>
        <w:t>al</w:t>
      </w:r>
      <w:r>
        <w:rPr/>
        <w:t>.,</w:t>
      </w:r>
      <w:r>
        <w:rPr>
          <w:spacing w:val="-1"/>
        </w:rPr>
        <w:t> </w:t>
      </w:r>
      <w:r>
        <w:rPr/>
        <w:t>2006).</w:t>
      </w:r>
    </w:p>
    <w:p>
      <w:pPr>
        <w:pStyle w:val="BodyText"/>
        <w:spacing w:before="4"/>
      </w:pPr>
    </w:p>
    <w:p>
      <w:pPr>
        <w:pStyle w:val="Heading1"/>
        <w:numPr>
          <w:ilvl w:val="2"/>
          <w:numId w:val="10"/>
        </w:numPr>
        <w:tabs>
          <w:tab w:pos="1429" w:val="left" w:leader="none"/>
        </w:tabs>
        <w:spacing w:line="240" w:lineRule="auto" w:before="0" w:after="0"/>
        <w:ind w:left="1428" w:right="0" w:hanging="781"/>
        <w:jc w:val="left"/>
      </w:pPr>
      <w:bookmarkStart w:name="_TOC_250038" w:id="23"/>
      <w:r>
        <w:rPr/>
        <w:t>Anticonvulsant</w:t>
      </w:r>
      <w:r>
        <w:rPr>
          <w:spacing w:val="-5"/>
        </w:rPr>
        <w:t> </w:t>
      </w:r>
      <w:bookmarkEnd w:id="23"/>
      <w:r>
        <w:rPr/>
        <w:t>studies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648" w:right="675"/>
        <w:jc w:val="both"/>
      </w:pPr>
      <w:r>
        <w:rPr/>
        <w:t>In experimental anticonvulsant studies, the animal models commonly used employ the use of</w:t>
      </w:r>
      <w:r>
        <w:rPr>
          <w:spacing w:val="1"/>
        </w:rPr>
        <w:t> </w:t>
      </w:r>
      <w:r>
        <w:rPr/>
        <w:t>chemical</w:t>
      </w:r>
      <w:r>
        <w:rPr>
          <w:spacing w:val="11"/>
        </w:rPr>
        <w:t> </w:t>
      </w:r>
      <w:r>
        <w:rPr/>
        <w:t>or</w:t>
      </w:r>
      <w:r>
        <w:rPr>
          <w:spacing w:val="10"/>
        </w:rPr>
        <w:t> </w:t>
      </w:r>
      <w:r>
        <w:rPr/>
        <w:t>electrical</w:t>
      </w:r>
      <w:r>
        <w:rPr>
          <w:spacing w:val="11"/>
        </w:rPr>
        <w:t> </w:t>
      </w:r>
      <w:r>
        <w:rPr/>
        <w:t>stimulus</w:t>
      </w:r>
      <w:r>
        <w:rPr>
          <w:spacing w:val="12"/>
        </w:rPr>
        <w:t> </w:t>
      </w:r>
      <w:r>
        <w:rPr/>
        <w:t>to</w:t>
      </w:r>
      <w:r>
        <w:rPr>
          <w:spacing w:val="11"/>
        </w:rPr>
        <w:t> </w:t>
      </w:r>
      <w:r>
        <w:rPr/>
        <w:t>induce</w:t>
      </w:r>
      <w:r>
        <w:rPr>
          <w:spacing w:val="9"/>
        </w:rPr>
        <w:t> </w:t>
      </w:r>
      <w:r>
        <w:rPr/>
        <w:t>seizure</w:t>
      </w:r>
      <w:r>
        <w:rPr>
          <w:spacing w:val="9"/>
        </w:rPr>
        <w:t> </w:t>
      </w:r>
      <w:r>
        <w:rPr/>
        <w:t>in</w:t>
      </w:r>
      <w:r>
        <w:rPr>
          <w:spacing w:val="11"/>
        </w:rPr>
        <w:t> </w:t>
      </w:r>
      <w:r>
        <w:rPr/>
        <w:t>otherwise</w:t>
      </w:r>
      <w:r>
        <w:rPr>
          <w:spacing w:val="10"/>
        </w:rPr>
        <w:t> </w:t>
      </w:r>
      <w:r>
        <w:rPr/>
        <w:t>healthy,</w:t>
      </w:r>
      <w:r>
        <w:rPr>
          <w:spacing w:val="10"/>
        </w:rPr>
        <w:t> </w:t>
      </w:r>
      <w:r>
        <w:rPr/>
        <w:t>non-epileptic</w:t>
      </w:r>
      <w:r>
        <w:rPr>
          <w:spacing w:val="9"/>
        </w:rPr>
        <w:t> </w:t>
      </w:r>
      <w:r>
        <w:rPr/>
        <w:t>animals–</w:t>
      </w:r>
    </w:p>
    <w:p>
      <w:pPr>
        <w:spacing w:after="0" w:line="480" w:lineRule="auto"/>
        <w:jc w:val="both"/>
        <w:sectPr>
          <w:pgSz w:w="12240" w:h="15840"/>
          <w:pgMar w:header="0" w:footer="792" w:top="1360" w:bottom="980" w:left="1080" w:right="760"/>
        </w:sectPr>
      </w:pPr>
    </w:p>
    <w:p>
      <w:pPr>
        <w:pStyle w:val="BodyText"/>
        <w:spacing w:line="480" w:lineRule="auto" w:before="72"/>
        <w:ind w:left="648" w:right="678"/>
        <w:jc w:val="both"/>
      </w:pPr>
      <w:r>
        <w:rPr/>
        <w:t>the so called acute seizure models. Kindling models (e.g. amygdala kindled rat) is a chronic</w:t>
      </w:r>
      <w:r>
        <w:rPr>
          <w:spacing w:val="1"/>
        </w:rPr>
        <w:t> </w:t>
      </w:r>
      <w:r>
        <w:rPr/>
        <w:t>seizure</w:t>
      </w:r>
      <w:r>
        <w:rPr>
          <w:spacing w:val="-1"/>
        </w:rPr>
        <w:t> </w:t>
      </w:r>
      <w:r>
        <w:rPr/>
        <w:t>model that is not commonly</w:t>
      </w:r>
      <w:r>
        <w:rPr>
          <w:spacing w:val="-4"/>
        </w:rPr>
        <w:t> </w:t>
      </w:r>
      <w:r>
        <w:rPr/>
        <w:t>used</w:t>
      </w:r>
      <w:r>
        <w:rPr>
          <w:spacing w:val="-1"/>
        </w:rPr>
        <w:t> </w:t>
      </w:r>
      <w:r>
        <w:rPr/>
        <w:t>especially</w:t>
      </w:r>
      <w:r>
        <w:rPr>
          <w:spacing w:val="-3"/>
        </w:rPr>
        <w:t> </w:t>
      </w:r>
      <w:r>
        <w:rPr/>
        <w:t>in early</w:t>
      </w:r>
      <w:r>
        <w:rPr>
          <w:spacing w:val="-5"/>
        </w:rPr>
        <w:t> </w:t>
      </w:r>
      <w:r>
        <w:rPr/>
        <w:t>stages of</w:t>
      </w:r>
      <w:r>
        <w:rPr>
          <w:spacing w:val="2"/>
        </w:rPr>
        <w:t> </w:t>
      </w:r>
      <w:r>
        <w:rPr/>
        <w:t>anticonvulsant studies.</w:t>
      </w:r>
    </w:p>
    <w:p>
      <w:pPr>
        <w:pStyle w:val="ListParagraph"/>
        <w:numPr>
          <w:ilvl w:val="0"/>
          <w:numId w:val="22"/>
        </w:numPr>
        <w:tabs>
          <w:tab w:pos="968" w:val="left" w:leader="none"/>
        </w:tabs>
        <w:spacing w:line="480" w:lineRule="auto" w:before="0" w:after="0"/>
        <w:ind w:left="648" w:right="676" w:firstLine="60"/>
        <w:jc w:val="both"/>
        <w:rPr>
          <w:sz w:val="24"/>
        </w:rPr>
      </w:pPr>
      <w:r>
        <w:rPr>
          <w:b/>
          <w:sz w:val="24"/>
        </w:rPr>
        <w:t>M</w:t>
      </w:r>
      <w:r>
        <w:rPr>
          <w:b/>
          <w:i/>
          <w:sz w:val="24"/>
        </w:rPr>
        <w:t>aximal electroshock (MES) test; </w:t>
      </w:r>
      <w:r>
        <w:rPr>
          <w:sz w:val="24"/>
        </w:rPr>
        <w:t>The maximal electroshock test, developed by Toman</w:t>
      </w:r>
      <w:r>
        <w:rPr>
          <w:spacing w:val="1"/>
          <w:sz w:val="24"/>
        </w:rPr>
        <w:t> </w:t>
      </w:r>
      <w:r>
        <w:rPr>
          <w:sz w:val="24"/>
        </w:rPr>
        <w:t>and collaborators in 1946 (Toman, 1946) and modified by Swinyard and Kupferberg (1985)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Browning (1992),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probably the</w:t>
      </w:r>
      <w:r>
        <w:rPr>
          <w:spacing w:val="1"/>
          <w:sz w:val="24"/>
        </w:rPr>
        <w:t> </w:t>
      </w:r>
      <w:r>
        <w:rPr>
          <w:sz w:val="24"/>
        </w:rPr>
        <w:t>best</w:t>
      </w:r>
      <w:r>
        <w:rPr>
          <w:spacing w:val="1"/>
          <w:sz w:val="24"/>
        </w:rPr>
        <w:t> </w:t>
      </w:r>
      <w:r>
        <w:rPr>
          <w:sz w:val="24"/>
        </w:rPr>
        <w:t>validated</w:t>
      </w:r>
      <w:r>
        <w:rPr>
          <w:spacing w:val="1"/>
          <w:sz w:val="24"/>
        </w:rPr>
        <w:t> </w:t>
      </w:r>
      <w:r>
        <w:rPr>
          <w:sz w:val="24"/>
        </w:rPr>
        <w:t>pre-clinical</w:t>
      </w:r>
      <w:r>
        <w:rPr>
          <w:spacing w:val="1"/>
          <w:sz w:val="24"/>
        </w:rPr>
        <w:t> </w:t>
      </w:r>
      <w:r>
        <w:rPr>
          <w:sz w:val="24"/>
        </w:rPr>
        <w:t>test</w:t>
      </w:r>
      <w:r>
        <w:rPr>
          <w:spacing w:val="1"/>
          <w:sz w:val="24"/>
        </w:rPr>
        <w:t> </w:t>
      </w:r>
      <w:r>
        <w:rPr>
          <w:sz w:val="24"/>
        </w:rPr>
        <w:t>that</w:t>
      </w:r>
      <w:r>
        <w:rPr>
          <w:spacing w:val="1"/>
          <w:sz w:val="24"/>
        </w:rPr>
        <w:t> </w:t>
      </w:r>
      <w:r>
        <w:rPr>
          <w:sz w:val="24"/>
        </w:rPr>
        <w:t>predicts</w:t>
      </w:r>
      <w:r>
        <w:rPr>
          <w:spacing w:val="1"/>
          <w:sz w:val="24"/>
        </w:rPr>
        <w:t> </w:t>
      </w:r>
      <w:r>
        <w:rPr>
          <w:sz w:val="24"/>
        </w:rPr>
        <w:t>drugs</w:t>
      </w:r>
      <w:r>
        <w:rPr>
          <w:spacing w:val="1"/>
          <w:sz w:val="24"/>
        </w:rPr>
        <w:t> </w:t>
      </w:r>
      <w:r>
        <w:rPr>
          <w:sz w:val="24"/>
        </w:rPr>
        <w:t>effective</w:t>
      </w:r>
      <w:r>
        <w:rPr>
          <w:spacing w:val="1"/>
          <w:sz w:val="24"/>
        </w:rPr>
        <w:t> </w:t>
      </w:r>
      <w:r>
        <w:rPr>
          <w:sz w:val="24"/>
        </w:rPr>
        <w:t>against</w:t>
      </w:r>
      <w:r>
        <w:rPr>
          <w:spacing w:val="1"/>
          <w:sz w:val="24"/>
        </w:rPr>
        <w:t> </w:t>
      </w:r>
      <w:r>
        <w:rPr>
          <w:sz w:val="24"/>
        </w:rPr>
        <w:t>generalized</w:t>
      </w:r>
      <w:r>
        <w:rPr>
          <w:spacing w:val="1"/>
          <w:sz w:val="24"/>
        </w:rPr>
        <w:t> </w:t>
      </w:r>
      <w:r>
        <w:rPr>
          <w:sz w:val="24"/>
        </w:rPr>
        <w:t>seizures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tonic-clonic</w:t>
      </w:r>
      <w:r>
        <w:rPr>
          <w:spacing w:val="1"/>
          <w:sz w:val="24"/>
        </w:rPr>
        <w:t> </w:t>
      </w:r>
      <w:r>
        <w:rPr>
          <w:sz w:val="24"/>
        </w:rPr>
        <w:t>(grand</w:t>
      </w:r>
      <w:r>
        <w:rPr>
          <w:spacing w:val="1"/>
          <w:sz w:val="24"/>
        </w:rPr>
        <w:t> </w:t>
      </w:r>
      <w:r>
        <w:rPr>
          <w:sz w:val="24"/>
        </w:rPr>
        <w:t>mal)</w:t>
      </w:r>
      <w:r>
        <w:rPr>
          <w:spacing w:val="1"/>
          <w:sz w:val="24"/>
        </w:rPr>
        <w:t> </w:t>
      </w:r>
      <w:r>
        <w:rPr>
          <w:sz w:val="24"/>
        </w:rPr>
        <w:t>type</w:t>
      </w:r>
      <w:r>
        <w:rPr>
          <w:spacing w:val="1"/>
          <w:sz w:val="24"/>
        </w:rPr>
        <w:t> </w:t>
      </w:r>
      <w:r>
        <w:rPr>
          <w:sz w:val="24"/>
        </w:rPr>
        <w:t>(Loscher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-57"/>
          <w:sz w:val="24"/>
        </w:rPr>
        <w:t> </w:t>
      </w:r>
      <w:r>
        <w:rPr>
          <w:sz w:val="24"/>
        </w:rPr>
        <w:t>Schmidt</w:t>
      </w:r>
      <w:r>
        <w:rPr>
          <w:spacing w:val="16"/>
          <w:sz w:val="24"/>
        </w:rPr>
        <w:t> </w:t>
      </w:r>
      <w:r>
        <w:rPr>
          <w:sz w:val="24"/>
        </w:rPr>
        <w:t>1988;</w:t>
      </w:r>
      <w:r>
        <w:rPr>
          <w:spacing w:val="13"/>
          <w:sz w:val="24"/>
        </w:rPr>
        <w:t> </w:t>
      </w:r>
      <w:r>
        <w:rPr>
          <w:sz w:val="24"/>
        </w:rPr>
        <w:t>White,</w:t>
      </w:r>
      <w:r>
        <w:rPr>
          <w:spacing w:val="15"/>
          <w:sz w:val="24"/>
        </w:rPr>
        <w:t> </w:t>
      </w:r>
      <w:r>
        <w:rPr>
          <w:sz w:val="24"/>
        </w:rPr>
        <w:t>2003;</w:t>
      </w:r>
      <w:r>
        <w:rPr>
          <w:spacing w:val="16"/>
          <w:sz w:val="24"/>
        </w:rPr>
        <w:t> </w:t>
      </w:r>
      <w:r>
        <w:rPr>
          <w:sz w:val="24"/>
        </w:rPr>
        <w:t>Mares</w:t>
      </w:r>
      <w:r>
        <w:rPr>
          <w:spacing w:val="15"/>
          <w:sz w:val="24"/>
        </w:rPr>
        <w:t> </w:t>
      </w:r>
      <w:r>
        <w:rPr>
          <w:sz w:val="24"/>
        </w:rPr>
        <w:t>and</w:t>
      </w:r>
      <w:r>
        <w:rPr>
          <w:spacing w:val="15"/>
          <w:sz w:val="24"/>
        </w:rPr>
        <w:t> </w:t>
      </w:r>
      <w:r>
        <w:rPr>
          <w:sz w:val="24"/>
        </w:rPr>
        <w:t>Kubova,</w:t>
      </w:r>
      <w:r>
        <w:rPr>
          <w:spacing w:val="17"/>
          <w:sz w:val="24"/>
        </w:rPr>
        <w:t> </w:t>
      </w:r>
      <w:r>
        <w:rPr>
          <w:sz w:val="24"/>
        </w:rPr>
        <w:t>2006).</w:t>
      </w:r>
      <w:r>
        <w:rPr>
          <w:spacing w:val="17"/>
          <w:sz w:val="24"/>
        </w:rPr>
        <w:t> </w:t>
      </w:r>
      <w:r>
        <w:rPr>
          <w:sz w:val="24"/>
        </w:rPr>
        <w:t>It</w:t>
      </w:r>
      <w:r>
        <w:rPr>
          <w:spacing w:val="16"/>
          <w:sz w:val="24"/>
        </w:rPr>
        <w:t> </w:t>
      </w:r>
      <w:r>
        <w:rPr>
          <w:sz w:val="24"/>
        </w:rPr>
        <w:t>allows</w:t>
      </w:r>
      <w:r>
        <w:rPr>
          <w:spacing w:val="15"/>
          <w:sz w:val="24"/>
        </w:rPr>
        <w:t> </w:t>
      </w:r>
      <w:r>
        <w:rPr>
          <w:sz w:val="24"/>
        </w:rPr>
        <w:t>evaluation</w:t>
      </w:r>
      <w:r>
        <w:rPr>
          <w:spacing w:val="15"/>
          <w:sz w:val="24"/>
        </w:rPr>
        <w:t> </w:t>
      </w:r>
      <w:r>
        <w:rPr>
          <w:sz w:val="24"/>
        </w:rPr>
        <w:t>of</w:t>
      </w:r>
      <w:r>
        <w:rPr>
          <w:spacing w:val="14"/>
          <w:sz w:val="24"/>
        </w:rPr>
        <w:t> </w:t>
      </w:r>
      <w:r>
        <w:rPr>
          <w:sz w:val="24"/>
        </w:rPr>
        <w:t>the</w:t>
      </w:r>
      <w:r>
        <w:rPr>
          <w:spacing w:val="15"/>
          <w:sz w:val="24"/>
        </w:rPr>
        <w:t> </w:t>
      </w:r>
      <w:r>
        <w:rPr>
          <w:sz w:val="24"/>
        </w:rPr>
        <w:t>ability</w:t>
      </w:r>
      <w:r>
        <w:rPr>
          <w:spacing w:val="9"/>
          <w:sz w:val="24"/>
        </w:rPr>
        <w:t> </w:t>
      </w:r>
      <w:r>
        <w:rPr>
          <w:sz w:val="24"/>
        </w:rPr>
        <w:t>of</w:t>
      </w:r>
      <w:r>
        <w:rPr>
          <w:spacing w:val="-58"/>
          <w:sz w:val="24"/>
        </w:rPr>
        <w:t> </w:t>
      </w:r>
      <w:r>
        <w:rPr>
          <w:sz w:val="24"/>
        </w:rPr>
        <w:t>an</w:t>
      </w:r>
      <w:r>
        <w:rPr>
          <w:spacing w:val="1"/>
          <w:sz w:val="24"/>
        </w:rPr>
        <w:t> </w:t>
      </w:r>
      <w:r>
        <w:rPr>
          <w:sz w:val="24"/>
        </w:rPr>
        <w:t>agent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prevent</w:t>
      </w:r>
      <w:r>
        <w:rPr>
          <w:spacing w:val="1"/>
          <w:sz w:val="24"/>
        </w:rPr>
        <w:t> </w:t>
      </w:r>
      <w:r>
        <w:rPr>
          <w:sz w:val="24"/>
        </w:rPr>
        <w:t>seizure</w:t>
      </w:r>
      <w:r>
        <w:rPr>
          <w:spacing w:val="1"/>
          <w:sz w:val="24"/>
        </w:rPr>
        <w:t> </w:t>
      </w:r>
      <w:r>
        <w:rPr>
          <w:sz w:val="24"/>
        </w:rPr>
        <w:t>spread</w:t>
      </w:r>
      <w:r>
        <w:rPr>
          <w:spacing w:val="1"/>
          <w:sz w:val="24"/>
        </w:rPr>
        <w:t> </w:t>
      </w:r>
      <w:r>
        <w:rPr>
          <w:sz w:val="24"/>
        </w:rPr>
        <w:t>through</w:t>
      </w:r>
      <w:r>
        <w:rPr>
          <w:spacing w:val="1"/>
          <w:sz w:val="24"/>
        </w:rPr>
        <w:t> </w:t>
      </w:r>
      <w:r>
        <w:rPr>
          <w:sz w:val="24"/>
        </w:rPr>
        <w:t>neural</w:t>
      </w:r>
      <w:r>
        <w:rPr>
          <w:spacing w:val="1"/>
          <w:sz w:val="24"/>
        </w:rPr>
        <w:t> </w:t>
      </w:r>
      <w:r>
        <w:rPr>
          <w:sz w:val="24"/>
        </w:rPr>
        <w:t>tissue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central</w:t>
      </w:r>
      <w:r>
        <w:rPr>
          <w:spacing w:val="1"/>
          <w:sz w:val="24"/>
        </w:rPr>
        <w:t> </w:t>
      </w:r>
      <w:r>
        <w:rPr>
          <w:sz w:val="24"/>
        </w:rPr>
        <w:t>nervous</w:t>
      </w:r>
      <w:r>
        <w:rPr>
          <w:spacing w:val="1"/>
          <w:sz w:val="24"/>
        </w:rPr>
        <w:t> </w:t>
      </w:r>
      <w:r>
        <w:rPr>
          <w:sz w:val="24"/>
        </w:rPr>
        <w:t>system</w:t>
      </w:r>
      <w:r>
        <w:rPr>
          <w:spacing w:val="1"/>
          <w:sz w:val="24"/>
        </w:rPr>
        <w:t> </w:t>
      </w:r>
      <w:r>
        <w:rPr>
          <w:sz w:val="24"/>
        </w:rPr>
        <w:t>(Swinyard and Kupferberg, 1985). The MES test is simple and can be conducted easily with a</w:t>
      </w:r>
      <w:r>
        <w:rPr>
          <w:spacing w:val="-57"/>
          <w:sz w:val="24"/>
        </w:rPr>
        <w:t> </w:t>
      </w:r>
      <w:r>
        <w:rPr>
          <w:sz w:val="24"/>
        </w:rPr>
        <w:t>minimal investment in equipment and technical expertise and is well standardized (Mares and</w:t>
      </w:r>
      <w:r>
        <w:rPr>
          <w:spacing w:val="1"/>
          <w:sz w:val="24"/>
        </w:rPr>
        <w:t> </w:t>
      </w:r>
      <w:r>
        <w:rPr>
          <w:sz w:val="24"/>
        </w:rPr>
        <w:t>Kubova, 2006). Several standard and newly developed AEDs are effective in the MES test,</w:t>
      </w:r>
      <w:r>
        <w:rPr>
          <w:spacing w:val="1"/>
          <w:sz w:val="24"/>
        </w:rPr>
        <w:t> </w:t>
      </w:r>
      <w:r>
        <w:rPr>
          <w:sz w:val="24"/>
        </w:rPr>
        <w:t>hence</w:t>
      </w:r>
      <w:r>
        <w:rPr>
          <w:spacing w:val="1"/>
          <w:sz w:val="24"/>
        </w:rPr>
        <w:t> </w:t>
      </w:r>
      <w:r>
        <w:rPr>
          <w:sz w:val="24"/>
        </w:rPr>
        <w:t>making</w:t>
      </w:r>
      <w:r>
        <w:rPr>
          <w:spacing w:val="1"/>
          <w:sz w:val="24"/>
        </w:rPr>
        <w:t> </w:t>
      </w:r>
      <w:r>
        <w:rPr>
          <w:sz w:val="24"/>
        </w:rPr>
        <w:t>it</w:t>
      </w:r>
      <w:r>
        <w:rPr>
          <w:spacing w:val="1"/>
          <w:sz w:val="24"/>
        </w:rPr>
        <w:t> </w:t>
      </w:r>
      <w:r>
        <w:rPr>
          <w:sz w:val="24"/>
        </w:rPr>
        <w:t>possible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quantify</w:t>
      </w:r>
      <w:r>
        <w:rPr>
          <w:spacing w:val="1"/>
          <w:sz w:val="24"/>
        </w:rPr>
        <w:t> </w:t>
      </w:r>
      <w:r>
        <w:rPr>
          <w:sz w:val="24"/>
        </w:rPr>
        <w:t>their</w:t>
      </w:r>
      <w:r>
        <w:rPr>
          <w:spacing w:val="1"/>
          <w:sz w:val="24"/>
        </w:rPr>
        <w:t> </w:t>
      </w:r>
      <w:r>
        <w:rPr>
          <w:sz w:val="24"/>
        </w:rPr>
        <w:t>anticonvulsant</w:t>
      </w:r>
      <w:r>
        <w:rPr>
          <w:spacing w:val="1"/>
          <w:sz w:val="24"/>
        </w:rPr>
        <w:t> </w:t>
      </w:r>
      <w:r>
        <w:rPr>
          <w:sz w:val="24"/>
        </w:rPr>
        <w:t>potency</w:t>
      </w:r>
      <w:r>
        <w:rPr>
          <w:spacing w:val="1"/>
          <w:sz w:val="24"/>
        </w:rPr>
        <w:t> </w:t>
      </w:r>
      <w:r>
        <w:rPr>
          <w:sz w:val="24"/>
        </w:rPr>
        <w:t>after</w:t>
      </w:r>
      <w:r>
        <w:rPr>
          <w:spacing w:val="1"/>
          <w:sz w:val="24"/>
        </w:rPr>
        <w:t> </w:t>
      </w:r>
      <w:r>
        <w:rPr>
          <w:sz w:val="24"/>
        </w:rPr>
        <w:t>both</w:t>
      </w:r>
      <w:r>
        <w:rPr>
          <w:spacing w:val="1"/>
          <w:sz w:val="24"/>
        </w:rPr>
        <w:t> </w:t>
      </w:r>
      <w:r>
        <w:rPr>
          <w:sz w:val="24"/>
        </w:rPr>
        <w:t>single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combined application (White,</w:t>
      </w:r>
      <w:r>
        <w:rPr>
          <w:spacing w:val="1"/>
          <w:sz w:val="24"/>
        </w:rPr>
        <w:t> </w:t>
      </w:r>
      <w:r>
        <w:rPr>
          <w:sz w:val="24"/>
        </w:rPr>
        <w:t>2003, Borowicz </w:t>
      </w:r>
      <w:r>
        <w:rPr>
          <w:i/>
          <w:sz w:val="24"/>
        </w:rPr>
        <w:t>et al</w:t>
      </w:r>
      <w:r>
        <w:rPr>
          <w:sz w:val="24"/>
        </w:rPr>
        <w:t>., 2007). Agents</w:t>
      </w:r>
      <w:r>
        <w:rPr>
          <w:spacing w:val="1"/>
          <w:sz w:val="24"/>
        </w:rPr>
        <w:t> </w:t>
      </w:r>
      <w:r>
        <w:rPr>
          <w:sz w:val="24"/>
        </w:rPr>
        <w:t>that acts</w:t>
      </w:r>
      <w:r>
        <w:rPr>
          <w:spacing w:val="1"/>
          <w:sz w:val="24"/>
        </w:rPr>
        <w:t> </w:t>
      </w:r>
      <w:r>
        <w:rPr>
          <w:sz w:val="24"/>
        </w:rPr>
        <w:t>on sodium</w:t>
      </w:r>
      <w:r>
        <w:rPr>
          <w:spacing w:val="1"/>
          <w:sz w:val="24"/>
        </w:rPr>
        <w:t> </w:t>
      </w:r>
      <w:r>
        <w:rPr>
          <w:sz w:val="24"/>
        </w:rPr>
        <w:t>channels</w:t>
      </w:r>
      <w:r>
        <w:rPr>
          <w:spacing w:val="1"/>
          <w:sz w:val="24"/>
        </w:rPr>
        <w:t> </w:t>
      </w:r>
      <w:r>
        <w:rPr>
          <w:sz w:val="24"/>
        </w:rPr>
        <w:t>e.g.</w:t>
      </w:r>
      <w:r>
        <w:rPr>
          <w:spacing w:val="1"/>
          <w:sz w:val="24"/>
        </w:rPr>
        <w:t> </w:t>
      </w:r>
      <w:r>
        <w:rPr>
          <w:sz w:val="24"/>
        </w:rPr>
        <w:t>carbamazepine,</w:t>
      </w:r>
      <w:r>
        <w:rPr>
          <w:spacing w:val="1"/>
          <w:sz w:val="24"/>
        </w:rPr>
        <w:t> </w:t>
      </w:r>
      <w:r>
        <w:rPr>
          <w:sz w:val="24"/>
        </w:rPr>
        <w:t>phenytoin,</w:t>
      </w:r>
      <w:r>
        <w:rPr>
          <w:spacing w:val="1"/>
          <w:sz w:val="24"/>
        </w:rPr>
        <w:t> </w:t>
      </w:r>
      <w:r>
        <w:rPr>
          <w:sz w:val="24"/>
        </w:rPr>
        <w:t>oxcarbazepine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lamotrigine</w:t>
      </w:r>
      <w:r>
        <w:rPr>
          <w:spacing w:val="1"/>
          <w:sz w:val="24"/>
        </w:rPr>
        <w:t> </w:t>
      </w:r>
      <w:r>
        <w:rPr>
          <w:sz w:val="24"/>
        </w:rPr>
        <w:t>are</w:t>
      </w:r>
      <w:r>
        <w:rPr>
          <w:spacing w:val="1"/>
          <w:sz w:val="24"/>
        </w:rPr>
        <w:t> </w:t>
      </w:r>
      <w:r>
        <w:rPr>
          <w:sz w:val="24"/>
        </w:rPr>
        <w:t>known</w:t>
      </w:r>
      <w:r>
        <w:rPr>
          <w:spacing w:val="60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suppress hind limb tonic extension induced by maximal electroshock (Rho and Sankar, 1999).</w:t>
      </w:r>
      <w:r>
        <w:rPr>
          <w:spacing w:val="-57"/>
          <w:sz w:val="24"/>
        </w:rPr>
        <w:t> </w:t>
      </w:r>
      <w:r>
        <w:rPr>
          <w:sz w:val="24"/>
        </w:rPr>
        <w:t>Thus the high correlation between suppression of hind limb tonic extension in MES and its</w:t>
      </w:r>
      <w:r>
        <w:rPr>
          <w:spacing w:val="1"/>
          <w:sz w:val="24"/>
        </w:rPr>
        <w:t> </w:t>
      </w:r>
      <w:r>
        <w:rPr>
          <w:sz w:val="24"/>
        </w:rPr>
        <w:t>effectiveness in human generalized tonic clonic convulsion coupled with the ease with which</w:t>
      </w:r>
      <w:r>
        <w:rPr>
          <w:spacing w:val="1"/>
          <w:sz w:val="24"/>
        </w:rPr>
        <w:t> </w:t>
      </w:r>
      <w:r>
        <w:rPr>
          <w:sz w:val="24"/>
        </w:rPr>
        <w:t>anticonvulsant activity can be detected in rodents, are probably the main reasons for the</w:t>
      </w:r>
      <w:r>
        <w:rPr>
          <w:spacing w:val="1"/>
          <w:sz w:val="24"/>
        </w:rPr>
        <w:t> </w:t>
      </w:r>
      <w:r>
        <w:rPr>
          <w:sz w:val="24"/>
        </w:rPr>
        <w:t>popularity</w:t>
      </w:r>
      <w:r>
        <w:rPr>
          <w:spacing w:val="-6"/>
          <w:sz w:val="24"/>
        </w:rPr>
        <w:t> </w:t>
      </w:r>
      <w:r>
        <w:rPr>
          <w:sz w:val="24"/>
        </w:rPr>
        <w:t>of the</w:t>
      </w:r>
      <w:r>
        <w:rPr>
          <w:spacing w:val="-1"/>
          <w:sz w:val="24"/>
        </w:rPr>
        <w:t> </w:t>
      </w:r>
      <w:r>
        <w:rPr>
          <w:sz w:val="24"/>
        </w:rPr>
        <w:t>MES test (Browning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2"/>
          <w:sz w:val="24"/>
        </w:rPr>
        <w:t> </w:t>
      </w:r>
      <w:r>
        <w:rPr>
          <w:sz w:val="24"/>
        </w:rPr>
        <w:t>Nelson, 1985).</w:t>
      </w:r>
    </w:p>
    <w:p>
      <w:pPr>
        <w:pStyle w:val="BodyText"/>
        <w:spacing w:before="2"/>
      </w:pPr>
    </w:p>
    <w:p>
      <w:pPr>
        <w:pStyle w:val="ListParagraph"/>
        <w:numPr>
          <w:ilvl w:val="0"/>
          <w:numId w:val="22"/>
        </w:numPr>
        <w:tabs>
          <w:tab w:pos="930" w:val="left" w:leader="none"/>
        </w:tabs>
        <w:spacing w:line="480" w:lineRule="auto" w:before="1" w:after="0"/>
        <w:ind w:left="648" w:right="679" w:firstLine="0"/>
        <w:jc w:val="both"/>
        <w:rPr>
          <w:sz w:val="24"/>
        </w:rPr>
      </w:pPr>
      <w:r>
        <w:rPr>
          <w:b/>
          <w:sz w:val="24"/>
        </w:rPr>
        <w:t>P</w:t>
      </w:r>
      <w:r>
        <w:rPr>
          <w:b/>
          <w:i/>
          <w:sz w:val="24"/>
        </w:rPr>
        <w:t>entylenetetrazole induce seizure test: </w:t>
      </w:r>
      <w:r>
        <w:rPr>
          <w:sz w:val="24"/>
        </w:rPr>
        <w:t>Pentylenetrazole is a chemoconvulsant agent that</w:t>
      </w:r>
      <w:r>
        <w:rPr>
          <w:spacing w:val="1"/>
          <w:sz w:val="24"/>
        </w:rPr>
        <w:t> </w:t>
      </w:r>
      <w:r>
        <w:rPr>
          <w:sz w:val="24"/>
        </w:rPr>
        <w:t>induces seizures in experimental animals by the non-competitive inhibition of Gamma Amino</w:t>
      </w:r>
      <w:r>
        <w:rPr>
          <w:spacing w:val="-57"/>
          <w:sz w:val="24"/>
        </w:rPr>
        <w:t> </w:t>
      </w:r>
      <w:r>
        <w:rPr>
          <w:sz w:val="24"/>
        </w:rPr>
        <w:t>Butyric Acid (GABA) receptors</w:t>
      </w:r>
      <w:r>
        <w:rPr>
          <w:spacing w:val="1"/>
          <w:sz w:val="24"/>
        </w:rPr>
        <w:t> </w:t>
      </w:r>
      <w:r>
        <w:rPr>
          <w:sz w:val="24"/>
        </w:rPr>
        <w:t>and is widely accepted experimental</w:t>
      </w:r>
      <w:r>
        <w:rPr>
          <w:spacing w:val="1"/>
          <w:sz w:val="24"/>
        </w:rPr>
        <w:t> </w:t>
      </w:r>
      <w:r>
        <w:rPr>
          <w:sz w:val="24"/>
        </w:rPr>
        <w:t>model for absence</w:t>
      </w:r>
      <w:r>
        <w:rPr>
          <w:spacing w:val="1"/>
          <w:sz w:val="24"/>
        </w:rPr>
        <w:t> </w:t>
      </w:r>
      <w:r>
        <w:rPr>
          <w:sz w:val="24"/>
        </w:rPr>
        <w:t>seizure</w:t>
      </w:r>
      <w:r>
        <w:rPr>
          <w:spacing w:val="6"/>
          <w:sz w:val="24"/>
        </w:rPr>
        <w:t> </w:t>
      </w:r>
      <w:r>
        <w:rPr>
          <w:sz w:val="24"/>
        </w:rPr>
        <w:t>(Loscher</w:t>
      </w:r>
      <w:r>
        <w:rPr>
          <w:spacing w:val="8"/>
          <w:sz w:val="24"/>
        </w:rPr>
        <w:t> </w:t>
      </w:r>
      <w:r>
        <w:rPr>
          <w:i/>
          <w:sz w:val="24"/>
        </w:rPr>
        <w:t>et</w:t>
      </w:r>
      <w:r>
        <w:rPr>
          <w:i/>
          <w:spacing w:val="7"/>
          <w:sz w:val="24"/>
        </w:rPr>
        <w:t> </w:t>
      </w:r>
      <w:r>
        <w:rPr>
          <w:i/>
          <w:sz w:val="24"/>
        </w:rPr>
        <w:t>al</w:t>
      </w:r>
      <w:r>
        <w:rPr>
          <w:sz w:val="24"/>
        </w:rPr>
        <w:t>.,</w:t>
      </w:r>
      <w:r>
        <w:rPr>
          <w:spacing w:val="7"/>
          <w:sz w:val="24"/>
        </w:rPr>
        <w:t> </w:t>
      </w:r>
      <w:r>
        <w:rPr>
          <w:sz w:val="24"/>
        </w:rPr>
        <w:t>1991).</w:t>
      </w:r>
      <w:r>
        <w:rPr>
          <w:spacing w:val="6"/>
          <w:sz w:val="24"/>
        </w:rPr>
        <w:t> </w:t>
      </w:r>
      <w:r>
        <w:rPr>
          <w:sz w:val="24"/>
        </w:rPr>
        <w:t>Pentylenetetrazole,</w:t>
      </w:r>
      <w:r>
        <w:rPr>
          <w:spacing w:val="6"/>
          <w:sz w:val="24"/>
        </w:rPr>
        <w:t> </w:t>
      </w:r>
      <w:r>
        <w:rPr>
          <w:sz w:val="24"/>
        </w:rPr>
        <w:t>a</w:t>
      </w:r>
      <w:r>
        <w:rPr>
          <w:spacing w:val="6"/>
          <w:sz w:val="24"/>
        </w:rPr>
        <w:t> </w:t>
      </w:r>
      <w:r>
        <w:rPr>
          <w:sz w:val="24"/>
        </w:rPr>
        <w:t>tetrazole</w:t>
      </w:r>
      <w:r>
        <w:rPr>
          <w:spacing w:val="7"/>
          <w:sz w:val="24"/>
        </w:rPr>
        <w:t> </w:t>
      </w:r>
      <w:r>
        <w:rPr>
          <w:sz w:val="24"/>
        </w:rPr>
        <w:t>derivative</w:t>
      </w:r>
      <w:r>
        <w:rPr>
          <w:spacing w:val="6"/>
          <w:sz w:val="24"/>
        </w:rPr>
        <w:t> </w:t>
      </w:r>
      <w:r>
        <w:rPr>
          <w:sz w:val="24"/>
        </w:rPr>
        <w:t>is</w:t>
      </w:r>
      <w:r>
        <w:rPr>
          <w:spacing w:val="5"/>
          <w:sz w:val="24"/>
        </w:rPr>
        <w:t> </w:t>
      </w:r>
      <w:r>
        <w:rPr>
          <w:sz w:val="24"/>
        </w:rPr>
        <w:t>the</w:t>
      </w:r>
      <w:r>
        <w:rPr>
          <w:spacing w:val="6"/>
          <w:sz w:val="24"/>
        </w:rPr>
        <w:t> </w:t>
      </w:r>
      <w:r>
        <w:rPr>
          <w:sz w:val="24"/>
        </w:rPr>
        <w:t>prototype</w:t>
      </w:r>
      <w:r>
        <w:rPr>
          <w:spacing w:val="6"/>
          <w:sz w:val="24"/>
        </w:rPr>
        <w:t> </w:t>
      </w:r>
      <w:r>
        <w:rPr>
          <w:sz w:val="24"/>
        </w:rPr>
        <w:t>agent</w:t>
      </w:r>
    </w:p>
    <w:p>
      <w:pPr>
        <w:spacing w:after="0" w:line="480" w:lineRule="auto"/>
        <w:jc w:val="both"/>
        <w:rPr>
          <w:sz w:val="24"/>
        </w:rPr>
        <w:sectPr>
          <w:pgSz w:w="12240" w:h="15840"/>
          <w:pgMar w:header="0" w:footer="792" w:top="1360" w:bottom="980" w:left="1080" w:right="760"/>
        </w:sectPr>
      </w:pPr>
    </w:p>
    <w:p>
      <w:pPr>
        <w:pStyle w:val="BodyText"/>
        <w:spacing w:line="480" w:lineRule="auto" w:before="72"/>
        <w:ind w:left="648" w:right="684"/>
        <w:jc w:val="both"/>
      </w:pP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class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systemic</w:t>
      </w:r>
      <w:r>
        <w:rPr>
          <w:spacing w:val="1"/>
        </w:rPr>
        <w:t> </w:t>
      </w:r>
      <w:r>
        <w:rPr/>
        <w:t>convulsants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administered</w:t>
      </w:r>
      <w:r>
        <w:rPr>
          <w:spacing w:val="1"/>
        </w:rPr>
        <w:t> </w:t>
      </w:r>
      <w:r>
        <w:rPr/>
        <w:t>parenterally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consistent</w:t>
      </w:r>
      <w:r>
        <w:rPr>
          <w:spacing w:val="1"/>
        </w:rPr>
        <w:t> </w:t>
      </w:r>
      <w:r>
        <w:rPr/>
        <w:t>convulsant</w:t>
      </w:r>
      <w:r>
        <w:rPr>
          <w:spacing w:val="-1"/>
        </w:rPr>
        <w:t> </w:t>
      </w:r>
      <w:r>
        <w:rPr/>
        <w:t>actions in</w:t>
      </w:r>
      <w:r>
        <w:rPr>
          <w:spacing w:val="-1"/>
        </w:rPr>
        <w:t> </w:t>
      </w:r>
      <w:r>
        <w:rPr/>
        <w:t>mice, rats, cats</w:t>
      </w:r>
      <w:r>
        <w:rPr>
          <w:spacing w:val="-1"/>
        </w:rPr>
        <w:t> </w:t>
      </w:r>
      <w:r>
        <w:rPr/>
        <w:t>and primates</w:t>
      </w:r>
      <w:r>
        <w:rPr>
          <w:spacing w:val="1"/>
        </w:rPr>
        <w:t> </w:t>
      </w:r>
      <w:r>
        <w:rPr/>
        <w:t>(De</w:t>
      </w:r>
      <w:r>
        <w:rPr>
          <w:spacing w:val="-2"/>
        </w:rPr>
        <w:t> </w:t>
      </w:r>
      <w:r>
        <w:rPr/>
        <w:t>Deyn</w:t>
      </w:r>
      <w:r>
        <w:rPr>
          <w:spacing w:val="3"/>
        </w:rPr>
        <w:t> </w:t>
      </w:r>
      <w:r>
        <w:rPr>
          <w:i/>
        </w:rPr>
        <w:t>et al.,</w:t>
      </w:r>
      <w:r>
        <w:rPr>
          <w:i/>
          <w:spacing w:val="-1"/>
        </w:rPr>
        <w:t> </w:t>
      </w:r>
      <w:r>
        <w:rPr/>
        <w:t>1992).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/>
        <w:ind w:left="648" w:right="685"/>
        <w:jc w:val="both"/>
      </w:pPr>
      <w:r>
        <w:rPr/>
        <w:t>Pentylenetetrazole was introduced as a screening test for anticonvulsant in part because the</w:t>
      </w:r>
      <w:r>
        <w:rPr>
          <w:spacing w:val="1"/>
        </w:rPr>
        <w:t> </w:t>
      </w:r>
      <w:r>
        <w:rPr/>
        <w:t>antiabsence seizure drug ethosuximide, which is effective against pentylenetetrazole induced</w:t>
      </w:r>
      <w:r>
        <w:rPr>
          <w:spacing w:val="1"/>
        </w:rPr>
        <w:t> </w:t>
      </w:r>
      <w:r>
        <w:rPr/>
        <w:t>seizures, fails to alter maximal electroshock (MES) thresholds.</w:t>
      </w:r>
      <w:r>
        <w:rPr>
          <w:spacing w:val="1"/>
        </w:rPr>
        <w:t> </w:t>
      </w:r>
      <w:r>
        <w:rPr/>
        <w:t>In contrast,</w:t>
      </w:r>
      <w:r>
        <w:rPr>
          <w:spacing w:val="1"/>
        </w:rPr>
        <w:t> </w:t>
      </w:r>
      <w:r>
        <w:rPr/>
        <w:t>some drugs</w:t>
      </w:r>
      <w:r>
        <w:rPr>
          <w:spacing w:val="1"/>
        </w:rPr>
        <w:t> </w:t>
      </w:r>
      <w:r>
        <w:rPr/>
        <w:t>effective against MES seizures such as phenytoin and carbamazepine are ineffective against</w:t>
      </w:r>
      <w:r>
        <w:rPr>
          <w:spacing w:val="1"/>
        </w:rPr>
        <w:t> </w:t>
      </w:r>
      <w:r>
        <w:rPr/>
        <w:t>pentylenetetrazole</w:t>
      </w:r>
      <w:r>
        <w:rPr>
          <w:spacing w:val="-1"/>
        </w:rPr>
        <w:t> </w:t>
      </w:r>
      <w:r>
        <w:rPr/>
        <w:t>induce</w:t>
      </w:r>
      <w:r>
        <w:rPr>
          <w:spacing w:val="-1"/>
        </w:rPr>
        <w:t> </w:t>
      </w:r>
      <w:r>
        <w:rPr/>
        <w:t>seizures (De</w:t>
      </w:r>
      <w:r>
        <w:rPr>
          <w:spacing w:val="1"/>
        </w:rPr>
        <w:t> </w:t>
      </w:r>
      <w:r>
        <w:rPr/>
        <w:t>Deyn</w:t>
      </w:r>
      <w:r>
        <w:rPr>
          <w:spacing w:val="3"/>
        </w:rPr>
        <w:t> </w:t>
      </w:r>
      <w:r>
        <w:rPr>
          <w:i/>
        </w:rPr>
        <w:t>et al</w:t>
      </w:r>
      <w:r>
        <w:rPr/>
        <w:t>., 1992).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ListParagraph"/>
        <w:numPr>
          <w:ilvl w:val="0"/>
          <w:numId w:val="22"/>
        </w:numPr>
        <w:tabs>
          <w:tab w:pos="1131" w:val="left" w:leader="none"/>
        </w:tabs>
        <w:spacing w:line="480" w:lineRule="auto" w:before="0" w:after="0"/>
        <w:ind w:left="648" w:right="680" w:firstLine="0"/>
        <w:jc w:val="both"/>
        <w:rPr>
          <w:sz w:val="24"/>
        </w:rPr>
      </w:pPr>
      <w:r>
        <w:rPr>
          <w:b/>
          <w:sz w:val="24"/>
        </w:rPr>
        <w:t>S</w:t>
      </w:r>
      <w:r>
        <w:rPr>
          <w:b/>
          <w:i/>
          <w:sz w:val="24"/>
        </w:rPr>
        <w:t>trychnine-induce seizure test; </w:t>
      </w:r>
      <w:r>
        <w:rPr>
          <w:sz w:val="24"/>
        </w:rPr>
        <w:t>Strychnine and related alkaloids such as brucine and</w:t>
      </w:r>
      <w:r>
        <w:rPr>
          <w:spacing w:val="1"/>
          <w:sz w:val="24"/>
        </w:rPr>
        <w:t> </w:t>
      </w:r>
      <w:r>
        <w:rPr>
          <w:sz w:val="24"/>
        </w:rPr>
        <w:t>thebain</w:t>
      </w:r>
      <w:r>
        <w:rPr>
          <w:spacing w:val="1"/>
          <w:sz w:val="24"/>
        </w:rPr>
        <w:t> </w:t>
      </w:r>
      <w:r>
        <w:rPr>
          <w:sz w:val="24"/>
        </w:rPr>
        <w:t>induces</w:t>
      </w:r>
      <w:r>
        <w:rPr>
          <w:spacing w:val="1"/>
          <w:sz w:val="24"/>
        </w:rPr>
        <w:t> </w:t>
      </w:r>
      <w:r>
        <w:rPr>
          <w:sz w:val="24"/>
        </w:rPr>
        <w:t>generalized</w:t>
      </w:r>
      <w:r>
        <w:rPr>
          <w:spacing w:val="1"/>
          <w:sz w:val="24"/>
        </w:rPr>
        <w:t> </w:t>
      </w:r>
      <w:r>
        <w:rPr>
          <w:sz w:val="24"/>
        </w:rPr>
        <w:t>convulsions</w:t>
      </w:r>
      <w:r>
        <w:rPr>
          <w:spacing w:val="1"/>
          <w:sz w:val="24"/>
        </w:rPr>
        <w:t> </w:t>
      </w:r>
      <w:r>
        <w:rPr>
          <w:sz w:val="24"/>
        </w:rPr>
        <w:t>by</w:t>
      </w:r>
      <w:r>
        <w:rPr>
          <w:spacing w:val="1"/>
          <w:sz w:val="24"/>
        </w:rPr>
        <w:t> </w:t>
      </w:r>
      <w:r>
        <w:rPr>
          <w:sz w:val="24"/>
        </w:rPr>
        <w:t>blocking</w:t>
      </w:r>
      <w:r>
        <w:rPr>
          <w:spacing w:val="1"/>
          <w:sz w:val="24"/>
        </w:rPr>
        <w:t> </w:t>
      </w:r>
      <w:r>
        <w:rPr>
          <w:sz w:val="24"/>
        </w:rPr>
        <w:t>postsynaptic</w:t>
      </w:r>
      <w:r>
        <w:rPr>
          <w:spacing w:val="61"/>
          <w:sz w:val="24"/>
        </w:rPr>
        <w:t> </w:t>
      </w:r>
      <w:r>
        <w:rPr>
          <w:sz w:val="24"/>
        </w:rPr>
        <w:t>neurotransmission</w:t>
      </w:r>
      <w:r>
        <w:rPr>
          <w:spacing w:val="1"/>
          <w:sz w:val="24"/>
        </w:rPr>
        <w:t> </w:t>
      </w:r>
      <w:r>
        <w:rPr>
          <w:sz w:val="24"/>
        </w:rPr>
        <w:t>mediated by glycine.Glycine is</w:t>
      </w:r>
      <w:r>
        <w:rPr>
          <w:spacing w:val="1"/>
          <w:sz w:val="24"/>
        </w:rPr>
        <w:t> </w:t>
      </w:r>
      <w:r>
        <w:rPr>
          <w:sz w:val="24"/>
        </w:rPr>
        <w:t>an important inhibitory neurotransmitter</w:t>
      </w:r>
      <w:r>
        <w:rPr>
          <w:spacing w:val="1"/>
          <w:sz w:val="24"/>
        </w:rPr>
        <w:t> </w:t>
      </w:r>
      <w:r>
        <w:rPr>
          <w:sz w:val="24"/>
        </w:rPr>
        <w:t>to motor neurones</w:t>
      </w:r>
      <w:r>
        <w:rPr>
          <w:spacing w:val="1"/>
          <w:sz w:val="24"/>
        </w:rPr>
        <w:t> </w:t>
      </w:r>
      <w:r>
        <w:rPr>
          <w:sz w:val="24"/>
        </w:rPr>
        <w:t>and interneurones in the spinal cord and strychnine acts as a selective, competitive antagonist</w:t>
      </w:r>
      <w:r>
        <w:rPr>
          <w:spacing w:val="1"/>
          <w:sz w:val="24"/>
        </w:rPr>
        <w:t> </w:t>
      </w:r>
      <w:r>
        <w:rPr>
          <w:sz w:val="24"/>
        </w:rPr>
        <w:t>to block the inhibitory effects of glycine at all glycine receptors (Vogel and Vogel, 2002) and</w:t>
      </w:r>
      <w:r>
        <w:rPr>
          <w:spacing w:val="1"/>
          <w:sz w:val="24"/>
        </w:rPr>
        <w:t> </w:t>
      </w:r>
      <w:r>
        <w:rPr>
          <w:sz w:val="24"/>
        </w:rPr>
        <w:t>this</w:t>
      </w:r>
      <w:r>
        <w:rPr>
          <w:spacing w:val="42"/>
          <w:sz w:val="24"/>
        </w:rPr>
        <w:t> </w:t>
      </w:r>
      <w:r>
        <w:rPr>
          <w:sz w:val="24"/>
        </w:rPr>
        <w:t>might</w:t>
      </w:r>
      <w:r>
        <w:rPr>
          <w:spacing w:val="43"/>
          <w:sz w:val="24"/>
        </w:rPr>
        <w:t> </w:t>
      </w:r>
      <w:r>
        <w:rPr>
          <w:sz w:val="24"/>
        </w:rPr>
        <w:t>explain</w:t>
      </w:r>
      <w:r>
        <w:rPr>
          <w:spacing w:val="42"/>
          <w:sz w:val="24"/>
        </w:rPr>
        <w:t> </w:t>
      </w:r>
      <w:r>
        <w:rPr>
          <w:sz w:val="24"/>
        </w:rPr>
        <w:t>their</w:t>
      </w:r>
      <w:r>
        <w:rPr>
          <w:spacing w:val="39"/>
          <w:sz w:val="24"/>
        </w:rPr>
        <w:t> </w:t>
      </w:r>
      <w:r>
        <w:rPr>
          <w:sz w:val="24"/>
        </w:rPr>
        <w:t>epileptogenic</w:t>
      </w:r>
      <w:r>
        <w:rPr>
          <w:spacing w:val="42"/>
          <w:sz w:val="24"/>
        </w:rPr>
        <w:t> </w:t>
      </w:r>
      <w:r>
        <w:rPr>
          <w:sz w:val="24"/>
        </w:rPr>
        <w:t>nature.</w:t>
      </w:r>
      <w:r>
        <w:rPr>
          <w:spacing w:val="42"/>
          <w:sz w:val="24"/>
        </w:rPr>
        <w:t> </w:t>
      </w:r>
      <w:r>
        <w:rPr>
          <w:sz w:val="24"/>
        </w:rPr>
        <w:t>Seizures</w:t>
      </w:r>
      <w:r>
        <w:rPr>
          <w:spacing w:val="43"/>
          <w:sz w:val="24"/>
        </w:rPr>
        <w:t> </w:t>
      </w:r>
      <w:r>
        <w:rPr>
          <w:sz w:val="24"/>
        </w:rPr>
        <w:t>induced</w:t>
      </w:r>
      <w:r>
        <w:rPr>
          <w:spacing w:val="42"/>
          <w:sz w:val="24"/>
        </w:rPr>
        <w:t> </w:t>
      </w:r>
      <w:r>
        <w:rPr>
          <w:sz w:val="24"/>
        </w:rPr>
        <w:t>by</w:t>
      </w:r>
      <w:r>
        <w:rPr>
          <w:spacing w:val="38"/>
          <w:sz w:val="24"/>
        </w:rPr>
        <w:t> </w:t>
      </w:r>
      <w:r>
        <w:rPr>
          <w:sz w:val="24"/>
        </w:rPr>
        <w:t>strychnine</w:t>
      </w:r>
      <w:r>
        <w:rPr>
          <w:spacing w:val="42"/>
          <w:sz w:val="24"/>
        </w:rPr>
        <w:t> </w:t>
      </w:r>
      <w:r>
        <w:rPr>
          <w:sz w:val="24"/>
        </w:rPr>
        <w:t>are</w:t>
      </w:r>
      <w:r>
        <w:rPr>
          <w:spacing w:val="41"/>
          <w:sz w:val="24"/>
        </w:rPr>
        <w:t> </w:t>
      </w:r>
      <w:r>
        <w:rPr>
          <w:sz w:val="24"/>
        </w:rPr>
        <w:t>different</w:t>
      </w:r>
      <w:r>
        <w:rPr>
          <w:spacing w:val="-57"/>
          <w:sz w:val="24"/>
        </w:rPr>
        <w:t> </w:t>
      </w:r>
      <w:r>
        <w:rPr>
          <w:sz w:val="24"/>
        </w:rPr>
        <w:t>from those induced by GABA antagonists since they are mainly extensor tonic with little</w:t>
      </w:r>
      <w:r>
        <w:rPr>
          <w:spacing w:val="1"/>
          <w:sz w:val="24"/>
        </w:rPr>
        <w:t> </w:t>
      </w:r>
      <w:r>
        <w:rPr>
          <w:sz w:val="24"/>
        </w:rPr>
        <w:t>cortical EEG activity and are not fully relieved by acceptable doses of any of the classical</w:t>
      </w:r>
      <w:r>
        <w:rPr>
          <w:spacing w:val="1"/>
          <w:sz w:val="24"/>
        </w:rPr>
        <w:t> </w:t>
      </w:r>
      <w:r>
        <w:rPr>
          <w:sz w:val="24"/>
        </w:rPr>
        <w:t>anticonvulsants</w:t>
      </w:r>
      <w:r>
        <w:rPr>
          <w:spacing w:val="-1"/>
          <w:sz w:val="24"/>
        </w:rPr>
        <w:t> </w:t>
      </w:r>
      <w:r>
        <w:rPr>
          <w:sz w:val="24"/>
        </w:rPr>
        <w:t>including</w:t>
      </w:r>
      <w:r>
        <w:rPr>
          <w:spacing w:val="-3"/>
          <w:sz w:val="24"/>
        </w:rPr>
        <w:t> </w:t>
      </w:r>
      <w:r>
        <w:rPr>
          <w:sz w:val="24"/>
        </w:rPr>
        <w:t>benzodiazepines (De</w:t>
      </w:r>
      <w:r>
        <w:rPr>
          <w:spacing w:val="-1"/>
          <w:sz w:val="24"/>
        </w:rPr>
        <w:t> </w:t>
      </w:r>
      <w:r>
        <w:rPr>
          <w:sz w:val="24"/>
        </w:rPr>
        <w:t>Deyn</w:t>
      </w:r>
      <w:r>
        <w:rPr>
          <w:spacing w:val="6"/>
          <w:sz w:val="24"/>
        </w:rPr>
        <w:t> </w:t>
      </w:r>
      <w:r>
        <w:rPr>
          <w:i/>
          <w:sz w:val="24"/>
        </w:rPr>
        <w:t>et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al</w:t>
      </w:r>
      <w:r>
        <w:rPr>
          <w:sz w:val="24"/>
        </w:rPr>
        <w:t>., 1992).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ListParagraph"/>
        <w:numPr>
          <w:ilvl w:val="0"/>
          <w:numId w:val="22"/>
        </w:numPr>
        <w:tabs>
          <w:tab w:pos="911" w:val="left" w:leader="none"/>
        </w:tabs>
        <w:spacing w:line="480" w:lineRule="auto" w:before="1" w:after="0"/>
        <w:ind w:left="648" w:right="679" w:firstLine="0"/>
        <w:jc w:val="both"/>
        <w:rPr>
          <w:sz w:val="24"/>
        </w:rPr>
      </w:pPr>
      <w:r>
        <w:rPr>
          <w:b/>
          <w:sz w:val="24"/>
        </w:rPr>
        <w:t>4-A</w:t>
      </w:r>
      <w:r>
        <w:rPr>
          <w:b/>
          <w:i/>
          <w:sz w:val="24"/>
        </w:rPr>
        <w:t>minopyridine induce seizure test; </w:t>
      </w:r>
      <w:r>
        <w:rPr>
          <w:sz w:val="24"/>
        </w:rPr>
        <w:t>4-aminpyridine owe its convulsant activity by virtue</w:t>
      </w:r>
      <w:r>
        <w:rPr>
          <w:spacing w:val="1"/>
          <w:sz w:val="24"/>
        </w:rPr>
        <w:t> </w:t>
      </w:r>
      <w:r>
        <w:rPr>
          <w:sz w:val="24"/>
        </w:rPr>
        <w:t>of its voltage-gated, fast potassium channel blockade capable of improving axonal conduction</w:t>
      </w:r>
      <w:r>
        <w:rPr>
          <w:spacing w:val="-57"/>
          <w:sz w:val="24"/>
        </w:rPr>
        <w:t> </w:t>
      </w:r>
      <w:r>
        <w:rPr>
          <w:sz w:val="24"/>
        </w:rPr>
        <w:t>by</w:t>
      </w:r>
      <w:r>
        <w:rPr>
          <w:spacing w:val="10"/>
          <w:sz w:val="24"/>
        </w:rPr>
        <w:t> </w:t>
      </w:r>
      <w:r>
        <w:rPr>
          <w:sz w:val="24"/>
        </w:rPr>
        <w:t>facilitating</w:t>
      </w:r>
      <w:r>
        <w:rPr>
          <w:spacing w:val="13"/>
          <w:sz w:val="24"/>
        </w:rPr>
        <w:t> </w:t>
      </w:r>
      <w:r>
        <w:rPr>
          <w:sz w:val="24"/>
        </w:rPr>
        <w:t>the</w:t>
      </w:r>
      <w:r>
        <w:rPr>
          <w:spacing w:val="16"/>
          <w:sz w:val="24"/>
        </w:rPr>
        <w:t> </w:t>
      </w:r>
      <w:r>
        <w:rPr>
          <w:sz w:val="24"/>
        </w:rPr>
        <w:t>propagation</w:t>
      </w:r>
      <w:r>
        <w:rPr>
          <w:spacing w:val="15"/>
          <w:sz w:val="24"/>
        </w:rPr>
        <w:t> </w:t>
      </w:r>
      <w:r>
        <w:rPr>
          <w:sz w:val="24"/>
        </w:rPr>
        <w:t>of</w:t>
      </w:r>
      <w:r>
        <w:rPr>
          <w:spacing w:val="14"/>
          <w:sz w:val="24"/>
        </w:rPr>
        <w:t> </w:t>
      </w:r>
      <w:r>
        <w:rPr>
          <w:sz w:val="24"/>
        </w:rPr>
        <w:t>action</w:t>
      </w:r>
      <w:r>
        <w:rPr>
          <w:spacing w:val="15"/>
          <w:sz w:val="24"/>
        </w:rPr>
        <w:t> </w:t>
      </w:r>
      <w:r>
        <w:rPr>
          <w:sz w:val="24"/>
        </w:rPr>
        <w:t>potential</w:t>
      </w:r>
      <w:r>
        <w:rPr>
          <w:spacing w:val="16"/>
          <w:sz w:val="24"/>
        </w:rPr>
        <w:t> </w:t>
      </w:r>
      <w:r>
        <w:rPr>
          <w:sz w:val="24"/>
        </w:rPr>
        <w:t>in</w:t>
      </w:r>
      <w:r>
        <w:rPr>
          <w:spacing w:val="16"/>
          <w:sz w:val="24"/>
        </w:rPr>
        <w:t> </w:t>
      </w:r>
      <w:r>
        <w:rPr>
          <w:sz w:val="24"/>
        </w:rPr>
        <w:t>de-myelinated</w:t>
      </w:r>
      <w:r>
        <w:rPr>
          <w:spacing w:val="15"/>
          <w:sz w:val="24"/>
        </w:rPr>
        <w:t> </w:t>
      </w:r>
      <w:r>
        <w:rPr>
          <w:sz w:val="24"/>
        </w:rPr>
        <w:t>nerve</w:t>
      </w:r>
      <w:r>
        <w:rPr>
          <w:spacing w:val="15"/>
          <w:sz w:val="24"/>
        </w:rPr>
        <w:t> </w:t>
      </w:r>
      <w:r>
        <w:rPr>
          <w:sz w:val="24"/>
        </w:rPr>
        <w:t>fibres</w:t>
      </w:r>
      <w:r>
        <w:rPr>
          <w:spacing w:val="15"/>
          <w:sz w:val="24"/>
        </w:rPr>
        <w:t> </w:t>
      </w:r>
      <w:r>
        <w:rPr>
          <w:sz w:val="24"/>
        </w:rPr>
        <w:t>(Segal</w:t>
      </w:r>
      <w:r>
        <w:rPr>
          <w:spacing w:val="19"/>
          <w:sz w:val="24"/>
        </w:rPr>
        <w:t> </w:t>
      </w:r>
      <w:r>
        <w:rPr>
          <w:i/>
          <w:sz w:val="24"/>
        </w:rPr>
        <w:t>et</w:t>
      </w:r>
      <w:r>
        <w:rPr>
          <w:i/>
          <w:spacing w:val="17"/>
          <w:sz w:val="24"/>
        </w:rPr>
        <w:t> </w:t>
      </w:r>
      <w:r>
        <w:rPr>
          <w:i/>
          <w:sz w:val="24"/>
        </w:rPr>
        <w:t>al</w:t>
      </w:r>
      <w:r>
        <w:rPr>
          <w:sz w:val="24"/>
        </w:rPr>
        <w:t>.,</w:t>
      </w:r>
    </w:p>
    <w:p>
      <w:pPr>
        <w:spacing w:after="0" w:line="480" w:lineRule="auto"/>
        <w:jc w:val="both"/>
        <w:rPr>
          <w:sz w:val="24"/>
        </w:rPr>
        <w:sectPr>
          <w:pgSz w:w="12240" w:h="15840"/>
          <w:pgMar w:header="0" w:footer="792" w:top="1360" w:bottom="980" w:left="1080" w:right="760"/>
        </w:sectPr>
      </w:pPr>
    </w:p>
    <w:p>
      <w:pPr>
        <w:pStyle w:val="BodyText"/>
        <w:spacing w:line="480" w:lineRule="auto" w:before="72"/>
        <w:ind w:left="648" w:right="681"/>
        <w:jc w:val="both"/>
      </w:pPr>
      <w:r>
        <w:rPr/>
        <w:t>1999).</w:t>
      </w:r>
      <w:r>
        <w:rPr>
          <w:spacing w:val="1"/>
        </w:rPr>
        <w:t> </w:t>
      </w:r>
      <w:r>
        <w:rPr/>
        <w:t>The use of 4-aminopyridine-induced model was first described by Yamaguchi and</w:t>
      </w:r>
      <w:r>
        <w:rPr>
          <w:spacing w:val="1"/>
        </w:rPr>
        <w:t> </w:t>
      </w:r>
      <w:r>
        <w:rPr/>
        <w:t>Rogawski,</w:t>
      </w:r>
      <w:r>
        <w:rPr>
          <w:spacing w:val="-1"/>
        </w:rPr>
        <w:t> </w:t>
      </w:r>
      <w:r>
        <w:rPr/>
        <w:t>1992.</w:t>
      </w:r>
      <w:r>
        <w:rPr>
          <w:spacing w:val="3"/>
        </w:rPr>
        <w:t> </w:t>
      </w:r>
      <w:r>
        <w:rPr/>
        <w:t>It is a</w:t>
      </w:r>
      <w:r>
        <w:rPr>
          <w:spacing w:val="-1"/>
        </w:rPr>
        <w:t> </w:t>
      </w:r>
      <w:r>
        <w:rPr/>
        <w:t>highly</w:t>
      </w:r>
      <w:r>
        <w:rPr>
          <w:spacing w:val="-5"/>
        </w:rPr>
        <w:t> </w:t>
      </w:r>
      <w:r>
        <w:rPr/>
        <w:t>lethal agent that</w:t>
      </w:r>
      <w:r>
        <w:rPr>
          <w:spacing w:val="-1"/>
        </w:rPr>
        <w:t> </w:t>
      </w:r>
      <w:r>
        <w:rPr/>
        <w:t>induces tonic</w:t>
      </w:r>
      <w:r>
        <w:rPr>
          <w:spacing w:val="-1"/>
        </w:rPr>
        <w:t> </w:t>
      </w:r>
      <w:r>
        <w:rPr/>
        <w:t>clonic</w:t>
      </w:r>
      <w:r>
        <w:rPr>
          <w:spacing w:val="-1"/>
        </w:rPr>
        <w:t> </w:t>
      </w:r>
      <w:r>
        <w:rPr/>
        <w:t>convulsions.</w:t>
      </w:r>
    </w:p>
    <w:p>
      <w:pPr>
        <w:pStyle w:val="ListParagraph"/>
        <w:numPr>
          <w:ilvl w:val="0"/>
          <w:numId w:val="22"/>
        </w:numPr>
        <w:tabs>
          <w:tab w:pos="887" w:val="left" w:leader="none"/>
        </w:tabs>
        <w:spacing w:line="480" w:lineRule="auto" w:before="0" w:after="0"/>
        <w:ind w:left="648" w:right="675" w:firstLine="0"/>
        <w:jc w:val="both"/>
        <w:rPr>
          <w:sz w:val="24"/>
        </w:rPr>
      </w:pPr>
      <w:r>
        <w:rPr>
          <w:b/>
          <w:i/>
          <w:sz w:val="24"/>
        </w:rPr>
        <w:t>Picrotoxin induce seizure model; </w:t>
      </w:r>
      <w:r>
        <w:rPr>
          <w:sz w:val="24"/>
        </w:rPr>
        <w:t>Picrotoxin is known to be a GABA</w:t>
      </w:r>
      <w:r>
        <w:rPr>
          <w:sz w:val="24"/>
          <w:vertAlign w:val="subscript"/>
        </w:rPr>
        <w:t>A</w:t>
      </w:r>
      <w:r>
        <w:rPr>
          <w:sz w:val="24"/>
          <w:vertAlign w:val="baseline"/>
        </w:rPr>
        <w:t> antagonist exerting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its effect by binding to the picrotoxin binding site which is closely related to the chloride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ionophore in the GABA</w:t>
      </w:r>
      <w:r>
        <w:rPr>
          <w:sz w:val="24"/>
          <w:vertAlign w:val="subscript"/>
        </w:rPr>
        <w:t>A</w:t>
      </w:r>
      <w:r>
        <w:rPr>
          <w:sz w:val="24"/>
          <w:vertAlign w:val="baseline"/>
        </w:rPr>
        <w:t> receptor complex.When given to laboratory animals systemically,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picrotoxin induces minimal and maximal seizures in a dose dependent manner. In rat doses of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8mg/kg produce hyperactivity, body tremor and forelimb clonus followed by tonic extension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of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the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hindlimbs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and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generalized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tonic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clonic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seizures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(De-Deyn</w:t>
      </w:r>
      <w:r>
        <w:rPr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et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al</w:t>
      </w:r>
      <w:r>
        <w:rPr>
          <w:sz w:val="24"/>
          <w:vertAlign w:val="baseline"/>
        </w:rPr>
        <w:t>.,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1992).</w:t>
      </w:r>
      <w:r>
        <w:rPr>
          <w:spacing w:val="60"/>
          <w:sz w:val="24"/>
          <w:vertAlign w:val="baseline"/>
        </w:rPr>
        <w:t> </w:t>
      </w:r>
      <w:r>
        <w:rPr>
          <w:sz w:val="24"/>
          <w:vertAlign w:val="baseline"/>
        </w:rPr>
        <w:t>Thus,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picrotoxin induced convulsions are used to further evaluate CNS active compounds (Vogel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and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Vogel, 2002).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ListParagraph"/>
        <w:numPr>
          <w:ilvl w:val="0"/>
          <w:numId w:val="22"/>
        </w:numPr>
        <w:tabs>
          <w:tab w:pos="882" w:val="left" w:leader="none"/>
        </w:tabs>
        <w:spacing w:line="480" w:lineRule="auto" w:before="0" w:after="0"/>
        <w:ind w:left="648" w:right="675" w:firstLine="0"/>
        <w:jc w:val="both"/>
        <w:rPr>
          <w:sz w:val="24"/>
        </w:rPr>
      </w:pPr>
      <w:r>
        <w:rPr>
          <w:b/>
          <w:sz w:val="24"/>
        </w:rPr>
        <w:t>b</w:t>
      </w:r>
      <w:r>
        <w:rPr>
          <w:b/>
          <w:i/>
          <w:sz w:val="24"/>
        </w:rPr>
        <w:t>icuculine induce seizure model; </w:t>
      </w:r>
      <w:r>
        <w:rPr>
          <w:sz w:val="24"/>
        </w:rPr>
        <w:t>Bicuculine is believed to exert its epileptogenic effect</w:t>
      </w:r>
      <w:r>
        <w:rPr>
          <w:spacing w:val="1"/>
          <w:sz w:val="24"/>
        </w:rPr>
        <w:t> </w:t>
      </w:r>
      <w:r>
        <w:rPr>
          <w:sz w:val="24"/>
        </w:rPr>
        <w:t>through blockade of GABAergic neurotransmission by competing with GABA for its binding</w:t>
      </w:r>
      <w:r>
        <w:rPr>
          <w:spacing w:val="1"/>
          <w:sz w:val="24"/>
        </w:rPr>
        <w:t> </w:t>
      </w:r>
      <w:r>
        <w:rPr>
          <w:sz w:val="24"/>
        </w:rPr>
        <w:t>site. It has been applied focally and systemically. It has been used to induce acute simple focal</w:t>
      </w:r>
      <w:r>
        <w:rPr>
          <w:spacing w:val="-57"/>
          <w:sz w:val="24"/>
        </w:rPr>
        <w:t> </w:t>
      </w:r>
      <w:r>
        <w:rPr>
          <w:sz w:val="24"/>
        </w:rPr>
        <w:t>epilepsy</w:t>
      </w:r>
      <w:r>
        <w:rPr>
          <w:spacing w:val="-4"/>
          <w:sz w:val="24"/>
        </w:rPr>
        <w:t> </w:t>
      </w:r>
      <w:r>
        <w:rPr>
          <w:sz w:val="24"/>
        </w:rPr>
        <w:t>after</w:t>
      </w:r>
      <w:r>
        <w:rPr>
          <w:spacing w:val="-1"/>
          <w:sz w:val="24"/>
        </w:rPr>
        <w:t> </w:t>
      </w:r>
      <w:r>
        <w:rPr>
          <w:sz w:val="24"/>
        </w:rPr>
        <w:t>topical application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sensorimotor</w:t>
      </w:r>
      <w:r>
        <w:rPr>
          <w:spacing w:val="-1"/>
          <w:sz w:val="24"/>
        </w:rPr>
        <w:t> </w:t>
      </w:r>
      <w:r>
        <w:rPr>
          <w:sz w:val="24"/>
        </w:rPr>
        <w:t>cortex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rats</w:t>
      </w:r>
      <w:r>
        <w:rPr>
          <w:spacing w:val="-1"/>
          <w:sz w:val="24"/>
        </w:rPr>
        <w:t> </w:t>
      </w:r>
      <w:r>
        <w:rPr>
          <w:sz w:val="24"/>
        </w:rPr>
        <w:t>(De Deyn</w:t>
      </w:r>
      <w:r>
        <w:rPr>
          <w:spacing w:val="3"/>
          <w:sz w:val="24"/>
        </w:rPr>
        <w:t> </w:t>
      </w:r>
      <w:r>
        <w:rPr>
          <w:i/>
          <w:sz w:val="24"/>
        </w:rPr>
        <w:t>et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al., </w:t>
      </w:r>
      <w:r>
        <w:rPr>
          <w:sz w:val="24"/>
        </w:rPr>
        <w:t>1992).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ListParagraph"/>
        <w:numPr>
          <w:ilvl w:val="0"/>
          <w:numId w:val="22"/>
        </w:numPr>
        <w:tabs>
          <w:tab w:pos="930" w:val="left" w:leader="none"/>
        </w:tabs>
        <w:spacing w:line="480" w:lineRule="auto" w:before="0" w:after="0"/>
        <w:ind w:left="648" w:right="671" w:firstLine="0"/>
        <w:jc w:val="both"/>
        <w:rPr>
          <w:sz w:val="24"/>
        </w:rPr>
      </w:pPr>
      <w:r>
        <w:rPr>
          <w:b/>
          <w:sz w:val="24"/>
        </w:rPr>
        <w:t>i</w:t>
      </w:r>
      <w:r>
        <w:rPr>
          <w:b/>
          <w:i/>
          <w:sz w:val="24"/>
        </w:rPr>
        <w:t>soniazid induced seizure model ;</w:t>
      </w:r>
      <w:r>
        <w:rPr>
          <w:sz w:val="24"/>
        </w:rPr>
        <w:t>Isoniazid can precipitate convulsions in patients with</w:t>
      </w:r>
      <w:r>
        <w:rPr>
          <w:spacing w:val="1"/>
          <w:sz w:val="24"/>
        </w:rPr>
        <w:t> </w:t>
      </w:r>
      <w:r>
        <w:rPr>
          <w:sz w:val="24"/>
        </w:rPr>
        <w:t>seizure disorders (Vogel and Vogel, 2002). It is believed to act by inhibiting GABA synthesis</w:t>
      </w:r>
      <w:r>
        <w:rPr>
          <w:spacing w:val="1"/>
          <w:sz w:val="24"/>
        </w:rPr>
        <w:t> </w:t>
      </w:r>
      <w:r>
        <w:rPr>
          <w:sz w:val="24"/>
        </w:rPr>
        <w:t>(Costa </w:t>
      </w:r>
      <w:r>
        <w:rPr>
          <w:i/>
          <w:sz w:val="24"/>
        </w:rPr>
        <w:t>et al</w:t>
      </w:r>
      <w:r>
        <w:rPr>
          <w:sz w:val="24"/>
        </w:rPr>
        <w:t>., 1975). Clonic tonic seizures are elicited in mice which are antagonised by</w:t>
      </w:r>
      <w:r>
        <w:rPr>
          <w:spacing w:val="1"/>
          <w:sz w:val="24"/>
        </w:rPr>
        <w:t> </w:t>
      </w:r>
      <w:r>
        <w:rPr>
          <w:sz w:val="24"/>
        </w:rPr>
        <w:t>anxiolotytic</w:t>
      </w:r>
      <w:r>
        <w:rPr>
          <w:spacing w:val="-2"/>
          <w:sz w:val="24"/>
        </w:rPr>
        <w:t> </w:t>
      </w:r>
      <w:r>
        <w:rPr>
          <w:sz w:val="24"/>
        </w:rPr>
        <w:t>drugs (Vogel and Vogel, 2002).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ListParagraph"/>
        <w:numPr>
          <w:ilvl w:val="0"/>
          <w:numId w:val="22"/>
        </w:numPr>
        <w:tabs>
          <w:tab w:pos="958" w:val="left" w:leader="none"/>
        </w:tabs>
        <w:spacing w:line="480" w:lineRule="auto" w:before="1" w:after="0"/>
        <w:ind w:left="648" w:right="679" w:firstLine="0"/>
        <w:jc w:val="both"/>
        <w:rPr>
          <w:sz w:val="24"/>
        </w:rPr>
      </w:pPr>
      <w:r>
        <w:rPr>
          <w:b/>
          <w:sz w:val="24"/>
        </w:rPr>
        <w:t>p</w:t>
      </w:r>
      <w:r>
        <w:rPr>
          <w:b/>
          <w:i/>
          <w:sz w:val="24"/>
        </w:rPr>
        <w:t>ilocarpine induce seizure model ;</w:t>
      </w:r>
      <w:r>
        <w:rPr>
          <w:sz w:val="24"/>
        </w:rPr>
        <w:t>Acetylcholine or its analogues acetylcholinesterase</w:t>
      </w:r>
      <w:r>
        <w:rPr>
          <w:spacing w:val="1"/>
          <w:sz w:val="24"/>
        </w:rPr>
        <w:t> </w:t>
      </w:r>
      <w:r>
        <w:rPr>
          <w:sz w:val="24"/>
        </w:rPr>
        <w:t>inhibitors</w:t>
      </w:r>
      <w:r>
        <w:rPr>
          <w:spacing w:val="44"/>
          <w:sz w:val="24"/>
        </w:rPr>
        <w:t> </w:t>
      </w:r>
      <w:r>
        <w:rPr>
          <w:sz w:val="24"/>
        </w:rPr>
        <w:t>and</w:t>
      </w:r>
      <w:r>
        <w:rPr>
          <w:spacing w:val="44"/>
          <w:sz w:val="24"/>
        </w:rPr>
        <w:t> </w:t>
      </w:r>
      <w:r>
        <w:rPr>
          <w:sz w:val="24"/>
        </w:rPr>
        <w:t>acetylcholine</w:t>
      </w:r>
      <w:r>
        <w:rPr>
          <w:spacing w:val="43"/>
          <w:sz w:val="24"/>
        </w:rPr>
        <w:t> </w:t>
      </w:r>
      <w:r>
        <w:rPr>
          <w:sz w:val="24"/>
        </w:rPr>
        <w:t>precursors</w:t>
      </w:r>
      <w:r>
        <w:rPr>
          <w:spacing w:val="44"/>
          <w:sz w:val="24"/>
        </w:rPr>
        <w:t> </w:t>
      </w:r>
      <w:r>
        <w:rPr>
          <w:sz w:val="24"/>
        </w:rPr>
        <w:t>when</w:t>
      </w:r>
      <w:r>
        <w:rPr>
          <w:spacing w:val="44"/>
          <w:sz w:val="24"/>
        </w:rPr>
        <w:t> </w:t>
      </w:r>
      <w:r>
        <w:rPr>
          <w:sz w:val="24"/>
        </w:rPr>
        <w:t>administered</w:t>
      </w:r>
      <w:r>
        <w:rPr>
          <w:spacing w:val="44"/>
          <w:sz w:val="24"/>
        </w:rPr>
        <w:t> </w:t>
      </w:r>
      <w:r>
        <w:rPr>
          <w:sz w:val="24"/>
        </w:rPr>
        <w:t>into</w:t>
      </w:r>
      <w:r>
        <w:rPr>
          <w:spacing w:val="44"/>
          <w:sz w:val="24"/>
        </w:rPr>
        <w:t> </w:t>
      </w:r>
      <w:r>
        <w:rPr>
          <w:sz w:val="24"/>
        </w:rPr>
        <w:t>the</w:t>
      </w:r>
      <w:r>
        <w:rPr>
          <w:spacing w:val="43"/>
          <w:sz w:val="24"/>
        </w:rPr>
        <w:t> </w:t>
      </w:r>
      <w:r>
        <w:rPr>
          <w:sz w:val="24"/>
        </w:rPr>
        <w:t>brains</w:t>
      </w:r>
      <w:r>
        <w:rPr>
          <w:spacing w:val="44"/>
          <w:sz w:val="24"/>
        </w:rPr>
        <w:t> </w:t>
      </w:r>
      <w:r>
        <w:rPr>
          <w:sz w:val="24"/>
        </w:rPr>
        <w:t>of</w:t>
      </w:r>
      <w:r>
        <w:rPr>
          <w:spacing w:val="43"/>
          <w:sz w:val="24"/>
        </w:rPr>
        <w:t> </w:t>
      </w:r>
      <w:r>
        <w:rPr>
          <w:sz w:val="24"/>
        </w:rPr>
        <w:t>experimental</w:t>
      </w:r>
    </w:p>
    <w:p>
      <w:pPr>
        <w:spacing w:after="0" w:line="480" w:lineRule="auto"/>
        <w:jc w:val="both"/>
        <w:rPr>
          <w:sz w:val="24"/>
        </w:rPr>
        <w:sectPr>
          <w:pgSz w:w="12240" w:h="15840"/>
          <w:pgMar w:header="0" w:footer="792" w:top="1360" w:bottom="980" w:left="1080" w:right="760"/>
        </w:sectPr>
      </w:pPr>
    </w:p>
    <w:p>
      <w:pPr>
        <w:pStyle w:val="BodyText"/>
        <w:spacing w:line="480" w:lineRule="auto" w:before="72"/>
        <w:ind w:left="648" w:right="675"/>
        <w:jc w:val="both"/>
      </w:pPr>
      <w:r>
        <w:rPr/>
        <w:t>animals</w:t>
      </w:r>
      <w:r>
        <w:rPr>
          <w:spacing w:val="1"/>
        </w:rPr>
        <w:t> </w:t>
      </w:r>
      <w:r>
        <w:rPr/>
        <w:t>results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pronounced</w:t>
      </w:r>
      <w:r>
        <w:rPr>
          <w:spacing w:val="1"/>
        </w:rPr>
        <w:t> </w:t>
      </w:r>
      <w:r>
        <w:rPr/>
        <w:t>seizure</w:t>
      </w:r>
      <w:r>
        <w:rPr>
          <w:spacing w:val="1"/>
        </w:rPr>
        <w:t> </w:t>
      </w:r>
      <w:r>
        <w:rPr/>
        <w:t>activity,</w:t>
      </w:r>
      <w:r>
        <w:rPr>
          <w:spacing w:val="1"/>
        </w:rPr>
        <w:t> </w:t>
      </w:r>
      <w:r>
        <w:rPr/>
        <w:t>intra-amygdaloid,</w:t>
      </w:r>
      <w:r>
        <w:rPr>
          <w:spacing w:val="1"/>
        </w:rPr>
        <w:t> </w:t>
      </w:r>
      <w:r>
        <w:rPr/>
        <w:t>intrahippocampal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systemic.Injections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large</w:t>
      </w:r>
      <w:r>
        <w:rPr>
          <w:spacing w:val="1"/>
        </w:rPr>
        <w:t> </w:t>
      </w:r>
      <w:r>
        <w:rPr/>
        <w:t>doses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muscarinic</w:t>
      </w:r>
      <w:r>
        <w:rPr>
          <w:spacing w:val="1"/>
        </w:rPr>
        <w:t> </w:t>
      </w:r>
      <w:r>
        <w:rPr/>
        <w:t>cholinoceptor</w:t>
      </w:r>
      <w:r>
        <w:rPr>
          <w:spacing w:val="1"/>
        </w:rPr>
        <w:t> </w:t>
      </w:r>
      <w:r>
        <w:rPr/>
        <w:t>agonists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rats</w:t>
      </w:r>
      <w:r>
        <w:rPr>
          <w:spacing w:val="1"/>
        </w:rPr>
        <w:t> </w:t>
      </w:r>
      <w:r>
        <w:rPr/>
        <w:t>produce</w:t>
      </w:r>
      <w:r>
        <w:rPr>
          <w:spacing w:val="1"/>
        </w:rPr>
        <w:t> </w:t>
      </w:r>
      <w:r>
        <w:rPr/>
        <w:t>electroencephalographic and behavioural limbic seizures; however, while antimusarinic drugs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effective</w:t>
      </w:r>
      <w:r>
        <w:rPr>
          <w:spacing w:val="1"/>
        </w:rPr>
        <w:t> </w:t>
      </w:r>
      <w:r>
        <w:rPr/>
        <w:t>against</w:t>
      </w:r>
      <w:r>
        <w:rPr>
          <w:spacing w:val="1"/>
        </w:rPr>
        <w:t> </w:t>
      </w:r>
      <w:r>
        <w:rPr/>
        <w:t>epilepsy</w:t>
      </w:r>
      <w:r>
        <w:rPr>
          <w:spacing w:val="1"/>
        </w:rPr>
        <w:t> </w:t>
      </w:r>
      <w:r>
        <w:rPr/>
        <w:t>induced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cholinergic</w:t>
      </w:r>
      <w:r>
        <w:rPr>
          <w:spacing w:val="1"/>
        </w:rPr>
        <w:t> </w:t>
      </w:r>
      <w:r>
        <w:rPr/>
        <w:t>agents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inhibitors</w:t>
      </w:r>
      <w:r>
        <w:rPr>
          <w:spacing w:val="1"/>
        </w:rPr>
        <w:t> </w:t>
      </w:r>
      <w:r>
        <w:rPr/>
        <w:t>of</w:t>
      </w:r>
      <w:r>
        <w:rPr>
          <w:spacing w:val="-57"/>
        </w:rPr>
        <w:t> </w:t>
      </w:r>
      <w:r>
        <w:rPr/>
        <w:t>acetylchloinesterase,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posses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anticonvulsant</w:t>
      </w:r>
      <w:r>
        <w:rPr>
          <w:spacing w:val="1"/>
        </w:rPr>
        <w:t> </w:t>
      </w:r>
      <w:r>
        <w:rPr/>
        <w:t>properties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any</w:t>
      </w:r>
      <w:r>
        <w:rPr>
          <w:spacing w:val="1"/>
        </w:rPr>
        <w:t> </w:t>
      </w:r>
      <w:r>
        <w:rPr/>
        <w:t>spontaneous</w:t>
      </w:r>
      <w:r>
        <w:rPr>
          <w:spacing w:val="-1"/>
        </w:rPr>
        <w:t> </w:t>
      </w:r>
      <w:r>
        <w:rPr/>
        <w:t>or rather acute model of epilepsy</w:t>
      </w:r>
      <w:r>
        <w:rPr>
          <w:spacing w:val="-5"/>
        </w:rPr>
        <w:t> </w:t>
      </w:r>
      <w:r>
        <w:rPr/>
        <w:t>(De</w:t>
      </w:r>
      <w:r>
        <w:rPr>
          <w:spacing w:val="-1"/>
        </w:rPr>
        <w:t> </w:t>
      </w:r>
      <w:r>
        <w:rPr/>
        <w:t>Deyn </w:t>
      </w:r>
      <w:r>
        <w:rPr>
          <w:i/>
        </w:rPr>
        <w:t>et al., </w:t>
      </w:r>
      <w:r>
        <w:rPr/>
        <w:t>1992).</w:t>
      </w: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2"/>
        </w:rPr>
      </w:pPr>
    </w:p>
    <w:p>
      <w:pPr>
        <w:pStyle w:val="Heading1"/>
        <w:numPr>
          <w:ilvl w:val="2"/>
          <w:numId w:val="10"/>
        </w:numPr>
        <w:tabs>
          <w:tab w:pos="2088" w:val="left" w:leader="none"/>
          <w:tab w:pos="2089" w:val="left" w:leader="none"/>
        </w:tabs>
        <w:spacing w:line="240" w:lineRule="auto" w:before="0" w:after="0"/>
        <w:ind w:left="2088" w:right="0" w:hanging="1441"/>
        <w:jc w:val="both"/>
      </w:pPr>
      <w:bookmarkStart w:name="_TOC_250037" w:id="24"/>
      <w:r>
        <w:rPr/>
        <w:t>Toxicity</w:t>
      </w:r>
      <w:r>
        <w:rPr>
          <w:spacing w:val="-1"/>
        </w:rPr>
        <w:t> </w:t>
      </w:r>
      <w:bookmarkEnd w:id="24"/>
      <w:r>
        <w:rPr/>
        <w:t>Studies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648" w:right="680"/>
        <w:jc w:val="both"/>
      </w:pPr>
      <w:r>
        <w:rPr/>
        <w:t>Convulsive disorders are usually managed on a long term basis hence the safety of any herbal</w:t>
      </w:r>
      <w:r>
        <w:rPr>
          <w:spacing w:val="1"/>
        </w:rPr>
        <w:t> </w:t>
      </w:r>
      <w:r>
        <w:rPr/>
        <w:t>medicine used for such chronic management becomes a cause for concern.</w:t>
      </w:r>
      <w:r>
        <w:rPr>
          <w:spacing w:val="60"/>
        </w:rPr>
        <w:t> </w:t>
      </w:r>
      <w:r>
        <w:rPr/>
        <w:t>It is known that</w:t>
      </w:r>
      <w:r>
        <w:rPr>
          <w:spacing w:val="1"/>
        </w:rPr>
        <w:t> </w:t>
      </w:r>
      <w:r>
        <w:rPr/>
        <w:t>the liver and the kidney are usually the main organs of drug metabolism and excretion and are</w:t>
      </w:r>
      <w:r>
        <w:rPr>
          <w:spacing w:val="-57"/>
        </w:rPr>
        <w:t> </w:t>
      </w:r>
      <w:r>
        <w:rPr/>
        <w:t>easily affected by potentially toxic agents; hence the functions of the liver and kidney should</w:t>
      </w:r>
      <w:r>
        <w:rPr>
          <w:spacing w:val="1"/>
        </w:rPr>
        <w:t> </w:t>
      </w:r>
      <w:r>
        <w:rPr/>
        <w:t>be monitored in any long term toxicity studies (WHO, 2000).</w:t>
      </w:r>
      <w:r>
        <w:rPr>
          <w:spacing w:val="1"/>
        </w:rPr>
        <w:t> </w:t>
      </w:r>
      <w:r>
        <w:rPr/>
        <w:t>Moreso, in the last few years,</w:t>
      </w:r>
      <w:r>
        <w:rPr>
          <w:spacing w:val="1"/>
        </w:rPr>
        <w:t> </w:t>
      </w:r>
      <w:r>
        <w:rPr/>
        <w:t>considerable number of reports have been published on hepatotoxicity associated with herbal</w:t>
      </w:r>
      <w:r>
        <w:rPr>
          <w:spacing w:val="1"/>
        </w:rPr>
        <w:t> </w:t>
      </w:r>
      <w:r>
        <w:rPr/>
        <w:t>products</w:t>
      </w:r>
      <w:r>
        <w:rPr>
          <w:spacing w:val="1"/>
        </w:rPr>
        <w:t> </w:t>
      </w:r>
      <w:r>
        <w:rPr/>
        <w:t>(Herera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Bruguera,</w:t>
      </w:r>
      <w:r>
        <w:rPr>
          <w:spacing w:val="1"/>
        </w:rPr>
        <w:t> </w:t>
      </w:r>
      <w:r>
        <w:rPr/>
        <w:t>2008)</w:t>
      </w:r>
      <w:r>
        <w:rPr>
          <w:spacing w:val="1"/>
        </w:rPr>
        <w:t> </w:t>
      </w:r>
      <w:r>
        <w:rPr/>
        <w:t>thereby</w:t>
      </w:r>
      <w:r>
        <w:rPr>
          <w:spacing w:val="1"/>
        </w:rPr>
        <w:t> </w:t>
      </w:r>
      <w:r>
        <w:rPr/>
        <w:t>making</w:t>
      </w:r>
      <w:r>
        <w:rPr>
          <w:spacing w:val="1"/>
        </w:rPr>
        <w:t> </w:t>
      </w:r>
      <w:r>
        <w:rPr/>
        <w:t>toxicological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on</w:t>
      </w:r>
      <w:r>
        <w:rPr>
          <w:spacing w:val="60"/>
        </w:rPr>
        <w:t> </w:t>
      </w:r>
      <w:r>
        <w:rPr/>
        <w:t>herbal</w:t>
      </w:r>
      <w:r>
        <w:rPr>
          <w:spacing w:val="1"/>
        </w:rPr>
        <w:t> </w:t>
      </w:r>
      <w:r>
        <w:rPr/>
        <w:t>products</w:t>
      </w:r>
      <w:r>
        <w:rPr>
          <w:spacing w:val="-1"/>
        </w:rPr>
        <w:t> </w:t>
      </w:r>
      <w:r>
        <w:rPr/>
        <w:t>essential.</w:t>
      </w:r>
    </w:p>
    <w:p>
      <w:pPr>
        <w:pStyle w:val="BodyText"/>
        <w:spacing w:line="480" w:lineRule="auto"/>
        <w:ind w:left="648" w:right="680" w:firstLine="60"/>
        <w:jc w:val="both"/>
      </w:pPr>
      <w:r>
        <w:rPr/>
        <w:t>The rat are the usual specie selected for subchronic and chronic toxicity studies because of</w:t>
      </w:r>
      <w:r>
        <w:rPr>
          <w:spacing w:val="1"/>
        </w:rPr>
        <w:t> </w:t>
      </w:r>
      <w:r>
        <w:rPr/>
        <w:t>their availability and the large amount of background information available on them (EHC,</w:t>
      </w:r>
      <w:r>
        <w:rPr>
          <w:spacing w:val="1"/>
        </w:rPr>
        <w:t> </w:t>
      </w:r>
      <w:r>
        <w:rPr/>
        <w:t>1978) and the route of administration is usually that through which the plant extract is being</w:t>
      </w:r>
      <w:r>
        <w:rPr>
          <w:spacing w:val="1"/>
        </w:rPr>
        <w:t> </w:t>
      </w:r>
      <w:r>
        <w:rPr/>
        <w:t>administered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the</w:t>
      </w:r>
      <w:r>
        <w:rPr>
          <w:spacing w:val="1"/>
        </w:rPr>
        <w:t> </w:t>
      </w:r>
      <w:r>
        <w:rPr/>
        <w:t>claimed antiepileptic</w:t>
      </w:r>
      <w:r>
        <w:rPr>
          <w:spacing w:val="-1"/>
        </w:rPr>
        <w:t> </w:t>
      </w:r>
      <w:r>
        <w:rPr/>
        <w:t>effect.</w:t>
      </w:r>
    </w:p>
    <w:p>
      <w:pPr>
        <w:pStyle w:val="BodyText"/>
        <w:spacing w:line="480" w:lineRule="auto" w:before="1"/>
        <w:ind w:left="648" w:right="673"/>
        <w:jc w:val="both"/>
      </w:pPr>
      <w:r>
        <w:rPr>
          <w:b/>
        </w:rPr>
        <w:t>Liver and liver toxicity; </w:t>
      </w:r>
      <w:r>
        <w:rPr/>
        <w:t>The basic structure of the liver consists of rows of hepatic cells</w:t>
      </w:r>
      <w:r>
        <w:rPr>
          <w:spacing w:val="1"/>
        </w:rPr>
        <w:t> </w:t>
      </w:r>
      <w:r>
        <w:rPr/>
        <w:t>(hepatocytes) perforated by specialized blood capillaries called sinusoids and also in the liver</w:t>
      </w:r>
      <w:r>
        <w:rPr>
          <w:spacing w:val="1"/>
        </w:rPr>
        <w:t> </w:t>
      </w:r>
      <w:r>
        <w:rPr/>
        <w:t>three main</w:t>
      </w:r>
      <w:r>
        <w:rPr>
          <w:spacing w:val="3"/>
        </w:rPr>
        <w:t> </w:t>
      </w:r>
      <w:r>
        <w:rPr/>
        <w:t>functions</w:t>
      </w:r>
      <w:r>
        <w:rPr>
          <w:spacing w:val="3"/>
        </w:rPr>
        <w:t> </w:t>
      </w:r>
      <w:r>
        <w:rPr/>
        <w:t>occur;</w:t>
      </w:r>
      <w:r>
        <w:rPr>
          <w:spacing w:val="1"/>
        </w:rPr>
        <w:t> </w:t>
      </w:r>
      <w:r>
        <w:rPr/>
        <w:t>storage,</w:t>
      </w:r>
      <w:r>
        <w:rPr>
          <w:spacing w:val="2"/>
        </w:rPr>
        <w:t> </w:t>
      </w:r>
      <w:r>
        <w:rPr/>
        <w:t>metabolism</w:t>
      </w:r>
      <w:r>
        <w:rPr>
          <w:spacing w:val="1"/>
        </w:rPr>
        <w:t> </w:t>
      </w:r>
      <w:r>
        <w:rPr/>
        <w:t>and</w:t>
      </w:r>
      <w:r>
        <w:rPr>
          <w:spacing w:val="2"/>
        </w:rPr>
        <w:t> </w:t>
      </w:r>
      <w:r>
        <w:rPr/>
        <w:t>biosynthesis</w:t>
      </w:r>
      <w:r>
        <w:rPr>
          <w:spacing w:val="1"/>
        </w:rPr>
        <w:t> </w:t>
      </w:r>
      <w:r>
        <w:rPr/>
        <w:t>(Hodgson</w:t>
      </w:r>
      <w:r>
        <w:rPr>
          <w:spacing w:val="2"/>
        </w:rPr>
        <w:t> </w:t>
      </w:r>
      <w:r>
        <w:rPr/>
        <w:t>and</w:t>
      </w:r>
      <w:r>
        <w:rPr>
          <w:spacing w:val="3"/>
        </w:rPr>
        <w:t> </w:t>
      </w:r>
      <w:r>
        <w:rPr/>
        <w:t>Levi,</w:t>
      </w:r>
      <w:r>
        <w:rPr>
          <w:spacing w:val="3"/>
        </w:rPr>
        <w:t> </w:t>
      </w:r>
      <w:r>
        <w:rPr/>
        <w:t>2004a).</w:t>
      </w:r>
    </w:p>
    <w:p>
      <w:pPr>
        <w:spacing w:after="0" w:line="480" w:lineRule="auto"/>
        <w:jc w:val="both"/>
        <w:sectPr>
          <w:pgSz w:w="12240" w:h="15840"/>
          <w:pgMar w:header="0" w:footer="792" w:top="1360" w:bottom="980" w:left="1080" w:right="760"/>
        </w:sectPr>
      </w:pPr>
    </w:p>
    <w:p>
      <w:pPr>
        <w:pStyle w:val="BodyText"/>
        <w:spacing w:line="480" w:lineRule="auto" w:before="72"/>
        <w:ind w:left="648" w:right="676"/>
        <w:jc w:val="both"/>
      </w:pPr>
      <w:r>
        <w:rPr/>
        <w:t>The liver is an extremely resilient organ that is well equipped to resist toxic insults because of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unique</w:t>
      </w:r>
      <w:r>
        <w:rPr>
          <w:spacing w:val="1"/>
        </w:rPr>
        <w:t> </w:t>
      </w:r>
      <w:r>
        <w:rPr/>
        <w:t>cellular</w:t>
      </w:r>
      <w:r>
        <w:rPr>
          <w:spacing w:val="1"/>
        </w:rPr>
        <w:t> </w:t>
      </w:r>
      <w:r>
        <w:rPr/>
        <w:t>attributes</w:t>
      </w:r>
      <w:r>
        <w:rPr>
          <w:spacing w:val="1"/>
        </w:rPr>
        <w:t> </w:t>
      </w:r>
      <w:r>
        <w:rPr/>
        <w:t>e.g.</w:t>
      </w:r>
      <w:r>
        <w:rPr>
          <w:spacing w:val="1"/>
        </w:rPr>
        <w:t> </w:t>
      </w:r>
      <w:r>
        <w:rPr/>
        <w:t>cell</w:t>
      </w:r>
      <w:r>
        <w:rPr>
          <w:spacing w:val="1"/>
        </w:rPr>
        <w:t> </w:t>
      </w:r>
      <w:r>
        <w:rPr/>
        <w:t>cooperation,</w:t>
      </w:r>
      <w:r>
        <w:rPr>
          <w:spacing w:val="1"/>
        </w:rPr>
        <w:t> </w:t>
      </w:r>
      <w:r>
        <w:rPr/>
        <w:t>acute</w:t>
      </w:r>
      <w:r>
        <w:rPr>
          <w:spacing w:val="1"/>
        </w:rPr>
        <w:t> </w:t>
      </w:r>
      <w:r>
        <w:rPr/>
        <w:t>phase</w:t>
      </w:r>
      <w:r>
        <w:rPr>
          <w:spacing w:val="1"/>
        </w:rPr>
        <w:t> </w:t>
      </w:r>
      <w:r>
        <w:rPr/>
        <w:t>response,</w:t>
      </w:r>
      <w:r>
        <w:rPr>
          <w:spacing w:val="1"/>
        </w:rPr>
        <w:t> </w:t>
      </w:r>
      <w:r>
        <w:rPr/>
        <w:t>synthesis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hepatoprotective substances. Despite this resilency, the liver is vulnerable to injury because it</w:t>
      </w:r>
      <w:r>
        <w:rPr>
          <w:spacing w:val="1"/>
        </w:rPr>
        <w:t> </w:t>
      </w:r>
      <w:r>
        <w:rPr/>
        <w:t>is frequently exposed to agents in their most reactive, thus toxic forms.</w:t>
      </w:r>
      <w:r>
        <w:rPr>
          <w:spacing w:val="1"/>
        </w:rPr>
        <w:t> </w:t>
      </w:r>
      <w:r>
        <w:rPr/>
        <w:t>Because the liver is</w:t>
      </w:r>
      <w:r>
        <w:rPr>
          <w:spacing w:val="1"/>
        </w:rPr>
        <w:t> </w:t>
      </w:r>
      <w:r>
        <w:rPr/>
        <w:t>located between the absorptive lining of the gastrointestinal tract and drug targets within the</w:t>
      </w:r>
      <w:r>
        <w:rPr>
          <w:spacing w:val="1"/>
        </w:rPr>
        <w:t> </w:t>
      </w:r>
      <w:r>
        <w:rPr/>
        <w:t>body,</w:t>
      </w:r>
      <w:r>
        <w:rPr>
          <w:spacing w:val="1"/>
        </w:rPr>
        <w:t> </w:t>
      </w:r>
      <w:r>
        <w:rPr/>
        <w:t>orally</w:t>
      </w:r>
      <w:r>
        <w:rPr>
          <w:spacing w:val="1"/>
        </w:rPr>
        <w:t> </w:t>
      </w:r>
      <w:r>
        <w:rPr/>
        <w:t>administered</w:t>
      </w:r>
      <w:r>
        <w:rPr>
          <w:spacing w:val="1"/>
        </w:rPr>
        <w:t> </w:t>
      </w:r>
      <w:r>
        <w:rPr/>
        <w:t>drugs</w:t>
      </w:r>
      <w:r>
        <w:rPr>
          <w:spacing w:val="1"/>
        </w:rPr>
        <w:t> </w:t>
      </w:r>
      <w:r>
        <w:rPr/>
        <w:t>enter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portal</w:t>
      </w:r>
      <w:r>
        <w:rPr>
          <w:spacing w:val="1"/>
        </w:rPr>
        <w:t> </w:t>
      </w:r>
      <w:r>
        <w:rPr/>
        <w:t>circulation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undergo</w:t>
      </w:r>
      <w:r>
        <w:rPr>
          <w:spacing w:val="1"/>
        </w:rPr>
        <w:t> </w:t>
      </w:r>
      <w:r>
        <w:rPr/>
        <w:t>“first</w:t>
      </w:r>
      <w:r>
        <w:rPr>
          <w:spacing w:val="1"/>
        </w:rPr>
        <w:t> </w:t>
      </w:r>
      <w:r>
        <w:rPr/>
        <w:t>pass</w:t>
      </w:r>
      <w:r>
        <w:rPr>
          <w:spacing w:val="1"/>
        </w:rPr>
        <w:t> </w:t>
      </w:r>
      <w:r>
        <w:rPr/>
        <w:t>metabolism” leading to significant exposure of the drug or its metabolites to the hepatocytes</w:t>
      </w:r>
      <w:r>
        <w:rPr>
          <w:spacing w:val="1"/>
        </w:rPr>
        <w:t> </w:t>
      </w:r>
      <w:r>
        <w:rPr/>
        <w:t>(Holt, 2008).Several factors are known to promote the close contact between hepatocytes,</w:t>
      </w:r>
      <w:r>
        <w:rPr>
          <w:spacing w:val="1"/>
        </w:rPr>
        <w:t> </w:t>
      </w:r>
      <w:r>
        <w:rPr/>
        <w:t>blood</w:t>
      </w:r>
      <w:r>
        <w:rPr>
          <w:spacing w:val="-1"/>
        </w:rPr>
        <w:t> </w:t>
      </w:r>
      <w:r>
        <w:rPr/>
        <w:t>and drugs, these</w:t>
      </w:r>
      <w:r>
        <w:rPr>
          <w:spacing w:val="-1"/>
        </w:rPr>
        <w:t> </w:t>
      </w:r>
      <w:r>
        <w:rPr/>
        <w:t>factors includes:</w:t>
      </w:r>
    </w:p>
    <w:p>
      <w:pPr>
        <w:pStyle w:val="ListParagraph"/>
        <w:numPr>
          <w:ilvl w:val="0"/>
          <w:numId w:val="23"/>
        </w:numPr>
        <w:tabs>
          <w:tab w:pos="1369" w:val="left" w:leader="none"/>
        </w:tabs>
        <w:spacing w:line="240" w:lineRule="auto" w:before="1" w:after="0"/>
        <w:ind w:left="1368" w:right="0" w:hanging="721"/>
        <w:jc w:val="both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structure</w:t>
      </w:r>
      <w:r>
        <w:rPr>
          <w:spacing w:val="-2"/>
          <w:sz w:val="24"/>
        </w:rPr>
        <w:t> </w:t>
      </w:r>
      <w:r>
        <w:rPr>
          <w:sz w:val="24"/>
        </w:rPr>
        <w:t>of hepatic</w:t>
      </w:r>
      <w:r>
        <w:rPr>
          <w:spacing w:val="-1"/>
          <w:sz w:val="24"/>
        </w:rPr>
        <w:t> </w:t>
      </w:r>
      <w:r>
        <w:rPr>
          <w:sz w:val="24"/>
        </w:rPr>
        <w:t>sinusoids</w:t>
      </w:r>
    </w:p>
    <w:p>
      <w:pPr>
        <w:pStyle w:val="BodyText"/>
      </w:pPr>
    </w:p>
    <w:p>
      <w:pPr>
        <w:pStyle w:val="ListParagraph"/>
        <w:numPr>
          <w:ilvl w:val="0"/>
          <w:numId w:val="23"/>
        </w:numPr>
        <w:tabs>
          <w:tab w:pos="1369" w:val="left" w:leader="none"/>
        </w:tabs>
        <w:spacing w:line="240" w:lineRule="auto" w:before="0" w:after="0"/>
        <w:ind w:left="1368" w:right="0" w:hanging="721"/>
        <w:jc w:val="both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fenestrated</w:t>
      </w:r>
      <w:r>
        <w:rPr>
          <w:spacing w:val="-1"/>
          <w:sz w:val="24"/>
        </w:rPr>
        <w:t> </w:t>
      </w:r>
      <w:r>
        <w:rPr>
          <w:sz w:val="24"/>
        </w:rPr>
        <w:t>hepatic endothelium and</w:t>
      </w:r>
    </w:p>
    <w:p>
      <w:pPr>
        <w:pStyle w:val="BodyText"/>
      </w:pPr>
    </w:p>
    <w:p>
      <w:pPr>
        <w:pStyle w:val="ListParagraph"/>
        <w:numPr>
          <w:ilvl w:val="0"/>
          <w:numId w:val="23"/>
        </w:numPr>
        <w:tabs>
          <w:tab w:pos="1369" w:val="left" w:leader="none"/>
        </w:tabs>
        <w:spacing w:line="480" w:lineRule="auto" w:before="0" w:after="0"/>
        <w:ind w:left="1368" w:right="672" w:hanging="720"/>
        <w:jc w:val="both"/>
        <w:rPr>
          <w:sz w:val="24"/>
        </w:rPr>
      </w:pPr>
      <w:r>
        <w:rPr>
          <w:sz w:val="24"/>
        </w:rPr>
        <w:t>The enhanced overall surface area of the hepatocytes (Kaplowitz, 2007).The liver may</w:t>
      </w:r>
      <w:r>
        <w:rPr>
          <w:spacing w:val="-57"/>
          <w:sz w:val="24"/>
        </w:rPr>
        <w:t> </w:t>
      </w:r>
      <w:r>
        <w:rPr>
          <w:sz w:val="24"/>
        </w:rPr>
        <w:t>also</w:t>
      </w:r>
      <w:r>
        <w:rPr>
          <w:spacing w:val="1"/>
          <w:sz w:val="24"/>
        </w:rPr>
        <w:t> </w:t>
      </w:r>
      <w:r>
        <w:rPr>
          <w:sz w:val="24"/>
        </w:rPr>
        <w:t>be</w:t>
      </w:r>
      <w:r>
        <w:rPr>
          <w:spacing w:val="1"/>
          <w:sz w:val="24"/>
        </w:rPr>
        <w:t> </w:t>
      </w:r>
      <w:r>
        <w:rPr>
          <w:sz w:val="24"/>
        </w:rPr>
        <w:t>rapidly</w:t>
      </w:r>
      <w:r>
        <w:rPr>
          <w:spacing w:val="1"/>
          <w:sz w:val="24"/>
        </w:rPr>
        <w:t> </w:t>
      </w:r>
      <w:r>
        <w:rPr>
          <w:sz w:val="24"/>
        </w:rPr>
        <w:t>exposed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intravenously</w:t>
      </w:r>
      <w:r>
        <w:rPr>
          <w:spacing w:val="1"/>
          <w:sz w:val="24"/>
        </w:rPr>
        <w:t> </w:t>
      </w:r>
      <w:r>
        <w:rPr>
          <w:sz w:val="24"/>
        </w:rPr>
        <w:t>administered</w:t>
      </w:r>
      <w:r>
        <w:rPr>
          <w:spacing w:val="1"/>
          <w:sz w:val="24"/>
        </w:rPr>
        <w:t> </w:t>
      </w:r>
      <w:r>
        <w:rPr>
          <w:sz w:val="24"/>
        </w:rPr>
        <w:t>drugs</w:t>
      </w:r>
      <w:r>
        <w:rPr>
          <w:spacing w:val="1"/>
          <w:sz w:val="24"/>
        </w:rPr>
        <w:t> </w:t>
      </w:r>
      <w:r>
        <w:rPr>
          <w:sz w:val="24"/>
        </w:rPr>
        <w:t>because</w:t>
      </w:r>
      <w:r>
        <w:rPr>
          <w:spacing w:val="1"/>
          <w:sz w:val="24"/>
        </w:rPr>
        <w:t> </w:t>
      </w:r>
      <w:r>
        <w:rPr>
          <w:sz w:val="24"/>
        </w:rPr>
        <w:t>it</w:t>
      </w:r>
      <w:r>
        <w:rPr>
          <w:spacing w:val="1"/>
          <w:sz w:val="24"/>
        </w:rPr>
        <w:t> </w:t>
      </w:r>
      <w:r>
        <w:rPr>
          <w:sz w:val="24"/>
        </w:rPr>
        <w:t>receives</w:t>
      </w:r>
      <w:r>
        <w:rPr>
          <w:spacing w:val="1"/>
          <w:sz w:val="24"/>
        </w:rPr>
        <w:t> </w:t>
      </w:r>
      <w:r>
        <w:rPr>
          <w:sz w:val="24"/>
        </w:rPr>
        <w:t>approximately</w:t>
      </w:r>
      <w:r>
        <w:rPr>
          <w:spacing w:val="-5"/>
          <w:sz w:val="24"/>
        </w:rPr>
        <w:t> </w:t>
      </w:r>
      <w:r>
        <w:rPr>
          <w:sz w:val="24"/>
        </w:rPr>
        <w:t>25%</w:t>
      </w:r>
      <w:r>
        <w:rPr>
          <w:spacing w:val="-1"/>
          <w:sz w:val="24"/>
        </w:rPr>
        <w:t> </w:t>
      </w:r>
      <w:r>
        <w:rPr>
          <w:sz w:val="24"/>
        </w:rPr>
        <w:t>of the</w:t>
      </w:r>
      <w:r>
        <w:rPr>
          <w:spacing w:val="-1"/>
          <w:sz w:val="24"/>
        </w:rPr>
        <w:t> </w:t>
      </w:r>
      <w:r>
        <w:rPr>
          <w:sz w:val="24"/>
        </w:rPr>
        <w:t>cardiac</w:t>
      </w:r>
      <w:r>
        <w:rPr>
          <w:spacing w:val="-1"/>
          <w:sz w:val="24"/>
        </w:rPr>
        <w:t> </w:t>
      </w:r>
      <w:r>
        <w:rPr>
          <w:sz w:val="24"/>
        </w:rPr>
        <w:t>output (Holt, 2008).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2"/>
        <w:spacing w:before="213"/>
        <w:ind w:left="648"/>
      </w:pPr>
      <w:r>
        <w:rPr/>
        <w:t>Pathophysiology</w:t>
      </w:r>
      <w:r>
        <w:rPr>
          <w:spacing w:val="-2"/>
        </w:rPr>
        <w:t> </w:t>
      </w:r>
      <w:r>
        <w:rPr/>
        <w:t>of drug</w:t>
      </w:r>
      <w:r>
        <w:rPr>
          <w:spacing w:val="-2"/>
        </w:rPr>
        <w:t> </w:t>
      </w:r>
      <w:r>
        <w:rPr/>
        <w:t>induced hepatic</w:t>
      </w:r>
      <w:r>
        <w:rPr>
          <w:spacing w:val="-1"/>
        </w:rPr>
        <w:t> </w:t>
      </w:r>
      <w:r>
        <w:rPr/>
        <w:t>injury</w:t>
      </w:r>
    </w:p>
    <w:p>
      <w:pPr>
        <w:pStyle w:val="BodyText"/>
        <w:spacing w:before="6"/>
        <w:rPr>
          <w:b/>
          <w:i/>
          <w:sz w:val="23"/>
        </w:rPr>
      </w:pPr>
    </w:p>
    <w:p>
      <w:pPr>
        <w:pStyle w:val="BodyText"/>
        <w:spacing w:line="480" w:lineRule="auto"/>
        <w:ind w:left="648" w:right="680"/>
        <w:jc w:val="both"/>
      </w:pPr>
      <w:r>
        <w:rPr/>
        <w:t>Hepatic</w:t>
      </w:r>
      <w:r>
        <w:rPr>
          <w:spacing w:val="1"/>
        </w:rPr>
        <w:t> </w:t>
      </w:r>
      <w:r>
        <w:rPr/>
        <w:t>uptake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drugs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thought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occur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passive</w:t>
      </w:r>
      <w:r>
        <w:rPr>
          <w:spacing w:val="1"/>
        </w:rPr>
        <w:t> </w:t>
      </w:r>
      <w:r>
        <w:rPr/>
        <w:t>diffusion,</w:t>
      </w:r>
      <w:r>
        <w:rPr>
          <w:spacing w:val="1"/>
        </w:rPr>
        <w:t> </w:t>
      </w:r>
      <w:r>
        <w:rPr/>
        <w:t>carrier</w:t>
      </w:r>
      <w:r>
        <w:rPr>
          <w:spacing w:val="60"/>
        </w:rPr>
        <w:t> </w:t>
      </w:r>
      <w:r>
        <w:rPr/>
        <w:t>mediated</w:t>
      </w:r>
      <w:r>
        <w:rPr>
          <w:spacing w:val="-57"/>
        </w:rPr>
        <w:t> </w:t>
      </w:r>
      <w:r>
        <w:rPr/>
        <w:t>uptake, facilitated transport or active transport (Holt, 2008). After drugs have entered the</w:t>
      </w:r>
      <w:r>
        <w:rPr>
          <w:spacing w:val="1"/>
        </w:rPr>
        <w:t> </w:t>
      </w:r>
      <w:r>
        <w:rPr/>
        <w:t>hepatocytes, back diffusion out of the cells may be minimized through cytosolic transfer</w:t>
      </w:r>
      <w:r>
        <w:rPr>
          <w:spacing w:val="1"/>
        </w:rPr>
        <w:t> </w:t>
      </w:r>
      <w:r>
        <w:rPr/>
        <w:t>proteins, such as glutathione s-transferase, fatty acid binding proteins and 3-hydroxysteroid</w:t>
      </w:r>
      <w:r>
        <w:rPr>
          <w:spacing w:val="1"/>
        </w:rPr>
        <w:t> </w:t>
      </w:r>
      <w:r>
        <w:rPr/>
        <w:t>dehydrogenase (LeBlanc, 1994). Drugs are thereby transferred to either the endosplasmic</w:t>
      </w:r>
      <w:r>
        <w:rPr>
          <w:spacing w:val="1"/>
        </w:rPr>
        <w:t> </w:t>
      </w:r>
      <w:r>
        <w:rPr/>
        <w:t>reticulum,</w:t>
      </w:r>
      <w:r>
        <w:rPr>
          <w:spacing w:val="34"/>
        </w:rPr>
        <w:t> </w:t>
      </w:r>
      <w:r>
        <w:rPr/>
        <w:t>where</w:t>
      </w:r>
      <w:r>
        <w:rPr>
          <w:spacing w:val="33"/>
        </w:rPr>
        <w:t> </w:t>
      </w:r>
      <w:r>
        <w:rPr/>
        <w:t>they</w:t>
      </w:r>
      <w:r>
        <w:rPr>
          <w:spacing w:val="30"/>
        </w:rPr>
        <w:t> </w:t>
      </w:r>
      <w:r>
        <w:rPr/>
        <w:t>are</w:t>
      </w:r>
      <w:r>
        <w:rPr>
          <w:spacing w:val="33"/>
        </w:rPr>
        <w:t> </w:t>
      </w:r>
      <w:r>
        <w:rPr/>
        <w:t>metabolised,</w:t>
      </w:r>
      <w:r>
        <w:rPr>
          <w:spacing w:val="35"/>
        </w:rPr>
        <w:t> </w:t>
      </w:r>
      <w:r>
        <w:rPr/>
        <w:t>or</w:t>
      </w:r>
      <w:r>
        <w:rPr>
          <w:spacing w:val="34"/>
        </w:rPr>
        <w:t> </w:t>
      </w:r>
      <w:r>
        <w:rPr/>
        <w:t>to</w:t>
      </w:r>
      <w:r>
        <w:rPr>
          <w:spacing w:val="36"/>
        </w:rPr>
        <w:t> </w:t>
      </w:r>
      <w:r>
        <w:rPr/>
        <w:t>the</w:t>
      </w:r>
      <w:r>
        <w:rPr>
          <w:spacing w:val="36"/>
        </w:rPr>
        <w:t> </w:t>
      </w:r>
      <w:r>
        <w:rPr/>
        <w:t>canalicular</w:t>
      </w:r>
      <w:r>
        <w:rPr>
          <w:spacing w:val="35"/>
        </w:rPr>
        <w:t> </w:t>
      </w:r>
      <w:r>
        <w:rPr/>
        <w:t>membrane,</w:t>
      </w:r>
      <w:r>
        <w:rPr>
          <w:spacing w:val="37"/>
        </w:rPr>
        <w:t> </w:t>
      </w:r>
      <w:r>
        <w:rPr/>
        <w:t>where</w:t>
      </w:r>
      <w:r>
        <w:rPr>
          <w:spacing w:val="33"/>
        </w:rPr>
        <w:t> </w:t>
      </w:r>
      <w:r>
        <w:rPr/>
        <w:t>transporters</w:t>
      </w:r>
    </w:p>
    <w:p>
      <w:pPr>
        <w:spacing w:after="0" w:line="480" w:lineRule="auto"/>
        <w:jc w:val="both"/>
        <w:sectPr>
          <w:pgSz w:w="12240" w:h="15840"/>
          <w:pgMar w:header="0" w:footer="792" w:top="1360" w:bottom="980" w:left="1080" w:right="760"/>
        </w:sectPr>
      </w:pPr>
    </w:p>
    <w:p>
      <w:pPr>
        <w:pStyle w:val="BodyText"/>
        <w:spacing w:line="480" w:lineRule="auto" w:before="72"/>
        <w:ind w:left="648" w:right="677"/>
        <w:jc w:val="both"/>
      </w:pPr>
      <w:r>
        <w:rPr/>
        <w:t>actively secret endogenous or exogenous substances into the bite (Holt, 2008). Because most</w:t>
      </w:r>
      <w:r>
        <w:rPr>
          <w:spacing w:val="1"/>
        </w:rPr>
        <w:t> </w:t>
      </w:r>
      <w:r>
        <w:rPr/>
        <w:t>drugs are lipophilic, they are not readily excreted in the urine or bile and must be transformed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 more excretable hydrophobic form.</w:t>
      </w:r>
      <w:r>
        <w:rPr>
          <w:spacing w:val="1"/>
        </w:rPr>
        <w:t> </w:t>
      </w:r>
      <w:r>
        <w:rPr/>
        <w:t>The liver is</w:t>
      </w:r>
      <w:r>
        <w:rPr>
          <w:spacing w:val="1"/>
        </w:rPr>
        <w:t> </w:t>
      </w:r>
      <w:r>
        <w:rPr/>
        <w:t>responsible for the</w:t>
      </w:r>
      <w:r>
        <w:rPr>
          <w:spacing w:val="60"/>
        </w:rPr>
        <w:t> </w:t>
      </w:r>
      <w:r>
        <w:rPr/>
        <w:t>biotranformation</w:t>
      </w:r>
      <w:r>
        <w:rPr>
          <w:spacing w:val="1"/>
        </w:rPr>
        <w:t> </w:t>
      </w:r>
      <w:r>
        <w:rPr/>
        <w:t>either through phase I mediated cytochrome P</w:t>
      </w:r>
      <w:r>
        <w:rPr>
          <w:vertAlign w:val="subscript"/>
        </w:rPr>
        <w:t>450</w:t>
      </w:r>
      <w:r>
        <w:rPr>
          <w:vertAlign w:val="baseline"/>
        </w:rPr>
        <w:t> oxidative metabolism and formation of</w:t>
      </w:r>
      <w:r>
        <w:rPr>
          <w:spacing w:val="1"/>
          <w:vertAlign w:val="baseline"/>
        </w:rPr>
        <w:t> </w:t>
      </w:r>
      <w:r>
        <w:rPr>
          <w:vertAlign w:val="baseline"/>
        </w:rPr>
        <w:t>potentially</w:t>
      </w:r>
      <w:r>
        <w:rPr>
          <w:spacing w:val="1"/>
          <w:vertAlign w:val="baseline"/>
        </w:rPr>
        <w:t> </w:t>
      </w:r>
      <w:r>
        <w:rPr>
          <w:vertAlign w:val="baseline"/>
        </w:rPr>
        <w:t>hepatotoxic</w:t>
      </w:r>
      <w:r>
        <w:rPr>
          <w:spacing w:val="1"/>
          <w:vertAlign w:val="baseline"/>
        </w:rPr>
        <w:t> </w:t>
      </w:r>
      <w:r>
        <w:rPr>
          <w:vertAlign w:val="baseline"/>
        </w:rPr>
        <w:t>metabolites</w:t>
      </w:r>
      <w:r>
        <w:rPr>
          <w:spacing w:val="1"/>
          <w:vertAlign w:val="baseline"/>
        </w:rPr>
        <w:t> </w:t>
      </w:r>
      <w:r>
        <w:rPr>
          <w:vertAlign w:val="baseline"/>
        </w:rPr>
        <w:t>(toxification)</w:t>
      </w:r>
      <w:r>
        <w:rPr>
          <w:spacing w:val="1"/>
          <w:vertAlign w:val="baseline"/>
        </w:rPr>
        <w:t> </w:t>
      </w:r>
      <w:r>
        <w:rPr>
          <w:vertAlign w:val="baseline"/>
        </w:rPr>
        <w:t>or</w:t>
      </w:r>
      <w:r>
        <w:rPr>
          <w:spacing w:val="1"/>
          <w:vertAlign w:val="baseline"/>
        </w:rPr>
        <w:t> </w:t>
      </w:r>
      <w:r>
        <w:rPr>
          <w:vertAlign w:val="baseline"/>
        </w:rPr>
        <w:t>through</w:t>
      </w:r>
      <w:r>
        <w:rPr>
          <w:spacing w:val="1"/>
          <w:vertAlign w:val="baseline"/>
        </w:rPr>
        <w:t> </w:t>
      </w:r>
      <w:r>
        <w:rPr>
          <w:vertAlign w:val="baseline"/>
        </w:rPr>
        <w:t>phase</w:t>
      </w:r>
      <w:r>
        <w:rPr>
          <w:spacing w:val="1"/>
          <w:vertAlign w:val="baseline"/>
        </w:rPr>
        <w:t> </w:t>
      </w:r>
      <w:r>
        <w:rPr>
          <w:vertAlign w:val="baseline"/>
        </w:rPr>
        <w:t>II</w:t>
      </w:r>
      <w:r>
        <w:rPr>
          <w:spacing w:val="1"/>
          <w:vertAlign w:val="baseline"/>
        </w:rPr>
        <w:t> </w:t>
      </w:r>
      <w:r>
        <w:rPr>
          <w:vertAlign w:val="baseline"/>
        </w:rPr>
        <w:t>conjugation</w:t>
      </w:r>
      <w:r>
        <w:rPr>
          <w:spacing w:val="1"/>
          <w:vertAlign w:val="baseline"/>
        </w:rPr>
        <w:t> </w:t>
      </w:r>
      <w:r>
        <w:rPr>
          <w:vertAlign w:val="baseline"/>
        </w:rPr>
        <w:t>(detoxification)</w:t>
      </w:r>
      <w:r>
        <w:rPr>
          <w:spacing w:val="-1"/>
          <w:vertAlign w:val="baseline"/>
        </w:rPr>
        <w:t> </w:t>
      </w:r>
      <w:r>
        <w:rPr>
          <w:vertAlign w:val="baseline"/>
        </w:rPr>
        <w:t>(Schwabe</w:t>
      </w:r>
      <w:r>
        <w:rPr>
          <w:spacing w:val="-1"/>
          <w:vertAlign w:val="baseline"/>
        </w:rPr>
        <w:t> </w:t>
      </w:r>
      <w:r>
        <w:rPr>
          <w:vertAlign w:val="baseline"/>
        </w:rPr>
        <w:t>and Brenner, 2006).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480" w:lineRule="auto"/>
        <w:ind w:left="648" w:right="671"/>
        <w:jc w:val="both"/>
      </w:pPr>
      <w:r>
        <w:rPr/>
        <w:t>In drugs undergoing oxidative metabolism, an activated oxygen molecule is integrated into</w:t>
      </w:r>
      <w:r>
        <w:rPr>
          <w:spacing w:val="1"/>
        </w:rPr>
        <w:t> </w:t>
      </w:r>
      <w:r>
        <w:rPr/>
        <w:t>lipophilic substrates resulting in the formation of reactive electrophiles, free radicals and</w:t>
      </w:r>
      <w:r>
        <w:rPr>
          <w:spacing w:val="1"/>
        </w:rPr>
        <w:t> </w:t>
      </w:r>
      <w:r>
        <w:rPr/>
        <w:t>reduced oxygen compounds (Schwabe and Brenner, 2006). Reactive electrophiles can bind to</w:t>
      </w:r>
      <w:r>
        <w:rPr>
          <w:spacing w:val="1"/>
        </w:rPr>
        <w:t> </w:t>
      </w:r>
      <w:r>
        <w:rPr/>
        <w:t>cellular membranes, disrupt their function and subsequently results in hepatocellular necrosis</w:t>
      </w:r>
      <w:r>
        <w:rPr>
          <w:spacing w:val="1"/>
        </w:rPr>
        <w:t> </w:t>
      </w:r>
      <w:r>
        <w:rPr/>
        <w:t>(Kaplowitz, 2007).</w:t>
      </w:r>
      <w:r>
        <w:rPr>
          <w:spacing w:val="1"/>
        </w:rPr>
        <w:t> </w:t>
      </w:r>
      <w:r>
        <w:rPr/>
        <w:t>Examples of agents that cause this type of liver injury are isoniazid and</w:t>
      </w:r>
      <w:r>
        <w:rPr>
          <w:spacing w:val="1"/>
        </w:rPr>
        <w:t> </w:t>
      </w:r>
      <w:r>
        <w:rPr/>
        <w:t>acetaminophen, free radical formation from agents, such as carbon tetrachloride (CCl</w:t>
      </w:r>
      <w:r>
        <w:rPr>
          <w:vertAlign w:val="subscript"/>
        </w:rPr>
        <w:t>4</w:t>
      </w:r>
      <w:r>
        <w:rPr>
          <w:vertAlign w:val="baseline"/>
        </w:rPr>
        <w:t>) may</w:t>
      </w:r>
      <w:r>
        <w:rPr>
          <w:spacing w:val="1"/>
          <w:vertAlign w:val="baseline"/>
        </w:rPr>
        <w:t> </w:t>
      </w:r>
      <w:r>
        <w:rPr>
          <w:vertAlign w:val="baseline"/>
        </w:rPr>
        <w:t>lead</w:t>
      </w:r>
      <w:r>
        <w:rPr>
          <w:spacing w:val="-1"/>
          <w:vertAlign w:val="baseline"/>
        </w:rPr>
        <w:t> </w:t>
      </w:r>
      <w:r>
        <w:rPr>
          <w:vertAlign w:val="baseline"/>
        </w:rPr>
        <w:t>to perioxidative injury</w:t>
      </w:r>
      <w:r>
        <w:rPr>
          <w:spacing w:val="-6"/>
          <w:vertAlign w:val="baseline"/>
        </w:rPr>
        <w:t> </w:t>
      </w:r>
      <w:r>
        <w:rPr>
          <w:vertAlign w:val="baseline"/>
        </w:rPr>
        <w:t>of membrane</w:t>
      </w:r>
      <w:r>
        <w:rPr>
          <w:spacing w:val="-1"/>
          <w:vertAlign w:val="baseline"/>
        </w:rPr>
        <w:t> </w:t>
      </w:r>
      <w:r>
        <w:rPr>
          <w:vertAlign w:val="baseline"/>
        </w:rPr>
        <w:t>lipids</w:t>
      </w:r>
      <w:r>
        <w:rPr>
          <w:spacing w:val="-1"/>
          <w:vertAlign w:val="baseline"/>
        </w:rPr>
        <w:t> </w:t>
      </w:r>
      <w:r>
        <w:rPr>
          <w:vertAlign w:val="baseline"/>
        </w:rPr>
        <w:t>and necrosis (Losser</w:t>
      </w:r>
      <w:r>
        <w:rPr>
          <w:spacing w:val="2"/>
          <w:vertAlign w:val="baseline"/>
        </w:rPr>
        <w:t> </w:t>
      </w:r>
      <w:r>
        <w:rPr>
          <w:vertAlign w:val="baseline"/>
        </w:rPr>
        <w:t>and</w:t>
      </w:r>
      <w:r>
        <w:rPr>
          <w:spacing w:val="-1"/>
          <w:vertAlign w:val="baseline"/>
        </w:rPr>
        <w:t> </w:t>
      </w:r>
      <w:r>
        <w:rPr>
          <w:vertAlign w:val="baseline"/>
        </w:rPr>
        <w:t>Payen, 1996).</w:t>
      </w:r>
    </w:p>
    <w:p>
      <w:pPr>
        <w:pStyle w:val="BodyText"/>
        <w:spacing w:line="480" w:lineRule="auto" w:before="1"/>
        <w:ind w:left="648" w:right="674"/>
        <w:jc w:val="both"/>
      </w:pPr>
      <w:r>
        <w:rPr/>
        <w:t>Because</w:t>
      </w:r>
      <w:r>
        <w:rPr>
          <w:spacing w:val="1"/>
        </w:rPr>
        <w:t> </w:t>
      </w:r>
      <w:r>
        <w:rPr/>
        <w:t>cellular</w:t>
      </w:r>
      <w:r>
        <w:rPr>
          <w:spacing w:val="1"/>
        </w:rPr>
        <w:t> </w:t>
      </w:r>
      <w:r>
        <w:rPr/>
        <w:t>function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overwhelmingly</w:t>
      </w:r>
      <w:r>
        <w:rPr>
          <w:spacing w:val="1"/>
        </w:rPr>
        <w:t> </w:t>
      </w:r>
      <w:r>
        <w:rPr/>
        <w:t>disrupted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cytochorme</w:t>
      </w:r>
      <w:r>
        <w:rPr>
          <w:spacing w:val="1"/>
        </w:rPr>
        <w:t> </w:t>
      </w:r>
      <w:r>
        <w:rPr/>
        <w:t>P</w:t>
      </w:r>
      <w:r>
        <w:rPr>
          <w:vertAlign w:val="subscript"/>
        </w:rPr>
        <w:t>450</w:t>
      </w:r>
      <w:r>
        <w:rPr>
          <w:spacing w:val="1"/>
          <w:vertAlign w:val="baseline"/>
        </w:rPr>
        <w:t> </w:t>
      </w:r>
      <w:r>
        <w:rPr>
          <w:vertAlign w:val="baseline"/>
        </w:rPr>
        <w:t>mediated</w:t>
      </w:r>
      <w:r>
        <w:rPr>
          <w:spacing w:val="1"/>
          <w:vertAlign w:val="baseline"/>
        </w:rPr>
        <w:t> </w:t>
      </w:r>
      <w:r>
        <w:rPr>
          <w:vertAlign w:val="baseline"/>
        </w:rPr>
        <w:t>mechanisms,</w:t>
      </w:r>
      <w:r>
        <w:rPr>
          <w:spacing w:val="1"/>
          <w:vertAlign w:val="baseline"/>
        </w:rPr>
        <w:t> </w:t>
      </w:r>
      <w:r>
        <w:rPr>
          <w:vertAlign w:val="baseline"/>
        </w:rPr>
        <w:t>cellular</w:t>
      </w:r>
      <w:r>
        <w:rPr>
          <w:spacing w:val="1"/>
          <w:vertAlign w:val="baseline"/>
        </w:rPr>
        <w:t> </w:t>
      </w:r>
      <w:r>
        <w:rPr>
          <w:vertAlign w:val="baseline"/>
        </w:rPr>
        <w:t>death</w:t>
      </w:r>
      <w:r>
        <w:rPr>
          <w:spacing w:val="1"/>
          <w:vertAlign w:val="baseline"/>
        </w:rPr>
        <w:t> </w:t>
      </w:r>
      <w:r>
        <w:rPr>
          <w:vertAlign w:val="baseline"/>
        </w:rPr>
        <w:t>is</w:t>
      </w:r>
      <w:r>
        <w:rPr>
          <w:spacing w:val="1"/>
          <w:vertAlign w:val="baseline"/>
        </w:rPr>
        <w:t> </w:t>
      </w:r>
      <w:r>
        <w:rPr>
          <w:vertAlign w:val="baseline"/>
        </w:rPr>
        <w:t>a</w:t>
      </w:r>
      <w:r>
        <w:rPr>
          <w:spacing w:val="1"/>
          <w:vertAlign w:val="baseline"/>
        </w:rPr>
        <w:t> </w:t>
      </w:r>
      <w:r>
        <w:rPr>
          <w:vertAlign w:val="baseline"/>
        </w:rPr>
        <w:t>common</w:t>
      </w:r>
      <w:r>
        <w:rPr>
          <w:spacing w:val="1"/>
          <w:vertAlign w:val="baseline"/>
        </w:rPr>
        <w:t> </w:t>
      </w:r>
      <w:r>
        <w:rPr>
          <w:vertAlign w:val="baseline"/>
        </w:rPr>
        <w:t>result</w:t>
      </w:r>
      <w:r>
        <w:rPr>
          <w:spacing w:val="1"/>
          <w:vertAlign w:val="baseline"/>
        </w:rPr>
        <w:t> </w:t>
      </w:r>
      <w:r>
        <w:rPr>
          <w:vertAlign w:val="baseline"/>
        </w:rPr>
        <w:t>(Holt,</w:t>
      </w:r>
      <w:r>
        <w:rPr>
          <w:spacing w:val="1"/>
          <w:vertAlign w:val="baseline"/>
        </w:rPr>
        <w:t> </w:t>
      </w:r>
      <w:r>
        <w:rPr>
          <w:vertAlign w:val="baseline"/>
        </w:rPr>
        <w:t>2008)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this</w:t>
      </w:r>
      <w:r>
        <w:rPr>
          <w:spacing w:val="1"/>
          <w:vertAlign w:val="baseline"/>
        </w:rPr>
        <w:t> </w:t>
      </w:r>
      <w:r>
        <w:rPr>
          <w:vertAlign w:val="baseline"/>
        </w:rPr>
        <w:t>process,</w:t>
      </w:r>
      <w:r>
        <w:rPr>
          <w:spacing w:val="-57"/>
          <w:vertAlign w:val="baseline"/>
        </w:rPr>
        <w:t> </w:t>
      </w:r>
      <w:r>
        <w:rPr>
          <w:vertAlign w:val="baseline"/>
        </w:rPr>
        <w:t>according</w:t>
      </w:r>
      <w:r>
        <w:rPr>
          <w:spacing w:val="-4"/>
          <w:vertAlign w:val="baseline"/>
        </w:rPr>
        <w:t> </w:t>
      </w:r>
      <w:r>
        <w:rPr>
          <w:vertAlign w:val="baseline"/>
        </w:rPr>
        <w:t>to Schwabe </w:t>
      </w:r>
      <w:r>
        <w:rPr>
          <w:i/>
          <w:vertAlign w:val="baseline"/>
        </w:rPr>
        <w:t>et</w:t>
      </w:r>
      <w:r>
        <w:rPr>
          <w:i/>
          <w:spacing w:val="2"/>
          <w:vertAlign w:val="baseline"/>
        </w:rPr>
        <w:t> </w:t>
      </w:r>
      <w:r>
        <w:rPr>
          <w:i/>
          <w:vertAlign w:val="baseline"/>
        </w:rPr>
        <w:t>al</w:t>
      </w:r>
      <w:r>
        <w:rPr>
          <w:vertAlign w:val="baseline"/>
        </w:rPr>
        <w:t>., 2006</w:t>
      </w:r>
      <w:r>
        <w:rPr>
          <w:spacing w:val="-1"/>
          <w:vertAlign w:val="baseline"/>
        </w:rPr>
        <w:t> </w:t>
      </w:r>
      <w:r>
        <w:rPr>
          <w:vertAlign w:val="baseline"/>
        </w:rPr>
        <w:t>occurs through</w:t>
      </w:r>
      <w:r>
        <w:rPr>
          <w:spacing w:val="2"/>
          <w:vertAlign w:val="baseline"/>
        </w:rPr>
        <w:t> </w:t>
      </w:r>
      <w:r>
        <w:rPr>
          <w:vertAlign w:val="baseline"/>
        </w:rPr>
        <w:t>the following</w:t>
      </w:r>
      <w:r>
        <w:rPr>
          <w:spacing w:val="-3"/>
          <w:vertAlign w:val="baseline"/>
        </w:rPr>
        <w:t> </w:t>
      </w:r>
      <w:r>
        <w:rPr>
          <w:vertAlign w:val="baseline"/>
        </w:rPr>
        <w:t>mechanisms:</w:t>
      </w:r>
    </w:p>
    <w:p>
      <w:pPr>
        <w:pStyle w:val="ListParagraph"/>
        <w:numPr>
          <w:ilvl w:val="1"/>
          <w:numId w:val="23"/>
        </w:numPr>
        <w:tabs>
          <w:tab w:pos="1368" w:val="left" w:leader="none"/>
          <w:tab w:pos="1369" w:val="left" w:leader="none"/>
        </w:tabs>
        <w:spacing w:line="480" w:lineRule="auto" w:before="0" w:after="0"/>
        <w:ind w:left="1368" w:right="676" w:hanging="720"/>
        <w:jc w:val="left"/>
        <w:rPr>
          <w:sz w:val="24"/>
        </w:rPr>
      </w:pPr>
      <w:r>
        <w:rPr>
          <w:sz w:val="24"/>
        </w:rPr>
        <w:t>Plasma</w:t>
      </w:r>
      <w:r>
        <w:rPr>
          <w:spacing w:val="49"/>
          <w:sz w:val="24"/>
        </w:rPr>
        <w:t> </w:t>
      </w:r>
      <w:r>
        <w:rPr>
          <w:sz w:val="24"/>
        </w:rPr>
        <w:t>membrane</w:t>
      </w:r>
      <w:r>
        <w:rPr>
          <w:spacing w:val="50"/>
          <w:sz w:val="24"/>
        </w:rPr>
        <w:t> </w:t>
      </w:r>
      <w:r>
        <w:rPr>
          <w:sz w:val="24"/>
        </w:rPr>
        <w:t>alteration</w:t>
      </w:r>
      <w:r>
        <w:rPr>
          <w:spacing w:val="51"/>
          <w:sz w:val="24"/>
        </w:rPr>
        <w:t> </w:t>
      </w:r>
      <w:r>
        <w:rPr>
          <w:sz w:val="24"/>
        </w:rPr>
        <w:t>and</w:t>
      </w:r>
      <w:r>
        <w:rPr>
          <w:spacing w:val="51"/>
          <w:sz w:val="24"/>
        </w:rPr>
        <w:t> </w:t>
      </w:r>
      <w:r>
        <w:rPr>
          <w:sz w:val="24"/>
        </w:rPr>
        <w:t>disruption</w:t>
      </w:r>
      <w:r>
        <w:rPr>
          <w:spacing w:val="51"/>
          <w:sz w:val="24"/>
        </w:rPr>
        <w:t> </w:t>
      </w:r>
      <w:r>
        <w:rPr>
          <w:sz w:val="24"/>
        </w:rPr>
        <w:t>of</w:t>
      </w:r>
      <w:r>
        <w:rPr>
          <w:spacing w:val="48"/>
          <w:sz w:val="24"/>
        </w:rPr>
        <w:t> </w:t>
      </w:r>
      <w:r>
        <w:rPr>
          <w:sz w:val="24"/>
        </w:rPr>
        <w:t>the</w:t>
      </w:r>
      <w:r>
        <w:rPr>
          <w:spacing w:val="51"/>
          <w:sz w:val="24"/>
        </w:rPr>
        <w:t> </w:t>
      </w:r>
      <w:r>
        <w:rPr>
          <w:sz w:val="24"/>
        </w:rPr>
        <w:t>cytoskeleton</w:t>
      </w:r>
      <w:r>
        <w:rPr>
          <w:spacing w:val="57"/>
          <w:sz w:val="24"/>
        </w:rPr>
        <w:t> </w:t>
      </w:r>
      <w:r>
        <w:rPr>
          <w:sz w:val="24"/>
        </w:rPr>
        <w:t>(e.g.</w:t>
      </w:r>
      <w:r>
        <w:rPr>
          <w:spacing w:val="51"/>
          <w:sz w:val="24"/>
        </w:rPr>
        <w:t> </w:t>
      </w:r>
      <w:r>
        <w:rPr>
          <w:sz w:val="24"/>
        </w:rPr>
        <w:t>loss</w:t>
      </w:r>
      <w:r>
        <w:rPr>
          <w:spacing w:val="52"/>
          <w:sz w:val="24"/>
        </w:rPr>
        <w:t> </w:t>
      </w:r>
      <w:r>
        <w:rPr>
          <w:sz w:val="24"/>
        </w:rPr>
        <w:t>of</w:t>
      </w:r>
      <w:r>
        <w:rPr>
          <w:spacing w:val="50"/>
          <w:sz w:val="24"/>
        </w:rPr>
        <w:t> </w:t>
      </w:r>
      <w:r>
        <w:rPr>
          <w:sz w:val="24"/>
        </w:rPr>
        <w:t>ionic</w:t>
      </w:r>
      <w:r>
        <w:rPr>
          <w:spacing w:val="-57"/>
          <w:sz w:val="24"/>
        </w:rPr>
        <w:t> </w:t>
      </w:r>
      <w:r>
        <w:rPr>
          <w:sz w:val="24"/>
        </w:rPr>
        <w:t>gradients);</w:t>
      </w:r>
    </w:p>
    <w:p>
      <w:pPr>
        <w:pStyle w:val="ListParagraph"/>
        <w:numPr>
          <w:ilvl w:val="1"/>
          <w:numId w:val="23"/>
        </w:numPr>
        <w:tabs>
          <w:tab w:pos="1368" w:val="left" w:leader="none"/>
          <w:tab w:pos="1369" w:val="left" w:leader="none"/>
        </w:tabs>
        <w:spacing w:line="480" w:lineRule="auto" w:before="1" w:after="0"/>
        <w:ind w:left="1368" w:right="684" w:hanging="720"/>
        <w:jc w:val="left"/>
        <w:rPr>
          <w:sz w:val="24"/>
        </w:rPr>
      </w:pPr>
      <w:r>
        <w:rPr>
          <w:sz w:val="24"/>
        </w:rPr>
        <w:t>Mitochondrial</w:t>
      </w:r>
      <w:r>
        <w:rPr>
          <w:spacing w:val="56"/>
          <w:sz w:val="24"/>
        </w:rPr>
        <w:t> </w:t>
      </w:r>
      <w:r>
        <w:rPr>
          <w:sz w:val="24"/>
        </w:rPr>
        <w:t>dysfunction</w:t>
      </w:r>
      <w:r>
        <w:rPr>
          <w:spacing w:val="56"/>
          <w:sz w:val="24"/>
        </w:rPr>
        <w:t> </w:t>
      </w:r>
      <w:r>
        <w:rPr>
          <w:sz w:val="24"/>
        </w:rPr>
        <w:t>(e.g.</w:t>
      </w:r>
      <w:r>
        <w:rPr>
          <w:spacing w:val="56"/>
          <w:sz w:val="24"/>
        </w:rPr>
        <w:t> </w:t>
      </w:r>
      <w:r>
        <w:rPr>
          <w:sz w:val="24"/>
        </w:rPr>
        <w:t>decline</w:t>
      </w:r>
      <w:r>
        <w:rPr>
          <w:spacing w:val="55"/>
          <w:sz w:val="24"/>
        </w:rPr>
        <w:t> </w:t>
      </w:r>
      <w:r>
        <w:rPr>
          <w:sz w:val="24"/>
        </w:rPr>
        <w:t>in</w:t>
      </w:r>
      <w:r>
        <w:rPr>
          <w:spacing w:val="56"/>
          <w:sz w:val="24"/>
        </w:rPr>
        <w:t> </w:t>
      </w:r>
      <w:r>
        <w:rPr>
          <w:sz w:val="24"/>
        </w:rPr>
        <w:t>Adenosine</w:t>
      </w:r>
      <w:r>
        <w:rPr>
          <w:spacing w:val="55"/>
          <w:sz w:val="24"/>
        </w:rPr>
        <w:t> </w:t>
      </w:r>
      <w:r>
        <w:rPr>
          <w:sz w:val="24"/>
        </w:rPr>
        <w:t>triphosphate</w:t>
      </w:r>
      <w:r>
        <w:rPr>
          <w:spacing w:val="57"/>
          <w:sz w:val="24"/>
        </w:rPr>
        <w:t> </w:t>
      </w:r>
      <w:r>
        <w:rPr>
          <w:sz w:val="24"/>
        </w:rPr>
        <w:t>levels</w:t>
      </w:r>
      <w:r>
        <w:rPr>
          <w:spacing w:val="57"/>
          <w:sz w:val="24"/>
        </w:rPr>
        <w:t> </w:t>
      </w:r>
      <w:r>
        <w:rPr>
          <w:sz w:val="24"/>
        </w:rPr>
        <w:t>and</w:t>
      </w:r>
      <w:r>
        <w:rPr>
          <w:spacing w:val="-57"/>
          <w:sz w:val="24"/>
        </w:rPr>
        <w:t> </w:t>
      </w:r>
      <w:r>
        <w:rPr>
          <w:sz w:val="24"/>
        </w:rPr>
        <w:t>disrupting</w:t>
      </w:r>
      <w:r>
        <w:rPr>
          <w:spacing w:val="-3"/>
          <w:sz w:val="24"/>
        </w:rPr>
        <w:t> </w:t>
      </w:r>
      <w:r>
        <w:rPr>
          <w:sz w:val="24"/>
        </w:rPr>
        <w:t>fatty</w:t>
      </w:r>
      <w:r>
        <w:rPr>
          <w:spacing w:val="-5"/>
          <w:sz w:val="24"/>
        </w:rPr>
        <w:t> </w:t>
      </w:r>
      <w:r>
        <w:rPr>
          <w:sz w:val="24"/>
        </w:rPr>
        <w:t>acid oxidation)</w:t>
      </w:r>
    </w:p>
    <w:p>
      <w:pPr>
        <w:pStyle w:val="ListParagraph"/>
        <w:numPr>
          <w:ilvl w:val="1"/>
          <w:numId w:val="23"/>
        </w:numPr>
        <w:tabs>
          <w:tab w:pos="1368" w:val="left" w:leader="none"/>
          <w:tab w:pos="1369" w:val="left" w:leader="none"/>
        </w:tabs>
        <w:spacing w:line="240" w:lineRule="auto" w:before="0" w:after="0"/>
        <w:ind w:left="1368" w:right="0" w:hanging="721"/>
        <w:jc w:val="left"/>
        <w:rPr>
          <w:sz w:val="24"/>
        </w:rPr>
      </w:pPr>
      <w:r>
        <w:rPr>
          <w:sz w:val="24"/>
        </w:rPr>
        <w:t>Loss</w:t>
      </w:r>
      <w:r>
        <w:rPr>
          <w:spacing w:val="-1"/>
          <w:sz w:val="24"/>
        </w:rPr>
        <w:t> </w:t>
      </w:r>
      <w:r>
        <w:rPr>
          <w:sz w:val="24"/>
        </w:rPr>
        <w:t>of intracellular</w:t>
      </w:r>
      <w:r>
        <w:rPr>
          <w:spacing w:val="-2"/>
          <w:sz w:val="24"/>
        </w:rPr>
        <w:t> </w:t>
      </w:r>
      <w:r>
        <w:rPr>
          <w:sz w:val="24"/>
        </w:rPr>
        <w:t>homeostatsis; and fatty</w:t>
      </w:r>
      <w:r>
        <w:rPr>
          <w:spacing w:val="-3"/>
          <w:sz w:val="24"/>
        </w:rPr>
        <w:t> </w:t>
      </w:r>
      <w:r>
        <w:rPr>
          <w:sz w:val="24"/>
        </w:rPr>
        <w:t>acid oxidation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1"/>
          <w:numId w:val="23"/>
        </w:numPr>
        <w:tabs>
          <w:tab w:pos="1368" w:val="left" w:leader="none"/>
          <w:tab w:pos="1369" w:val="left" w:leader="none"/>
        </w:tabs>
        <w:spacing w:line="240" w:lineRule="auto" w:before="0" w:after="0"/>
        <w:ind w:left="1368" w:right="0" w:hanging="721"/>
        <w:jc w:val="left"/>
        <w:rPr>
          <w:sz w:val="24"/>
        </w:rPr>
      </w:pPr>
      <w:r>
        <w:rPr>
          <w:sz w:val="24"/>
        </w:rPr>
        <w:t>Activation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degradative enzymes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header="0" w:footer="792" w:top="1360" w:bottom="980" w:left="108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2"/>
        </w:rPr>
      </w:pPr>
    </w:p>
    <w:p>
      <w:pPr>
        <w:pStyle w:val="BodyText"/>
        <w:spacing w:line="480" w:lineRule="auto" w:before="90"/>
        <w:ind w:left="648" w:right="676"/>
        <w:jc w:val="both"/>
      </w:pPr>
      <w:r>
        <w:rPr/>
        <w:t>A second means of drug metabolism is by phase II (detoxification) conjugation reactions.</w:t>
      </w:r>
      <w:r>
        <w:rPr>
          <w:spacing w:val="1"/>
        </w:rPr>
        <w:t> </w:t>
      </w:r>
      <w:r>
        <w:rPr/>
        <w:t>Phase II reactions occur through binding of drug metabolites to glutathione, glucoronate, or</w:t>
      </w:r>
      <w:r>
        <w:rPr>
          <w:spacing w:val="1"/>
        </w:rPr>
        <w:t> </w:t>
      </w:r>
      <w:r>
        <w:rPr/>
        <w:t>sulfate, which leads to the formation of non-toxic readily excretable hydrophilic products</w:t>
      </w:r>
      <w:r>
        <w:rPr>
          <w:spacing w:val="1"/>
        </w:rPr>
        <w:t> </w:t>
      </w:r>
      <w:r>
        <w:rPr/>
        <w:t>(Schwabe and Brenner</w:t>
      </w:r>
      <w:r>
        <w:rPr>
          <w:i/>
        </w:rPr>
        <w:t>, </w:t>
      </w:r>
      <w:r>
        <w:rPr/>
        <w:t>2006). Subsequently, these compounds are excreted from the body in</w:t>
      </w:r>
      <w:r>
        <w:rPr>
          <w:spacing w:val="1"/>
        </w:rPr>
        <w:t> </w:t>
      </w:r>
      <w:r>
        <w:rPr/>
        <w:t>bile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urine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excretory</w:t>
      </w:r>
      <w:r>
        <w:rPr>
          <w:spacing w:val="1"/>
        </w:rPr>
        <w:t> </w:t>
      </w:r>
      <w:r>
        <w:rPr/>
        <w:t>transporters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hepatocyte</w:t>
      </w:r>
      <w:r>
        <w:rPr>
          <w:spacing w:val="1"/>
        </w:rPr>
        <w:t> </w:t>
      </w:r>
      <w:r>
        <w:rPr/>
        <w:t>canalicular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sinusoidal</w:t>
      </w:r>
      <w:r>
        <w:rPr>
          <w:spacing w:val="-57"/>
        </w:rPr>
        <w:t> </w:t>
      </w:r>
      <w:r>
        <w:rPr/>
        <w:t>membrane (phase III elimination). However, inadequate detoxification due to reduced binding</w:t>
      </w:r>
      <w:r>
        <w:rPr>
          <w:spacing w:val="-57"/>
        </w:rPr>
        <w:t> </w:t>
      </w:r>
      <w:r>
        <w:rPr/>
        <w:t>substance</w:t>
      </w:r>
      <w:r>
        <w:rPr>
          <w:spacing w:val="1"/>
        </w:rPr>
        <w:t> </w:t>
      </w:r>
      <w:r>
        <w:rPr/>
        <w:t>concentrations</w:t>
      </w:r>
      <w:r>
        <w:rPr>
          <w:spacing w:val="1"/>
        </w:rPr>
        <w:t> </w:t>
      </w:r>
      <w:r>
        <w:rPr/>
        <w:t>(e.g.</w:t>
      </w:r>
      <w:r>
        <w:rPr>
          <w:spacing w:val="1"/>
        </w:rPr>
        <w:t> </w:t>
      </w:r>
      <w:r>
        <w:rPr/>
        <w:t>inadequate</w:t>
      </w:r>
      <w:r>
        <w:rPr>
          <w:spacing w:val="1"/>
        </w:rPr>
        <w:t> </w:t>
      </w:r>
      <w:r>
        <w:rPr/>
        <w:t>glutathione</w:t>
      </w:r>
      <w:r>
        <w:rPr>
          <w:spacing w:val="1"/>
        </w:rPr>
        <w:t> </w:t>
      </w:r>
      <w:r>
        <w:rPr/>
        <w:t>stores)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lead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greater</w:t>
      </w:r>
      <w:r>
        <w:rPr>
          <w:spacing w:val="1"/>
        </w:rPr>
        <w:t> </w:t>
      </w:r>
      <w:r>
        <w:rPr/>
        <w:t>concentration of a reactive metabolite). An example of a phase II induced liver injury may</w:t>
      </w:r>
      <w:r>
        <w:rPr>
          <w:spacing w:val="1"/>
        </w:rPr>
        <w:t> </w:t>
      </w:r>
      <w:r>
        <w:rPr/>
        <w:t>arise</w:t>
      </w:r>
      <w:r>
        <w:rPr>
          <w:spacing w:val="14"/>
        </w:rPr>
        <w:t> </w:t>
      </w:r>
      <w:r>
        <w:rPr/>
        <w:t>from</w:t>
      </w:r>
      <w:r>
        <w:rPr>
          <w:spacing w:val="14"/>
        </w:rPr>
        <w:t> </w:t>
      </w:r>
      <w:r>
        <w:rPr/>
        <w:t>the</w:t>
      </w:r>
      <w:r>
        <w:rPr>
          <w:spacing w:val="14"/>
        </w:rPr>
        <w:t> </w:t>
      </w:r>
      <w:r>
        <w:rPr/>
        <w:t>inability</w:t>
      </w:r>
      <w:r>
        <w:rPr>
          <w:spacing w:val="10"/>
        </w:rPr>
        <w:t> </w:t>
      </w:r>
      <w:r>
        <w:rPr/>
        <w:t>to</w:t>
      </w:r>
      <w:r>
        <w:rPr>
          <w:spacing w:val="15"/>
        </w:rPr>
        <w:t> </w:t>
      </w:r>
      <w:r>
        <w:rPr/>
        <w:t>detoxify</w:t>
      </w:r>
      <w:r>
        <w:rPr>
          <w:spacing w:val="10"/>
        </w:rPr>
        <w:t> </w:t>
      </w:r>
      <w:r>
        <w:rPr/>
        <w:t>the</w:t>
      </w:r>
      <w:r>
        <w:rPr>
          <w:spacing w:val="16"/>
        </w:rPr>
        <w:t> </w:t>
      </w:r>
      <w:r>
        <w:rPr/>
        <w:t>antiepileptic</w:t>
      </w:r>
      <w:r>
        <w:rPr>
          <w:spacing w:val="14"/>
        </w:rPr>
        <w:t> </w:t>
      </w:r>
      <w:r>
        <w:rPr/>
        <w:t>agent,</w:t>
      </w:r>
      <w:r>
        <w:rPr>
          <w:spacing w:val="15"/>
        </w:rPr>
        <w:t> </w:t>
      </w:r>
      <w:r>
        <w:rPr/>
        <w:t>phenytoin</w:t>
      </w:r>
      <w:r>
        <w:rPr>
          <w:spacing w:val="15"/>
        </w:rPr>
        <w:t> </w:t>
      </w:r>
      <w:r>
        <w:rPr/>
        <w:t>metabolites</w:t>
      </w:r>
    </w:p>
    <w:p>
      <w:pPr>
        <w:pStyle w:val="BodyText"/>
        <w:spacing w:line="480" w:lineRule="auto" w:before="1"/>
        <w:ind w:left="648" w:right="675"/>
        <w:jc w:val="both"/>
      </w:pPr>
      <w:r>
        <w:rPr/>
        <w:t>.Also,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combination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phase</w:t>
      </w:r>
      <w:r>
        <w:rPr>
          <w:spacing w:val="1"/>
        </w:rPr>
        <w:t> </w:t>
      </w:r>
      <w:r>
        <w:rPr/>
        <w:t>I</w:t>
      </w:r>
      <w:r>
        <w:rPr>
          <w:spacing w:val="60"/>
        </w:rPr>
        <w:t> </w:t>
      </w:r>
      <w:r>
        <w:rPr/>
        <w:t>and</w:t>
      </w:r>
      <w:r>
        <w:rPr>
          <w:spacing w:val="60"/>
        </w:rPr>
        <w:t> </w:t>
      </w:r>
      <w:r>
        <w:rPr/>
        <w:t>phase</w:t>
      </w:r>
      <w:r>
        <w:rPr>
          <w:spacing w:val="60"/>
        </w:rPr>
        <w:t> </w:t>
      </w:r>
      <w:r>
        <w:rPr/>
        <w:t>II-induced</w:t>
      </w:r>
      <w:r>
        <w:rPr>
          <w:spacing w:val="60"/>
        </w:rPr>
        <w:t> </w:t>
      </w:r>
      <w:r>
        <w:rPr/>
        <w:t>liver</w:t>
      </w:r>
      <w:r>
        <w:rPr>
          <w:spacing w:val="60"/>
        </w:rPr>
        <w:t> </w:t>
      </w:r>
      <w:r>
        <w:rPr/>
        <w:t>injury</w:t>
      </w:r>
      <w:r>
        <w:rPr>
          <w:spacing w:val="60"/>
        </w:rPr>
        <w:t> </w:t>
      </w:r>
      <w:r>
        <w:rPr/>
        <w:t>may</w:t>
      </w:r>
      <w:r>
        <w:rPr>
          <w:spacing w:val="60"/>
        </w:rPr>
        <w:t> </w:t>
      </w:r>
      <w:r>
        <w:rPr/>
        <w:t>occur</w:t>
      </w:r>
      <w:r>
        <w:rPr>
          <w:spacing w:val="60"/>
        </w:rPr>
        <w:t> </w:t>
      </w:r>
      <w:r>
        <w:rPr/>
        <w:t>in</w:t>
      </w:r>
      <w:r>
        <w:rPr>
          <w:spacing w:val="1"/>
        </w:rPr>
        <w:t> </w:t>
      </w:r>
      <w:r>
        <w:rPr/>
        <w:t>situations resulting in both formation of toxic metabolites and inadequate detoxification e.g.</w:t>
      </w:r>
      <w:r>
        <w:rPr>
          <w:spacing w:val="1"/>
        </w:rPr>
        <w:t> </w:t>
      </w:r>
      <w:r>
        <w:rPr/>
        <w:t>Acetaminophen</w:t>
      </w:r>
      <w:r>
        <w:rPr>
          <w:spacing w:val="-2"/>
        </w:rPr>
        <w:t> </w:t>
      </w:r>
      <w:r>
        <w:rPr/>
        <w:t>(Holt, 2008).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480" w:lineRule="auto"/>
        <w:ind w:left="648" w:right="674"/>
        <w:jc w:val="both"/>
      </w:pPr>
      <w:r>
        <w:rPr/>
        <w:t>Overall, the pathogenesis of hepatotoxic drug reactions is likely a result of “multi-hit” process</w:t>
      </w:r>
      <w:r>
        <w:rPr>
          <w:spacing w:val="-57"/>
        </w:rPr>
        <w:t> </w:t>
      </w:r>
      <w:r>
        <w:rPr/>
        <w:t>(Lee, 2003)</w:t>
      </w:r>
      <w:r>
        <w:rPr>
          <w:spacing w:val="1"/>
        </w:rPr>
        <w:t> </w:t>
      </w:r>
      <w:r>
        <w:rPr/>
        <w:t>and several</w:t>
      </w:r>
      <w:r>
        <w:rPr>
          <w:spacing w:val="1"/>
        </w:rPr>
        <w:t> </w:t>
      </w:r>
      <w:r>
        <w:rPr/>
        <w:t>genetic P</w:t>
      </w:r>
      <w:r>
        <w:rPr>
          <w:vertAlign w:val="subscript"/>
        </w:rPr>
        <w:t>450</w:t>
      </w:r>
      <w:r>
        <w:rPr>
          <w:spacing w:val="1"/>
          <w:vertAlign w:val="baseline"/>
        </w:rPr>
        <w:t> </w:t>
      </w:r>
      <w:r>
        <w:rPr>
          <w:vertAlign w:val="baseline"/>
        </w:rPr>
        <w:t>isoenzyme</w:t>
      </w:r>
      <w:r>
        <w:rPr>
          <w:spacing w:val="1"/>
          <w:vertAlign w:val="baseline"/>
        </w:rPr>
        <w:t> </w:t>
      </w:r>
      <w:r>
        <w:rPr>
          <w:vertAlign w:val="baseline"/>
        </w:rPr>
        <w:t>variants</w:t>
      </w:r>
      <w:r>
        <w:rPr>
          <w:spacing w:val="1"/>
          <w:vertAlign w:val="baseline"/>
        </w:rPr>
        <w:t> </w:t>
      </w:r>
      <w:r>
        <w:rPr>
          <w:vertAlign w:val="baseline"/>
        </w:rPr>
        <w:t>that result</w:t>
      </w:r>
      <w:r>
        <w:rPr>
          <w:spacing w:val="1"/>
          <w:vertAlign w:val="baseline"/>
        </w:rPr>
        <w:t> </w:t>
      </w:r>
      <w:r>
        <w:rPr>
          <w:vertAlign w:val="baseline"/>
        </w:rPr>
        <w:t>in toxic metabolites,</w:t>
      </w:r>
      <w:r>
        <w:rPr>
          <w:spacing w:val="1"/>
          <w:vertAlign w:val="baseline"/>
        </w:rPr>
        <w:t> </w:t>
      </w:r>
      <w:r>
        <w:rPr>
          <w:vertAlign w:val="baseline"/>
        </w:rPr>
        <w:t>inadequate detoxification pathways and individual genetic predisposition may all contribute to</w:t>
      </w:r>
      <w:r>
        <w:rPr>
          <w:spacing w:val="-57"/>
          <w:vertAlign w:val="baseline"/>
        </w:rPr>
        <w:t> </w:t>
      </w:r>
      <w:r>
        <w:rPr>
          <w:vertAlign w:val="baseline"/>
        </w:rPr>
        <w:t>drug induced</w:t>
      </w:r>
      <w:r>
        <w:rPr>
          <w:spacing w:val="1"/>
          <w:vertAlign w:val="baseline"/>
        </w:rPr>
        <w:t> </w:t>
      </w:r>
      <w:r>
        <w:rPr>
          <w:vertAlign w:val="baseline"/>
        </w:rPr>
        <w:t>liver injury.</w:t>
      </w:r>
      <w:r>
        <w:rPr>
          <w:spacing w:val="1"/>
          <w:vertAlign w:val="baseline"/>
        </w:rPr>
        <w:t> </w:t>
      </w:r>
      <w:r>
        <w:rPr>
          <w:vertAlign w:val="baseline"/>
        </w:rPr>
        <w:t>Histopathologically,</w:t>
      </w:r>
      <w:r>
        <w:rPr>
          <w:spacing w:val="1"/>
          <w:vertAlign w:val="baseline"/>
        </w:rPr>
        <w:t> </w:t>
      </w:r>
      <w:r>
        <w:rPr>
          <w:vertAlign w:val="baseline"/>
        </w:rPr>
        <w:t>there</w:t>
      </w:r>
      <w:r>
        <w:rPr>
          <w:spacing w:val="1"/>
          <w:vertAlign w:val="baseline"/>
        </w:rPr>
        <w:t> </w:t>
      </w:r>
      <w:r>
        <w:rPr>
          <w:vertAlign w:val="baseline"/>
        </w:rPr>
        <w:t>are no</w:t>
      </w:r>
      <w:r>
        <w:rPr>
          <w:spacing w:val="1"/>
          <w:vertAlign w:val="baseline"/>
        </w:rPr>
        <w:t> </w:t>
      </w:r>
      <w:r>
        <w:rPr>
          <w:vertAlign w:val="baseline"/>
        </w:rPr>
        <w:t>absolute definitive features</w:t>
      </w:r>
      <w:r>
        <w:rPr>
          <w:spacing w:val="60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drug induced liver injury (Holt, 2008). However, certain patterns suggest a drug etiology;</w:t>
      </w:r>
      <w:r>
        <w:rPr>
          <w:spacing w:val="1"/>
          <w:vertAlign w:val="baseline"/>
        </w:rPr>
        <w:t> </w:t>
      </w:r>
      <w:r>
        <w:rPr>
          <w:vertAlign w:val="baseline"/>
        </w:rPr>
        <w:t>these include (a) zonal necrosis or fatty changes that are associated with mitochondrial injury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29"/>
          <w:vertAlign w:val="baseline"/>
        </w:rPr>
        <w:t> </w:t>
      </w:r>
      <w:r>
        <w:rPr>
          <w:vertAlign w:val="baseline"/>
        </w:rPr>
        <w:t>(b)</w:t>
      </w:r>
      <w:r>
        <w:rPr>
          <w:spacing w:val="29"/>
          <w:vertAlign w:val="baseline"/>
        </w:rPr>
        <w:t> </w:t>
      </w:r>
      <w:r>
        <w:rPr>
          <w:vertAlign w:val="baseline"/>
        </w:rPr>
        <w:t>mixed</w:t>
      </w:r>
      <w:r>
        <w:rPr>
          <w:spacing w:val="29"/>
          <w:vertAlign w:val="baseline"/>
        </w:rPr>
        <w:t> </w:t>
      </w:r>
      <w:r>
        <w:rPr>
          <w:vertAlign w:val="baseline"/>
        </w:rPr>
        <w:t>histologic</w:t>
      </w:r>
      <w:r>
        <w:rPr>
          <w:spacing w:val="29"/>
          <w:vertAlign w:val="baseline"/>
        </w:rPr>
        <w:t> </w:t>
      </w:r>
      <w:r>
        <w:rPr>
          <w:vertAlign w:val="baseline"/>
        </w:rPr>
        <w:t>manifestations</w:t>
      </w:r>
      <w:r>
        <w:rPr>
          <w:spacing w:val="30"/>
          <w:vertAlign w:val="baseline"/>
        </w:rPr>
        <w:t> </w:t>
      </w:r>
      <w:r>
        <w:rPr>
          <w:vertAlign w:val="baseline"/>
        </w:rPr>
        <w:t>of</w:t>
      </w:r>
      <w:r>
        <w:rPr>
          <w:spacing w:val="29"/>
          <w:vertAlign w:val="baseline"/>
        </w:rPr>
        <w:t> </w:t>
      </w:r>
      <w:r>
        <w:rPr>
          <w:vertAlign w:val="baseline"/>
        </w:rPr>
        <w:t>necrosis</w:t>
      </w:r>
      <w:r>
        <w:rPr>
          <w:spacing w:val="30"/>
          <w:vertAlign w:val="baseline"/>
        </w:rPr>
        <w:t> </w:t>
      </w:r>
      <w:r>
        <w:rPr>
          <w:vertAlign w:val="baseline"/>
        </w:rPr>
        <w:t>and</w:t>
      </w:r>
      <w:r>
        <w:rPr>
          <w:spacing w:val="29"/>
          <w:vertAlign w:val="baseline"/>
        </w:rPr>
        <w:t> </w:t>
      </w:r>
      <w:r>
        <w:rPr>
          <w:vertAlign w:val="baseline"/>
        </w:rPr>
        <w:t>cholestasis.</w:t>
      </w:r>
      <w:r>
        <w:rPr>
          <w:spacing w:val="30"/>
          <w:vertAlign w:val="baseline"/>
        </w:rPr>
        <w:t> </w:t>
      </w:r>
      <w:r>
        <w:rPr>
          <w:vertAlign w:val="baseline"/>
        </w:rPr>
        <w:t>The</w:t>
      </w:r>
      <w:r>
        <w:rPr>
          <w:spacing w:val="29"/>
          <w:vertAlign w:val="baseline"/>
        </w:rPr>
        <w:t> </w:t>
      </w:r>
      <w:r>
        <w:rPr>
          <w:vertAlign w:val="baseline"/>
        </w:rPr>
        <w:t>presence</w:t>
      </w:r>
      <w:r>
        <w:rPr>
          <w:spacing w:val="29"/>
          <w:vertAlign w:val="baseline"/>
        </w:rPr>
        <w:t> </w:t>
      </w:r>
      <w:r>
        <w:rPr>
          <w:vertAlign w:val="baseline"/>
        </w:rPr>
        <w:t>of</w:t>
      </w:r>
    </w:p>
    <w:p>
      <w:pPr>
        <w:spacing w:after="0" w:line="480" w:lineRule="auto"/>
        <w:jc w:val="both"/>
        <w:sectPr>
          <w:pgSz w:w="12240" w:h="15840"/>
          <w:pgMar w:header="0" w:footer="792" w:top="1500" w:bottom="980" w:left="1080" w:right="760"/>
        </w:sectPr>
      </w:pPr>
    </w:p>
    <w:p>
      <w:pPr>
        <w:pStyle w:val="BodyText"/>
        <w:spacing w:line="480" w:lineRule="auto" w:before="72"/>
        <w:ind w:left="648" w:right="682"/>
        <w:jc w:val="both"/>
      </w:pPr>
      <w:r>
        <w:rPr/>
        <w:t>neutrophils</w:t>
      </w:r>
      <w:r>
        <w:rPr>
          <w:spacing w:val="1"/>
        </w:rPr>
        <w:t> </w:t>
      </w:r>
      <w:r>
        <w:rPr/>
        <w:t>and/or</w:t>
      </w:r>
      <w:r>
        <w:rPr>
          <w:spacing w:val="1"/>
        </w:rPr>
        <w:t> </w:t>
      </w:r>
      <w:r>
        <w:rPr/>
        <w:t>eisinophils</w:t>
      </w:r>
      <w:r>
        <w:rPr>
          <w:spacing w:val="1"/>
        </w:rPr>
        <w:t> </w:t>
      </w:r>
      <w:r>
        <w:rPr/>
        <w:t>within</w:t>
      </w:r>
      <w:r>
        <w:rPr>
          <w:spacing w:val="1"/>
        </w:rPr>
        <w:t> </w:t>
      </w:r>
      <w:r>
        <w:rPr/>
        <w:t>destructive</w:t>
      </w:r>
      <w:r>
        <w:rPr>
          <w:spacing w:val="1"/>
        </w:rPr>
        <w:t> </w:t>
      </w:r>
      <w:r>
        <w:rPr/>
        <w:t>bile</w:t>
      </w:r>
      <w:r>
        <w:rPr>
          <w:spacing w:val="1"/>
        </w:rPr>
        <w:t> </w:t>
      </w:r>
      <w:r>
        <w:rPr/>
        <w:t>duct</w:t>
      </w:r>
      <w:r>
        <w:rPr>
          <w:spacing w:val="1"/>
        </w:rPr>
        <w:t> </w:t>
      </w:r>
      <w:r>
        <w:rPr/>
        <w:t>lesions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suggestive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drug</w:t>
      </w:r>
      <w:r>
        <w:rPr>
          <w:spacing w:val="1"/>
        </w:rPr>
        <w:t> </w:t>
      </w:r>
      <w:r>
        <w:rPr/>
        <w:t>induced</w:t>
      </w:r>
      <w:r>
        <w:rPr>
          <w:spacing w:val="-1"/>
        </w:rPr>
        <w:t> </w:t>
      </w:r>
      <w:r>
        <w:rPr/>
        <w:t>liver injury</w:t>
      </w:r>
      <w:r>
        <w:rPr>
          <w:spacing w:val="-5"/>
        </w:rPr>
        <w:t> </w:t>
      </w:r>
      <w:r>
        <w:rPr/>
        <w:t>(Lee,</w:t>
      </w:r>
      <w:r>
        <w:rPr>
          <w:spacing w:val="2"/>
        </w:rPr>
        <w:t> </w:t>
      </w:r>
      <w:r>
        <w:rPr/>
        <w:t>2003).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/>
        <w:ind w:left="648" w:right="676" w:firstLine="60"/>
        <w:jc w:val="both"/>
      </w:pPr>
      <w:r>
        <w:rPr>
          <w:b/>
          <w:i/>
        </w:rPr>
        <w:t>Classification of drug-induced liver injury; </w:t>
      </w:r>
      <w:r>
        <w:rPr/>
        <w:t>Drug induced liver injury can be classified into</w:t>
      </w:r>
      <w:r>
        <w:rPr>
          <w:spacing w:val="1"/>
        </w:rPr>
        <w:t> </w:t>
      </w:r>
      <w:r>
        <w:rPr/>
        <w:t>intrinsic hepatotoxicity, which is generally dose dependent, and has a short and consistent</w:t>
      </w:r>
      <w:r>
        <w:rPr>
          <w:spacing w:val="1"/>
        </w:rPr>
        <w:t> </w:t>
      </w:r>
      <w:r>
        <w:rPr/>
        <w:t>latency period between drug exposure and liver injury</w:t>
      </w:r>
      <w:r>
        <w:rPr>
          <w:spacing w:val="1"/>
        </w:rPr>
        <w:t> </w:t>
      </w:r>
      <w:r>
        <w:rPr/>
        <w:t>and idiosyncratic hepatotoxicity which</w:t>
      </w:r>
      <w:r>
        <w:rPr>
          <w:spacing w:val="-57"/>
        </w:rPr>
        <w:t> </w:t>
      </w:r>
      <w:r>
        <w:rPr/>
        <w:t>occur</w:t>
      </w:r>
      <w:r>
        <w:rPr>
          <w:spacing w:val="10"/>
        </w:rPr>
        <w:t> </w:t>
      </w:r>
      <w:r>
        <w:rPr/>
        <w:t>without</w:t>
      </w:r>
      <w:r>
        <w:rPr>
          <w:spacing w:val="12"/>
        </w:rPr>
        <w:t> </w:t>
      </w:r>
      <w:r>
        <w:rPr/>
        <w:t>warning,</w:t>
      </w:r>
      <w:r>
        <w:rPr>
          <w:spacing w:val="14"/>
        </w:rPr>
        <w:t> </w:t>
      </w:r>
      <w:r>
        <w:rPr/>
        <w:t>are</w:t>
      </w:r>
      <w:r>
        <w:rPr>
          <w:spacing w:val="10"/>
        </w:rPr>
        <w:t> </w:t>
      </w:r>
      <w:r>
        <w:rPr/>
        <w:t>unrelated</w:t>
      </w:r>
      <w:r>
        <w:rPr>
          <w:spacing w:val="11"/>
        </w:rPr>
        <w:t> </w:t>
      </w:r>
      <w:r>
        <w:rPr/>
        <w:t>to</w:t>
      </w:r>
      <w:r>
        <w:rPr>
          <w:spacing w:val="12"/>
        </w:rPr>
        <w:t> </w:t>
      </w:r>
      <w:r>
        <w:rPr/>
        <w:t>dose</w:t>
      </w:r>
      <w:r>
        <w:rPr>
          <w:spacing w:val="11"/>
        </w:rPr>
        <w:t> </w:t>
      </w:r>
      <w:r>
        <w:rPr/>
        <w:t>and</w:t>
      </w:r>
      <w:r>
        <w:rPr>
          <w:spacing w:val="14"/>
        </w:rPr>
        <w:t> </w:t>
      </w:r>
      <w:r>
        <w:rPr/>
        <w:t>may</w:t>
      </w:r>
      <w:r>
        <w:rPr>
          <w:spacing w:val="6"/>
        </w:rPr>
        <w:t> </w:t>
      </w:r>
      <w:r>
        <w:rPr/>
        <w:t>have</w:t>
      </w:r>
      <w:r>
        <w:rPr>
          <w:spacing w:val="10"/>
        </w:rPr>
        <w:t> </w:t>
      </w:r>
      <w:r>
        <w:rPr/>
        <w:t>a</w:t>
      </w:r>
      <w:r>
        <w:rPr>
          <w:spacing w:val="10"/>
        </w:rPr>
        <w:t> </w:t>
      </w:r>
      <w:r>
        <w:rPr/>
        <w:t>latency</w:t>
      </w:r>
      <w:r>
        <w:rPr>
          <w:spacing w:val="6"/>
        </w:rPr>
        <w:t> </w:t>
      </w:r>
      <w:r>
        <w:rPr/>
        <w:t>period</w:t>
      </w:r>
      <w:r>
        <w:rPr>
          <w:spacing w:val="11"/>
        </w:rPr>
        <w:t> </w:t>
      </w:r>
      <w:r>
        <w:rPr/>
        <w:t>from</w:t>
      </w:r>
      <w:r>
        <w:rPr>
          <w:spacing w:val="12"/>
        </w:rPr>
        <w:t> </w:t>
      </w:r>
      <w:r>
        <w:rPr/>
        <w:t>a</w:t>
      </w:r>
      <w:r>
        <w:rPr>
          <w:spacing w:val="9"/>
        </w:rPr>
        <w:t> </w:t>
      </w:r>
      <w:r>
        <w:rPr/>
        <w:t>few</w:t>
      </w:r>
      <w:r>
        <w:rPr>
          <w:spacing w:val="11"/>
        </w:rPr>
        <w:t> </w:t>
      </w:r>
      <w:r>
        <w:rPr/>
        <w:t>days</w:t>
      </w:r>
      <w:r>
        <w:rPr>
          <w:spacing w:val="-57"/>
        </w:rPr>
        <w:t> </w:t>
      </w:r>
      <w:r>
        <w:rPr/>
        <w:t>to</w:t>
      </w:r>
      <w:r>
        <w:rPr>
          <w:spacing w:val="-1"/>
        </w:rPr>
        <w:t> </w:t>
      </w:r>
      <w:r>
        <w:rPr/>
        <w:t>12 months (Holt, 2008).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ListParagraph"/>
        <w:numPr>
          <w:ilvl w:val="0"/>
          <w:numId w:val="24"/>
        </w:numPr>
        <w:tabs>
          <w:tab w:pos="836" w:val="left" w:leader="none"/>
        </w:tabs>
        <w:spacing w:line="240" w:lineRule="auto" w:before="0" w:after="0"/>
        <w:ind w:left="835" w:right="0" w:hanging="188"/>
        <w:jc w:val="both"/>
        <w:rPr>
          <w:sz w:val="24"/>
        </w:rPr>
      </w:pPr>
      <w:r>
        <w:rPr>
          <w:b/>
          <w:sz w:val="24"/>
        </w:rPr>
        <w:t>Intrinsic</w:t>
      </w:r>
      <w:r>
        <w:rPr>
          <w:b/>
          <w:spacing w:val="-1"/>
          <w:sz w:val="24"/>
        </w:rPr>
        <w:t> </w:t>
      </w:r>
      <w:r>
        <w:rPr>
          <w:b/>
          <w:i/>
          <w:sz w:val="24"/>
        </w:rPr>
        <w:t>hepatotoxicity;</w:t>
      </w:r>
      <w:r>
        <w:rPr>
          <w:b/>
          <w:i/>
          <w:spacing w:val="-2"/>
          <w:sz w:val="24"/>
        </w:rPr>
        <w:t> </w:t>
      </w:r>
      <w:r>
        <w:rPr>
          <w:sz w:val="24"/>
        </w:rPr>
        <w:t>This can</w:t>
      </w:r>
      <w:r>
        <w:rPr>
          <w:spacing w:val="-1"/>
          <w:sz w:val="24"/>
        </w:rPr>
        <w:t> </w:t>
      </w:r>
      <w:r>
        <w:rPr>
          <w:sz w:val="24"/>
        </w:rPr>
        <w:t>be subdivided into</w:t>
      </w:r>
      <w:r>
        <w:rPr>
          <w:spacing w:val="-1"/>
          <w:sz w:val="24"/>
        </w:rPr>
        <w:t> </w:t>
      </w:r>
      <w:r>
        <w:rPr>
          <w:sz w:val="24"/>
        </w:rPr>
        <w:t>direct and indirect</w:t>
      </w:r>
      <w:r>
        <w:rPr>
          <w:spacing w:val="1"/>
          <w:sz w:val="24"/>
        </w:rPr>
        <w:t> </w:t>
      </w:r>
      <w:r>
        <w:rPr>
          <w:sz w:val="24"/>
        </w:rPr>
        <w:t>toxins (Holt,</w:t>
      </w:r>
      <w:r>
        <w:rPr>
          <w:spacing w:val="-1"/>
          <w:sz w:val="24"/>
        </w:rPr>
        <w:t> </w:t>
      </w:r>
      <w:r>
        <w:rPr>
          <w:sz w:val="24"/>
        </w:rPr>
        <w:t>2008).</w:t>
      </w:r>
    </w:p>
    <w:p>
      <w:pPr>
        <w:pStyle w:val="BodyText"/>
      </w:pPr>
    </w:p>
    <w:p>
      <w:pPr>
        <w:pStyle w:val="BodyText"/>
        <w:spacing w:line="480" w:lineRule="auto"/>
        <w:ind w:left="648" w:right="676"/>
        <w:jc w:val="both"/>
      </w:pPr>
      <w:r>
        <w:rPr/>
        <w:t>Direct</w:t>
      </w:r>
      <w:r>
        <w:rPr>
          <w:spacing w:val="1"/>
        </w:rPr>
        <w:t> </w:t>
      </w:r>
      <w:r>
        <w:rPr/>
        <w:t>intrinsic</w:t>
      </w:r>
      <w:r>
        <w:rPr>
          <w:spacing w:val="1"/>
        </w:rPr>
        <w:t> </w:t>
      </w:r>
      <w:r>
        <w:rPr/>
        <w:t>hepatotoxins</w:t>
      </w:r>
      <w:r>
        <w:rPr>
          <w:spacing w:val="1"/>
        </w:rPr>
        <w:t> </w:t>
      </w:r>
      <w:r>
        <w:rPr/>
        <w:t>(e.g.</w:t>
      </w:r>
      <w:r>
        <w:rPr>
          <w:spacing w:val="1"/>
        </w:rPr>
        <w:t> </w:t>
      </w:r>
      <w:r>
        <w:rPr/>
        <w:t>carbon</w:t>
      </w:r>
      <w:r>
        <w:rPr>
          <w:spacing w:val="1"/>
        </w:rPr>
        <w:t> </w:t>
      </w:r>
      <w:r>
        <w:rPr/>
        <w:t>tetrachloride)</w:t>
      </w:r>
      <w:r>
        <w:rPr>
          <w:spacing w:val="1"/>
        </w:rPr>
        <w:t> </w:t>
      </w:r>
      <w:r>
        <w:rPr/>
        <w:t>destroy</w:t>
      </w:r>
      <w:r>
        <w:rPr>
          <w:spacing w:val="1"/>
        </w:rPr>
        <w:t> </w:t>
      </w:r>
      <w:r>
        <w:rPr/>
        <w:t>hepatocytes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physicochemical attack, mostly through the toxic effects of their metabolites and there are no</w:t>
      </w:r>
      <w:r>
        <w:rPr>
          <w:spacing w:val="1"/>
        </w:rPr>
        <w:t> </w:t>
      </w:r>
      <w:r>
        <w:rPr/>
        <w:t>known direct hepatotoxins that are used as therapeutic agents (Lee, 2003; Andrade </w:t>
      </w:r>
      <w:r>
        <w:rPr>
          <w:i/>
        </w:rPr>
        <w:t>et al</w:t>
      </w:r>
      <w:r>
        <w:rPr/>
        <w:t>.,</w:t>
      </w:r>
      <w:r>
        <w:rPr>
          <w:spacing w:val="1"/>
        </w:rPr>
        <w:t> </w:t>
      </w:r>
      <w:r>
        <w:rPr/>
        <w:t>2006)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indirect</w:t>
      </w:r>
      <w:r>
        <w:rPr>
          <w:spacing w:val="1"/>
        </w:rPr>
        <w:t> </w:t>
      </w:r>
      <w:r>
        <w:rPr/>
        <w:t>hepatotoxins</w:t>
      </w:r>
      <w:r>
        <w:rPr>
          <w:spacing w:val="1"/>
        </w:rPr>
        <w:t> </w:t>
      </w:r>
      <w:r>
        <w:rPr/>
        <w:t>(e.g.</w:t>
      </w:r>
      <w:r>
        <w:rPr>
          <w:spacing w:val="1"/>
        </w:rPr>
        <w:t> </w:t>
      </w:r>
      <w:r>
        <w:rPr/>
        <w:t>antimetabolites)</w:t>
      </w:r>
      <w:r>
        <w:rPr>
          <w:spacing w:val="1"/>
        </w:rPr>
        <w:t> </w:t>
      </w:r>
      <w:r>
        <w:rPr/>
        <w:t>induce</w:t>
      </w:r>
      <w:r>
        <w:rPr>
          <w:spacing w:val="1"/>
        </w:rPr>
        <w:t> </w:t>
      </w:r>
      <w:r>
        <w:rPr/>
        <w:t>structural</w:t>
      </w:r>
      <w:r>
        <w:rPr>
          <w:spacing w:val="1"/>
        </w:rPr>
        <w:t> </w:t>
      </w:r>
      <w:r>
        <w:rPr/>
        <w:t>changes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hepatocytes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competitive</w:t>
      </w:r>
      <w:r>
        <w:rPr>
          <w:spacing w:val="1"/>
        </w:rPr>
        <w:t> </w:t>
      </w:r>
      <w:r>
        <w:rPr/>
        <w:t>inhibition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essential</w:t>
      </w:r>
      <w:r>
        <w:rPr>
          <w:spacing w:val="1"/>
        </w:rPr>
        <w:t> </w:t>
      </w:r>
      <w:r>
        <w:rPr/>
        <w:t>metabolites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interference</w:t>
      </w:r>
      <w:r>
        <w:rPr>
          <w:spacing w:val="60"/>
        </w:rPr>
        <w:t> </w:t>
      </w:r>
      <w:r>
        <w:rPr/>
        <w:t>with</w:t>
      </w:r>
      <w:r>
        <w:rPr>
          <w:spacing w:val="1"/>
        </w:rPr>
        <w:t> </w:t>
      </w:r>
      <w:r>
        <w:rPr/>
        <w:t>selective metabolic or secretory processes of the hepatocytes.These changes can be due to</w:t>
      </w:r>
      <w:r>
        <w:rPr>
          <w:spacing w:val="1"/>
        </w:rPr>
        <w:t> </w:t>
      </w:r>
      <w:r>
        <w:rPr/>
        <w:t>either cytotoxic or cholestatic mechanism (Holt, 2008). Indirect hepatotoxins that produce</w:t>
      </w:r>
      <w:r>
        <w:rPr>
          <w:spacing w:val="1"/>
        </w:rPr>
        <w:t> </w:t>
      </w:r>
      <w:r>
        <w:rPr/>
        <w:t>cytotoxic</w:t>
      </w:r>
      <w:r>
        <w:rPr>
          <w:spacing w:val="1"/>
        </w:rPr>
        <w:t> </w:t>
      </w:r>
      <w:r>
        <w:rPr/>
        <w:t>changes</w:t>
      </w:r>
      <w:r>
        <w:rPr>
          <w:spacing w:val="1"/>
        </w:rPr>
        <w:t> </w:t>
      </w:r>
      <w:r>
        <w:rPr/>
        <w:t>include</w:t>
      </w:r>
      <w:r>
        <w:rPr>
          <w:spacing w:val="1"/>
        </w:rPr>
        <w:t> </w:t>
      </w:r>
      <w:r>
        <w:rPr/>
        <w:t>tetracycline,</w:t>
      </w:r>
      <w:r>
        <w:rPr>
          <w:spacing w:val="1"/>
        </w:rPr>
        <w:t> </w:t>
      </w:r>
      <w:r>
        <w:rPr/>
        <w:t>mechlorethamine,</w:t>
      </w:r>
      <w:r>
        <w:rPr>
          <w:spacing w:val="1"/>
        </w:rPr>
        <w:t> </w:t>
      </w:r>
      <w:r>
        <w:rPr/>
        <w:t>alcohol,</w:t>
      </w:r>
      <w:r>
        <w:rPr>
          <w:spacing w:val="1"/>
        </w:rPr>
        <w:t> </w:t>
      </w:r>
      <w:r>
        <w:rPr/>
        <w:t>acetaminophen,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mercaptopurine (Larrey, 2000). Indirect intrinsic cholestatic hepatotoxins produce jaundice</w:t>
      </w:r>
      <w:r>
        <w:rPr>
          <w:spacing w:val="1"/>
        </w:rPr>
        <w:t> </w:t>
      </w:r>
      <w:r>
        <w:rPr/>
        <w:t>and</w:t>
      </w:r>
      <w:r>
        <w:rPr>
          <w:spacing w:val="35"/>
        </w:rPr>
        <w:t> </w:t>
      </w:r>
      <w:r>
        <w:rPr/>
        <w:t>hepatic</w:t>
      </w:r>
      <w:r>
        <w:rPr>
          <w:spacing w:val="34"/>
        </w:rPr>
        <w:t> </w:t>
      </w:r>
      <w:r>
        <w:rPr/>
        <w:t>dysfunction</w:t>
      </w:r>
      <w:r>
        <w:rPr>
          <w:spacing w:val="35"/>
        </w:rPr>
        <w:t> </w:t>
      </w:r>
      <w:r>
        <w:rPr/>
        <w:t>by</w:t>
      </w:r>
      <w:r>
        <w:rPr>
          <w:spacing w:val="30"/>
        </w:rPr>
        <w:t> </w:t>
      </w:r>
      <w:r>
        <w:rPr/>
        <w:t>interfering</w:t>
      </w:r>
      <w:r>
        <w:rPr>
          <w:spacing w:val="33"/>
        </w:rPr>
        <w:t> </w:t>
      </w:r>
      <w:r>
        <w:rPr/>
        <w:t>with</w:t>
      </w:r>
      <w:r>
        <w:rPr>
          <w:spacing w:val="36"/>
        </w:rPr>
        <w:t> </w:t>
      </w:r>
      <w:r>
        <w:rPr/>
        <w:t>mechanisms</w:t>
      </w:r>
      <w:r>
        <w:rPr>
          <w:spacing w:val="36"/>
        </w:rPr>
        <w:t> </w:t>
      </w:r>
      <w:r>
        <w:rPr/>
        <w:t>for</w:t>
      </w:r>
      <w:r>
        <w:rPr>
          <w:spacing w:val="34"/>
        </w:rPr>
        <w:t> </w:t>
      </w:r>
      <w:r>
        <w:rPr/>
        <w:t>the</w:t>
      </w:r>
      <w:r>
        <w:rPr>
          <w:spacing w:val="35"/>
        </w:rPr>
        <w:t> </w:t>
      </w:r>
      <w:r>
        <w:rPr/>
        <w:t>excretion</w:t>
      </w:r>
      <w:r>
        <w:rPr>
          <w:spacing w:val="35"/>
        </w:rPr>
        <w:t> </w:t>
      </w:r>
      <w:r>
        <w:rPr/>
        <w:t>of</w:t>
      </w:r>
      <w:r>
        <w:rPr>
          <w:spacing w:val="35"/>
        </w:rPr>
        <w:t> </w:t>
      </w:r>
      <w:r>
        <w:rPr/>
        <w:t>bile</w:t>
      </w:r>
      <w:r>
        <w:rPr>
          <w:spacing w:val="34"/>
        </w:rPr>
        <w:t> </w:t>
      </w:r>
      <w:r>
        <w:rPr/>
        <w:t>from</w:t>
      </w:r>
      <w:r>
        <w:rPr>
          <w:spacing w:val="36"/>
        </w:rPr>
        <w:t> </w:t>
      </w:r>
      <w:r>
        <w:rPr/>
        <w:t>the</w:t>
      </w:r>
      <w:r>
        <w:rPr>
          <w:spacing w:val="-57"/>
        </w:rPr>
        <w:t> </w:t>
      </w:r>
      <w:r>
        <w:rPr/>
        <w:t>liver</w:t>
      </w:r>
      <w:r>
        <w:rPr>
          <w:spacing w:val="-1"/>
        </w:rPr>
        <w:t> </w:t>
      </w:r>
      <w:r>
        <w:rPr/>
        <w:t>e.g. C-17 alkylated</w:t>
      </w:r>
      <w:r>
        <w:rPr>
          <w:spacing w:val="2"/>
        </w:rPr>
        <w:t> </w:t>
      </w:r>
      <w:r>
        <w:rPr/>
        <w:t>anabolic</w:t>
      </w:r>
      <w:r>
        <w:rPr>
          <w:spacing w:val="-1"/>
        </w:rPr>
        <w:t> </w:t>
      </w:r>
      <w:r>
        <w:rPr/>
        <w:t>steroids (Schwabe </w:t>
      </w:r>
      <w:r>
        <w:rPr>
          <w:i/>
        </w:rPr>
        <w:t>et al</w:t>
      </w:r>
      <w:r>
        <w:rPr/>
        <w:t>., 2006).</w:t>
      </w:r>
    </w:p>
    <w:p>
      <w:pPr>
        <w:pStyle w:val="Heading2"/>
        <w:numPr>
          <w:ilvl w:val="0"/>
          <w:numId w:val="24"/>
        </w:numPr>
        <w:tabs>
          <w:tab w:pos="1369" w:val="left" w:leader="none"/>
        </w:tabs>
        <w:spacing w:line="240" w:lineRule="auto" w:before="6" w:after="0"/>
        <w:ind w:left="1368" w:right="0" w:hanging="721"/>
        <w:jc w:val="both"/>
      </w:pPr>
      <w:r>
        <w:rPr/>
        <w:t>Idiosyncrasy</w:t>
      </w:r>
    </w:p>
    <w:p>
      <w:pPr>
        <w:spacing w:after="0" w:line="240" w:lineRule="auto"/>
        <w:jc w:val="both"/>
        <w:sectPr>
          <w:pgSz w:w="12240" w:h="15840"/>
          <w:pgMar w:header="0" w:footer="792" w:top="1360" w:bottom="980" w:left="1080" w:right="760"/>
        </w:sectPr>
      </w:pPr>
    </w:p>
    <w:p>
      <w:pPr>
        <w:pStyle w:val="BodyText"/>
        <w:spacing w:line="480" w:lineRule="auto" w:before="72"/>
        <w:ind w:left="648" w:right="675"/>
        <w:jc w:val="both"/>
      </w:pPr>
      <w:r>
        <w:rPr/>
        <w:t>This may be cytotoxic, cholestatic or mixed (Andrade </w:t>
      </w:r>
      <w:r>
        <w:rPr>
          <w:i/>
        </w:rPr>
        <w:t>et al</w:t>
      </w:r>
      <w:r>
        <w:rPr/>
        <w:t>., 2006). Most idiosyncratic drug</w:t>
      </w:r>
      <w:r>
        <w:rPr>
          <w:spacing w:val="1"/>
        </w:rPr>
        <w:t> </w:t>
      </w:r>
      <w:r>
        <w:rPr/>
        <w:t>reactions cause damage to hepatocytes throughout the hepatic lobule with various degrees of</w:t>
      </w:r>
      <w:r>
        <w:rPr>
          <w:spacing w:val="1"/>
        </w:rPr>
        <w:t> </w:t>
      </w:r>
      <w:r>
        <w:rPr/>
        <w:t>necrosis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apoptosis.</w:t>
      </w:r>
      <w:r>
        <w:rPr>
          <w:spacing w:val="1"/>
        </w:rPr>
        <w:t> </w:t>
      </w:r>
      <w:r>
        <w:rPr/>
        <w:t>Hepatic</w:t>
      </w:r>
      <w:r>
        <w:rPr>
          <w:spacing w:val="1"/>
        </w:rPr>
        <w:t> </w:t>
      </w:r>
      <w:r>
        <w:rPr/>
        <w:t>injury</w:t>
      </w:r>
      <w:r>
        <w:rPr>
          <w:spacing w:val="1"/>
        </w:rPr>
        <w:t> </w:t>
      </w:r>
      <w:r>
        <w:rPr/>
        <w:t>due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host</w:t>
      </w:r>
      <w:r>
        <w:rPr>
          <w:spacing w:val="1"/>
        </w:rPr>
        <w:t> </w:t>
      </w:r>
      <w:r>
        <w:rPr/>
        <w:t>idiosyncrasy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caused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hypersensitivity reactions or by other mechanisms (e.g. an aberrant metabolic pathway for the</w:t>
      </w:r>
      <w:r>
        <w:rPr>
          <w:spacing w:val="1"/>
        </w:rPr>
        <w:t> </w:t>
      </w:r>
      <w:r>
        <w:rPr/>
        <w:t>drug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susceptible</w:t>
      </w:r>
      <w:r>
        <w:rPr>
          <w:spacing w:val="1"/>
        </w:rPr>
        <w:t> </w:t>
      </w:r>
      <w:r>
        <w:rPr/>
        <w:t>patient)</w:t>
      </w:r>
      <w:r>
        <w:rPr>
          <w:spacing w:val="1"/>
        </w:rPr>
        <w:t> </w:t>
      </w:r>
      <w:r>
        <w:rPr/>
        <w:t>(Holt,</w:t>
      </w:r>
      <w:r>
        <w:rPr>
          <w:spacing w:val="1"/>
        </w:rPr>
        <w:t> </w:t>
      </w:r>
      <w:r>
        <w:rPr/>
        <w:t>2008).</w:t>
      </w:r>
      <w:r>
        <w:rPr>
          <w:spacing w:val="1"/>
        </w:rPr>
        <w:t> </w:t>
      </w:r>
      <w:r>
        <w:rPr/>
        <w:t>Examples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drugs</w:t>
      </w:r>
      <w:r>
        <w:rPr>
          <w:spacing w:val="1"/>
        </w:rPr>
        <w:t> </w:t>
      </w:r>
      <w:r>
        <w:rPr/>
        <w:t>causing</w:t>
      </w:r>
      <w:r>
        <w:rPr>
          <w:spacing w:val="1"/>
        </w:rPr>
        <w:t> </w:t>
      </w:r>
      <w:r>
        <w:rPr/>
        <w:t>allergic</w:t>
      </w:r>
      <w:r>
        <w:rPr>
          <w:spacing w:val="1"/>
        </w:rPr>
        <w:t> </w:t>
      </w:r>
      <w:r>
        <w:rPr/>
        <w:t>hepatic</w:t>
      </w:r>
      <w:r>
        <w:rPr>
          <w:spacing w:val="1"/>
        </w:rPr>
        <w:t> </w:t>
      </w:r>
      <w:r>
        <w:rPr/>
        <w:t>dysfunctions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methyldopa,</w:t>
      </w:r>
      <w:r>
        <w:rPr>
          <w:spacing w:val="1"/>
        </w:rPr>
        <w:t> </w:t>
      </w:r>
      <w:r>
        <w:rPr/>
        <w:t>phenytoin,</w:t>
      </w:r>
      <w:r>
        <w:rPr>
          <w:spacing w:val="1"/>
        </w:rPr>
        <w:t> </w:t>
      </w:r>
      <w:r>
        <w:rPr/>
        <w:t>paraaminosalicyclic</w:t>
      </w:r>
      <w:r>
        <w:rPr>
          <w:spacing w:val="1"/>
        </w:rPr>
        <w:t> </w:t>
      </w:r>
      <w:r>
        <w:rPr/>
        <w:t>acid,</w:t>
      </w:r>
      <w:r>
        <w:rPr>
          <w:spacing w:val="1"/>
        </w:rPr>
        <w:t> </w:t>
      </w:r>
      <w:r>
        <w:rPr/>
        <w:t>chlorpromazine,</w:t>
      </w:r>
      <w:r>
        <w:rPr>
          <w:spacing w:val="1"/>
        </w:rPr>
        <w:t> </w:t>
      </w:r>
      <w:r>
        <w:rPr/>
        <w:t>erythromycin</w:t>
      </w:r>
      <w:r>
        <w:rPr>
          <w:spacing w:val="1"/>
        </w:rPr>
        <w:t> </w:t>
      </w:r>
      <w:r>
        <w:rPr/>
        <w:t>estolate,</w:t>
      </w:r>
      <w:r>
        <w:rPr>
          <w:spacing w:val="1"/>
        </w:rPr>
        <w:t> </w:t>
      </w:r>
      <w:r>
        <w:rPr/>
        <w:t>rarely clarithromycin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sulfonamides</w:t>
      </w:r>
      <w:r>
        <w:rPr>
          <w:spacing w:val="1"/>
        </w:rPr>
        <w:t> </w:t>
      </w:r>
      <w:r>
        <w:rPr/>
        <w:t>(Lee,</w:t>
      </w:r>
      <w:r>
        <w:rPr>
          <w:spacing w:val="1"/>
        </w:rPr>
        <w:t> </w:t>
      </w:r>
      <w:r>
        <w:rPr/>
        <w:t>2003;</w:t>
      </w:r>
      <w:r>
        <w:rPr>
          <w:spacing w:val="1"/>
        </w:rPr>
        <w:t> </w:t>
      </w:r>
      <w:r>
        <w:rPr/>
        <w:t>Zimmermann,</w:t>
      </w:r>
      <w:r>
        <w:rPr>
          <w:spacing w:val="1"/>
        </w:rPr>
        <w:t> </w:t>
      </w:r>
      <w:r>
        <w:rPr/>
        <w:t>2000).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480" w:lineRule="auto"/>
        <w:ind w:left="648" w:right="674"/>
        <w:jc w:val="both"/>
      </w:pPr>
      <w:r>
        <w:rPr>
          <w:b/>
          <w:i/>
        </w:rPr>
        <w:t>Liver</w:t>
      </w:r>
      <w:r>
        <w:rPr>
          <w:b/>
          <w:i/>
          <w:spacing w:val="1"/>
        </w:rPr>
        <w:t> </w:t>
      </w:r>
      <w:r>
        <w:rPr>
          <w:b/>
          <w:i/>
        </w:rPr>
        <w:t>function</w:t>
      </w:r>
      <w:r>
        <w:rPr>
          <w:b/>
          <w:i/>
          <w:spacing w:val="1"/>
        </w:rPr>
        <w:t> </w:t>
      </w:r>
      <w:r>
        <w:rPr>
          <w:b/>
          <w:i/>
        </w:rPr>
        <w:t>tests:</w:t>
      </w:r>
      <w:r>
        <w:rPr>
          <w:b/>
          <w:i/>
          <w:spacing w:val="1"/>
        </w:rPr>
        <w:t> </w:t>
      </w:r>
      <w:r>
        <w:rPr/>
        <w:t>Routine</w:t>
      </w:r>
      <w:r>
        <w:rPr>
          <w:spacing w:val="1"/>
        </w:rPr>
        <w:t> </w:t>
      </w:r>
      <w:r>
        <w:rPr/>
        <w:t>liver</w:t>
      </w:r>
      <w:r>
        <w:rPr>
          <w:spacing w:val="1"/>
        </w:rPr>
        <w:t> </w:t>
      </w:r>
      <w:r>
        <w:rPr/>
        <w:t>function</w:t>
      </w:r>
      <w:r>
        <w:rPr>
          <w:spacing w:val="1"/>
        </w:rPr>
        <w:t> </w:t>
      </w:r>
      <w:r>
        <w:rPr/>
        <w:t>tests</w:t>
      </w:r>
      <w:r>
        <w:rPr>
          <w:spacing w:val="1"/>
        </w:rPr>
        <w:t> </w:t>
      </w:r>
      <w:r>
        <w:rPr/>
        <w:t>includes</w:t>
      </w:r>
      <w:r>
        <w:rPr>
          <w:spacing w:val="1"/>
        </w:rPr>
        <w:t> </w:t>
      </w:r>
      <w:r>
        <w:rPr/>
        <w:t>test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alkaline</w:t>
      </w:r>
      <w:r>
        <w:rPr>
          <w:spacing w:val="1"/>
        </w:rPr>
        <w:t> </w:t>
      </w:r>
      <w:r>
        <w:rPr/>
        <w:t>phosphatase,</w:t>
      </w:r>
      <w:r>
        <w:rPr>
          <w:spacing w:val="-57"/>
        </w:rPr>
        <w:t> </w:t>
      </w:r>
      <w:r>
        <w:rPr/>
        <w:t>bilirubin,</w:t>
      </w:r>
      <w:r>
        <w:rPr>
          <w:spacing w:val="1"/>
        </w:rPr>
        <w:t> </w:t>
      </w:r>
      <w:r>
        <w:rPr/>
        <w:t>aspartate</w:t>
      </w:r>
      <w:r>
        <w:rPr>
          <w:spacing w:val="1"/>
        </w:rPr>
        <w:t> </w:t>
      </w:r>
      <w:r>
        <w:rPr/>
        <w:t>amino</w:t>
      </w:r>
      <w:r>
        <w:rPr>
          <w:spacing w:val="1"/>
        </w:rPr>
        <w:t> </w:t>
      </w:r>
      <w:r>
        <w:rPr/>
        <w:t>transferase,</w:t>
      </w:r>
      <w:r>
        <w:rPr>
          <w:spacing w:val="1"/>
        </w:rPr>
        <w:t> </w:t>
      </w:r>
      <w:r>
        <w:rPr/>
        <w:t>(AST),</w:t>
      </w:r>
      <w:r>
        <w:rPr>
          <w:spacing w:val="1"/>
        </w:rPr>
        <w:t> </w:t>
      </w:r>
      <w:r>
        <w:rPr/>
        <w:t>alanine</w:t>
      </w:r>
      <w:r>
        <w:rPr>
          <w:spacing w:val="1"/>
        </w:rPr>
        <w:t> </w:t>
      </w:r>
      <w:r>
        <w:rPr/>
        <w:t>amino</w:t>
      </w:r>
      <w:r>
        <w:rPr>
          <w:spacing w:val="1"/>
        </w:rPr>
        <w:t> </w:t>
      </w:r>
      <w:r>
        <w:rPr/>
        <w:t>transferase</w:t>
      </w:r>
      <w:r>
        <w:rPr>
          <w:spacing w:val="1"/>
        </w:rPr>
        <w:t> </w:t>
      </w:r>
      <w:r>
        <w:rPr/>
        <w:t>(ALT),</w:t>
      </w:r>
      <w:r>
        <w:rPr>
          <w:spacing w:val="1"/>
        </w:rPr>
        <w:t> </w:t>
      </w:r>
      <w:r>
        <w:rPr/>
        <w:t>Gamma-</w:t>
      </w:r>
      <w:r>
        <w:rPr>
          <w:spacing w:val="-57"/>
        </w:rPr>
        <w:t> </w:t>
      </w:r>
      <w:r>
        <w:rPr/>
        <w:t>glutamyl</w:t>
      </w:r>
      <w:r>
        <w:rPr>
          <w:spacing w:val="-1"/>
        </w:rPr>
        <w:t> </w:t>
      </w:r>
      <w:r>
        <w:rPr/>
        <w:t>transpeptidase</w:t>
      </w:r>
      <w:r>
        <w:rPr>
          <w:spacing w:val="-1"/>
        </w:rPr>
        <w:t> </w:t>
      </w:r>
      <w:r>
        <w:rPr/>
        <w:t>(GGT).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ListParagraph"/>
        <w:numPr>
          <w:ilvl w:val="0"/>
          <w:numId w:val="25"/>
        </w:numPr>
        <w:tabs>
          <w:tab w:pos="889" w:val="left" w:leader="none"/>
        </w:tabs>
        <w:spacing w:line="480" w:lineRule="auto" w:before="1" w:after="0"/>
        <w:ind w:left="648" w:right="675" w:firstLine="0"/>
        <w:jc w:val="both"/>
        <w:rPr>
          <w:sz w:val="24"/>
        </w:rPr>
      </w:pPr>
      <w:r>
        <w:rPr>
          <w:b/>
          <w:i/>
          <w:sz w:val="24"/>
        </w:rPr>
        <w:t>Aminotransferases; The </w:t>
      </w:r>
      <w:r>
        <w:rPr>
          <w:sz w:val="24"/>
        </w:rPr>
        <w:t>aminotransferases, AST and ALT are enzymes located in the</w:t>
      </w:r>
      <w:r>
        <w:rPr>
          <w:spacing w:val="1"/>
          <w:sz w:val="24"/>
        </w:rPr>
        <w:t> </w:t>
      </w:r>
      <w:r>
        <w:rPr>
          <w:sz w:val="24"/>
        </w:rPr>
        <w:t>cytoplasm</w:t>
      </w:r>
      <w:r>
        <w:rPr>
          <w:spacing w:val="13"/>
          <w:sz w:val="24"/>
        </w:rPr>
        <w:t> </w:t>
      </w:r>
      <w:r>
        <w:rPr>
          <w:sz w:val="24"/>
        </w:rPr>
        <w:t>of</w:t>
      </w:r>
      <w:r>
        <w:rPr>
          <w:spacing w:val="12"/>
          <w:sz w:val="24"/>
        </w:rPr>
        <w:t> </w:t>
      </w:r>
      <w:r>
        <w:rPr>
          <w:sz w:val="24"/>
        </w:rPr>
        <w:t>hepatocytes.</w:t>
      </w:r>
      <w:r>
        <w:rPr>
          <w:spacing w:val="13"/>
          <w:sz w:val="24"/>
        </w:rPr>
        <w:t> </w:t>
      </w:r>
      <w:r>
        <w:rPr>
          <w:sz w:val="24"/>
        </w:rPr>
        <w:t>The</w:t>
      </w:r>
      <w:r>
        <w:rPr>
          <w:spacing w:val="11"/>
          <w:sz w:val="24"/>
        </w:rPr>
        <w:t> </w:t>
      </w:r>
      <w:r>
        <w:rPr>
          <w:sz w:val="24"/>
        </w:rPr>
        <w:t>degree</w:t>
      </w:r>
      <w:r>
        <w:rPr>
          <w:spacing w:val="12"/>
          <w:sz w:val="24"/>
        </w:rPr>
        <w:t> </w:t>
      </w:r>
      <w:r>
        <w:rPr>
          <w:sz w:val="24"/>
        </w:rPr>
        <w:t>of</w:t>
      </w:r>
      <w:r>
        <w:rPr>
          <w:spacing w:val="12"/>
          <w:sz w:val="24"/>
        </w:rPr>
        <w:t> </w:t>
      </w:r>
      <w:r>
        <w:rPr>
          <w:sz w:val="24"/>
        </w:rPr>
        <w:t>elevation</w:t>
      </w:r>
      <w:r>
        <w:rPr>
          <w:spacing w:val="13"/>
          <w:sz w:val="24"/>
        </w:rPr>
        <w:t> </w:t>
      </w:r>
      <w:r>
        <w:rPr>
          <w:sz w:val="24"/>
        </w:rPr>
        <w:t>and</w:t>
      </w:r>
      <w:r>
        <w:rPr>
          <w:spacing w:val="13"/>
          <w:sz w:val="24"/>
        </w:rPr>
        <w:t> </w:t>
      </w:r>
      <w:r>
        <w:rPr>
          <w:sz w:val="24"/>
        </w:rPr>
        <w:t>rate</w:t>
      </w:r>
      <w:r>
        <w:rPr>
          <w:spacing w:val="12"/>
          <w:sz w:val="24"/>
        </w:rPr>
        <w:t> </w:t>
      </w:r>
      <w:r>
        <w:rPr>
          <w:sz w:val="24"/>
        </w:rPr>
        <w:t>of</w:t>
      </w:r>
      <w:r>
        <w:rPr>
          <w:spacing w:val="12"/>
          <w:sz w:val="24"/>
        </w:rPr>
        <w:t> </w:t>
      </w:r>
      <w:r>
        <w:rPr>
          <w:sz w:val="24"/>
        </w:rPr>
        <w:t>rise</w:t>
      </w:r>
      <w:r>
        <w:rPr>
          <w:spacing w:val="12"/>
          <w:sz w:val="24"/>
        </w:rPr>
        <w:t> </w:t>
      </w:r>
      <w:r>
        <w:rPr>
          <w:sz w:val="24"/>
        </w:rPr>
        <w:t>in</w:t>
      </w:r>
      <w:r>
        <w:rPr>
          <w:spacing w:val="14"/>
          <w:sz w:val="24"/>
        </w:rPr>
        <w:t> </w:t>
      </w:r>
      <w:r>
        <w:rPr>
          <w:sz w:val="24"/>
        </w:rPr>
        <w:t>aminotransferase</w:t>
      </w:r>
      <w:r>
        <w:rPr>
          <w:spacing w:val="12"/>
          <w:sz w:val="24"/>
        </w:rPr>
        <w:t> </w:t>
      </w:r>
      <w:r>
        <w:rPr>
          <w:sz w:val="24"/>
        </w:rPr>
        <w:t>levels</w:t>
      </w:r>
      <w:r>
        <w:rPr>
          <w:spacing w:val="-58"/>
          <w:sz w:val="24"/>
        </w:rPr>
        <w:t> </w:t>
      </w:r>
      <w:r>
        <w:rPr>
          <w:sz w:val="24"/>
        </w:rPr>
        <w:t>is helpful in suggesting possible etiologies (Sease </w:t>
      </w:r>
      <w:r>
        <w:rPr>
          <w:i/>
          <w:sz w:val="24"/>
        </w:rPr>
        <w:t>et al</w:t>
      </w:r>
      <w:r>
        <w:rPr>
          <w:sz w:val="24"/>
        </w:rPr>
        <w:t>., 2008). Studies have shown that the</w:t>
      </w:r>
      <w:r>
        <w:rPr>
          <w:spacing w:val="1"/>
          <w:sz w:val="24"/>
        </w:rPr>
        <w:t> </w:t>
      </w:r>
      <w:r>
        <w:rPr>
          <w:sz w:val="24"/>
        </w:rPr>
        <w:t>highest levels of aminotrasnferases are typically seen in acute viral, ischemic or toxic liver</w:t>
      </w:r>
      <w:r>
        <w:rPr>
          <w:spacing w:val="1"/>
          <w:sz w:val="24"/>
        </w:rPr>
        <w:t> </w:t>
      </w:r>
      <w:r>
        <w:rPr>
          <w:sz w:val="24"/>
        </w:rPr>
        <w:t>injury</w:t>
      </w:r>
      <w:r>
        <w:rPr>
          <w:spacing w:val="-5"/>
          <w:sz w:val="24"/>
        </w:rPr>
        <w:t> </w:t>
      </w:r>
      <w:r>
        <w:rPr>
          <w:sz w:val="24"/>
        </w:rPr>
        <w:t>(Giannini</w:t>
      </w:r>
      <w:r>
        <w:rPr>
          <w:spacing w:val="2"/>
          <w:sz w:val="24"/>
        </w:rPr>
        <w:t> </w:t>
      </w:r>
      <w:r>
        <w:rPr>
          <w:i/>
          <w:sz w:val="24"/>
        </w:rPr>
        <w:t>et al</w:t>
      </w:r>
      <w:r>
        <w:rPr>
          <w:sz w:val="24"/>
        </w:rPr>
        <w:t>., 2005).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2"/>
        <w:numPr>
          <w:ilvl w:val="0"/>
          <w:numId w:val="25"/>
        </w:numPr>
        <w:tabs>
          <w:tab w:pos="1369" w:val="left" w:leader="none"/>
        </w:tabs>
        <w:spacing w:line="240" w:lineRule="auto" w:before="0" w:after="0"/>
        <w:ind w:left="1368" w:right="0" w:hanging="721"/>
        <w:jc w:val="both"/>
      </w:pPr>
      <w:r>
        <w:rPr/>
        <w:t>Alkaline</w:t>
      </w:r>
      <w:r>
        <w:rPr>
          <w:spacing w:val="-2"/>
        </w:rPr>
        <w:t> </w:t>
      </w:r>
      <w:r>
        <w:rPr/>
        <w:t>phosphatase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gamma</w:t>
      </w:r>
      <w:r>
        <w:rPr>
          <w:spacing w:val="-1"/>
        </w:rPr>
        <w:t> </w:t>
      </w:r>
      <w:r>
        <w:rPr/>
        <w:t>glutamyl</w:t>
      </w:r>
      <w:r>
        <w:rPr>
          <w:spacing w:val="-2"/>
        </w:rPr>
        <w:t> </w:t>
      </w:r>
      <w:r>
        <w:rPr/>
        <w:t>transpeptidase</w:t>
      </w:r>
    </w:p>
    <w:p>
      <w:pPr>
        <w:pStyle w:val="BodyText"/>
        <w:spacing w:before="7"/>
        <w:rPr>
          <w:b/>
          <w:i/>
          <w:sz w:val="23"/>
        </w:rPr>
      </w:pPr>
    </w:p>
    <w:p>
      <w:pPr>
        <w:pStyle w:val="BodyText"/>
        <w:spacing w:line="480" w:lineRule="auto"/>
        <w:ind w:left="648" w:right="677"/>
        <w:jc w:val="both"/>
      </w:pPr>
      <w:r>
        <w:rPr/>
        <w:t>Elevated serum levels of alkaline phosphate and gamma glutamyl transpeptidase occur as a</w:t>
      </w:r>
      <w:r>
        <w:rPr>
          <w:spacing w:val="1"/>
        </w:rPr>
        <w:t> </w:t>
      </w:r>
      <w:r>
        <w:rPr/>
        <w:t>result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bile</w:t>
      </w:r>
      <w:r>
        <w:rPr>
          <w:spacing w:val="1"/>
        </w:rPr>
        <w:t> </w:t>
      </w:r>
      <w:r>
        <w:rPr/>
        <w:t>flow</w:t>
      </w:r>
      <w:r>
        <w:rPr>
          <w:spacing w:val="1"/>
        </w:rPr>
        <w:t> </w:t>
      </w:r>
      <w:r>
        <w:rPr/>
        <w:t>obstruction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accompanies</w:t>
      </w:r>
      <w:r>
        <w:rPr>
          <w:spacing w:val="1"/>
        </w:rPr>
        <w:t> </w:t>
      </w:r>
      <w:r>
        <w:rPr/>
        <w:t>conditions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primary</w:t>
      </w:r>
      <w:r>
        <w:rPr>
          <w:spacing w:val="1"/>
        </w:rPr>
        <w:t> </w:t>
      </w:r>
      <w:r>
        <w:rPr/>
        <w:t>biliary</w:t>
      </w:r>
      <w:r>
        <w:rPr>
          <w:spacing w:val="1"/>
        </w:rPr>
        <w:t> </w:t>
      </w:r>
      <w:r>
        <w:rPr/>
        <w:t>cirrhosis,</w:t>
      </w:r>
      <w:r>
        <w:rPr>
          <w:spacing w:val="6"/>
        </w:rPr>
        <w:t> </w:t>
      </w:r>
      <w:r>
        <w:rPr/>
        <w:t>primary</w:t>
      </w:r>
      <w:r>
        <w:rPr>
          <w:spacing w:val="1"/>
        </w:rPr>
        <w:t> </w:t>
      </w:r>
      <w:r>
        <w:rPr/>
        <w:t>sclerosing</w:t>
      </w:r>
      <w:r>
        <w:rPr>
          <w:spacing w:val="4"/>
        </w:rPr>
        <w:t> </w:t>
      </w:r>
      <w:r>
        <w:rPr/>
        <w:t>cholangitis,</w:t>
      </w:r>
      <w:r>
        <w:rPr>
          <w:spacing w:val="6"/>
        </w:rPr>
        <w:t> </w:t>
      </w:r>
      <w:r>
        <w:rPr/>
        <w:t>drug</w:t>
      </w:r>
      <w:r>
        <w:rPr>
          <w:spacing w:val="3"/>
        </w:rPr>
        <w:t> </w:t>
      </w:r>
      <w:r>
        <w:rPr/>
        <w:t>induced</w:t>
      </w:r>
      <w:r>
        <w:rPr>
          <w:spacing w:val="5"/>
        </w:rPr>
        <w:t> </w:t>
      </w:r>
      <w:r>
        <w:rPr/>
        <w:t>cholestasis,</w:t>
      </w:r>
      <w:r>
        <w:rPr>
          <w:spacing w:val="5"/>
        </w:rPr>
        <w:t> </w:t>
      </w:r>
      <w:r>
        <w:rPr/>
        <w:t>gallstone</w:t>
      </w:r>
      <w:r>
        <w:rPr>
          <w:spacing w:val="5"/>
        </w:rPr>
        <w:t> </w:t>
      </w:r>
      <w:r>
        <w:rPr/>
        <w:t>disease</w:t>
      </w:r>
      <w:r>
        <w:rPr>
          <w:spacing w:val="5"/>
        </w:rPr>
        <w:t> </w:t>
      </w:r>
      <w:r>
        <w:rPr/>
        <w:t>and</w:t>
      </w:r>
    </w:p>
    <w:p>
      <w:pPr>
        <w:spacing w:after="0" w:line="480" w:lineRule="auto"/>
        <w:jc w:val="both"/>
        <w:sectPr>
          <w:pgSz w:w="12240" w:h="15840"/>
          <w:pgMar w:header="0" w:footer="792" w:top="1360" w:bottom="980" w:left="1080" w:right="760"/>
        </w:sectPr>
      </w:pPr>
    </w:p>
    <w:p>
      <w:pPr>
        <w:pStyle w:val="BodyText"/>
        <w:spacing w:line="480" w:lineRule="auto" w:before="72"/>
        <w:ind w:left="648" w:right="672"/>
      </w:pPr>
      <w:r>
        <w:rPr/>
        <w:t>autoimmune</w:t>
      </w:r>
      <w:r>
        <w:rPr>
          <w:spacing w:val="30"/>
        </w:rPr>
        <w:t> </w:t>
      </w:r>
      <w:r>
        <w:rPr/>
        <w:t>cholestatic</w:t>
      </w:r>
      <w:r>
        <w:rPr>
          <w:spacing w:val="32"/>
        </w:rPr>
        <w:t> </w:t>
      </w:r>
      <w:r>
        <w:rPr/>
        <w:t>liver</w:t>
      </w:r>
      <w:r>
        <w:rPr>
          <w:spacing w:val="30"/>
        </w:rPr>
        <w:t> </w:t>
      </w:r>
      <w:r>
        <w:rPr/>
        <w:t>disease</w:t>
      </w:r>
      <w:r>
        <w:rPr>
          <w:spacing w:val="32"/>
        </w:rPr>
        <w:t> </w:t>
      </w:r>
      <w:r>
        <w:rPr/>
        <w:t>(Sease</w:t>
      </w:r>
      <w:r>
        <w:rPr>
          <w:spacing w:val="36"/>
        </w:rPr>
        <w:t> </w:t>
      </w:r>
      <w:r>
        <w:rPr>
          <w:i/>
        </w:rPr>
        <w:t>et</w:t>
      </w:r>
      <w:r>
        <w:rPr>
          <w:i/>
          <w:spacing w:val="31"/>
        </w:rPr>
        <w:t> </w:t>
      </w:r>
      <w:r>
        <w:rPr>
          <w:i/>
        </w:rPr>
        <w:t>al</w:t>
      </w:r>
      <w:r>
        <w:rPr/>
        <w:t>.,</w:t>
      </w:r>
      <w:r>
        <w:rPr>
          <w:spacing w:val="30"/>
        </w:rPr>
        <w:t> </w:t>
      </w:r>
      <w:r>
        <w:rPr/>
        <w:t>2008)</w:t>
      </w:r>
      <w:r>
        <w:rPr>
          <w:spacing w:val="30"/>
        </w:rPr>
        <w:t> </w:t>
      </w:r>
      <w:r>
        <w:rPr/>
        <w:t>hence</w:t>
      </w:r>
      <w:r>
        <w:rPr>
          <w:spacing w:val="30"/>
        </w:rPr>
        <w:t> </w:t>
      </w:r>
      <w:r>
        <w:rPr/>
        <w:t>they</w:t>
      </w:r>
      <w:r>
        <w:rPr>
          <w:spacing w:val="26"/>
        </w:rPr>
        <w:t> </w:t>
      </w:r>
      <w:r>
        <w:rPr/>
        <w:t>measure</w:t>
      </w:r>
      <w:r>
        <w:rPr>
          <w:spacing w:val="29"/>
        </w:rPr>
        <w:t> </w:t>
      </w:r>
      <w:r>
        <w:rPr/>
        <w:t>hepatobiliary</w:t>
      </w:r>
      <w:r>
        <w:rPr>
          <w:spacing w:val="-57"/>
        </w:rPr>
        <w:t> </w:t>
      </w:r>
      <w:r>
        <w:rPr/>
        <w:t>function.</w:t>
      </w:r>
    </w:p>
    <w:p>
      <w:pPr>
        <w:spacing w:after="0" w:line="480" w:lineRule="auto"/>
        <w:sectPr>
          <w:pgSz w:w="12240" w:h="15840"/>
          <w:pgMar w:header="0" w:footer="792" w:top="1360" w:bottom="980" w:left="1080" w:right="760"/>
        </w:sectPr>
      </w:pPr>
    </w:p>
    <w:p>
      <w:pPr>
        <w:pStyle w:val="ListParagraph"/>
        <w:numPr>
          <w:ilvl w:val="0"/>
          <w:numId w:val="25"/>
        </w:numPr>
        <w:tabs>
          <w:tab w:pos="999" w:val="left" w:leader="none"/>
        </w:tabs>
        <w:spacing w:line="480" w:lineRule="auto" w:before="72" w:after="0"/>
        <w:ind w:left="648" w:right="684" w:firstLine="0"/>
        <w:jc w:val="both"/>
        <w:rPr>
          <w:sz w:val="24"/>
        </w:rPr>
      </w:pPr>
      <w:r>
        <w:rPr>
          <w:b/>
          <w:i/>
          <w:sz w:val="24"/>
        </w:rPr>
        <w:t>Bilirubin; Bilirubin </w:t>
      </w:r>
      <w:r>
        <w:rPr>
          <w:sz w:val="24"/>
        </w:rPr>
        <w:t>is a bye product of haemoglobin derived from senescent red blood</w:t>
      </w:r>
      <w:r>
        <w:rPr>
          <w:spacing w:val="1"/>
          <w:sz w:val="24"/>
        </w:rPr>
        <w:t> </w:t>
      </w:r>
      <w:r>
        <w:rPr>
          <w:sz w:val="24"/>
        </w:rPr>
        <w:t>cells. Elevations of the serum bilirubin level are common in end stage liver disease and</w:t>
      </w:r>
      <w:r>
        <w:rPr>
          <w:spacing w:val="1"/>
          <w:sz w:val="24"/>
        </w:rPr>
        <w:t> </w:t>
      </w:r>
      <w:r>
        <w:rPr>
          <w:sz w:val="24"/>
        </w:rPr>
        <w:t>obstruction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 common</w:t>
      </w:r>
      <w:r>
        <w:rPr>
          <w:spacing w:val="-1"/>
          <w:sz w:val="24"/>
        </w:rPr>
        <w:t> </w:t>
      </w:r>
      <w:r>
        <w:rPr>
          <w:sz w:val="24"/>
        </w:rPr>
        <w:t>bile</w:t>
      </w:r>
      <w:r>
        <w:rPr>
          <w:spacing w:val="-1"/>
          <w:sz w:val="24"/>
        </w:rPr>
        <w:t> </w:t>
      </w:r>
      <w:r>
        <w:rPr>
          <w:sz w:val="24"/>
        </w:rPr>
        <w:t>duct caused</w:t>
      </w:r>
      <w:r>
        <w:rPr>
          <w:spacing w:val="-1"/>
          <w:sz w:val="24"/>
        </w:rPr>
        <w:t> </w:t>
      </w:r>
      <w:r>
        <w:rPr>
          <w:sz w:val="24"/>
        </w:rPr>
        <w:t>by</w:t>
      </w:r>
      <w:r>
        <w:rPr>
          <w:spacing w:val="-4"/>
          <w:sz w:val="24"/>
        </w:rPr>
        <w:t> </w:t>
      </w:r>
      <w:r>
        <w:rPr>
          <w:sz w:val="24"/>
        </w:rPr>
        <w:t>gallstone or</w:t>
      </w:r>
      <w:r>
        <w:rPr>
          <w:spacing w:val="-1"/>
          <w:sz w:val="24"/>
        </w:rPr>
        <w:t> </w:t>
      </w:r>
      <w:r>
        <w:rPr>
          <w:sz w:val="24"/>
        </w:rPr>
        <w:t>malignancy</w:t>
      </w:r>
      <w:r>
        <w:rPr>
          <w:spacing w:val="-6"/>
          <w:sz w:val="24"/>
        </w:rPr>
        <w:t> </w:t>
      </w:r>
      <w:r>
        <w:rPr>
          <w:sz w:val="24"/>
        </w:rPr>
        <w:t>(Sease</w:t>
      </w:r>
      <w:r>
        <w:rPr>
          <w:spacing w:val="4"/>
          <w:sz w:val="24"/>
        </w:rPr>
        <w:t> </w:t>
      </w:r>
      <w:r>
        <w:rPr>
          <w:i/>
          <w:sz w:val="24"/>
        </w:rPr>
        <w:t>et al</w:t>
      </w:r>
      <w:r>
        <w:rPr>
          <w:sz w:val="24"/>
        </w:rPr>
        <w:t>., 2008).</w:t>
      </w:r>
    </w:p>
    <w:p>
      <w:pPr>
        <w:pStyle w:val="BodyText"/>
      </w:pPr>
    </w:p>
    <w:p>
      <w:pPr>
        <w:pStyle w:val="BodyText"/>
        <w:spacing w:line="480" w:lineRule="auto"/>
        <w:ind w:left="648" w:right="677" w:firstLine="60"/>
        <w:jc w:val="both"/>
      </w:pPr>
      <w:r>
        <w:rPr>
          <w:b/>
        </w:rPr>
        <w:t>Kidney and kidney toxicity; </w:t>
      </w:r>
      <w:r>
        <w:rPr/>
        <w:t>The kidney has 3 major anatomical areas; the cortex, the</w:t>
      </w:r>
      <w:r>
        <w:rPr>
          <w:spacing w:val="1"/>
        </w:rPr>
        <w:t> </w:t>
      </w:r>
      <w:r>
        <w:rPr/>
        <w:t>medulla and the papilla. The renal cortex is the outermost region of the kidney and contains</w:t>
      </w:r>
      <w:r>
        <w:rPr>
          <w:spacing w:val="1"/>
        </w:rPr>
        <w:t> </w:t>
      </w:r>
      <w:r>
        <w:rPr/>
        <w:t>glomeruli, proximal and distal tubules and peritubular capillaries.</w:t>
      </w:r>
      <w:r>
        <w:rPr>
          <w:spacing w:val="1"/>
        </w:rPr>
        <w:t> </w:t>
      </w:r>
      <w:r>
        <w:rPr/>
        <w:t>Since the cortex receives</w:t>
      </w:r>
      <w:r>
        <w:rPr>
          <w:spacing w:val="1"/>
        </w:rPr>
        <w:t> </w:t>
      </w:r>
      <w:r>
        <w:rPr/>
        <w:t>almost 90% of the renal blood flow, cortical functions will be preferentially affected by blood</w:t>
      </w:r>
      <w:r>
        <w:rPr>
          <w:spacing w:val="1"/>
        </w:rPr>
        <w:t> </w:t>
      </w:r>
      <w:r>
        <w:rPr/>
        <w:t>borne toxicants.The fact that the kidney receives 25% of cardiac output, coupled with its</w:t>
      </w:r>
      <w:r>
        <w:rPr>
          <w:spacing w:val="1"/>
        </w:rPr>
        <w:t> </w:t>
      </w:r>
      <w:r>
        <w:rPr/>
        <w:t>ability to</w:t>
      </w:r>
      <w:r>
        <w:rPr>
          <w:spacing w:val="1"/>
        </w:rPr>
        <w:t> </w:t>
      </w:r>
      <w:r>
        <w:rPr/>
        <w:t>concentrate</w:t>
      </w:r>
      <w:r>
        <w:rPr>
          <w:spacing w:val="1"/>
        </w:rPr>
        <w:t> </w:t>
      </w:r>
      <w:r>
        <w:rPr/>
        <w:t>tubular</w:t>
      </w:r>
      <w:r>
        <w:rPr>
          <w:spacing w:val="1"/>
        </w:rPr>
        <w:t> </w:t>
      </w:r>
      <w:r>
        <w:rPr/>
        <w:t>fluid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role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biotransformation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chemicals</w:t>
      </w:r>
      <w:r>
        <w:rPr>
          <w:spacing w:val="60"/>
        </w:rPr>
        <w:t> </w:t>
      </w:r>
      <w:r>
        <w:rPr/>
        <w:t>to</w:t>
      </w:r>
      <w:r>
        <w:rPr>
          <w:spacing w:val="-57"/>
        </w:rPr>
        <w:t> </w:t>
      </w:r>
      <w:r>
        <w:rPr/>
        <w:t>reactive</w:t>
      </w:r>
      <w:r>
        <w:rPr>
          <w:spacing w:val="19"/>
        </w:rPr>
        <w:t> </w:t>
      </w:r>
      <w:r>
        <w:rPr/>
        <w:t>and</w:t>
      </w:r>
      <w:r>
        <w:rPr>
          <w:spacing w:val="21"/>
        </w:rPr>
        <w:t> </w:t>
      </w:r>
      <w:r>
        <w:rPr/>
        <w:t>thus</w:t>
      </w:r>
      <w:r>
        <w:rPr>
          <w:spacing w:val="21"/>
        </w:rPr>
        <w:t> </w:t>
      </w:r>
      <w:r>
        <w:rPr/>
        <w:t>potentially</w:t>
      </w:r>
      <w:r>
        <w:rPr>
          <w:spacing w:val="16"/>
        </w:rPr>
        <w:t> </w:t>
      </w:r>
      <w:r>
        <w:rPr/>
        <w:t>toxic</w:t>
      </w:r>
      <w:r>
        <w:rPr>
          <w:spacing w:val="20"/>
        </w:rPr>
        <w:t> </w:t>
      </w:r>
      <w:r>
        <w:rPr/>
        <w:t>metabolites</w:t>
      </w:r>
      <w:r>
        <w:rPr>
          <w:spacing w:val="20"/>
        </w:rPr>
        <w:t> </w:t>
      </w:r>
      <w:r>
        <w:rPr/>
        <w:t>underlie</w:t>
      </w:r>
      <w:r>
        <w:rPr>
          <w:spacing w:val="20"/>
        </w:rPr>
        <w:t> </w:t>
      </w:r>
      <w:r>
        <w:rPr/>
        <w:t>the</w:t>
      </w:r>
      <w:r>
        <w:rPr>
          <w:spacing w:val="20"/>
        </w:rPr>
        <w:t> </w:t>
      </w:r>
      <w:r>
        <w:rPr/>
        <w:t>kidney</w:t>
      </w:r>
      <w:r>
        <w:rPr>
          <w:spacing w:val="15"/>
        </w:rPr>
        <w:t> </w:t>
      </w:r>
      <w:r>
        <w:rPr/>
        <w:t>susceptibility</w:t>
      </w:r>
      <w:r>
        <w:rPr>
          <w:spacing w:val="14"/>
        </w:rPr>
        <w:t> </w:t>
      </w:r>
      <w:r>
        <w:rPr/>
        <w:t>to</w:t>
      </w:r>
      <w:r>
        <w:rPr>
          <w:spacing w:val="21"/>
        </w:rPr>
        <w:t> </w:t>
      </w:r>
      <w:r>
        <w:rPr/>
        <w:t>chemical</w:t>
      </w:r>
      <w:r>
        <w:rPr>
          <w:spacing w:val="-58"/>
        </w:rPr>
        <w:t> </w:t>
      </w:r>
      <w:r>
        <w:rPr/>
        <w:t>or</w:t>
      </w:r>
      <w:r>
        <w:rPr>
          <w:spacing w:val="-1"/>
        </w:rPr>
        <w:t> </w:t>
      </w:r>
      <w:r>
        <w:rPr/>
        <w:t>drug</w:t>
      </w:r>
      <w:r>
        <w:rPr>
          <w:spacing w:val="-3"/>
        </w:rPr>
        <w:t> </w:t>
      </w:r>
      <w:r>
        <w:rPr/>
        <w:t>toxicity</w:t>
      </w:r>
      <w:r>
        <w:rPr>
          <w:spacing w:val="-8"/>
        </w:rPr>
        <w:t> </w:t>
      </w:r>
      <w:r>
        <w:rPr/>
        <w:t>(Hodgson and</w:t>
      </w:r>
      <w:r>
        <w:rPr>
          <w:spacing w:val="2"/>
        </w:rPr>
        <w:t> </w:t>
      </w:r>
      <w:r>
        <w:rPr/>
        <w:t>Levi, 2004b)</w:t>
      </w:r>
    </w:p>
    <w:p>
      <w:pPr>
        <w:pStyle w:val="BodyText"/>
        <w:rPr>
          <w:sz w:val="26"/>
        </w:rPr>
      </w:pPr>
    </w:p>
    <w:p>
      <w:pPr>
        <w:pStyle w:val="BodyText"/>
        <w:spacing w:line="480" w:lineRule="auto" w:before="219"/>
        <w:ind w:left="648" w:right="674"/>
        <w:jc w:val="both"/>
      </w:pPr>
      <w:r>
        <w:rPr/>
        <w:t>Under normal condition, each of the 2 million nephrons of the kidneys work in an organized</w:t>
      </w:r>
      <w:r>
        <w:rPr>
          <w:spacing w:val="1"/>
        </w:rPr>
        <w:t> </w:t>
      </w:r>
      <w:r>
        <w:rPr/>
        <w:t>fashion to filter, reabsorb and excrete various solutes and water (Nolin and Himmelfarb,</w:t>
      </w:r>
      <w:r>
        <w:rPr>
          <w:spacing w:val="1"/>
        </w:rPr>
        <w:t> </w:t>
      </w:r>
      <w:r>
        <w:rPr/>
        <w:t>2008). The kidney is a primary regulator of sodium and water balance as well as of acid-base</w:t>
      </w:r>
      <w:r>
        <w:rPr>
          <w:spacing w:val="1"/>
        </w:rPr>
        <w:t> </w:t>
      </w:r>
      <w:r>
        <w:rPr/>
        <w:t>homeostasis (Melanie </w:t>
      </w:r>
      <w:r>
        <w:rPr>
          <w:i/>
        </w:rPr>
        <w:t>et al., </w:t>
      </w:r>
      <w:r>
        <w:rPr/>
        <w:t>2008). The kidney also produces hormones necessary for red</w:t>
      </w:r>
      <w:r>
        <w:rPr>
          <w:spacing w:val="1"/>
        </w:rPr>
        <w:t> </w:t>
      </w:r>
      <w:r>
        <w:rPr/>
        <w:t>blood</w:t>
      </w:r>
      <w:r>
        <w:rPr>
          <w:spacing w:val="-1"/>
        </w:rPr>
        <w:t> </w:t>
      </w:r>
      <w:r>
        <w:rPr/>
        <w:t>cell synthesis and calcium homeostatis (Nolin</w:t>
      </w:r>
      <w:r>
        <w:rPr>
          <w:spacing w:val="-1"/>
        </w:rPr>
        <w:t> </w:t>
      </w:r>
      <w:r>
        <w:rPr/>
        <w:t>and Himmelfarb, 2008).</w:t>
      </w:r>
    </w:p>
    <w:p>
      <w:pPr>
        <w:pStyle w:val="BodyText"/>
      </w:pPr>
    </w:p>
    <w:p>
      <w:pPr>
        <w:pStyle w:val="BodyText"/>
        <w:spacing w:line="480" w:lineRule="auto"/>
        <w:ind w:left="648" w:right="675" w:firstLine="60"/>
        <w:jc w:val="both"/>
      </w:pPr>
      <w:r>
        <w:rPr>
          <w:b/>
        </w:rPr>
        <w:t>Drug</w:t>
      </w:r>
      <w:r>
        <w:rPr>
          <w:b/>
          <w:spacing w:val="1"/>
        </w:rPr>
        <w:t> </w:t>
      </w:r>
      <w:r>
        <w:rPr>
          <w:b/>
        </w:rPr>
        <w:t>induced</w:t>
      </w:r>
      <w:r>
        <w:rPr>
          <w:b/>
          <w:spacing w:val="1"/>
        </w:rPr>
        <w:t> </w:t>
      </w:r>
      <w:r>
        <w:rPr>
          <w:b/>
        </w:rPr>
        <w:t>nephrotoxicity:</w:t>
      </w:r>
      <w:r>
        <w:rPr>
          <w:b/>
          <w:spacing w:val="1"/>
        </w:rPr>
        <w:t> </w:t>
      </w:r>
      <w:r>
        <w:rPr/>
        <w:t>Drug</w:t>
      </w:r>
      <w:r>
        <w:rPr>
          <w:spacing w:val="1"/>
        </w:rPr>
        <w:t> </w:t>
      </w:r>
      <w:r>
        <w:rPr/>
        <w:t>induced</w:t>
      </w:r>
      <w:r>
        <w:rPr>
          <w:spacing w:val="1"/>
        </w:rPr>
        <w:t> </w:t>
      </w:r>
      <w:r>
        <w:rPr/>
        <w:t>nephrotoxicity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relatively</w:t>
      </w:r>
      <w:r>
        <w:rPr>
          <w:spacing w:val="1"/>
        </w:rPr>
        <w:t> </w:t>
      </w:r>
      <w:r>
        <w:rPr/>
        <w:t>common</w:t>
      </w:r>
      <w:r>
        <w:rPr>
          <w:spacing w:val="1"/>
        </w:rPr>
        <w:t> </w:t>
      </w:r>
      <w:r>
        <w:rPr/>
        <w:t>complication of several therapeutic agents (Nolin and Himmelfarb, 2008). It is manifested by</w:t>
      </w:r>
      <w:r>
        <w:rPr>
          <w:spacing w:val="1"/>
        </w:rPr>
        <w:t> </w:t>
      </w:r>
      <w:r>
        <w:rPr/>
        <w:t>acid-base abnormalities, electrolyte imbalances, urine sediment abnormalities, proteinuria,</w:t>
      </w:r>
      <w:r>
        <w:rPr>
          <w:spacing w:val="1"/>
        </w:rPr>
        <w:t> </w:t>
      </w:r>
      <w:r>
        <w:rPr/>
        <w:t>pyuria</w:t>
      </w:r>
      <w:r>
        <w:rPr>
          <w:spacing w:val="1"/>
        </w:rPr>
        <w:t> </w:t>
      </w:r>
      <w:r>
        <w:rPr/>
        <w:t>and/or</w:t>
      </w:r>
      <w:r>
        <w:rPr>
          <w:spacing w:val="1"/>
        </w:rPr>
        <w:t> </w:t>
      </w:r>
      <w:r>
        <w:rPr/>
        <w:t>hematuria</w:t>
      </w:r>
      <w:r>
        <w:rPr>
          <w:spacing w:val="1"/>
        </w:rPr>
        <w:t> </w:t>
      </w:r>
      <w:r>
        <w:rPr/>
        <w:t>(Choudhury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Ahmed,</w:t>
      </w:r>
      <w:r>
        <w:rPr>
          <w:spacing w:val="1"/>
        </w:rPr>
        <w:t> </w:t>
      </w:r>
      <w:r>
        <w:rPr/>
        <w:t>2006).</w:t>
      </w:r>
      <w:r>
        <w:rPr>
          <w:spacing w:val="1"/>
        </w:rPr>
        <w:t> </w:t>
      </w:r>
      <w:r>
        <w:rPr/>
        <w:t>However,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common</w:t>
      </w:r>
      <w:r>
        <w:rPr>
          <w:spacing w:val="1"/>
        </w:rPr>
        <w:t> </w:t>
      </w:r>
      <w:r>
        <w:rPr/>
        <w:t>manifestation</w:t>
      </w:r>
      <w:r>
        <w:rPr>
          <w:spacing w:val="39"/>
        </w:rPr>
        <w:t> </w:t>
      </w:r>
      <w:r>
        <w:rPr/>
        <w:t>of</w:t>
      </w:r>
      <w:r>
        <w:rPr>
          <w:spacing w:val="38"/>
        </w:rPr>
        <w:t> </w:t>
      </w:r>
      <w:r>
        <w:rPr/>
        <w:t>drug-induced</w:t>
      </w:r>
      <w:r>
        <w:rPr>
          <w:spacing w:val="39"/>
        </w:rPr>
        <w:t> </w:t>
      </w:r>
      <w:r>
        <w:rPr/>
        <w:t>nephrotoxicity</w:t>
      </w:r>
      <w:r>
        <w:rPr>
          <w:spacing w:val="34"/>
        </w:rPr>
        <w:t> </w:t>
      </w:r>
      <w:r>
        <w:rPr/>
        <w:t>is</w:t>
      </w:r>
      <w:r>
        <w:rPr>
          <w:spacing w:val="41"/>
        </w:rPr>
        <w:t> </w:t>
      </w:r>
      <w:r>
        <w:rPr/>
        <w:t>a</w:t>
      </w:r>
      <w:r>
        <w:rPr>
          <w:spacing w:val="40"/>
        </w:rPr>
        <w:t> </w:t>
      </w:r>
      <w:r>
        <w:rPr/>
        <w:t>decline</w:t>
      </w:r>
      <w:r>
        <w:rPr>
          <w:spacing w:val="38"/>
        </w:rPr>
        <w:t> </w:t>
      </w:r>
      <w:r>
        <w:rPr/>
        <w:t>in</w:t>
      </w:r>
      <w:r>
        <w:rPr>
          <w:spacing w:val="40"/>
        </w:rPr>
        <w:t> </w:t>
      </w:r>
      <w:r>
        <w:rPr/>
        <w:t>the</w:t>
      </w:r>
      <w:r>
        <w:rPr>
          <w:spacing w:val="39"/>
        </w:rPr>
        <w:t> </w:t>
      </w:r>
      <w:r>
        <w:rPr/>
        <w:t>glomeralar</w:t>
      </w:r>
      <w:r>
        <w:rPr>
          <w:spacing w:val="38"/>
        </w:rPr>
        <w:t> </w:t>
      </w:r>
      <w:r>
        <w:rPr/>
        <w:t>filteration</w:t>
      </w:r>
      <w:r>
        <w:rPr>
          <w:spacing w:val="40"/>
        </w:rPr>
        <w:t> </w:t>
      </w:r>
      <w:r>
        <w:rPr/>
        <w:t>rate</w:t>
      </w:r>
    </w:p>
    <w:p>
      <w:pPr>
        <w:spacing w:after="0" w:line="480" w:lineRule="auto"/>
        <w:jc w:val="both"/>
        <w:sectPr>
          <w:pgSz w:w="12240" w:h="15840"/>
          <w:pgMar w:header="0" w:footer="792" w:top="1360" w:bottom="980" w:left="1080" w:right="760"/>
        </w:sectPr>
      </w:pPr>
    </w:p>
    <w:p>
      <w:pPr>
        <w:pStyle w:val="BodyText"/>
        <w:spacing w:line="480" w:lineRule="auto" w:before="72"/>
        <w:ind w:left="648" w:right="683"/>
        <w:jc w:val="both"/>
      </w:pPr>
      <w:r>
        <w:rPr/>
        <w:t>(GFR) which results in a rise in the serum creatinine and blood urea nitrogen (Nolin and</w:t>
      </w:r>
      <w:r>
        <w:rPr>
          <w:spacing w:val="1"/>
        </w:rPr>
        <w:t> </w:t>
      </w:r>
      <w:r>
        <w:rPr/>
        <w:t>Himmelfarb,</w:t>
      </w:r>
      <w:r>
        <w:rPr>
          <w:spacing w:val="-1"/>
        </w:rPr>
        <w:t> </w:t>
      </w:r>
      <w:r>
        <w:rPr/>
        <w:t>2008).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/>
        <w:ind w:left="648" w:right="675"/>
        <w:jc w:val="both"/>
      </w:pPr>
      <w:r>
        <w:rPr/>
        <w:t>Drug induced nephrotoxicity is often reversible on discontinuation of the offending agent but</w:t>
      </w:r>
      <w:r>
        <w:rPr>
          <w:spacing w:val="1"/>
        </w:rPr>
        <w:t> </w:t>
      </w:r>
      <w:r>
        <w:rPr/>
        <w:t>may also lead to acute kidney injury and/or end stage renal disease. Currently, many different</w:t>
      </w:r>
      <w:r>
        <w:rPr>
          <w:spacing w:val="1"/>
        </w:rPr>
        <w:t> </w:t>
      </w:r>
      <w:r>
        <w:rPr/>
        <w:t>mechanism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responsible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pathogenesis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drug</w:t>
      </w:r>
      <w:r>
        <w:rPr>
          <w:spacing w:val="1"/>
        </w:rPr>
        <w:t> </w:t>
      </w:r>
      <w:r>
        <w:rPr/>
        <w:t>induce</w:t>
      </w:r>
      <w:r>
        <w:rPr>
          <w:spacing w:val="1"/>
        </w:rPr>
        <w:t> </w:t>
      </w:r>
      <w:r>
        <w:rPr/>
        <w:t>nephrotoxicity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introduction of new drugs with novel mechanisms of action provides the potential for the</w:t>
      </w:r>
      <w:r>
        <w:rPr>
          <w:spacing w:val="1"/>
        </w:rPr>
        <w:t> </w:t>
      </w:r>
      <w:r>
        <w:rPr/>
        <w:t>identification of new presentation of acute kidney injury and chronic kidney disease (Nolin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Himmelfarb, 2008).</w:t>
      </w:r>
    </w:p>
    <w:p>
      <w:pPr>
        <w:spacing w:after="0" w:line="480" w:lineRule="auto"/>
        <w:jc w:val="both"/>
        <w:sectPr>
          <w:pgSz w:w="12240" w:h="15840"/>
          <w:pgMar w:header="0" w:footer="792" w:top="1360" w:bottom="980" w:left="1080" w:right="760"/>
        </w:sectPr>
      </w:pPr>
    </w:p>
    <w:p>
      <w:pPr>
        <w:pStyle w:val="Heading1"/>
        <w:spacing w:before="76"/>
        <w:ind w:left="1498" w:right="1527"/>
        <w:jc w:val="center"/>
      </w:pPr>
      <w:r>
        <w:rPr/>
        <w:t>CHAPTER</w:t>
      </w:r>
      <w:r>
        <w:rPr>
          <w:spacing w:val="-2"/>
        </w:rPr>
        <w:t> </w:t>
      </w:r>
      <w:r>
        <w:rPr/>
        <w:t>THREE</w:t>
      </w:r>
    </w:p>
    <w:p>
      <w:pPr>
        <w:pStyle w:val="BodyText"/>
        <w:spacing w:before="1"/>
        <w:rPr>
          <w:b/>
        </w:rPr>
      </w:pPr>
    </w:p>
    <w:p>
      <w:pPr>
        <w:pStyle w:val="Heading1"/>
        <w:numPr>
          <w:ilvl w:val="1"/>
          <w:numId w:val="26"/>
        </w:numPr>
        <w:tabs>
          <w:tab w:pos="3768" w:val="left" w:leader="none"/>
          <w:tab w:pos="3769" w:val="left" w:leader="none"/>
        </w:tabs>
        <w:spacing w:line="240" w:lineRule="auto" w:before="0" w:after="0"/>
        <w:ind w:left="3769" w:right="0" w:hanging="1020"/>
        <w:jc w:val="left"/>
      </w:pPr>
      <w:bookmarkStart w:name="_TOC_250036" w:id="25"/>
      <w:r>
        <w:rPr/>
        <w:t>MATERIALS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bookmarkEnd w:id="25"/>
      <w:r>
        <w:rPr/>
        <w:t>METHOD</w:t>
      </w:r>
    </w:p>
    <w:p>
      <w:pPr>
        <w:pStyle w:val="BodyText"/>
        <w:rPr>
          <w:b/>
        </w:rPr>
      </w:pPr>
    </w:p>
    <w:p>
      <w:pPr>
        <w:pStyle w:val="Heading1"/>
        <w:numPr>
          <w:ilvl w:val="1"/>
          <w:numId w:val="26"/>
        </w:numPr>
        <w:tabs>
          <w:tab w:pos="1368" w:val="left" w:leader="none"/>
          <w:tab w:pos="1369" w:val="left" w:leader="none"/>
        </w:tabs>
        <w:spacing w:line="240" w:lineRule="auto" w:before="0" w:after="0"/>
        <w:ind w:left="1368" w:right="0" w:hanging="721"/>
        <w:jc w:val="left"/>
      </w:pPr>
      <w:bookmarkStart w:name="_TOC_250035" w:id="26"/>
      <w:r>
        <w:rPr/>
        <w:t>M</w:t>
      </w:r>
      <w:r>
        <w:rPr>
          <w:sz w:val="22"/>
        </w:rPr>
        <w:t>aterials</w:t>
      </w:r>
      <w:r>
        <w:rPr/>
        <w:t>,</w:t>
      </w:r>
      <w:r>
        <w:rPr>
          <w:spacing w:val="-6"/>
        </w:rPr>
        <w:t> </w:t>
      </w:r>
      <w:r>
        <w:rPr/>
        <w:t>Equipments,</w:t>
      </w:r>
      <w:r>
        <w:rPr>
          <w:spacing w:val="-3"/>
        </w:rPr>
        <w:t> </w:t>
      </w:r>
      <w:r>
        <w:rPr/>
        <w:t>Chemicals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bookmarkEnd w:id="26"/>
      <w:r>
        <w:rPr/>
        <w:t>Animals</w:t>
      </w:r>
    </w:p>
    <w:p>
      <w:pPr>
        <w:pStyle w:val="BodyText"/>
        <w:rPr>
          <w:b/>
        </w:rPr>
      </w:pPr>
    </w:p>
    <w:p>
      <w:pPr>
        <w:pStyle w:val="ListParagraph"/>
        <w:numPr>
          <w:ilvl w:val="2"/>
          <w:numId w:val="26"/>
        </w:numPr>
        <w:tabs>
          <w:tab w:pos="1368" w:val="left" w:leader="none"/>
          <w:tab w:pos="1369" w:val="left" w:leader="none"/>
        </w:tabs>
        <w:spacing w:line="240" w:lineRule="auto" w:before="0" w:after="0"/>
        <w:ind w:left="1368" w:right="0" w:hanging="721"/>
        <w:jc w:val="left"/>
        <w:rPr>
          <w:b/>
          <w:sz w:val="24"/>
        </w:rPr>
      </w:pPr>
      <w:r>
        <w:rPr>
          <w:b/>
          <w:sz w:val="24"/>
        </w:rPr>
        <w:t>Materials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equipments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ListParagraph"/>
        <w:numPr>
          <w:ilvl w:val="0"/>
          <w:numId w:val="27"/>
        </w:numPr>
        <w:tabs>
          <w:tab w:pos="1368" w:val="left" w:leader="none"/>
          <w:tab w:pos="1369" w:val="left" w:leader="none"/>
        </w:tabs>
        <w:spacing w:line="240" w:lineRule="auto" w:before="0" w:after="0"/>
        <w:ind w:left="1368" w:right="0" w:hanging="721"/>
        <w:jc w:val="left"/>
        <w:rPr>
          <w:sz w:val="24"/>
        </w:rPr>
      </w:pPr>
      <w:r>
        <w:rPr>
          <w:sz w:val="24"/>
        </w:rPr>
        <w:t>Beaker</w:t>
      </w:r>
    </w:p>
    <w:p>
      <w:pPr>
        <w:pStyle w:val="BodyText"/>
      </w:pPr>
    </w:p>
    <w:p>
      <w:pPr>
        <w:pStyle w:val="ListParagraph"/>
        <w:numPr>
          <w:ilvl w:val="0"/>
          <w:numId w:val="27"/>
        </w:numPr>
        <w:tabs>
          <w:tab w:pos="1368" w:val="left" w:leader="none"/>
          <w:tab w:pos="1369" w:val="left" w:leader="none"/>
        </w:tabs>
        <w:spacing w:line="240" w:lineRule="auto" w:before="0" w:after="0"/>
        <w:ind w:left="1368" w:right="0" w:hanging="721"/>
        <w:jc w:val="left"/>
        <w:rPr>
          <w:sz w:val="24"/>
        </w:rPr>
      </w:pPr>
      <w:r>
        <w:rPr>
          <w:sz w:val="24"/>
        </w:rPr>
        <w:t>Sample</w:t>
      </w:r>
      <w:r>
        <w:rPr>
          <w:spacing w:val="-2"/>
          <w:sz w:val="24"/>
        </w:rPr>
        <w:t> </w:t>
      </w:r>
      <w:r>
        <w:rPr>
          <w:sz w:val="24"/>
        </w:rPr>
        <w:t>bottles</w:t>
      </w:r>
    </w:p>
    <w:p>
      <w:pPr>
        <w:pStyle w:val="BodyText"/>
      </w:pPr>
    </w:p>
    <w:p>
      <w:pPr>
        <w:pStyle w:val="ListParagraph"/>
        <w:numPr>
          <w:ilvl w:val="0"/>
          <w:numId w:val="27"/>
        </w:numPr>
        <w:tabs>
          <w:tab w:pos="1368" w:val="left" w:leader="none"/>
          <w:tab w:pos="1369" w:val="left" w:leader="none"/>
        </w:tabs>
        <w:spacing w:line="240" w:lineRule="auto" w:before="0" w:after="0"/>
        <w:ind w:left="1368" w:right="0" w:hanging="721"/>
        <w:jc w:val="left"/>
        <w:rPr>
          <w:sz w:val="24"/>
        </w:rPr>
      </w:pPr>
      <w:r>
        <w:rPr>
          <w:sz w:val="24"/>
        </w:rPr>
        <w:t>Electroconvulsive</w:t>
      </w:r>
      <w:r>
        <w:rPr>
          <w:spacing w:val="-2"/>
          <w:sz w:val="24"/>
        </w:rPr>
        <w:t> </w:t>
      </w:r>
      <w:r>
        <w:rPr>
          <w:sz w:val="24"/>
        </w:rPr>
        <w:t>machine</w:t>
      </w:r>
      <w:r>
        <w:rPr>
          <w:spacing w:val="-1"/>
          <w:sz w:val="24"/>
        </w:rPr>
        <w:t> </w:t>
      </w:r>
      <w:r>
        <w:rPr>
          <w:sz w:val="24"/>
        </w:rPr>
        <w:t>(ugo basile,</w:t>
      </w:r>
      <w:r>
        <w:rPr>
          <w:spacing w:val="-1"/>
          <w:sz w:val="24"/>
        </w:rPr>
        <w:t> </w:t>
      </w:r>
      <w:r>
        <w:rPr>
          <w:sz w:val="24"/>
        </w:rPr>
        <w:t>model</w:t>
      </w:r>
      <w:r>
        <w:rPr>
          <w:spacing w:val="-1"/>
          <w:sz w:val="24"/>
        </w:rPr>
        <w:t> </w:t>
      </w:r>
      <w:r>
        <w:rPr>
          <w:sz w:val="24"/>
        </w:rPr>
        <w:t>no.</w:t>
      </w:r>
      <w:r>
        <w:rPr>
          <w:spacing w:val="1"/>
          <w:sz w:val="24"/>
        </w:rPr>
        <w:t> </w:t>
      </w:r>
      <w:r>
        <w:rPr>
          <w:sz w:val="24"/>
        </w:rPr>
        <w:t>7801)</w:t>
      </w:r>
    </w:p>
    <w:p>
      <w:pPr>
        <w:pStyle w:val="BodyText"/>
      </w:pPr>
    </w:p>
    <w:p>
      <w:pPr>
        <w:pStyle w:val="ListParagraph"/>
        <w:numPr>
          <w:ilvl w:val="0"/>
          <w:numId w:val="27"/>
        </w:numPr>
        <w:tabs>
          <w:tab w:pos="1368" w:val="left" w:leader="none"/>
          <w:tab w:pos="1369" w:val="left" w:leader="none"/>
        </w:tabs>
        <w:spacing w:line="240" w:lineRule="auto" w:before="0" w:after="0"/>
        <w:ind w:left="1368" w:right="0" w:hanging="721"/>
        <w:jc w:val="left"/>
        <w:rPr>
          <w:sz w:val="24"/>
        </w:rPr>
      </w:pPr>
      <w:r>
        <w:rPr>
          <w:sz w:val="24"/>
        </w:rPr>
        <w:t>Evaporation</w:t>
      </w:r>
      <w:r>
        <w:rPr>
          <w:spacing w:val="-2"/>
          <w:sz w:val="24"/>
        </w:rPr>
        <w:t> </w:t>
      </w:r>
      <w:r>
        <w:rPr>
          <w:sz w:val="24"/>
        </w:rPr>
        <w:t>disc</w:t>
      </w:r>
    </w:p>
    <w:p>
      <w:pPr>
        <w:pStyle w:val="BodyText"/>
      </w:pPr>
    </w:p>
    <w:p>
      <w:pPr>
        <w:pStyle w:val="ListParagraph"/>
        <w:numPr>
          <w:ilvl w:val="0"/>
          <w:numId w:val="27"/>
        </w:numPr>
        <w:tabs>
          <w:tab w:pos="1368" w:val="left" w:leader="none"/>
          <w:tab w:pos="1369" w:val="left" w:leader="none"/>
        </w:tabs>
        <w:spacing w:line="240" w:lineRule="auto" w:before="1" w:after="0"/>
        <w:ind w:left="1368" w:right="0" w:hanging="721"/>
        <w:jc w:val="left"/>
        <w:rPr>
          <w:sz w:val="24"/>
        </w:rPr>
      </w:pPr>
      <w:r>
        <w:rPr>
          <w:i/>
          <w:sz w:val="24"/>
        </w:rPr>
        <w:t>Diospyros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mespiliformis</w:t>
      </w:r>
      <w:r>
        <w:rPr>
          <w:i/>
          <w:spacing w:val="-1"/>
          <w:sz w:val="24"/>
        </w:rPr>
        <w:t> </w:t>
      </w:r>
      <w:r>
        <w:rPr>
          <w:sz w:val="24"/>
        </w:rPr>
        <w:t>leaves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0"/>
          <w:numId w:val="27"/>
        </w:numPr>
        <w:tabs>
          <w:tab w:pos="1368" w:val="left" w:leader="none"/>
          <w:tab w:pos="1369" w:val="left" w:leader="none"/>
        </w:tabs>
        <w:spacing w:line="240" w:lineRule="auto" w:before="0" w:after="0"/>
        <w:ind w:left="1368" w:right="0" w:hanging="721"/>
        <w:jc w:val="left"/>
        <w:rPr>
          <w:sz w:val="24"/>
        </w:rPr>
      </w:pPr>
      <w:r>
        <w:rPr>
          <w:sz w:val="24"/>
        </w:rPr>
        <w:t>Filter</w:t>
      </w:r>
      <w:r>
        <w:rPr>
          <w:spacing w:val="-3"/>
          <w:sz w:val="24"/>
        </w:rPr>
        <w:t> </w:t>
      </w:r>
      <w:r>
        <w:rPr>
          <w:sz w:val="24"/>
        </w:rPr>
        <w:t>paper</w:t>
      </w:r>
    </w:p>
    <w:p>
      <w:pPr>
        <w:pStyle w:val="BodyText"/>
      </w:pPr>
    </w:p>
    <w:p>
      <w:pPr>
        <w:pStyle w:val="ListParagraph"/>
        <w:numPr>
          <w:ilvl w:val="0"/>
          <w:numId w:val="27"/>
        </w:numPr>
        <w:tabs>
          <w:tab w:pos="1368" w:val="left" w:leader="none"/>
          <w:tab w:pos="1369" w:val="left" w:leader="none"/>
        </w:tabs>
        <w:spacing w:line="240" w:lineRule="auto" w:before="0" w:after="0"/>
        <w:ind w:left="1368" w:right="0" w:hanging="721"/>
        <w:jc w:val="left"/>
        <w:rPr>
          <w:sz w:val="24"/>
        </w:rPr>
      </w:pPr>
      <w:r>
        <w:rPr>
          <w:sz w:val="24"/>
        </w:rPr>
        <w:t>Funnel</w:t>
      </w:r>
    </w:p>
    <w:p>
      <w:pPr>
        <w:pStyle w:val="BodyText"/>
      </w:pPr>
    </w:p>
    <w:p>
      <w:pPr>
        <w:pStyle w:val="ListParagraph"/>
        <w:numPr>
          <w:ilvl w:val="0"/>
          <w:numId w:val="27"/>
        </w:numPr>
        <w:tabs>
          <w:tab w:pos="1368" w:val="left" w:leader="none"/>
          <w:tab w:pos="1369" w:val="left" w:leader="none"/>
        </w:tabs>
        <w:spacing w:line="240" w:lineRule="auto" w:before="0" w:after="0"/>
        <w:ind w:left="1368" w:right="0" w:hanging="721"/>
        <w:jc w:val="left"/>
        <w:rPr>
          <w:sz w:val="24"/>
        </w:rPr>
      </w:pPr>
      <w:r>
        <w:rPr>
          <w:sz w:val="24"/>
        </w:rPr>
        <w:t>Metler</w:t>
      </w:r>
      <w:r>
        <w:rPr>
          <w:spacing w:val="-1"/>
          <w:sz w:val="24"/>
        </w:rPr>
        <w:t> </w:t>
      </w:r>
      <w:r>
        <w:rPr>
          <w:sz w:val="24"/>
        </w:rPr>
        <w:t>balance</w:t>
      </w:r>
      <w:r>
        <w:rPr>
          <w:spacing w:val="-2"/>
          <w:sz w:val="24"/>
        </w:rPr>
        <w:t> </w:t>
      </w:r>
      <w:r>
        <w:rPr>
          <w:sz w:val="24"/>
        </w:rPr>
        <w:t>(P</w:t>
      </w:r>
      <w:r>
        <w:rPr>
          <w:spacing w:val="-1"/>
          <w:sz w:val="24"/>
        </w:rPr>
        <w:t> </w:t>
      </w:r>
      <w:r>
        <w:rPr>
          <w:sz w:val="24"/>
        </w:rPr>
        <w:t>162</w:t>
      </w:r>
      <w:r>
        <w:rPr>
          <w:spacing w:val="-1"/>
          <w:sz w:val="24"/>
        </w:rPr>
        <w:t> </w:t>
      </w:r>
      <w:r>
        <w:rPr>
          <w:sz w:val="24"/>
        </w:rPr>
        <w:t>Gallenkamp,</w:t>
      </w:r>
      <w:r>
        <w:rPr>
          <w:spacing w:val="-1"/>
          <w:sz w:val="24"/>
        </w:rPr>
        <w:t> </w:t>
      </w:r>
      <w:r>
        <w:rPr>
          <w:sz w:val="24"/>
        </w:rPr>
        <w:t>UK)</w:t>
      </w:r>
    </w:p>
    <w:p>
      <w:pPr>
        <w:pStyle w:val="BodyText"/>
      </w:pPr>
    </w:p>
    <w:p>
      <w:pPr>
        <w:pStyle w:val="ListParagraph"/>
        <w:numPr>
          <w:ilvl w:val="0"/>
          <w:numId w:val="27"/>
        </w:numPr>
        <w:tabs>
          <w:tab w:pos="1368" w:val="left" w:leader="none"/>
          <w:tab w:pos="1369" w:val="left" w:leader="none"/>
        </w:tabs>
        <w:spacing w:line="240" w:lineRule="auto" w:before="0" w:after="0"/>
        <w:ind w:left="1368" w:right="0" w:hanging="721"/>
        <w:jc w:val="left"/>
        <w:rPr>
          <w:sz w:val="24"/>
        </w:rPr>
      </w:pPr>
      <w:r>
        <w:rPr>
          <w:sz w:val="24"/>
        </w:rPr>
        <w:t>Mortar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pestle</w:t>
      </w:r>
    </w:p>
    <w:p>
      <w:pPr>
        <w:pStyle w:val="BodyText"/>
      </w:pPr>
    </w:p>
    <w:p>
      <w:pPr>
        <w:pStyle w:val="ListParagraph"/>
        <w:numPr>
          <w:ilvl w:val="0"/>
          <w:numId w:val="27"/>
        </w:numPr>
        <w:tabs>
          <w:tab w:pos="1368" w:val="left" w:leader="none"/>
          <w:tab w:pos="1369" w:val="left" w:leader="none"/>
        </w:tabs>
        <w:spacing w:line="240" w:lineRule="auto" w:before="1" w:after="0"/>
        <w:ind w:left="1368" w:right="0" w:hanging="721"/>
        <w:jc w:val="left"/>
        <w:rPr>
          <w:sz w:val="24"/>
        </w:rPr>
      </w:pPr>
      <w:r>
        <w:rPr>
          <w:sz w:val="24"/>
        </w:rPr>
        <w:t>Plastic</w:t>
      </w:r>
      <w:r>
        <w:rPr>
          <w:spacing w:val="-2"/>
          <w:sz w:val="24"/>
        </w:rPr>
        <w:t> </w:t>
      </w:r>
      <w:r>
        <w:rPr>
          <w:sz w:val="24"/>
        </w:rPr>
        <w:t>animal</w:t>
      </w:r>
      <w:r>
        <w:rPr>
          <w:spacing w:val="-2"/>
          <w:sz w:val="24"/>
        </w:rPr>
        <w:t> </w:t>
      </w:r>
      <w:r>
        <w:rPr>
          <w:sz w:val="24"/>
        </w:rPr>
        <w:t>cages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0"/>
          <w:numId w:val="27"/>
        </w:numPr>
        <w:tabs>
          <w:tab w:pos="1368" w:val="left" w:leader="none"/>
          <w:tab w:pos="1369" w:val="left" w:leader="none"/>
        </w:tabs>
        <w:spacing w:line="240" w:lineRule="auto" w:before="0" w:after="0"/>
        <w:ind w:left="1368" w:right="0" w:hanging="721"/>
        <w:jc w:val="left"/>
        <w:rPr>
          <w:sz w:val="24"/>
        </w:rPr>
      </w:pPr>
      <w:r>
        <w:rPr>
          <w:sz w:val="24"/>
        </w:rPr>
        <w:t>Spatula</w:t>
      </w:r>
    </w:p>
    <w:p>
      <w:pPr>
        <w:pStyle w:val="BodyText"/>
      </w:pPr>
    </w:p>
    <w:p>
      <w:pPr>
        <w:pStyle w:val="ListParagraph"/>
        <w:numPr>
          <w:ilvl w:val="0"/>
          <w:numId w:val="27"/>
        </w:numPr>
        <w:tabs>
          <w:tab w:pos="1368" w:val="left" w:leader="none"/>
          <w:tab w:pos="1369" w:val="left" w:leader="none"/>
        </w:tabs>
        <w:spacing w:line="240" w:lineRule="auto" w:before="0" w:after="0"/>
        <w:ind w:left="1368" w:right="0" w:hanging="721"/>
        <w:jc w:val="left"/>
        <w:rPr>
          <w:sz w:val="24"/>
        </w:rPr>
      </w:pPr>
      <w:r>
        <w:rPr>
          <w:sz w:val="24"/>
        </w:rPr>
        <w:t>Stop</w:t>
      </w:r>
      <w:r>
        <w:rPr>
          <w:spacing w:val="-1"/>
          <w:sz w:val="24"/>
        </w:rPr>
        <w:t> </w:t>
      </w:r>
      <w:r>
        <w:rPr>
          <w:sz w:val="24"/>
        </w:rPr>
        <w:t>watch</w:t>
      </w:r>
    </w:p>
    <w:p>
      <w:pPr>
        <w:pStyle w:val="BodyText"/>
      </w:pPr>
    </w:p>
    <w:p>
      <w:pPr>
        <w:pStyle w:val="ListParagraph"/>
        <w:numPr>
          <w:ilvl w:val="0"/>
          <w:numId w:val="27"/>
        </w:numPr>
        <w:tabs>
          <w:tab w:pos="1368" w:val="left" w:leader="none"/>
          <w:tab w:pos="1369" w:val="left" w:leader="none"/>
        </w:tabs>
        <w:spacing w:line="240" w:lineRule="auto" w:before="0" w:after="0"/>
        <w:ind w:left="1368" w:right="0" w:hanging="721"/>
        <w:jc w:val="left"/>
        <w:rPr>
          <w:sz w:val="24"/>
        </w:rPr>
      </w:pPr>
      <w:r>
        <w:rPr>
          <w:sz w:val="24"/>
        </w:rPr>
        <w:t>Syringe</w:t>
      </w:r>
      <w:r>
        <w:rPr>
          <w:spacing w:val="-2"/>
          <w:sz w:val="24"/>
        </w:rPr>
        <w:t> </w:t>
      </w:r>
      <w:r>
        <w:rPr>
          <w:sz w:val="24"/>
        </w:rPr>
        <w:t>and needles</w:t>
      </w:r>
      <w:r>
        <w:rPr>
          <w:spacing w:val="2"/>
          <w:sz w:val="24"/>
        </w:rPr>
        <w:t> </w:t>
      </w:r>
      <w:r>
        <w:rPr>
          <w:sz w:val="24"/>
        </w:rPr>
        <w:t>(1, 2,</w:t>
      </w:r>
      <w:r>
        <w:rPr>
          <w:spacing w:val="-1"/>
          <w:sz w:val="24"/>
        </w:rPr>
        <w:t> </w:t>
      </w:r>
      <w:r>
        <w:rPr>
          <w:sz w:val="24"/>
        </w:rPr>
        <w:t>5 and</w:t>
      </w:r>
      <w:r>
        <w:rPr>
          <w:spacing w:val="-1"/>
          <w:sz w:val="24"/>
        </w:rPr>
        <w:t> </w:t>
      </w:r>
      <w:r>
        <w:rPr>
          <w:sz w:val="24"/>
        </w:rPr>
        <w:t>10ml)</w:t>
      </w:r>
    </w:p>
    <w:p>
      <w:pPr>
        <w:pStyle w:val="BodyText"/>
      </w:pPr>
    </w:p>
    <w:p>
      <w:pPr>
        <w:pStyle w:val="ListParagraph"/>
        <w:numPr>
          <w:ilvl w:val="0"/>
          <w:numId w:val="27"/>
        </w:numPr>
        <w:tabs>
          <w:tab w:pos="1368" w:val="left" w:leader="none"/>
          <w:tab w:pos="1369" w:val="left" w:leader="none"/>
        </w:tabs>
        <w:spacing w:line="240" w:lineRule="auto" w:before="0" w:after="0"/>
        <w:ind w:left="1368" w:right="0" w:hanging="721"/>
        <w:jc w:val="left"/>
        <w:rPr>
          <w:sz w:val="24"/>
        </w:rPr>
      </w:pPr>
      <w:r>
        <w:rPr>
          <w:sz w:val="24"/>
        </w:rPr>
        <w:t>Water</w:t>
      </w:r>
      <w:r>
        <w:rPr>
          <w:spacing w:val="-3"/>
          <w:sz w:val="24"/>
        </w:rPr>
        <w:t> </w:t>
      </w:r>
      <w:r>
        <w:rPr>
          <w:sz w:val="24"/>
        </w:rPr>
        <w:t>bath</w:t>
      </w:r>
    </w:p>
    <w:p>
      <w:pPr>
        <w:pStyle w:val="BodyText"/>
      </w:pPr>
    </w:p>
    <w:p>
      <w:pPr>
        <w:pStyle w:val="ListParagraph"/>
        <w:numPr>
          <w:ilvl w:val="0"/>
          <w:numId w:val="27"/>
        </w:numPr>
        <w:tabs>
          <w:tab w:pos="1368" w:val="left" w:leader="none"/>
          <w:tab w:pos="1369" w:val="left" w:leader="none"/>
        </w:tabs>
        <w:spacing w:line="240" w:lineRule="auto" w:before="0" w:after="0"/>
        <w:ind w:left="1368" w:right="0" w:hanging="721"/>
        <w:jc w:val="left"/>
        <w:rPr>
          <w:sz w:val="24"/>
        </w:rPr>
      </w:pPr>
      <w:r>
        <w:rPr>
          <w:sz w:val="24"/>
        </w:rPr>
        <w:t>Weighing</w:t>
      </w:r>
      <w:r>
        <w:rPr>
          <w:spacing w:val="-3"/>
          <w:sz w:val="24"/>
        </w:rPr>
        <w:t> </w:t>
      </w:r>
      <w:r>
        <w:rPr>
          <w:sz w:val="24"/>
        </w:rPr>
        <w:t>balance</w:t>
      </w:r>
      <w:r>
        <w:rPr>
          <w:spacing w:val="-2"/>
          <w:sz w:val="24"/>
        </w:rPr>
        <w:t> </w:t>
      </w:r>
      <w:r>
        <w:rPr>
          <w:sz w:val="24"/>
        </w:rPr>
        <w:t>(Ohio,</w:t>
      </w:r>
      <w:r>
        <w:rPr>
          <w:spacing w:val="1"/>
          <w:sz w:val="24"/>
        </w:rPr>
        <w:t> </w:t>
      </w:r>
      <w:r>
        <w:rPr>
          <w:sz w:val="24"/>
        </w:rPr>
        <w:t>New</w:t>
      </w:r>
      <w:r>
        <w:rPr>
          <w:spacing w:val="-1"/>
          <w:sz w:val="24"/>
        </w:rPr>
        <w:t> </w:t>
      </w:r>
      <w:r>
        <w:rPr>
          <w:sz w:val="24"/>
        </w:rPr>
        <w:t>York</w:t>
      </w:r>
      <w:r>
        <w:rPr>
          <w:spacing w:val="1"/>
          <w:sz w:val="24"/>
        </w:rPr>
        <w:t> </w:t>
      </w:r>
      <w:r>
        <w:rPr>
          <w:sz w:val="24"/>
        </w:rPr>
        <w:t>USA)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27"/>
        </w:numPr>
        <w:tabs>
          <w:tab w:pos="1327" w:val="left" w:leader="none"/>
          <w:tab w:pos="1328" w:val="left" w:leader="none"/>
        </w:tabs>
        <w:spacing w:line="240" w:lineRule="auto" w:before="0" w:after="0"/>
        <w:ind w:left="1327" w:right="0" w:hanging="680"/>
        <w:jc w:val="left"/>
        <w:rPr>
          <w:sz w:val="24"/>
        </w:rPr>
      </w:pPr>
      <w:r>
        <w:rPr>
          <w:sz w:val="24"/>
        </w:rPr>
        <w:t>RT-9200</w:t>
      </w:r>
      <w:r>
        <w:rPr>
          <w:spacing w:val="-1"/>
          <w:sz w:val="24"/>
        </w:rPr>
        <w:t> </w:t>
      </w:r>
      <w:r>
        <w:rPr>
          <w:sz w:val="24"/>
        </w:rPr>
        <w:t>semi-auto</w:t>
      </w:r>
      <w:r>
        <w:rPr>
          <w:spacing w:val="-1"/>
          <w:sz w:val="24"/>
        </w:rPr>
        <w:t> </w:t>
      </w:r>
      <w:r>
        <w:rPr>
          <w:sz w:val="24"/>
        </w:rPr>
        <w:t>chemistry</w:t>
      </w:r>
      <w:r>
        <w:rPr>
          <w:spacing w:val="-4"/>
          <w:sz w:val="24"/>
        </w:rPr>
        <w:t> </w:t>
      </w:r>
      <w:r>
        <w:rPr>
          <w:sz w:val="24"/>
        </w:rPr>
        <w:t>analyser</w:t>
      </w:r>
    </w:p>
    <w:p>
      <w:pPr>
        <w:pStyle w:val="BodyText"/>
      </w:pPr>
    </w:p>
    <w:p>
      <w:pPr>
        <w:pStyle w:val="ListParagraph"/>
        <w:numPr>
          <w:ilvl w:val="0"/>
          <w:numId w:val="27"/>
        </w:numPr>
        <w:tabs>
          <w:tab w:pos="1447" w:val="left" w:leader="none"/>
          <w:tab w:pos="1448" w:val="left" w:leader="none"/>
        </w:tabs>
        <w:spacing w:line="240" w:lineRule="auto" w:before="0" w:after="0"/>
        <w:ind w:left="1447" w:right="0" w:hanging="800"/>
        <w:jc w:val="left"/>
        <w:rPr>
          <w:sz w:val="24"/>
        </w:rPr>
      </w:pPr>
      <w:r>
        <w:rPr>
          <w:sz w:val="24"/>
        </w:rPr>
        <w:t>AC</w:t>
      </w:r>
      <w:r>
        <w:rPr>
          <w:spacing w:val="-2"/>
          <w:sz w:val="24"/>
        </w:rPr>
        <w:t> </w:t>
      </w:r>
      <w:r>
        <w:rPr>
          <w:sz w:val="24"/>
        </w:rPr>
        <w:t>9900</w:t>
      </w:r>
      <w:r>
        <w:rPr>
          <w:spacing w:val="-1"/>
          <w:sz w:val="24"/>
        </w:rPr>
        <w:t> </w:t>
      </w:r>
      <w:r>
        <w:rPr>
          <w:sz w:val="24"/>
        </w:rPr>
        <w:t>Automatic</w:t>
      </w:r>
      <w:r>
        <w:rPr>
          <w:spacing w:val="-2"/>
          <w:sz w:val="24"/>
        </w:rPr>
        <w:t> </w:t>
      </w:r>
      <w:r>
        <w:rPr>
          <w:sz w:val="24"/>
        </w:rPr>
        <w:t>Electrolyte</w:t>
      </w:r>
      <w:r>
        <w:rPr>
          <w:spacing w:val="-1"/>
          <w:sz w:val="24"/>
        </w:rPr>
        <w:t> </w:t>
      </w:r>
      <w:r>
        <w:rPr>
          <w:sz w:val="24"/>
        </w:rPr>
        <w:t>Analyser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header="0" w:footer="792" w:top="1360" w:bottom="980" w:left="1080" w:right="760"/>
        </w:sectPr>
      </w:pPr>
    </w:p>
    <w:p>
      <w:pPr>
        <w:pStyle w:val="Heading1"/>
        <w:numPr>
          <w:ilvl w:val="2"/>
          <w:numId w:val="26"/>
        </w:numPr>
        <w:tabs>
          <w:tab w:pos="1368" w:val="left" w:leader="none"/>
          <w:tab w:pos="1369" w:val="left" w:leader="none"/>
        </w:tabs>
        <w:spacing w:line="240" w:lineRule="auto" w:before="76" w:after="0"/>
        <w:ind w:left="1368" w:right="0" w:hanging="721"/>
        <w:jc w:val="left"/>
      </w:pPr>
      <w:bookmarkStart w:name="_TOC_250034" w:id="27"/>
      <w:bookmarkEnd w:id="27"/>
      <w:r>
        <w:rPr/>
        <w:t>Chemicals/drugs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ListParagraph"/>
        <w:numPr>
          <w:ilvl w:val="0"/>
          <w:numId w:val="27"/>
        </w:numPr>
        <w:tabs>
          <w:tab w:pos="1368" w:val="left" w:leader="none"/>
          <w:tab w:pos="1369" w:val="left" w:leader="none"/>
        </w:tabs>
        <w:spacing w:line="240" w:lineRule="auto" w:before="1" w:after="0"/>
        <w:ind w:left="1368" w:right="0" w:hanging="721"/>
        <w:jc w:val="left"/>
        <w:rPr>
          <w:sz w:val="24"/>
        </w:rPr>
      </w:pPr>
      <w:r>
        <w:rPr>
          <w:sz w:val="24"/>
        </w:rPr>
        <w:t>Methanol</w:t>
      </w:r>
      <w:r>
        <w:rPr>
          <w:spacing w:val="-1"/>
          <w:sz w:val="24"/>
        </w:rPr>
        <w:t> </w:t>
      </w:r>
      <w:r>
        <w:rPr>
          <w:sz w:val="24"/>
        </w:rPr>
        <w:t>(BDH</w:t>
      </w:r>
      <w:r>
        <w:rPr>
          <w:spacing w:val="-3"/>
          <w:sz w:val="24"/>
        </w:rPr>
        <w:t> </w:t>
      </w:r>
      <w:r>
        <w:rPr>
          <w:sz w:val="24"/>
        </w:rPr>
        <w:t>chemicals</w:t>
      </w:r>
      <w:r>
        <w:rPr>
          <w:spacing w:val="-1"/>
          <w:sz w:val="24"/>
        </w:rPr>
        <w:t> </w:t>
      </w:r>
      <w:r>
        <w:rPr>
          <w:sz w:val="24"/>
        </w:rPr>
        <w:t>limited</w:t>
      </w:r>
      <w:r>
        <w:rPr>
          <w:spacing w:val="-2"/>
          <w:sz w:val="24"/>
        </w:rPr>
        <w:t> </w:t>
      </w:r>
      <w:r>
        <w:rPr>
          <w:sz w:val="24"/>
        </w:rPr>
        <w:t>Poole</w:t>
      </w:r>
      <w:r>
        <w:rPr>
          <w:spacing w:val="-2"/>
          <w:sz w:val="24"/>
        </w:rPr>
        <w:t> </w:t>
      </w:r>
      <w:r>
        <w:rPr>
          <w:sz w:val="24"/>
        </w:rPr>
        <w:t>England)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0"/>
          <w:numId w:val="27"/>
        </w:numPr>
        <w:tabs>
          <w:tab w:pos="1368" w:val="left" w:leader="none"/>
          <w:tab w:pos="1369" w:val="left" w:leader="none"/>
        </w:tabs>
        <w:spacing w:line="240" w:lineRule="auto" w:before="0" w:after="0"/>
        <w:ind w:left="1368" w:right="0" w:hanging="721"/>
        <w:jc w:val="left"/>
        <w:rPr>
          <w:sz w:val="24"/>
        </w:rPr>
      </w:pPr>
      <w:r>
        <w:rPr>
          <w:sz w:val="24"/>
        </w:rPr>
        <w:t>Chloroform</w:t>
      </w:r>
      <w:r>
        <w:rPr>
          <w:spacing w:val="-2"/>
          <w:sz w:val="24"/>
        </w:rPr>
        <w:t> </w:t>
      </w:r>
      <w:r>
        <w:rPr>
          <w:sz w:val="24"/>
        </w:rPr>
        <w:t>(Sigma</w:t>
      </w:r>
      <w:r>
        <w:rPr>
          <w:spacing w:val="-1"/>
          <w:sz w:val="24"/>
        </w:rPr>
        <w:t> </w:t>
      </w:r>
      <w:r>
        <w:rPr>
          <w:sz w:val="24"/>
        </w:rPr>
        <w:t>Chemical</w:t>
      </w:r>
      <w:r>
        <w:rPr>
          <w:spacing w:val="-1"/>
          <w:sz w:val="24"/>
        </w:rPr>
        <w:t> </w:t>
      </w:r>
      <w:r>
        <w:rPr>
          <w:sz w:val="24"/>
        </w:rPr>
        <w:t>CO., USA)</w:t>
      </w:r>
    </w:p>
    <w:p>
      <w:pPr>
        <w:pStyle w:val="BodyText"/>
      </w:pPr>
    </w:p>
    <w:p>
      <w:pPr>
        <w:pStyle w:val="ListParagraph"/>
        <w:numPr>
          <w:ilvl w:val="0"/>
          <w:numId w:val="27"/>
        </w:numPr>
        <w:tabs>
          <w:tab w:pos="1368" w:val="left" w:leader="none"/>
          <w:tab w:pos="1369" w:val="left" w:leader="none"/>
        </w:tabs>
        <w:spacing w:line="240" w:lineRule="auto" w:before="0" w:after="0"/>
        <w:ind w:left="1368" w:right="0" w:hanging="721"/>
        <w:jc w:val="left"/>
        <w:rPr>
          <w:sz w:val="24"/>
        </w:rPr>
      </w:pPr>
      <w:r>
        <w:rPr>
          <w:sz w:val="24"/>
        </w:rPr>
        <w:t>Pentylenetetrazole</w:t>
      </w:r>
      <w:r>
        <w:rPr>
          <w:spacing w:val="-2"/>
          <w:sz w:val="24"/>
        </w:rPr>
        <w:t> </w:t>
      </w:r>
      <w:r>
        <w:rPr>
          <w:sz w:val="24"/>
        </w:rPr>
        <w:t>(Sigma</w:t>
      </w:r>
      <w:r>
        <w:rPr>
          <w:spacing w:val="-3"/>
          <w:sz w:val="24"/>
        </w:rPr>
        <w:t> </w:t>
      </w:r>
      <w:r>
        <w:rPr>
          <w:sz w:val="24"/>
        </w:rPr>
        <w:t>Chemical</w:t>
      </w:r>
      <w:r>
        <w:rPr>
          <w:spacing w:val="1"/>
          <w:sz w:val="24"/>
        </w:rPr>
        <w:t> </w:t>
      </w:r>
      <w:r>
        <w:rPr>
          <w:sz w:val="24"/>
        </w:rPr>
        <w:t>Company,</w:t>
      </w:r>
      <w:r>
        <w:rPr>
          <w:spacing w:val="1"/>
          <w:sz w:val="24"/>
        </w:rPr>
        <w:t> </w:t>
      </w:r>
      <w:r>
        <w:rPr>
          <w:sz w:val="24"/>
        </w:rPr>
        <w:t>Louis,</w:t>
      </w:r>
      <w:r>
        <w:rPr>
          <w:spacing w:val="-2"/>
          <w:sz w:val="24"/>
        </w:rPr>
        <w:t> </w:t>
      </w:r>
      <w:r>
        <w:rPr>
          <w:sz w:val="24"/>
        </w:rPr>
        <w:t>MO.,,</w:t>
      </w:r>
      <w:r>
        <w:rPr>
          <w:spacing w:val="-2"/>
          <w:sz w:val="24"/>
        </w:rPr>
        <w:t> </w:t>
      </w:r>
      <w:r>
        <w:rPr>
          <w:sz w:val="24"/>
        </w:rPr>
        <w:t>USA)</w:t>
      </w:r>
    </w:p>
    <w:p>
      <w:pPr>
        <w:pStyle w:val="BodyText"/>
      </w:pPr>
    </w:p>
    <w:p>
      <w:pPr>
        <w:pStyle w:val="ListParagraph"/>
        <w:numPr>
          <w:ilvl w:val="0"/>
          <w:numId w:val="27"/>
        </w:numPr>
        <w:tabs>
          <w:tab w:pos="1368" w:val="left" w:leader="none"/>
          <w:tab w:pos="1369" w:val="left" w:leader="none"/>
        </w:tabs>
        <w:spacing w:line="240" w:lineRule="auto" w:before="0" w:after="0"/>
        <w:ind w:left="1368" w:right="0" w:hanging="721"/>
        <w:jc w:val="left"/>
        <w:rPr>
          <w:sz w:val="24"/>
        </w:rPr>
      </w:pPr>
      <w:r>
        <w:rPr>
          <w:sz w:val="24"/>
        </w:rPr>
        <w:t>4-Aminopyridine</w:t>
      </w:r>
      <w:r>
        <w:rPr>
          <w:spacing w:val="-1"/>
          <w:sz w:val="24"/>
        </w:rPr>
        <w:t> </w:t>
      </w:r>
      <w:r>
        <w:rPr>
          <w:sz w:val="24"/>
        </w:rPr>
        <w:t>(Sigma Chemical</w:t>
      </w:r>
      <w:r>
        <w:rPr>
          <w:spacing w:val="-2"/>
          <w:sz w:val="24"/>
        </w:rPr>
        <w:t> </w:t>
      </w:r>
      <w:r>
        <w:rPr>
          <w:sz w:val="24"/>
        </w:rPr>
        <w:t>Company</w:t>
      </w:r>
      <w:r>
        <w:rPr>
          <w:spacing w:val="-6"/>
          <w:sz w:val="24"/>
        </w:rPr>
        <w:t> </w:t>
      </w:r>
      <w:r>
        <w:rPr>
          <w:sz w:val="24"/>
        </w:rPr>
        <w:t>MO,</w:t>
      </w:r>
      <w:r>
        <w:rPr>
          <w:spacing w:val="-2"/>
          <w:sz w:val="24"/>
        </w:rPr>
        <w:t> </w:t>
      </w:r>
      <w:r>
        <w:rPr>
          <w:sz w:val="24"/>
        </w:rPr>
        <w:t>USA)</w:t>
      </w:r>
    </w:p>
    <w:p>
      <w:pPr>
        <w:pStyle w:val="BodyText"/>
      </w:pPr>
    </w:p>
    <w:p>
      <w:pPr>
        <w:pStyle w:val="ListParagraph"/>
        <w:numPr>
          <w:ilvl w:val="0"/>
          <w:numId w:val="27"/>
        </w:numPr>
        <w:tabs>
          <w:tab w:pos="1368" w:val="left" w:leader="none"/>
          <w:tab w:pos="1369" w:val="left" w:leader="none"/>
        </w:tabs>
        <w:spacing w:line="240" w:lineRule="auto" w:before="0" w:after="0"/>
        <w:ind w:left="1368" w:right="0" w:hanging="721"/>
        <w:jc w:val="left"/>
        <w:rPr>
          <w:sz w:val="24"/>
        </w:rPr>
      </w:pPr>
      <w:r>
        <w:rPr>
          <w:sz w:val="24"/>
        </w:rPr>
        <w:t>Strychnine</w:t>
      </w:r>
      <w:r>
        <w:rPr>
          <w:spacing w:val="-1"/>
          <w:sz w:val="24"/>
        </w:rPr>
        <w:t> </w:t>
      </w:r>
      <w:r>
        <w:rPr>
          <w:sz w:val="24"/>
        </w:rPr>
        <w:t>(Sigma</w:t>
      </w:r>
      <w:r>
        <w:rPr>
          <w:spacing w:val="-1"/>
          <w:sz w:val="24"/>
        </w:rPr>
        <w:t> </w:t>
      </w:r>
      <w:r>
        <w:rPr>
          <w:sz w:val="24"/>
        </w:rPr>
        <w:t>Chemical</w:t>
      </w:r>
      <w:r>
        <w:rPr>
          <w:spacing w:val="-2"/>
          <w:sz w:val="24"/>
        </w:rPr>
        <w:t> </w:t>
      </w:r>
      <w:r>
        <w:rPr>
          <w:sz w:val="24"/>
        </w:rPr>
        <w:t>Company</w:t>
      </w:r>
      <w:r>
        <w:rPr>
          <w:spacing w:val="-4"/>
          <w:sz w:val="24"/>
        </w:rPr>
        <w:t> </w:t>
      </w:r>
      <w:r>
        <w:rPr>
          <w:sz w:val="24"/>
        </w:rPr>
        <w:t>Louis</w:t>
      </w:r>
      <w:r>
        <w:rPr>
          <w:spacing w:val="-1"/>
          <w:sz w:val="24"/>
        </w:rPr>
        <w:t> </w:t>
      </w:r>
      <w:r>
        <w:rPr>
          <w:sz w:val="24"/>
        </w:rPr>
        <w:t>MO,</w:t>
      </w:r>
      <w:r>
        <w:rPr>
          <w:spacing w:val="-1"/>
          <w:sz w:val="24"/>
        </w:rPr>
        <w:t> </w:t>
      </w:r>
      <w:r>
        <w:rPr>
          <w:sz w:val="24"/>
        </w:rPr>
        <w:t>USA)</w:t>
      </w:r>
    </w:p>
    <w:p>
      <w:pPr>
        <w:pStyle w:val="BodyText"/>
      </w:pPr>
    </w:p>
    <w:p>
      <w:pPr>
        <w:pStyle w:val="ListParagraph"/>
        <w:numPr>
          <w:ilvl w:val="0"/>
          <w:numId w:val="27"/>
        </w:numPr>
        <w:tabs>
          <w:tab w:pos="1368" w:val="left" w:leader="none"/>
          <w:tab w:pos="1369" w:val="left" w:leader="none"/>
        </w:tabs>
        <w:spacing w:line="240" w:lineRule="auto" w:before="0" w:after="0"/>
        <w:ind w:left="1368" w:right="0" w:hanging="721"/>
        <w:jc w:val="left"/>
        <w:rPr>
          <w:sz w:val="24"/>
        </w:rPr>
      </w:pPr>
      <w:r>
        <w:rPr>
          <w:sz w:val="24"/>
        </w:rPr>
        <w:t>Phenytoin</w:t>
      </w:r>
      <w:r>
        <w:rPr>
          <w:spacing w:val="-2"/>
          <w:sz w:val="24"/>
        </w:rPr>
        <w:t> </w:t>
      </w:r>
      <w:r>
        <w:rPr>
          <w:sz w:val="24"/>
        </w:rPr>
        <w:t>sodium</w:t>
      </w:r>
      <w:r>
        <w:rPr>
          <w:spacing w:val="-2"/>
          <w:sz w:val="24"/>
        </w:rPr>
        <w:t> </w:t>
      </w:r>
      <w:r>
        <w:rPr>
          <w:sz w:val="24"/>
        </w:rPr>
        <w:t>(Mancare</w:t>
      </w:r>
      <w:r>
        <w:rPr>
          <w:spacing w:val="-4"/>
          <w:sz w:val="24"/>
        </w:rPr>
        <w:t> </w:t>
      </w:r>
      <w:r>
        <w:rPr>
          <w:sz w:val="24"/>
        </w:rPr>
        <w:t>pharmaceuticals</w:t>
      </w:r>
      <w:r>
        <w:rPr>
          <w:spacing w:val="-2"/>
          <w:sz w:val="24"/>
        </w:rPr>
        <w:t> </w:t>
      </w:r>
      <w:r>
        <w:rPr>
          <w:sz w:val="24"/>
        </w:rPr>
        <w:t>Pvt</w:t>
      </w:r>
      <w:r>
        <w:rPr>
          <w:spacing w:val="-1"/>
          <w:sz w:val="24"/>
        </w:rPr>
        <w:t> </w:t>
      </w:r>
      <w:r>
        <w:rPr>
          <w:sz w:val="24"/>
        </w:rPr>
        <w:t>Ltd India)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27"/>
        </w:numPr>
        <w:tabs>
          <w:tab w:pos="1368" w:val="left" w:leader="none"/>
          <w:tab w:pos="1369" w:val="left" w:leader="none"/>
        </w:tabs>
        <w:spacing w:line="240" w:lineRule="auto" w:before="0" w:after="0"/>
        <w:ind w:left="1368" w:right="0" w:hanging="721"/>
        <w:jc w:val="left"/>
        <w:rPr>
          <w:sz w:val="24"/>
        </w:rPr>
      </w:pPr>
      <w:r>
        <w:rPr>
          <w:sz w:val="24"/>
        </w:rPr>
        <w:t>Sodium</w:t>
      </w:r>
      <w:r>
        <w:rPr>
          <w:spacing w:val="-2"/>
          <w:sz w:val="24"/>
        </w:rPr>
        <w:t> </w:t>
      </w:r>
      <w:r>
        <w:rPr>
          <w:sz w:val="24"/>
        </w:rPr>
        <w:t>valproate</w:t>
      </w:r>
      <w:r>
        <w:rPr>
          <w:spacing w:val="-2"/>
          <w:sz w:val="24"/>
        </w:rPr>
        <w:t> </w:t>
      </w:r>
      <w:r>
        <w:rPr>
          <w:sz w:val="24"/>
        </w:rPr>
        <w:t>(Sanofi</w:t>
      </w:r>
      <w:r>
        <w:rPr>
          <w:spacing w:val="-2"/>
          <w:sz w:val="24"/>
        </w:rPr>
        <w:t> </w:t>
      </w:r>
      <w:r>
        <w:rPr>
          <w:sz w:val="24"/>
        </w:rPr>
        <w:t>Synthelabo</w:t>
      </w:r>
      <w:r>
        <w:rPr>
          <w:spacing w:val="-1"/>
          <w:sz w:val="24"/>
        </w:rPr>
        <w:t> </w:t>
      </w:r>
      <w:r>
        <w:rPr>
          <w:sz w:val="24"/>
        </w:rPr>
        <w:t>Ltd</w:t>
      </w:r>
      <w:r>
        <w:rPr>
          <w:spacing w:val="-1"/>
          <w:sz w:val="24"/>
        </w:rPr>
        <w:t> </w:t>
      </w:r>
      <w:r>
        <w:rPr>
          <w:sz w:val="24"/>
        </w:rPr>
        <w:t>UK)</w:t>
      </w:r>
    </w:p>
    <w:p>
      <w:pPr>
        <w:pStyle w:val="BodyText"/>
      </w:pPr>
    </w:p>
    <w:p>
      <w:pPr>
        <w:pStyle w:val="ListParagraph"/>
        <w:numPr>
          <w:ilvl w:val="0"/>
          <w:numId w:val="27"/>
        </w:numPr>
        <w:tabs>
          <w:tab w:pos="1368" w:val="left" w:leader="none"/>
          <w:tab w:pos="1369" w:val="left" w:leader="none"/>
        </w:tabs>
        <w:spacing w:line="240" w:lineRule="auto" w:before="0" w:after="0"/>
        <w:ind w:left="1368" w:right="0" w:hanging="721"/>
        <w:jc w:val="left"/>
        <w:rPr>
          <w:sz w:val="24"/>
        </w:rPr>
      </w:pPr>
      <w:r>
        <w:rPr>
          <w:sz w:val="24"/>
        </w:rPr>
        <w:t>Phenobarbitone</w:t>
      </w:r>
      <w:r>
        <w:rPr>
          <w:spacing w:val="-3"/>
          <w:sz w:val="24"/>
        </w:rPr>
        <w:t> </w:t>
      </w:r>
      <w:r>
        <w:rPr>
          <w:sz w:val="24"/>
        </w:rPr>
        <w:t>(Sterop, Belgium)</w:t>
      </w:r>
    </w:p>
    <w:p>
      <w:pPr>
        <w:pStyle w:val="BodyText"/>
      </w:pPr>
    </w:p>
    <w:p>
      <w:pPr>
        <w:pStyle w:val="ListParagraph"/>
        <w:numPr>
          <w:ilvl w:val="0"/>
          <w:numId w:val="27"/>
        </w:numPr>
        <w:tabs>
          <w:tab w:pos="1368" w:val="left" w:leader="none"/>
          <w:tab w:pos="1369" w:val="left" w:leader="none"/>
        </w:tabs>
        <w:spacing w:line="240" w:lineRule="auto" w:before="0" w:after="0"/>
        <w:ind w:left="1368" w:right="0" w:hanging="721"/>
        <w:jc w:val="left"/>
        <w:rPr>
          <w:sz w:val="24"/>
        </w:rPr>
      </w:pPr>
      <w:r>
        <w:rPr>
          <w:sz w:val="24"/>
        </w:rPr>
        <w:t>Sodium</w:t>
      </w:r>
      <w:r>
        <w:rPr>
          <w:spacing w:val="-1"/>
          <w:sz w:val="24"/>
        </w:rPr>
        <w:t> </w:t>
      </w:r>
      <w:r>
        <w:rPr>
          <w:sz w:val="24"/>
        </w:rPr>
        <w:t>Chloride</w:t>
      </w:r>
      <w:r>
        <w:rPr>
          <w:spacing w:val="-2"/>
          <w:sz w:val="24"/>
        </w:rPr>
        <w:t> </w:t>
      </w:r>
      <w:r>
        <w:rPr>
          <w:sz w:val="24"/>
        </w:rPr>
        <w:t>(Fisher Scientific</w:t>
      </w:r>
      <w:r>
        <w:rPr>
          <w:spacing w:val="-1"/>
          <w:sz w:val="24"/>
        </w:rPr>
        <w:t> </w:t>
      </w:r>
      <w:r>
        <w:rPr>
          <w:sz w:val="24"/>
        </w:rPr>
        <w:t>Co.</w:t>
      </w:r>
      <w:r>
        <w:rPr>
          <w:spacing w:val="-1"/>
          <w:sz w:val="24"/>
        </w:rPr>
        <w:t> </w:t>
      </w:r>
      <w:r>
        <w:rPr>
          <w:sz w:val="24"/>
        </w:rPr>
        <w:t>USA)</w:t>
      </w: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30"/>
        </w:rPr>
      </w:pPr>
    </w:p>
    <w:p>
      <w:pPr>
        <w:pStyle w:val="Heading1"/>
        <w:numPr>
          <w:ilvl w:val="2"/>
          <w:numId w:val="26"/>
        </w:numPr>
        <w:tabs>
          <w:tab w:pos="1368" w:val="left" w:leader="none"/>
          <w:tab w:pos="1369" w:val="left" w:leader="none"/>
        </w:tabs>
        <w:spacing w:line="240" w:lineRule="auto" w:before="0" w:after="0"/>
        <w:ind w:left="1368" w:right="0" w:hanging="721"/>
        <w:jc w:val="left"/>
      </w:pPr>
      <w:bookmarkStart w:name="_TOC_250033" w:id="28"/>
      <w:bookmarkEnd w:id="28"/>
      <w:r>
        <w:rPr/>
        <w:t>Animals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ListParagraph"/>
        <w:numPr>
          <w:ilvl w:val="0"/>
          <w:numId w:val="27"/>
        </w:numPr>
        <w:tabs>
          <w:tab w:pos="1368" w:val="left" w:leader="none"/>
          <w:tab w:pos="1369" w:val="left" w:leader="none"/>
        </w:tabs>
        <w:spacing w:line="240" w:lineRule="auto" w:before="0" w:after="0"/>
        <w:ind w:left="1368" w:right="0" w:hanging="721"/>
        <w:jc w:val="left"/>
        <w:rPr>
          <w:sz w:val="24"/>
        </w:rPr>
      </w:pPr>
      <w:r>
        <w:rPr>
          <w:sz w:val="24"/>
        </w:rPr>
        <w:t>Adult</w:t>
      </w:r>
      <w:r>
        <w:rPr>
          <w:spacing w:val="-1"/>
          <w:sz w:val="24"/>
        </w:rPr>
        <w:t> </w:t>
      </w:r>
      <w:r>
        <w:rPr>
          <w:sz w:val="24"/>
        </w:rPr>
        <w:t>Swiss</w:t>
      </w:r>
      <w:r>
        <w:rPr>
          <w:spacing w:val="-1"/>
          <w:sz w:val="24"/>
        </w:rPr>
        <w:t> </w:t>
      </w:r>
      <w:r>
        <w:rPr>
          <w:sz w:val="24"/>
        </w:rPr>
        <w:t>albino mice</w:t>
      </w:r>
      <w:r>
        <w:rPr>
          <w:spacing w:val="-2"/>
          <w:sz w:val="24"/>
        </w:rPr>
        <w:t> </w:t>
      </w:r>
      <w:r>
        <w:rPr>
          <w:sz w:val="24"/>
        </w:rPr>
        <w:t>(males and</w:t>
      </w:r>
      <w:r>
        <w:rPr>
          <w:spacing w:val="-1"/>
          <w:sz w:val="24"/>
        </w:rPr>
        <w:t> </w:t>
      </w:r>
      <w:r>
        <w:rPr>
          <w:sz w:val="24"/>
        </w:rPr>
        <w:t>females)</w:t>
      </w:r>
    </w:p>
    <w:p>
      <w:pPr>
        <w:pStyle w:val="BodyText"/>
      </w:pPr>
    </w:p>
    <w:p>
      <w:pPr>
        <w:pStyle w:val="ListParagraph"/>
        <w:numPr>
          <w:ilvl w:val="0"/>
          <w:numId w:val="27"/>
        </w:numPr>
        <w:tabs>
          <w:tab w:pos="1368" w:val="left" w:leader="none"/>
          <w:tab w:pos="1369" w:val="left" w:leader="none"/>
        </w:tabs>
        <w:spacing w:line="240" w:lineRule="auto" w:before="0" w:after="0"/>
        <w:ind w:left="1368" w:right="0" w:hanging="721"/>
        <w:jc w:val="left"/>
        <w:rPr>
          <w:sz w:val="24"/>
        </w:rPr>
      </w:pPr>
      <w:r>
        <w:rPr>
          <w:sz w:val="24"/>
        </w:rPr>
        <w:t>Adult</w:t>
      </w:r>
      <w:r>
        <w:rPr>
          <w:spacing w:val="-1"/>
          <w:sz w:val="24"/>
        </w:rPr>
        <w:t> </w:t>
      </w:r>
      <w:r>
        <w:rPr>
          <w:sz w:val="24"/>
        </w:rPr>
        <w:t>Wistar</w:t>
      </w:r>
      <w:r>
        <w:rPr>
          <w:spacing w:val="-1"/>
          <w:sz w:val="24"/>
        </w:rPr>
        <w:t> </w:t>
      </w:r>
      <w:r>
        <w:rPr>
          <w:sz w:val="24"/>
        </w:rPr>
        <w:t>rats</w:t>
      </w:r>
      <w:r>
        <w:rPr>
          <w:spacing w:val="-1"/>
          <w:sz w:val="24"/>
        </w:rPr>
        <w:t> </w:t>
      </w:r>
      <w:r>
        <w:rPr>
          <w:sz w:val="24"/>
        </w:rPr>
        <w:t>(males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females)</w:t>
      </w:r>
    </w:p>
    <w:p>
      <w:pPr>
        <w:pStyle w:val="BodyText"/>
      </w:pPr>
    </w:p>
    <w:p>
      <w:pPr>
        <w:pStyle w:val="ListParagraph"/>
        <w:numPr>
          <w:ilvl w:val="0"/>
          <w:numId w:val="27"/>
        </w:numPr>
        <w:tabs>
          <w:tab w:pos="1368" w:val="left" w:leader="none"/>
          <w:tab w:pos="1369" w:val="left" w:leader="none"/>
        </w:tabs>
        <w:spacing w:line="240" w:lineRule="auto" w:before="0" w:after="0"/>
        <w:ind w:left="1368" w:right="0" w:hanging="721"/>
        <w:jc w:val="left"/>
        <w:rPr>
          <w:sz w:val="24"/>
        </w:rPr>
      </w:pPr>
      <w:r>
        <w:rPr>
          <w:sz w:val="24"/>
        </w:rPr>
        <w:t>Day</w:t>
      </w:r>
      <w:r>
        <w:rPr>
          <w:spacing w:val="-6"/>
          <w:sz w:val="24"/>
        </w:rPr>
        <w:t> </w:t>
      </w:r>
      <w:r>
        <w:rPr>
          <w:sz w:val="24"/>
        </w:rPr>
        <w:t>old cockerels</w:t>
      </w: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8"/>
        </w:rPr>
      </w:pPr>
    </w:p>
    <w:p>
      <w:pPr>
        <w:pStyle w:val="Heading1"/>
        <w:numPr>
          <w:ilvl w:val="1"/>
          <w:numId w:val="26"/>
        </w:numPr>
        <w:tabs>
          <w:tab w:pos="1368" w:val="left" w:leader="none"/>
          <w:tab w:pos="1369" w:val="left" w:leader="none"/>
        </w:tabs>
        <w:spacing w:line="240" w:lineRule="auto" w:before="0" w:after="0"/>
        <w:ind w:left="1368" w:right="0" w:hanging="721"/>
        <w:jc w:val="left"/>
      </w:pPr>
      <w:r>
        <w:rPr/>
        <w:t>Preparation</w:t>
      </w:r>
      <w:r>
        <w:rPr>
          <w:spacing w:val="-2"/>
        </w:rPr>
        <w:t> </w:t>
      </w:r>
      <w:r>
        <w:rPr/>
        <w:t>of</w:t>
      </w:r>
      <w:r>
        <w:rPr>
          <w:spacing w:val="1"/>
        </w:rPr>
        <w:t> </w:t>
      </w:r>
      <w:r>
        <w:rPr/>
        <w:t>Plant</w:t>
      </w:r>
      <w:r>
        <w:rPr>
          <w:spacing w:val="-4"/>
        </w:rPr>
        <w:t> </w:t>
      </w:r>
      <w:r>
        <w:rPr/>
        <w:t>Extract</w:t>
      </w:r>
    </w:p>
    <w:p>
      <w:pPr>
        <w:pStyle w:val="BodyText"/>
        <w:rPr>
          <w:b/>
        </w:rPr>
      </w:pPr>
    </w:p>
    <w:p>
      <w:pPr>
        <w:pStyle w:val="Heading1"/>
        <w:numPr>
          <w:ilvl w:val="2"/>
          <w:numId w:val="26"/>
        </w:numPr>
        <w:tabs>
          <w:tab w:pos="1369" w:val="left" w:leader="none"/>
        </w:tabs>
        <w:spacing w:line="240" w:lineRule="auto" w:before="0" w:after="0"/>
        <w:ind w:left="1368" w:right="0" w:hanging="721"/>
        <w:jc w:val="both"/>
      </w:pPr>
      <w:bookmarkStart w:name="_TOC_250032" w:id="29"/>
      <w:r>
        <w:rPr/>
        <w:t>Collection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identification of</w:t>
      </w:r>
      <w:r>
        <w:rPr>
          <w:spacing w:val="-1"/>
        </w:rPr>
        <w:t> </w:t>
      </w:r>
      <w:r>
        <w:rPr/>
        <w:t>plant</w:t>
      </w:r>
      <w:r>
        <w:rPr>
          <w:spacing w:val="-2"/>
        </w:rPr>
        <w:t> </w:t>
      </w:r>
      <w:bookmarkEnd w:id="29"/>
      <w:r>
        <w:rPr/>
        <w:t>materials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648" w:right="675"/>
        <w:jc w:val="both"/>
      </w:pPr>
      <w:r>
        <w:rPr/>
        <w:t>The plant sample of Diospyros </w:t>
      </w:r>
      <w:r>
        <w:rPr>
          <w:i/>
        </w:rPr>
        <w:t>Mespiliformis </w:t>
      </w:r>
      <w:r>
        <w:rPr/>
        <w:t>was collected in February, 2011 from Dembo</w:t>
      </w:r>
      <w:r>
        <w:rPr>
          <w:spacing w:val="1"/>
        </w:rPr>
        <w:t> </w:t>
      </w:r>
      <w:r>
        <w:rPr/>
        <w:t>village in Zaria Local Government area of Kaduna State, Northern Nigeria. The plant was</w:t>
      </w:r>
      <w:r>
        <w:rPr>
          <w:spacing w:val="1"/>
        </w:rPr>
        <w:t> </w:t>
      </w:r>
      <w:r>
        <w:rPr/>
        <w:t>taken to the Herbarium section of the Department of Biological Sciences, Ahmadu Bello</w:t>
      </w:r>
      <w:r>
        <w:rPr>
          <w:spacing w:val="1"/>
        </w:rPr>
        <w:t> </w:t>
      </w:r>
      <w:r>
        <w:rPr/>
        <w:t>University,</w:t>
      </w:r>
      <w:r>
        <w:rPr>
          <w:spacing w:val="1"/>
        </w:rPr>
        <w:t> </w:t>
      </w:r>
      <w:r>
        <w:rPr/>
        <w:t>Zaria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taxonomic</w:t>
      </w:r>
      <w:r>
        <w:rPr>
          <w:spacing w:val="1"/>
        </w:rPr>
        <w:t> </w:t>
      </w:r>
      <w:r>
        <w:rPr/>
        <w:t>identification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authentication.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done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Botanist,</w:t>
      </w:r>
      <w:r>
        <w:rPr>
          <w:spacing w:val="1"/>
        </w:rPr>
        <w:t> </w:t>
      </w:r>
      <w:r>
        <w:rPr/>
        <w:t>Mallam</w:t>
      </w:r>
      <w:r>
        <w:rPr>
          <w:spacing w:val="1"/>
        </w:rPr>
        <w:t> </w:t>
      </w:r>
      <w:r>
        <w:rPr/>
        <w:t>Umar</w:t>
      </w:r>
      <w:r>
        <w:rPr>
          <w:spacing w:val="1"/>
        </w:rPr>
        <w:t> </w:t>
      </w:r>
      <w:r>
        <w:rPr/>
        <w:t>Gallah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herbarium</w:t>
      </w:r>
      <w:r>
        <w:rPr>
          <w:spacing w:val="1"/>
        </w:rPr>
        <w:t> </w:t>
      </w:r>
      <w:r>
        <w:rPr/>
        <w:t>section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comparison</w:t>
      </w:r>
      <w:r>
        <w:rPr>
          <w:spacing w:val="1"/>
        </w:rPr>
        <w:t> </w:t>
      </w:r>
      <w:r>
        <w:rPr/>
        <w:t>with</w:t>
      </w:r>
      <w:r>
        <w:rPr>
          <w:spacing w:val="60"/>
        </w:rPr>
        <w:t> </w:t>
      </w:r>
      <w:r>
        <w:rPr/>
        <w:t>already</w:t>
      </w:r>
      <w:r>
        <w:rPr>
          <w:spacing w:val="1"/>
        </w:rPr>
        <w:t> </w:t>
      </w:r>
      <w:r>
        <w:rPr/>
        <w:t>deposited</w:t>
      </w:r>
      <w:r>
        <w:rPr>
          <w:spacing w:val="-1"/>
        </w:rPr>
        <w:t> </w:t>
      </w:r>
      <w:r>
        <w:rPr/>
        <w:t>specimen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reference</w:t>
      </w:r>
      <w:r>
        <w:rPr>
          <w:spacing w:val="-1"/>
        </w:rPr>
        <w:t> </w:t>
      </w:r>
      <w:r>
        <w:rPr/>
        <w:t>number</w:t>
      </w:r>
      <w:r>
        <w:rPr>
          <w:spacing w:val="-2"/>
        </w:rPr>
        <w:t> </w:t>
      </w:r>
      <w:r>
        <w:rPr/>
        <w:t>1611</w:t>
      </w:r>
      <w:r>
        <w:rPr>
          <w:spacing w:val="1"/>
        </w:rPr>
        <w:t> </w:t>
      </w:r>
      <w:r>
        <w:rPr/>
        <w:t>for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purpose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future reference.</w:t>
      </w:r>
    </w:p>
    <w:p>
      <w:pPr>
        <w:spacing w:after="0" w:line="480" w:lineRule="auto"/>
        <w:jc w:val="both"/>
        <w:sectPr>
          <w:pgSz w:w="12240" w:h="15840"/>
          <w:pgMar w:header="0" w:footer="792" w:top="1360" w:bottom="980" w:left="1080" w:right="760"/>
        </w:sectPr>
      </w:pPr>
    </w:p>
    <w:p>
      <w:pPr>
        <w:pStyle w:val="Heading1"/>
        <w:numPr>
          <w:ilvl w:val="2"/>
          <w:numId w:val="26"/>
        </w:numPr>
        <w:tabs>
          <w:tab w:pos="1369" w:val="left" w:leader="none"/>
        </w:tabs>
        <w:spacing w:line="240" w:lineRule="auto" w:before="76" w:after="0"/>
        <w:ind w:left="1368" w:right="0" w:hanging="721"/>
        <w:jc w:val="both"/>
      </w:pPr>
      <w:r>
        <w:rPr/>
        <w:t>Preparation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plant</w:t>
      </w:r>
      <w:r>
        <w:rPr>
          <w:spacing w:val="-1"/>
        </w:rPr>
        <w:t> </w:t>
      </w:r>
      <w:r>
        <w:rPr/>
        <w:t>extract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 w:before="1"/>
        <w:ind w:left="648" w:right="677" w:firstLine="719"/>
        <w:jc w:val="both"/>
      </w:pPr>
      <w:r>
        <w:rPr/>
        <w:t>The</w:t>
      </w:r>
      <w:r>
        <w:rPr>
          <w:spacing w:val="46"/>
        </w:rPr>
        <w:t> </w:t>
      </w:r>
      <w:r>
        <w:rPr/>
        <w:t>plant</w:t>
      </w:r>
      <w:r>
        <w:rPr>
          <w:spacing w:val="49"/>
        </w:rPr>
        <w:t> </w:t>
      </w:r>
      <w:r>
        <w:rPr/>
        <w:t>material</w:t>
      </w:r>
      <w:r>
        <w:rPr>
          <w:spacing w:val="49"/>
        </w:rPr>
        <w:t> </w:t>
      </w:r>
      <w:r>
        <w:rPr/>
        <w:t>of</w:t>
      </w:r>
      <w:r>
        <w:rPr>
          <w:spacing w:val="49"/>
        </w:rPr>
        <w:t> </w:t>
      </w:r>
      <w:r>
        <w:rPr>
          <w:i/>
        </w:rPr>
        <w:t>Diospyros</w:t>
      </w:r>
      <w:r>
        <w:rPr>
          <w:i/>
          <w:spacing w:val="49"/>
        </w:rPr>
        <w:t> </w:t>
      </w:r>
      <w:r>
        <w:rPr>
          <w:i/>
        </w:rPr>
        <w:t>mespiliformis</w:t>
      </w:r>
      <w:r>
        <w:rPr>
          <w:i/>
          <w:spacing w:val="51"/>
        </w:rPr>
        <w:t> </w:t>
      </w:r>
      <w:r>
        <w:rPr/>
        <w:t>leaves</w:t>
      </w:r>
      <w:r>
        <w:rPr>
          <w:spacing w:val="49"/>
        </w:rPr>
        <w:t> </w:t>
      </w:r>
      <w:r>
        <w:rPr/>
        <w:t>were</w:t>
      </w:r>
      <w:r>
        <w:rPr>
          <w:spacing w:val="48"/>
        </w:rPr>
        <w:t> </w:t>
      </w:r>
      <w:r>
        <w:rPr/>
        <w:t>cleaned,</w:t>
      </w:r>
      <w:r>
        <w:rPr>
          <w:spacing w:val="51"/>
        </w:rPr>
        <w:t> </w:t>
      </w:r>
      <w:r>
        <w:rPr/>
        <w:t>air</w:t>
      </w:r>
      <w:r>
        <w:rPr>
          <w:spacing w:val="51"/>
        </w:rPr>
        <w:t> </w:t>
      </w:r>
      <w:r>
        <w:rPr/>
        <w:t>dried</w:t>
      </w:r>
      <w:r>
        <w:rPr>
          <w:spacing w:val="47"/>
        </w:rPr>
        <w:t> </w:t>
      </w:r>
      <w:r>
        <w:rPr/>
        <w:t>in</w:t>
      </w:r>
      <w:r>
        <w:rPr>
          <w:spacing w:val="49"/>
        </w:rPr>
        <w:t> </w:t>
      </w:r>
      <w:r>
        <w:rPr/>
        <w:t>a</w:t>
      </w:r>
      <w:r>
        <w:rPr>
          <w:spacing w:val="-57"/>
        </w:rPr>
        <w:t> </w:t>
      </w:r>
      <w:r>
        <w:rPr/>
        <w:t>shade for 7 days and then crushed into fine powder with a pestle and mortar.</w:t>
      </w:r>
      <w:r>
        <w:rPr>
          <w:spacing w:val="61"/>
        </w:rPr>
        <w:t> </w:t>
      </w:r>
      <w:r>
        <w:rPr/>
        <w:t>It weighed</w:t>
      </w:r>
      <w:r>
        <w:rPr>
          <w:spacing w:val="1"/>
        </w:rPr>
        <w:t> </w:t>
      </w:r>
      <w:r>
        <w:rPr/>
        <w:t>1326g</w:t>
      </w:r>
      <w:r>
        <w:rPr>
          <w:vertAlign w:val="subscript"/>
        </w:rPr>
        <w:t>;</w:t>
      </w:r>
      <w:r>
        <w:rPr>
          <w:vertAlign w:val="baseline"/>
        </w:rPr>
        <w:t> the whole mass was macerated with 7000ml of methanol (98%) for 72 hours with</w:t>
      </w:r>
      <w:r>
        <w:rPr>
          <w:spacing w:val="1"/>
          <w:vertAlign w:val="baseline"/>
        </w:rPr>
        <w:t> </w:t>
      </w:r>
      <w:r>
        <w:rPr>
          <w:vertAlign w:val="baseline"/>
        </w:rPr>
        <w:t>occasional</w:t>
      </w:r>
      <w:r>
        <w:rPr>
          <w:spacing w:val="1"/>
          <w:vertAlign w:val="baseline"/>
        </w:rPr>
        <w:t> </w:t>
      </w:r>
      <w:r>
        <w:rPr>
          <w:vertAlign w:val="baseline"/>
        </w:rPr>
        <w:t>mixing.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mixture</w:t>
      </w:r>
      <w:r>
        <w:rPr>
          <w:spacing w:val="1"/>
          <w:vertAlign w:val="baseline"/>
        </w:rPr>
        <w:t> </w:t>
      </w:r>
      <w:r>
        <w:rPr>
          <w:vertAlign w:val="baseline"/>
        </w:rPr>
        <w:t>was</w:t>
      </w:r>
      <w:r>
        <w:rPr>
          <w:spacing w:val="1"/>
          <w:vertAlign w:val="baseline"/>
        </w:rPr>
        <w:t> </w:t>
      </w:r>
      <w:r>
        <w:rPr>
          <w:vertAlign w:val="baseline"/>
        </w:rPr>
        <w:t>filtered</w:t>
      </w:r>
      <w:r>
        <w:rPr>
          <w:spacing w:val="1"/>
          <w:vertAlign w:val="baseline"/>
        </w:rPr>
        <w:t> </w:t>
      </w:r>
      <w:r>
        <w:rPr>
          <w:vertAlign w:val="baseline"/>
        </w:rPr>
        <w:t>using</w:t>
      </w:r>
      <w:r>
        <w:rPr>
          <w:spacing w:val="1"/>
          <w:vertAlign w:val="baseline"/>
        </w:rPr>
        <w:t> </w:t>
      </w:r>
      <w:r>
        <w:rPr>
          <w:vertAlign w:val="baseline"/>
        </w:rPr>
        <w:t>a</w:t>
      </w:r>
      <w:r>
        <w:rPr>
          <w:spacing w:val="1"/>
          <w:vertAlign w:val="baseline"/>
        </w:rPr>
        <w:t> </w:t>
      </w:r>
      <w:r>
        <w:rPr>
          <w:vertAlign w:val="baseline"/>
        </w:rPr>
        <w:t>filter</w:t>
      </w:r>
      <w:r>
        <w:rPr>
          <w:spacing w:val="1"/>
          <w:vertAlign w:val="baseline"/>
        </w:rPr>
        <w:t> </w:t>
      </w:r>
      <w:r>
        <w:rPr>
          <w:vertAlign w:val="baseline"/>
        </w:rPr>
        <w:t>paper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filterate</w:t>
      </w:r>
      <w:r>
        <w:rPr>
          <w:spacing w:val="1"/>
          <w:vertAlign w:val="baseline"/>
        </w:rPr>
        <w:t> </w:t>
      </w:r>
      <w:r>
        <w:rPr>
          <w:vertAlign w:val="baseline"/>
        </w:rPr>
        <w:t>was</w:t>
      </w:r>
      <w:r>
        <w:rPr>
          <w:spacing w:val="1"/>
          <w:vertAlign w:val="baseline"/>
        </w:rPr>
        <w:t> </w:t>
      </w:r>
      <w:r>
        <w:rPr>
          <w:vertAlign w:val="baseline"/>
        </w:rPr>
        <w:t>evaporated</w:t>
      </w:r>
      <w:r>
        <w:rPr>
          <w:spacing w:val="-1"/>
          <w:vertAlign w:val="baseline"/>
        </w:rPr>
        <w:t> </w:t>
      </w:r>
      <w:r>
        <w:rPr>
          <w:vertAlign w:val="baseline"/>
        </w:rPr>
        <w:t>using</w:t>
      </w:r>
      <w:r>
        <w:rPr>
          <w:spacing w:val="-1"/>
          <w:vertAlign w:val="baseline"/>
        </w:rPr>
        <w:t> </w:t>
      </w:r>
      <w:r>
        <w:rPr>
          <w:vertAlign w:val="baseline"/>
        </w:rPr>
        <w:t>water</w:t>
      </w:r>
      <w:r>
        <w:rPr>
          <w:spacing w:val="-2"/>
          <w:vertAlign w:val="baseline"/>
        </w:rPr>
        <w:t> </w:t>
      </w:r>
      <w:r>
        <w:rPr>
          <w:vertAlign w:val="baseline"/>
        </w:rPr>
        <w:t>bath at 60</w:t>
      </w:r>
      <w:r>
        <w:rPr>
          <w:vertAlign w:val="superscript"/>
        </w:rPr>
        <w:t>o</w:t>
      </w:r>
      <w:r>
        <w:rPr>
          <w:vertAlign w:val="baseline"/>
        </w:rPr>
        <w:t>C to constant weight.</w:t>
      </w:r>
    </w:p>
    <w:p>
      <w:pPr>
        <w:pStyle w:val="BodyText"/>
        <w:rPr>
          <w:sz w:val="30"/>
        </w:rPr>
      </w:pPr>
    </w:p>
    <w:p>
      <w:pPr>
        <w:pStyle w:val="Heading1"/>
        <w:numPr>
          <w:ilvl w:val="1"/>
          <w:numId w:val="26"/>
        </w:numPr>
        <w:tabs>
          <w:tab w:pos="1369" w:val="left" w:leader="none"/>
        </w:tabs>
        <w:spacing w:line="240" w:lineRule="auto" w:before="212" w:after="0"/>
        <w:ind w:left="1368" w:right="0" w:hanging="721"/>
        <w:jc w:val="both"/>
      </w:pPr>
      <w:bookmarkStart w:name="_TOC_250031" w:id="30"/>
      <w:r>
        <w:rPr/>
        <w:t>Study</w:t>
      </w:r>
      <w:r>
        <w:rPr>
          <w:spacing w:val="-2"/>
        </w:rPr>
        <w:t> </w:t>
      </w:r>
      <w:bookmarkEnd w:id="30"/>
      <w:r>
        <w:rPr/>
        <w:t>Animals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648" w:right="676"/>
        <w:jc w:val="both"/>
      </w:pPr>
      <w:r>
        <w:rPr/>
        <w:t>Three species of animals were employed in these studies; these species are rats, mice and day</w:t>
      </w:r>
      <w:r>
        <w:rPr>
          <w:spacing w:val="1"/>
        </w:rPr>
        <w:t> </w:t>
      </w:r>
      <w:r>
        <w:rPr/>
        <w:t>old chicks.   Young adult Swiss albino mice of both sexes weighing between 25-34g and</w:t>
      </w:r>
      <w:r>
        <w:rPr>
          <w:spacing w:val="1"/>
        </w:rPr>
        <w:t> </w:t>
      </w:r>
      <w:r>
        <w:rPr/>
        <w:t>wistar rats with body weight range of between 156 – 247g obtained from the Animal House,</w:t>
      </w:r>
      <w:r>
        <w:rPr>
          <w:spacing w:val="1"/>
        </w:rPr>
        <w:t> </w:t>
      </w:r>
      <w:r>
        <w:rPr/>
        <w:t>Department of Pharmacology and Therapeutics, Ahmadu Bello University, Zaria were used</w:t>
      </w:r>
      <w:r>
        <w:rPr>
          <w:spacing w:val="1"/>
        </w:rPr>
        <w:t> </w:t>
      </w:r>
      <w:r>
        <w:rPr/>
        <w:t>for the study, Also day old chicks weighing between 24-33g obtained from the National</w:t>
      </w:r>
      <w:r>
        <w:rPr>
          <w:spacing w:val="1"/>
        </w:rPr>
        <w:t> </w:t>
      </w:r>
      <w:r>
        <w:rPr/>
        <w:t>Animal Production Research Institute (NAPRI) hatchery, Ahmadu Bello University, Shika</w:t>
      </w:r>
      <w:r>
        <w:rPr>
          <w:spacing w:val="1"/>
        </w:rPr>
        <w:t> </w:t>
      </w:r>
      <w:r>
        <w:rPr/>
        <w:t>Zaria</w:t>
      </w:r>
      <w:r>
        <w:rPr>
          <w:spacing w:val="-2"/>
        </w:rPr>
        <w:t> </w:t>
      </w:r>
      <w:r>
        <w:rPr/>
        <w:t>were</w:t>
      </w:r>
      <w:r>
        <w:rPr>
          <w:spacing w:val="-2"/>
        </w:rPr>
        <w:t> </w:t>
      </w:r>
      <w:r>
        <w:rPr/>
        <w:t>used for</w:t>
      </w:r>
      <w:r>
        <w:rPr>
          <w:spacing w:val="-2"/>
        </w:rPr>
        <w:t> </w:t>
      </w:r>
      <w:r>
        <w:rPr/>
        <w:t>the study.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2"/>
        <w:numPr>
          <w:ilvl w:val="2"/>
          <w:numId w:val="26"/>
        </w:numPr>
        <w:tabs>
          <w:tab w:pos="1369" w:val="left" w:leader="none"/>
        </w:tabs>
        <w:spacing w:line="240" w:lineRule="auto" w:before="1" w:after="0"/>
        <w:ind w:left="1368" w:right="0" w:hanging="721"/>
        <w:jc w:val="both"/>
      </w:pPr>
      <w:bookmarkStart w:name="_TOC_250030" w:id="31"/>
      <w:r>
        <w:rPr/>
        <w:t>Experimental</w:t>
      </w:r>
      <w:r>
        <w:rPr>
          <w:spacing w:val="-1"/>
        </w:rPr>
        <w:t> </w:t>
      </w:r>
      <w:bookmarkEnd w:id="31"/>
      <w:r>
        <w:rPr/>
        <w:t>groupings</w:t>
      </w:r>
    </w:p>
    <w:p>
      <w:pPr>
        <w:pStyle w:val="BodyText"/>
        <w:spacing w:before="6"/>
        <w:rPr>
          <w:b/>
          <w:i/>
          <w:sz w:val="23"/>
        </w:rPr>
      </w:pPr>
    </w:p>
    <w:p>
      <w:pPr>
        <w:pStyle w:val="BodyText"/>
        <w:spacing w:line="480" w:lineRule="auto"/>
        <w:ind w:left="648" w:right="678"/>
        <w:jc w:val="both"/>
      </w:pPr>
      <w:r>
        <w:rPr/>
        <w:t>In grouping the animals, body weight and sex (in case of rats and mice) were taken into</w:t>
      </w:r>
      <w:r>
        <w:rPr>
          <w:spacing w:val="1"/>
        </w:rPr>
        <w:t> </w:t>
      </w:r>
      <w:r>
        <w:rPr/>
        <w:t>consideration.</w:t>
      </w:r>
      <w:r>
        <w:rPr>
          <w:spacing w:val="1"/>
        </w:rPr>
        <w:t> </w:t>
      </w:r>
      <w:r>
        <w:rPr/>
        <w:t>This was done to achieve approximately uniform condition among groups and</w:t>
      </w:r>
      <w:r>
        <w:rPr>
          <w:spacing w:val="1"/>
        </w:rPr>
        <w:t> </w:t>
      </w:r>
      <w:r>
        <w:rPr/>
        <w:t>hence</w:t>
      </w:r>
      <w:r>
        <w:rPr>
          <w:spacing w:val="-2"/>
        </w:rPr>
        <w:t> </w:t>
      </w:r>
      <w:r>
        <w:rPr/>
        <w:t>minimize</w:t>
      </w:r>
      <w:r>
        <w:rPr>
          <w:spacing w:val="-1"/>
        </w:rPr>
        <w:t> </w:t>
      </w:r>
      <w:r>
        <w:rPr/>
        <w:t>biological variations.</w:t>
      </w:r>
    </w:p>
    <w:p>
      <w:pPr>
        <w:spacing w:after="0" w:line="480" w:lineRule="auto"/>
        <w:jc w:val="both"/>
        <w:sectPr>
          <w:pgSz w:w="12240" w:h="15840"/>
          <w:pgMar w:header="0" w:footer="792" w:top="1360" w:bottom="980" w:left="1080" w:right="760"/>
        </w:sectPr>
      </w:pPr>
    </w:p>
    <w:p>
      <w:pPr>
        <w:pStyle w:val="Heading1"/>
        <w:numPr>
          <w:ilvl w:val="1"/>
          <w:numId w:val="26"/>
        </w:numPr>
        <w:tabs>
          <w:tab w:pos="1369" w:val="left" w:leader="none"/>
        </w:tabs>
        <w:spacing w:line="240" w:lineRule="auto" w:before="76" w:after="0"/>
        <w:ind w:left="1368" w:right="0" w:hanging="721"/>
        <w:jc w:val="both"/>
      </w:pPr>
      <w:bookmarkStart w:name="_TOC_250029" w:id="32"/>
      <w:r>
        <w:rPr/>
        <w:t>Preliminary</w:t>
      </w:r>
      <w:r>
        <w:rPr>
          <w:spacing w:val="-1"/>
        </w:rPr>
        <w:t> </w:t>
      </w:r>
      <w:bookmarkEnd w:id="32"/>
      <w:r>
        <w:rPr/>
        <w:t>Studies</w:t>
      </w:r>
    </w:p>
    <w:p>
      <w:pPr>
        <w:pStyle w:val="BodyText"/>
        <w:spacing w:before="1"/>
        <w:rPr>
          <w:b/>
        </w:rPr>
      </w:pPr>
    </w:p>
    <w:p>
      <w:pPr>
        <w:pStyle w:val="Heading1"/>
        <w:numPr>
          <w:ilvl w:val="2"/>
          <w:numId w:val="26"/>
        </w:numPr>
        <w:tabs>
          <w:tab w:pos="1369" w:val="left" w:leader="none"/>
        </w:tabs>
        <w:spacing w:line="240" w:lineRule="auto" w:before="0" w:after="0"/>
        <w:ind w:left="1368" w:right="0" w:hanging="721"/>
        <w:jc w:val="both"/>
      </w:pPr>
      <w:bookmarkStart w:name="_TOC_250028" w:id="33"/>
      <w:r>
        <w:rPr/>
        <w:t>Phytochemical</w:t>
      </w:r>
      <w:r>
        <w:rPr>
          <w:spacing w:val="-3"/>
        </w:rPr>
        <w:t> </w:t>
      </w:r>
      <w:bookmarkEnd w:id="33"/>
      <w:r>
        <w:rPr/>
        <w:t>screening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648" w:right="673"/>
        <w:jc w:val="both"/>
      </w:pPr>
      <w:r>
        <w:rPr/>
        <w:t>The</w:t>
      </w:r>
      <w:r>
        <w:rPr>
          <w:spacing w:val="1"/>
        </w:rPr>
        <w:t> </w:t>
      </w:r>
      <w:r>
        <w:rPr/>
        <w:t>methanol</w:t>
      </w:r>
      <w:r>
        <w:rPr>
          <w:spacing w:val="1"/>
        </w:rPr>
        <w:t> </w:t>
      </w:r>
      <w:r>
        <w:rPr/>
        <w:t>leaf</w:t>
      </w:r>
      <w:r>
        <w:rPr>
          <w:spacing w:val="1"/>
        </w:rPr>
        <w:t> </w:t>
      </w:r>
      <w:r>
        <w:rPr/>
        <w:t>extract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>
          <w:i/>
        </w:rPr>
        <w:t>Diospyros</w:t>
      </w:r>
      <w:r>
        <w:rPr>
          <w:i/>
          <w:spacing w:val="1"/>
        </w:rPr>
        <w:t> </w:t>
      </w:r>
      <w:r>
        <w:rPr>
          <w:i/>
        </w:rPr>
        <w:t>mespiliformis</w:t>
      </w:r>
      <w:r>
        <w:rPr>
          <w:i/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subjected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preliminary</w:t>
      </w:r>
      <w:r>
        <w:rPr>
          <w:spacing w:val="1"/>
        </w:rPr>
        <w:t> </w:t>
      </w:r>
      <w:r>
        <w:rPr/>
        <w:t>phytochemical screening to test the presence or absence of alkaloids, saponins, flavonoids,</w:t>
      </w:r>
      <w:r>
        <w:rPr>
          <w:spacing w:val="1"/>
        </w:rPr>
        <w:t> </w:t>
      </w:r>
      <w:r>
        <w:rPr/>
        <w:t>tannins,anthraquinones</w:t>
      </w:r>
      <w:r>
        <w:rPr>
          <w:spacing w:val="1"/>
        </w:rPr>
        <w:t> </w:t>
      </w:r>
      <w:r>
        <w:rPr/>
        <w:t>cardiac</w:t>
      </w:r>
      <w:r>
        <w:rPr>
          <w:spacing w:val="1"/>
        </w:rPr>
        <w:t> </w:t>
      </w:r>
      <w:r>
        <w:rPr/>
        <w:t>glycosides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carbohydrates</w:t>
      </w:r>
      <w:r>
        <w:rPr>
          <w:spacing w:val="1"/>
        </w:rPr>
        <w:t> </w:t>
      </w:r>
      <w:r>
        <w:rPr/>
        <w:t>according</w:t>
      </w:r>
      <w:r>
        <w:rPr>
          <w:spacing w:val="1"/>
        </w:rPr>
        <w:t> </w:t>
      </w:r>
      <w:r>
        <w:rPr/>
        <w:t>to</w:t>
      </w:r>
      <w:r>
        <w:rPr>
          <w:spacing w:val="61"/>
        </w:rPr>
        <w:t> </w:t>
      </w:r>
      <w:r>
        <w:rPr/>
        <w:t>standard</w:t>
      </w:r>
      <w:r>
        <w:rPr>
          <w:spacing w:val="1"/>
        </w:rPr>
        <w:t> </w:t>
      </w:r>
      <w:r>
        <w:rPr/>
        <w:t>procedures</w:t>
      </w:r>
      <w:r>
        <w:rPr>
          <w:spacing w:val="-1"/>
        </w:rPr>
        <w:t> </w:t>
      </w:r>
      <w:r>
        <w:rPr/>
        <w:t>as outlined by</w:t>
      </w:r>
      <w:r>
        <w:rPr>
          <w:spacing w:val="-3"/>
        </w:rPr>
        <w:t> </w:t>
      </w:r>
      <w:r>
        <w:rPr/>
        <w:t>Sofowora,(1993);</w:t>
      </w:r>
      <w:r>
        <w:rPr>
          <w:spacing w:val="2"/>
        </w:rPr>
        <w:t> </w:t>
      </w:r>
      <w:r>
        <w:rPr/>
        <w:t>Evans (1996).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/>
        <w:ind w:left="648" w:right="684"/>
        <w:jc w:val="both"/>
      </w:pPr>
      <w:r>
        <w:rPr>
          <w:b/>
          <w:i/>
        </w:rPr>
        <w:t>Test for alkaloids: </w:t>
      </w:r>
      <w:r>
        <w:rPr/>
        <w:t>0.5g of the extract was mixed with 10ml of 1% aqueous hydrochloric acid</w:t>
      </w:r>
      <w:r>
        <w:rPr>
          <w:spacing w:val="1"/>
        </w:rPr>
        <w:t> </w:t>
      </w:r>
      <w:r>
        <w:rPr/>
        <w:t>on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water</w:t>
      </w:r>
      <w:r>
        <w:rPr>
          <w:spacing w:val="-2"/>
        </w:rPr>
        <w:t> </w:t>
      </w:r>
      <w:r>
        <w:rPr/>
        <w:t>bath. The</w:t>
      </w:r>
      <w:r>
        <w:rPr>
          <w:spacing w:val="-1"/>
        </w:rPr>
        <w:t> </w:t>
      </w:r>
      <w:r>
        <w:rPr/>
        <w:t>resulting</w:t>
      </w:r>
      <w:r>
        <w:rPr>
          <w:spacing w:val="-2"/>
        </w:rPr>
        <w:t> </w:t>
      </w:r>
      <w:r>
        <w:rPr/>
        <w:t>filterate</w:t>
      </w:r>
      <w:r>
        <w:rPr>
          <w:spacing w:val="1"/>
        </w:rPr>
        <w:t> </w:t>
      </w:r>
      <w:r>
        <w:rPr/>
        <w:t>was used for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following</w:t>
      </w:r>
      <w:r>
        <w:rPr>
          <w:spacing w:val="-3"/>
        </w:rPr>
        <w:t> </w:t>
      </w:r>
      <w:r>
        <w:rPr/>
        <w:t>tests: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ListParagraph"/>
        <w:numPr>
          <w:ilvl w:val="0"/>
          <w:numId w:val="28"/>
        </w:numPr>
        <w:tabs>
          <w:tab w:pos="777" w:val="left" w:leader="none"/>
        </w:tabs>
        <w:spacing w:line="480" w:lineRule="auto" w:before="1" w:after="0"/>
        <w:ind w:left="648" w:right="679" w:firstLine="0"/>
        <w:jc w:val="both"/>
        <w:rPr>
          <w:sz w:val="24"/>
        </w:rPr>
      </w:pPr>
      <w:r>
        <w:rPr>
          <w:b/>
          <w:i/>
          <w:sz w:val="24"/>
        </w:rPr>
        <w:t>Meyer’s test: </w:t>
      </w:r>
      <w:r>
        <w:rPr>
          <w:b/>
          <w:sz w:val="24"/>
        </w:rPr>
        <w:t>To </w:t>
      </w:r>
      <w:r>
        <w:rPr>
          <w:sz w:val="24"/>
        </w:rPr>
        <w:t>1ml of the above sample of the extract was added few drops of Meyer‟s</w:t>
      </w:r>
      <w:r>
        <w:rPr>
          <w:spacing w:val="1"/>
          <w:sz w:val="24"/>
        </w:rPr>
        <w:t> </w:t>
      </w:r>
      <w:r>
        <w:rPr>
          <w:sz w:val="24"/>
        </w:rPr>
        <w:t>reagent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test-tube.</w:t>
      </w:r>
      <w:r>
        <w:rPr>
          <w:spacing w:val="-1"/>
          <w:sz w:val="24"/>
        </w:rPr>
        <w:t> </w:t>
      </w:r>
      <w:r>
        <w:rPr>
          <w:sz w:val="24"/>
        </w:rPr>
        <w:t>A cream</w:t>
      </w:r>
      <w:r>
        <w:rPr>
          <w:spacing w:val="2"/>
          <w:sz w:val="24"/>
        </w:rPr>
        <w:t> </w:t>
      </w:r>
      <w:r>
        <w:rPr>
          <w:sz w:val="24"/>
        </w:rPr>
        <w:t>coloured</w:t>
      </w:r>
      <w:r>
        <w:rPr>
          <w:spacing w:val="-1"/>
          <w:sz w:val="24"/>
        </w:rPr>
        <w:t> </w:t>
      </w:r>
      <w:r>
        <w:rPr>
          <w:sz w:val="24"/>
        </w:rPr>
        <w:t>precipitates is</w:t>
      </w:r>
      <w:r>
        <w:rPr>
          <w:spacing w:val="-1"/>
          <w:sz w:val="24"/>
        </w:rPr>
        <w:t> </w:t>
      </w:r>
      <w:r>
        <w:rPr>
          <w:sz w:val="24"/>
        </w:rPr>
        <w:t>indicative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presence</w:t>
      </w:r>
      <w:r>
        <w:rPr>
          <w:spacing w:val="-2"/>
          <w:sz w:val="24"/>
        </w:rPr>
        <w:t> </w:t>
      </w:r>
      <w:r>
        <w:rPr>
          <w:sz w:val="24"/>
        </w:rPr>
        <w:t>of alkaloids.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ListParagraph"/>
        <w:numPr>
          <w:ilvl w:val="0"/>
          <w:numId w:val="28"/>
        </w:numPr>
        <w:tabs>
          <w:tab w:pos="844" w:val="left" w:leader="none"/>
        </w:tabs>
        <w:spacing w:line="480" w:lineRule="auto" w:before="0" w:after="0"/>
        <w:ind w:left="648" w:right="677" w:firstLine="0"/>
        <w:jc w:val="both"/>
        <w:rPr>
          <w:sz w:val="24"/>
        </w:rPr>
      </w:pPr>
      <w:r>
        <w:rPr>
          <w:b/>
          <w:i/>
          <w:sz w:val="24"/>
        </w:rPr>
        <w:t>Dragendorff’s test: </w:t>
      </w:r>
      <w:r>
        <w:rPr>
          <w:b/>
          <w:sz w:val="24"/>
        </w:rPr>
        <w:t>Few </w:t>
      </w:r>
      <w:r>
        <w:rPr>
          <w:sz w:val="24"/>
        </w:rPr>
        <w:t>drop of Dragendorff‟s reagent (potassium bismuth iodide solution)</w:t>
      </w:r>
      <w:r>
        <w:rPr>
          <w:spacing w:val="-57"/>
          <w:sz w:val="24"/>
        </w:rPr>
        <w:t> </w:t>
      </w:r>
      <w:r>
        <w:rPr>
          <w:sz w:val="24"/>
        </w:rPr>
        <w:t>was added to 1ml of the extract sample solution in a test tube.</w:t>
      </w:r>
      <w:r>
        <w:rPr>
          <w:spacing w:val="1"/>
          <w:sz w:val="24"/>
        </w:rPr>
        <w:t> </w:t>
      </w:r>
      <w:r>
        <w:rPr>
          <w:sz w:val="24"/>
        </w:rPr>
        <w:t>A rose red precipitate is</w:t>
      </w:r>
      <w:r>
        <w:rPr>
          <w:spacing w:val="1"/>
          <w:sz w:val="24"/>
        </w:rPr>
        <w:t> </w:t>
      </w:r>
      <w:r>
        <w:rPr>
          <w:sz w:val="24"/>
        </w:rPr>
        <w:t>indicative</w:t>
      </w:r>
      <w:r>
        <w:rPr>
          <w:spacing w:val="-2"/>
          <w:sz w:val="24"/>
        </w:rPr>
        <w:t> </w:t>
      </w:r>
      <w:r>
        <w:rPr>
          <w:sz w:val="24"/>
        </w:rPr>
        <w:t>of the</w:t>
      </w:r>
      <w:r>
        <w:rPr>
          <w:spacing w:val="-2"/>
          <w:sz w:val="24"/>
        </w:rPr>
        <w:t> </w:t>
      </w:r>
      <w:r>
        <w:rPr>
          <w:sz w:val="24"/>
        </w:rPr>
        <w:t>presence</w:t>
      </w:r>
      <w:r>
        <w:rPr>
          <w:spacing w:val="-1"/>
          <w:sz w:val="24"/>
        </w:rPr>
        <w:t> </w:t>
      </w:r>
      <w:r>
        <w:rPr>
          <w:sz w:val="24"/>
        </w:rPr>
        <w:t>of alkaloid.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ListParagraph"/>
        <w:numPr>
          <w:ilvl w:val="0"/>
          <w:numId w:val="28"/>
        </w:numPr>
        <w:tabs>
          <w:tab w:pos="912" w:val="left" w:leader="none"/>
        </w:tabs>
        <w:spacing w:line="480" w:lineRule="auto" w:before="0" w:after="0"/>
        <w:ind w:left="648" w:right="674" w:firstLine="0"/>
        <w:jc w:val="both"/>
        <w:rPr>
          <w:sz w:val="24"/>
        </w:rPr>
      </w:pPr>
      <w:r>
        <w:rPr>
          <w:b/>
          <w:i/>
          <w:sz w:val="24"/>
        </w:rPr>
        <w:t>Picric acid test </w:t>
      </w:r>
      <w:r>
        <w:rPr>
          <w:b/>
          <w:sz w:val="24"/>
        </w:rPr>
        <w:t>;</w:t>
      </w:r>
      <w:r>
        <w:rPr>
          <w:sz w:val="24"/>
        </w:rPr>
        <w:t>Few drops of picric acid solution were added to about 1ml of the sample</w:t>
      </w:r>
      <w:r>
        <w:rPr>
          <w:spacing w:val="1"/>
          <w:sz w:val="24"/>
        </w:rPr>
        <w:t> </w:t>
      </w:r>
      <w:r>
        <w:rPr>
          <w:sz w:val="24"/>
        </w:rPr>
        <w:t>extract solution in a test tube.</w:t>
      </w:r>
      <w:r>
        <w:rPr>
          <w:spacing w:val="1"/>
          <w:sz w:val="24"/>
        </w:rPr>
        <w:t> </w:t>
      </w:r>
      <w:r>
        <w:rPr>
          <w:sz w:val="24"/>
        </w:rPr>
        <w:t>Formation of a yellow coloured precipitate is indicative of the</w:t>
      </w:r>
      <w:r>
        <w:rPr>
          <w:spacing w:val="1"/>
          <w:sz w:val="24"/>
        </w:rPr>
        <w:t> </w:t>
      </w:r>
      <w:r>
        <w:rPr>
          <w:sz w:val="24"/>
        </w:rPr>
        <w:t>presence</w:t>
      </w:r>
      <w:r>
        <w:rPr>
          <w:spacing w:val="-2"/>
          <w:sz w:val="24"/>
        </w:rPr>
        <w:t> </w:t>
      </w:r>
      <w:r>
        <w:rPr>
          <w:sz w:val="24"/>
        </w:rPr>
        <w:t>of alkaloid.</w:t>
      </w:r>
    </w:p>
    <w:p>
      <w:pPr>
        <w:spacing w:after="0" w:line="480" w:lineRule="auto"/>
        <w:jc w:val="both"/>
        <w:rPr>
          <w:sz w:val="24"/>
        </w:rPr>
        <w:sectPr>
          <w:pgSz w:w="12240" w:h="15840"/>
          <w:pgMar w:header="0" w:footer="792" w:top="1360" w:bottom="980" w:left="1080" w:right="760"/>
        </w:sectPr>
      </w:pPr>
    </w:p>
    <w:p>
      <w:pPr>
        <w:pStyle w:val="Heading2"/>
        <w:spacing w:before="76"/>
        <w:ind w:left="648"/>
      </w:pPr>
      <w:r>
        <w:rPr/>
        <w:t>Test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saponins</w:t>
      </w:r>
    </w:p>
    <w:p>
      <w:pPr>
        <w:pStyle w:val="BodyText"/>
        <w:spacing w:before="7"/>
        <w:rPr>
          <w:b/>
          <w:i/>
          <w:sz w:val="23"/>
        </w:rPr>
      </w:pPr>
    </w:p>
    <w:p>
      <w:pPr>
        <w:pStyle w:val="BodyText"/>
        <w:spacing w:line="480" w:lineRule="auto" w:before="1"/>
        <w:ind w:left="648" w:right="679"/>
        <w:jc w:val="both"/>
      </w:pPr>
      <w:r>
        <w:rPr>
          <w:b/>
          <w:i/>
        </w:rPr>
        <w:t>Frothing test</w:t>
      </w:r>
      <w:r>
        <w:rPr>
          <w:b/>
        </w:rPr>
        <w:t>; Small </w:t>
      </w:r>
      <w:r>
        <w:rPr/>
        <w:t>quantity of the extract was dissolved in 10ml of distilled water. The</w:t>
      </w:r>
      <w:r>
        <w:rPr>
          <w:spacing w:val="1"/>
        </w:rPr>
        <w:t> </w:t>
      </w:r>
      <w:r>
        <w:rPr/>
        <w:t>solution was then vigorously shaken for about 30 seconds and was allowed to stand for 30</w:t>
      </w:r>
      <w:r>
        <w:rPr>
          <w:spacing w:val="1"/>
        </w:rPr>
        <w:t> </w:t>
      </w:r>
      <w:r>
        <w:rPr/>
        <w:t>minutes.   A honey comb froth formed for more than 15 minutes is indicative of the presence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saponins.</w:t>
      </w: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22"/>
        </w:rPr>
      </w:pPr>
    </w:p>
    <w:p>
      <w:pPr>
        <w:pStyle w:val="Heading2"/>
        <w:spacing w:before="1"/>
        <w:ind w:left="708"/>
      </w:pPr>
      <w:r>
        <w:rPr/>
        <w:t>Test</w:t>
      </w:r>
      <w:r>
        <w:rPr>
          <w:spacing w:val="-2"/>
        </w:rPr>
        <w:t> </w:t>
      </w:r>
      <w:r>
        <w:rPr/>
        <w:t>for</w:t>
      </w:r>
      <w:r>
        <w:rPr>
          <w:spacing w:val="-1"/>
        </w:rPr>
        <w:t> </w:t>
      </w:r>
      <w:r>
        <w:rPr/>
        <w:t>flavonoids</w:t>
      </w:r>
    </w:p>
    <w:p>
      <w:pPr>
        <w:pStyle w:val="BodyText"/>
        <w:spacing w:before="7"/>
        <w:rPr>
          <w:b/>
          <w:i/>
          <w:sz w:val="23"/>
        </w:rPr>
      </w:pPr>
    </w:p>
    <w:p>
      <w:pPr>
        <w:pStyle w:val="BodyText"/>
        <w:spacing w:line="480" w:lineRule="auto"/>
        <w:ind w:left="648" w:right="677"/>
        <w:jc w:val="both"/>
      </w:pPr>
      <w:r>
        <w:rPr>
          <w:b/>
          <w:i/>
        </w:rPr>
        <w:t>Sodium hydroxide test </w:t>
      </w:r>
      <w:r>
        <w:rPr>
          <w:b/>
        </w:rPr>
        <w:t>;</w:t>
      </w:r>
      <w:r>
        <w:rPr/>
        <w:t>0.5g of the extract was dissolved in 10ml of water,then to   a few</w:t>
      </w:r>
      <w:r>
        <w:rPr>
          <w:spacing w:val="1"/>
        </w:rPr>
        <w:t> </w:t>
      </w:r>
      <w:r>
        <w:rPr/>
        <w:t>drops of aqueous sodium hydroxide was added 5ml of extract solution, a yellow colouration is</w:t>
      </w:r>
      <w:r>
        <w:rPr>
          <w:spacing w:val="-57"/>
        </w:rPr>
        <w:t> </w:t>
      </w:r>
      <w:r>
        <w:rPr/>
        <w:t>indicative</w:t>
      </w:r>
      <w:r>
        <w:rPr>
          <w:spacing w:val="-2"/>
        </w:rPr>
        <w:t> </w:t>
      </w:r>
      <w:r>
        <w:rPr/>
        <w:t>of the</w:t>
      </w:r>
      <w:r>
        <w:rPr>
          <w:spacing w:val="-2"/>
        </w:rPr>
        <w:t> </w:t>
      </w:r>
      <w:r>
        <w:rPr/>
        <w:t>presence</w:t>
      </w:r>
      <w:r>
        <w:rPr>
          <w:spacing w:val="-1"/>
        </w:rPr>
        <w:t> </w:t>
      </w:r>
      <w:r>
        <w:rPr/>
        <w:t>of flavonoids.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2"/>
        <w:ind w:left="708"/>
      </w:pPr>
      <w:r>
        <w:rPr/>
        <w:t>Test</w:t>
      </w:r>
      <w:r>
        <w:rPr>
          <w:spacing w:val="-1"/>
        </w:rPr>
        <w:t> </w:t>
      </w:r>
      <w:r>
        <w:rPr/>
        <w:t>for tannins</w:t>
      </w:r>
    </w:p>
    <w:p>
      <w:pPr>
        <w:pStyle w:val="BodyText"/>
        <w:spacing w:before="7"/>
        <w:rPr>
          <w:b/>
          <w:i/>
          <w:sz w:val="23"/>
        </w:rPr>
      </w:pPr>
    </w:p>
    <w:p>
      <w:pPr>
        <w:pStyle w:val="BodyText"/>
        <w:spacing w:line="480" w:lineRule="auto"/>
        <w:ind w:left="648" w:right="677"/>
        <w:jc w:val="both"/>
      </w:pPr>
      <w:r>
        <w:rPr>
          <w:b/>
          <w:i/>
        </w:rPr>
        <w:t>Ferric Chloride Test; </w:t>
      </w:r>
      <w:r>
        <w:rPr/>
        <w:t>0.5ml of extract was dissolved in 10ml of distilled water and then</w:t>
      </w:r>
      <w:r>
        <w:rPr>
          <w:spacing w:val="1"/>
        </w:rPr>
        <w:t> </w:t>
      </w:r>
      <w:r>
        <w:rPr/>
        <w:t>filtered.</w:t>
      </w:r>
      <w:r>
        <w:rPr>
          <w:spacing w:val="1"/>
        </w:rPr>
        <w:t> </w:t>
      </w:r>
      <w:r>
        <w:rPr/>
        <w:t>Few drops of ferric chloride solution were added to about 4ml of the filterate. The</w:t>
      </w:r>
      <w:r>
        <w:rPr>
          <w:spacing w:val="1"/>
        </w:rPr>
        <w:t> </w:t>
      </w:r>
      <w:r>
        <w:rPr/>
        <w:t>formation of a blue black precipitate indicates the presence of hydrolysable tannins, while the</w:t>
      </w:r>
      <w:r>
        <w:rPr>
          <w:spacing w:val="1"/>
        </w:rPr>
        <w:t> </w:t>
      </w:r>
      <w:r>
        <w:rPr/>
        <w:t>formation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green precipitate</w:t>
      </w:r>
      <w:r>
        <w:rPr>
          <w:spacing w:val="-1"/>
        </w:rPr>
        <w:t> </w:t>
      </w:r>
      <w:r>
        <w:rPr/>
        <w:t>is indicative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 presence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condensed</w:t>
      </w:r>
      <w:r>
        <w:rPr>
          <w:spacing w:val="-1"/>
        </w:rPr>
        <w:t> </w:t>
      </w:r>
      <w:r>
        <w:rPr/>
        <w:t>tannins.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2"/>
        <w:ind w:left="648"/>
      </w:pPr>
      <w:r>
        <w:rPr/>
        <w:t>Test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r>
        <w:rPr/>
        <w:t>carbohydrates</w:t>
      </w:r>
    </w:p>
    <w:p>
      <w:pPr>
        <w:pStyle w:val="BodyText"/>
        <w:spacing w:before="7"/>
        <w:rPr>
          <w:b/>
          <w:i/>
          <w:sz w:val="23"/>
        </w:rPr>
      </w:pPr>
    </w:p>
    <w:p>
      <w:pPr>
        <w:pStyle w:val="BodyText"/>
        <w:spacing w:line="480" w:lineRule="auto"/>
        <w:ind w:left="648" w:right="674"/>
        <w:jc w:val="both"/>
      </w:pPr>
      <w:r>
        <w:rPr>
          <w:b/>
          <w:i/>
        </w:rPr>
        <w:t>Molisch test </w:t>
      </w:r>
      <w:r>
        <w:rPr>
          <w:b/>
        </w:rPr>
        <w:t>;</w:t>
      </w:r>
      <w:r>
        <w:rPr/>
        <w:t>To a little quantity of the extract solution in a test tube was added few drops of</w:t>
      </w:r>
      <w:r>
        <w:rPr>
          <w:spacing w:val="1"/>
        </w:rPr>
        <w:t> </w:t>
      </w:r>
      <w:r>
        <w:rPr/>
        <w:t>molisch reagent and then a small quantity of concentrated sulphuric acid (H</w:t>
      </w:r>
      <w:r>
        <w:rPr>
          <w:vertAlign w:val="subscript"/>
        </w:rPr>
        <w:t>2</w:t>
      </w:r>
      <w:r>
        <w:rPr>
          <w:vertAlign w:val="baseline"/>
        </w:rPr>
        <w:t>S0</w:t>
      </w:r>
      <w:r>
        <w:rPr>
          <w:vertAlign w:val="subscript"/>
        </w:rPr>
        <w:t>4</w:t>
      </w:r>
      <w:r>
        <w:rPr>
          <w:vertAlign w:val="baseline"/>
        </w:rPr>
        <w:t>) was allowed</w:t>
      </w:r>
      <w:r>
        <w:rPr>
          <w:spacing w:val="1"/>
          <w:vertAlign w:val="baseline"/>
        </w:rPr>
        <w:t> </w:t>
      </w:r>
      <w:r>
        <w:rPr>
          <w:vertAlign w:val="baseline"/>
        </w:rPr>
        <w:t>to run down the side of the test tube. Formation of a lower purple to violet colour at the</w:t>
      </w:r>
      <w:r>
        <w:rPr>
          <w:spacing w:val="1"/>
          <w:vertAlign w:val="baseline"/>
        </w:rPr>
        <w:t> </w:t>
      </w:r>
      <w:r>
        <w:rPr>
          <w:vertAlign w:val="baseline"/>
        </w:rPr>
        <w:t>interface</w:t>
      </w:r>
      <w:r>
        <w:rPr>
          <w:spacing w:val="-2"/>
          <w:vertAlign w:val="baseline"/>
        </w:rPr>
        <w:t> </w:t>
      </w:r>
      <w:r>
        <w:rPr>
          <w:vertAlign w:val="baseline"/>
        </w:rPr>
        <w:t>is indicative</w:t>
      </w:r>
      <w:r>
        <w:rPr>
          <w:spacing w:val="-1"/>
          <w:vertAlign w:val="baseline"/>
        </w:rPr>
        <w:t> </w:t>
      </w:r>
      <w:r>
        <w:rPr>
          <w:vertAlign w:val="baseline"/>
        </w:rPr>
        <w:t>of the</w:t>
      </w:r>
      <w:r>
        <w:rPr>
          <w:spacing w:val="-1"/>
          <w:vertAlign w:val="baseline"/>
        </w:rPr>
        <w:t> </w:t>
      </w:r>
      <w:r>
        <w:rPr>
          <w:vertAlign w:val="baseline"/>
        </w:rPr>
        <w:t>presence</w:t>
      </w:r>
      <w:r>
        <w:rPr>
          <w:spacing w:val="-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carbohydrates.</w:t>
      </w:r>
    </w:p>
    <w:p>
      <w:pPr>
        <w:spacing w:after="0" w:line="480" w:lineRule="auto"/>
        <w:jc w:val="both"/>
        <w:sectPr>
          <w:pgSz w:w="12240" w:h="15840"/>
          <w:pgMar w:header="0" w:footer="792" w:top="1360" w:bottom="980" w:left="1080" w:right="760"/>
        </w:sectPr>
      </w:pPr>
    </w:p>
    <w:p>
      <w:pPr>
        <w:pStyle w:val="Heading1"/>
        <w:spacing w:before="76"/>
        <w:ind w:left="708"/>
        <w:jc w:val="both"/>
      </w:pPr>
      <w:r>
        <w:rPr/>
        <w:t>Test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r>
        <w:rPr/>
        <w:t>cardiac</w:t>
      </w:r>
      <w:r>
        <w:rPr>
          <w:spacing w:val="-1"/>
        </w:rPr>
        <w:t> </w:t>
      </w:r>
      <w:r>
        <w:rPr/>
        <w:t>glycosides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 w:before="1"/>
        <w:ind w:left="648" w:right="676"/>
        <w:jc w:val="both"/>
      </w:pPr>
      <w:r>
        <w:rPr>
          <w:b/>
          <w:i/>
        </w:rPr>
        <w:t>Kella-Killiani test</w:t>
      </w:r>
      <w:r>
        <w:rPr>
          <w:b/>
        </w:rPr>
        <w:t>; </w:t>
      </w:r>
      <w:r>
        <w:rPr/>
        <w:t>0.5g of the extract was dissolved in glacial acetic acid containing ferric</w:t>
      </w:r>
      <w:r>
        <w:rPr>
          <w:spacing w:val="1"/>
        </w:rPr>
        <w:t> </w:t>
      </w:r>
      <w:r>
        <w:rPr/>
        <w:t>chloride solution.</w:t>
      </w:r>
      <w:r>
        <w:rPr>
          <w:spacing w:val="1"/>
        </w:rPr>
        <w:t> </w:t>
      </w:r>
      <w:r>
        <w:rPr/>
        <w:t>The test tube was held at an angle of 45 degrees. 1ml of concentrated</w:t>
      </w:r>
      <w:r>
        <w:rPr>
          <w:spacing w:val="1"/>
        </w:rPr>
        <w:t> </w:t>
      </w:r>
      <w:r>
        <w:rPr/>
        <w:t>sulphuric acid was added down the side of test tube. Formation of purple ring colour at the</w:t>
      </w:r>
      <w:r>
        <w:rPr>
          <w:spacing w:val="1"/>
        </w:rPr>
        <w:t> </w:t>
      </w:r>
      <w:r>
        <w:rPr/>
        <w:t>interface</w:t>
      </w:r>
      <w:r>
        <w:rPr>
          <w:spacing w:val="-2"/>
        </w:rPr>
        <w:t> </w:t>
      </w:r>
      <w:r>
        <w:rPr/>
        <w:t>indicates the</w:t>
      </w:r>
      <w:r>
        <w:rPr>
          <w:spacing w:val="-1"/>
        </w:rPr>
        <w:t> </w:t>
      </w:r>
      <w:r>
        <w:rPr/>
        <w:t>presence</w:t>
      </w:r>
      <w:r>
        <w:rPr>
          <w:spacing w:val="-1"/>
        </w:rPr>
        <w:t> </w:t>
      </w:r>
      <w:r>
        <w:rPr/>
        <w:t>of cardiac glycosides (Trease</w:t>
      </w:r>
      <w:r>
        <w:rPr>
          <w:spacing w:val="-1"/>
        </w:rPr>
        <w:t> </w:t>
      </w:r>
      <w:r>
        <w:rPr/>
        <w:t>and</w:t>
      </w:r>
      <w:r>
        <w:rPr>
          <w:spacing w:val="1"/>
        </w:rPr>
        <w:t> </w:t>
      </w:r>
      <w:r>
        <w:rPr/>
        <w:t>Evans, 1983).</w:t>
      </w:r>
    </w:p>
    <w:p>
      <w:pPr>
        <w:pStyle w:val="BodyText"/>
        <w:spacing w:before="4"/>
      </w:pPr>
    </w:p>
    <w:p>
      <w:pPr>
        <w:pStyle w:val="Heading2"/>
        <w:spacing w:before="1"/>
        <w:ind w:left="648"/>
      </w:pPr>
      <w:r>
        <w:rPr/>
        <w:t>Test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r>
        <w:rPr/>
        <w:t>anthraquinones</w:t>
      </w:r>
    </w:p>
    <w:p>
      <w:pPr>
        <w:pStyle w:val="BodyText"/>
        <w:spacing w:before="7"/>
        <w:rPr>
          <w:b/>
          <w:i/>
          <w:sz w:val="23"/>
        </w:rPr>
      </w:pPr>
    </w:p>
    <w:p>
      <w:pPr>
        <w:pStyle w:val="ListParagraph"/>
        <w:numPr>
          <w:ilvl w:val="0"/>
          <w:numId w:val="29"/>
        </w:numPr>
        <w:tabs>
          <w:tab w:pos="1035" w:val="left" w:leader="none"/>
        </w:tabs>
        <w:spacing w:line="480" w:lineRule="auto" w:before="0" w:after="0"/>
        <w:ind w:left="648" w:right="675" w:firstLine="0"/>
        <w:jc w:val="both"/>
        <w:rPr>
          <w:sz w:val="24"/>
        </w:rPr>
      </w:pPr>
      <w:r>
        <w:rPr>
          <w:b/>
          <w:i/>
          <w:sz w:val="24"/>
        </w:rPr>
        <w:t>Borntrager’s Test; </w:t>
      </w:r>
      <w:r>
        <w:rPr>
          <w:sz w:val="24"/>
        </w:rPr>
        <w:t>3g of extract was shaken with 10ml of benzene and filtered. 5ml of</w:t>
      </w:r>
      <w:r>
        <w:rPr>
          <w:spacing w:val="1"/>
          <w:sz w:val="24"/>
        </w:rPr>
        <w:t> </w:t>
      </w:r>
      <w:r>
        <w:rPr>
          <w:sz w:val="24"/>
        </w:rPr>
        <w:t>10% ammonia solution was added to the filterate and shaken.</w:t>
      </w:r>
      <w:r>
        <w:rPr>
          <w:spacing w:val="1"/>
          <w:sz w:val="24"/>
        </w:rPr>
        <w:t> </w:t>
      </w:r>
      <w:r>
        <w:rPr>
          <w:sz w:val="24"/>
        </w:rPr>
        <w:t>The production of a pink-red or</w:t>
      </w:r>
      <w:r>
        <w:rPr>
          <w:spacing w:val="-57"/>
          <w:sz w:val="24"/>
        </w:rPr>
        <w:t> </w:t>
      </w:r>
      <w:r>
        <w:rPr>
          <w:sz w:val="24"/>
        </w:rPr>
        <w:t>violet</w:t>
      </w:r>
      <w:r>
        <w:rPr>
          <w:spacing w:val="-1"/>
          <w:sz w:val="24"/>
        </w:rPr>
        <w:t> </w:t>
      </w:r>
      <w:r>
        <w:rPr>
          <w:sz w:val="24"/>
        </w:rPr>
        <w:t>colour</w:t>
      </w:r>
      <w:r>
        <w:rPr>
          <w:spacing w:val="-1"/>
          <w:sz w:val="24"/>
        </w:rPr>
        <w:t> </w:t>
      </w:r>
      <w:r>
        <w:rPr>
          <w:sz w:val="24"/>
        </w:rPr>
        <w:t>indicates the</w:t>
      </w:r>
      <w:r>
        <w:rPr>
          <w:spacing w:val="-1"/>
          <w:sz w:val="24"/>
        </w:rPr>
        <w:t> </w:t>
      </w:r>
      <w:r>
        <w:rPr>
          <w:sz w:val="24"/>
        </w:rPr>
        <w:t>presence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free</w:t>
      </w:r>
      <w:r>
        <w:rPr>
          <w:spacing w:val="-1"/>
          <w:sz w:val="24"/>
        </w:rPr>
        <w:t> </w:t>
      </w:r>
      <w:r>
        <w:rPr>
          <w:sz w:val="24"/>
        </w:rPr>
        <w:t>anthraquinones.</w:t>
      </w:r>
    </w:p>
    <w:p>
      <w:pPr>
        <w:pStyle w:val="BodyText"/>
      </w:pPr>
    </w:p>
    <w:p>
      <w:pPr>
        <w:pStyle w:val="ListParagraph"/>
        <w:numPr>
          <w:ilvl w:val="0"/>
          <w:numId w:val="29"/>
        </w:numPr>
        <w:tabs>
          <w:tab w:pos="1369" w:val="left" w:leader="none"/>
        </w:tabs>
        <w:spacing w:line="480" w:lineRule="auto" w:before="0" w:after="0"/>
        <w:ind w:left="648" w:right="676" w:firstLine="0"/>
        <w:jc w:val="both"/>
        <w:rPr>
          <w:sz w:val="24"/>
        </w:rPr>
      </w:pPr>
      <w:r>
        <w:rPr>
          <w:b/>
          <w:i/>
          <w:sz w:val="24"/>
        </w:rPr>
        <w:t>Test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for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combine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anthracene</w:t>
      </w:r>
      <w:r>
        <w:rPr>
          <w:b/>
          <w:i/>
          <w:spacing w:val="1"/>
          <w:sz w:val="24"/>
        </w:rPr>
        <w:t> </w:t>
      </w:r>
      <w:r>
        <w:rPr>
          <w:b/>
          <w:sz w:val="24"/>
        </w:rPr>
        <w:t>(Modified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Borntrager’s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Test):</w:t>
      </w:r>
      <w:r>
        <w:rPr>
          <w:b/>
          <w:spacing w:val="1"/>
          <w:sz w:val="24"/>
        </w:rPr>
        <w:t> </w:t>
      </w:r>
      <w:r>
        <w:rPr>
          <w:sz w:val="24"/>
        </w:rPr>
        <w:t>5ml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sample</w:t>
      </w:r>
      <w:r>
        <w:rPr>
          <w:spacing w:val="60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extract was added to 5ml of 10% hydrochloric acid and boiled for 3 minutes. This is to</w:t>
      </w:r>
      <w:r>
        <w:rPr>
          <w:spacing w:val="1"/>
          <w:sz w:val="24"/>
        </w:rPr>
        <w:t> </w:t>
      </w:r>
      <w:r>
        <w:rPr>
          <w:sz w:val="24"/>
        </w:rPr>
        <w:t>hydrolyse the glycosides to yield aglycone which is soluble in hot water only. The solution</w:t>
      </w:r>
      <w:r>
        <w:rPr>
          <w:spacing w:val="1"/>
          <w:sz w:val="24"/>
        </w:rPr>
        <w:t> </w:t>
      </w:r>
      <w:r>
        <w:rPr>
          <w:sz w:val="24"/>
        </w:rPr>
        <w:t>was</w:t>
      </w:r>
      <w:r>
        <w:rPr>
          <w:spacing w:val="35"/>
          <w:sz w:val="24"/>
        </w:rPr>
        <w:t> </w:t>
      </w:r>
      <w:r>
        <w:rPr>
          <w:sz w:val="24"/>
        </w:rPr>
        <w:t>filtered</w:t>
      </w:r>
      <w:r>
        <w:rPr>
          <w:spacing w:val="35"/>
          <w:sz w:val="24"/>
        </w:rPr>
        <w:t> </w:t>
      </w:r>
      <w:r>
        <w:rPr>
          <w:sz w:val="24"/>
        </w:rPr>
        <w:t>hot,</w:t>
      </w:r>
      <w:r>
        <w:rPr>
          <w:spacing w:val="36"/>
          <w:sz w:val="24"/>
        </w:rPr>
        <w:t> </w:t>
      </w:r>
      <w:r>
        <w:rPr>
          <w:sz w:val="24"/>
        </w:rPr>
        <w:t>the</w:t>
      </w:r>
      <w:r>
        <w:rPr>
          <w:spacing w:val="36"/>
          <w:sz w:val="24"/>
        </w:rPr>
        <w:t> </w:t>
      </w:r>
      <w:r>
        <w:rPr>
          <w:sz w:val="24"/>
        </w:rPr>
        <w:t>filterate</w:t>
      </w:r>
      <w:r>
        <w:rPr>
          <w:spacing w:val="37"/>
          <w:sz w:val="24"/>
        </w:rPr>
        <w:t> </w:t>
      </w:r>
      <w:r>
        <w:rPr>
          <w:sz w:val="24"/>
        </w:rPr>
        <w:t>was</w:t>
      </w:r>
      <w:r>
        <w:rPr>
          <w:spacing w:val="38"/>
          <w:sz w:val="24"/>
        </w:rPr>
        <w:t> </w:t>
      </w:r>
      <w:r>
        <w:rPr>
          <w:sz w:val="24"/>
        </w:rPr>
        <w:t>cooled</w:t>
      </w:r>
      <w:r>
        <w:rPr>
          <w:spacing w:val="36"/>
          <w:sz w:val="24"/>
        </w:rPr>
        <w:t> </w:t>
      </w:r>
      <w:r>
        <w:rPr>
          <w:sz w:val="24"/>
        </w:rPr>
        <w:t>and</w:t>
      </w:r>
      <w:r>
        <w:rPr>
          <w:spacing w:val="38"/>
          <w:sz w:val="24"/>
        </w:rPr>
        <w:t> </w:t>
      </w:r>
      <w:r>
        <w:rPr>
          <w:sz w:val="24"/>
        </w:rPr>
        <w:t>extracted</w:t>
      </w:r>
      <w:r>
        <w:rPr>
          <w:spacing w:val="37"/>
          <w:sz w:val="24"/>
        </w:rPr>
        <w:t> </w:t>
      </w:r>
      <w:r>
        <w:rPr>
          <w:sz w:val="24"/>
        </w:rPr>
        <w:t>with</w:t>
      </w:r>
      <w:r>
        <w:rPr>
          <w:spacing w:val="36"/>
          <w:sz w:val="24"/>
        </w:rPr>
        <w:t> </w:t>
      </w:r>
      <w:r>
        <w:rPr>
          <w:sz w:val="24"/>
        </w:rPr>
        <w:t>5ml</w:t>
      </w:r>
      <w:r>
        <w:rPr>
          <w:spacing w:val="35"/>
          <w:sz w:val="24"/>
        </w:rPr>
        <w:t> </w:t>
      </w:r>
      <w:r>
        <w:rPr>
          <w:sz w:val="24"/>
        </w:rPr>
        <w:t>of</w:t>
      </w:r>
      <w:r>
        <w:rPr>
          <w:spacing w:val="35"/>
          <w:sz w:val="24"/>
        </w:rPr>
        <w:t> </w:t>
      </w:r>
      <w:r>
        <w:rPr>
          <w:sz w:val="24"/>
        </w:rPr>
        <w:t>benzene.</w:t>
      </w:r>
      <w:r>
        <w:rPr>
          <w:spacing w:val="35"/>
          <w:sz w:val="24"/>
        </w:rPr>
        <w:t> </w:t>
      </w:r>
      <w:r>
        <w:rPr>
          <w:sz w:val="24"/>
        </w:rPr>
        <w:t>The</w:t>
      </w:r>
      <w:r>
        <w:rPr>
          <w:spacing w:val="33"/>
          <w:sz w:val="24"/>
        </w:rPr>
        <w:t> </w:t>
      </w:r>
      <w:r>
        <w:rPr>
          <w:sz w:val="24"/>
        </w:rPr>
        <w:t>benzene</w:t>
      </w:r>
      <w:r>
        <w:rPr>
          <w:spacing w:val="-57"/>
          <w:sz w:val="24"/>
        </w:rPr>
        <w:t> </w:t>
      </w:r>
      <w:r>
        <w:rPr>
          <w:sz w:val="24"/>
        </w:rPr>
        <w:t>layer was filtered off and shaken gently with half its volume of 10% ammonia solution. A</w:t>
      </w:r>
      <w:r>
        <w:rPr>
          <w:spacing w:val="1"/>
          <w:sz w:val="24"/>
        </w:rPr>
        <w:t> </w:t>
      </w:r>
      <w:r>
        <w:rPr>
          <w:sz w:val="24"/>
        </w:rPr>
        <w:t>rose-pink</w:t>
      </w:r>
      <w:r>
        <w:rPr>
          <w:spacing w:val="-1"/>
          <w:sz w:val="24"/>
        </w:rPr>
        <w:t> </w:t>
      </w:r>
      <w:r>
        <w:rPr>
          <w:sz w:val="24"/>
        </w:rPr>
        <w:t>or</w:t>
      </w:r>
      <w:r>
        <w:rPr>
          <w:spacing w:val="-1"/>
          <w:sz w:val="24"/>
        </w:rPr>
        <w:t> </w:t>
      </w:r>
      <w:r>
        <w:rPr>
          <w:sz w:val="24"/>
        </w:rPr>
        <w:t>cherry</w:t>
      </w:r>
      <w:r>
        <w:rPr>
          <w:spacing w:val="-3"/>
          <w:sz w:val="24"/>
        </w:rPr>
        <w:t> </w:t>
      </w:r>
      <w:r>
        <w:rPr>
          <w:sz w:val="24"/>
        </w:rPr>
        <w:t>red</w:t>
      </w:r>
      <w:r>
        <w:rPr>
          <w:spacing w:val="1"/>
          <w:sz w:val="24"/>
        </w:rPr>
        <w:t> </w:t>
      </w:r>
      <w:r>
        <w:rPr>
          <w:sz w:val="24"/>
        </w:rPr>
        <w:t>colour</w:t>
      </w:r>
      <w:r>
        <w:rPr>
          <w:spacing w:val="-1"/>
          <w:sz w:val="24"/>
        </w:rPr>
        <w:t> </w:t>
      </w:r>
      <w:r>
        <w:rPr>
          <w:sz w:val="24"/>
        </w:rPr>
        <w:t>indicates combined</w:t>
      </w:r>
      <w:r>
        <w:rPr>
          <w:spacing w:val="1"/>
          <w:sz w:val="24"/>
        </w:rPr>
        <w:t> </w:t>
      </w:r>
      <w:r>
        <w:rPr>
          <w:sz w:val="24"/>
        </w:rPr>
        <w:t>anthracene</w:t>
      </w:r>
      <w:r>
        <w:rPr>
          <w:spacing w:val="-2"/>
          <w:sz w:val="24"/>
        </w:rPr>
        <w:t> </w:t>
      </w:r>
      <w:r>
        <w:rPr>
          <w:sz w:val="24"/>
        </w:rPr>
        <w:t>(Trease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Evans,</w:t>
      </w:r>
      <w:r>
        <w:rPr>
          <w:spacing w:val="-1"/>
          <w:sz w:val="24"/>
        </w:rPr>
        <w:t> </w:t>
      </w:r>
      <w:r>
        <w:rPr>
          <w:sz w:val="24"/>
        </w:rPr>
        <w:t>1983).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1"/>
        <w:numPr>
          <w:ilvl w:val="2"/>
          <w:numId w:val="26"/>
        </w:numPr>
        <w:tabs>
          <w:tab w:pos="1369" w:val="left" w:leader="none"/>
        </w:tabs>
        <w:spacing w:line="240" w:lineRule="auto" w:before="1" w:after="0"/>
        <w:ind w:left="1368" w:right="0" w:hanging="721"/>
        <w:jc w:val="both"/>
      </w:pPr>
      <w:bookmarkStart w:name="_TOC_250027" w:id="34"/>
      <w:r>
        <w:rPr/>
        <w:t>Preparation</w:t>
      </w:r>
      <w:r>
        <w:rPr>
          <w:spacing w:val="-1"/>
        </w:rPr>
        <w:t> </w:t>
      </w:r>
      <w:r>
        <w:rPr/>
        <w:t>and administration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bookmarkEnd w:id="34"/>
      <w:r>
        <w:rPr/>
        <w:t>drugs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648" w:right="678"/>
        <w:jc w:val="both"/>
      </w:pPr>
      <w:r>
        <w:rPr/>
        <w:t>To guarantee the efficacy and potency of drug and extract preparations, only freshly prepared</w:t>
      </w:r>
      <w:r>
        <w:rPr>
          <w:spacing w:val="1"/>
        </w:rPr>
        <w:t> </w:t>
      </w:r>
      <w:r>
        <w:rPr/>
        <w:t>drug and extract solutions were used.</w:t>
      </w:r>
      <w:r>
        <w:rPr>
          <w:spacing w:val="1"/>
        </w:rPr>
        <w:t> </w:t>
      </w:r>
      <w:r>
        <w:rPr/>
        <w:t>Calculations of doses to be administered were done</w:t>
      </w:r>
      <w:r>
        <w:rPr>
          <w:spacing w:val="1"/>
        </w:rPr>
        <w:t> </w:t>
      </w:r>
      <w:r>
        <w:rPr/>
        <w:t>based on stock concentration of each solution and the body weight of experimental animals to</w:t>
      </w:r>
      <w:r>
        <w:rPr>
          <w:spacing w:val="1"/>
        </w:rPr>
        <w:t> </w:t>
      </w:r>
      <w:r>
        <w:rPr/>
        <w:t>be employed. The time interval between drug administrations and the route of administration</w:t>
      </w:r>
      <w:r>
        <w:rPr>
          <w:spacing w:val="1"/>
        </w:rPr>
        <w:t> </w:t>
      </w:r>
      <w:r>
        <w:rPr/>
        <w:t>employed</w:t>
      </w:r>
      <w:r>
        <w:rPr>
          <w:spacing w:val="1"/>
        </w:rPr>
        <w:t> </w:t>
      </w:r>
      <w:r>
        <w:rPr/>
        <w:t>are as prescribed by</w:t>
      </w:r>
      <w:r>
        <w:rPr>
          <w:spacing w:val="-3"/>
        </w:rPr>
        <w:t> </w:t>
      </w:r>
      <w:r>
        <w:rPr/>
        <w:t>each individual method.</w:t>
      </w:r>
    </w:p>
    <w:p>
      <w:pPr>
        <w:spacing w:after="0" w:line="480" w:lineRule="auto"/>
        <w:jc w:val="both"/>
        <w:sectPr>
          <w:pgSz w:w="12240" w:h="15840"/>
          <w:pgMar w:header="0" w:footer="792" w:top="1360" w:bottom="980" w:left="1080" w:right="760"/>
        </w:sectPr>
      </w:pPr>
    </w:p>
    <w:p>
      <w:pPr>
        <w:pStyle w:val="Heading1"/>
        <w:numPr>
          <w:ilvl w:val="2"/>
          <w:numId w:val="26"/>
        </w:numPr>
        <w:tabs>
          <w:tab w:pos="1368" w:val="left" w:leader="none"/>
          <w:tab w:pos="1369" w:val="left" w:leader="none"/>
        </w:tabs>
        <w:spacing w:line="240" w:lineRule="auto" w:before="72" w:after="0"/>
        <w:ind w:left="1368" w:right="0" w:hanging="721"/>
        <w:jc w:val="left"/>
        <w:rPr>
          <w:b w:val="0"/>
        </w:rPr>
      </w:pPr>
      <w:bookmarkStart w:name="_TOC_250026" w:id="35"/>
      <w:r>
        <w:rPr/>
        <w:t>Acute</w:t>
      </w:r>
      <w:r>
        <w:rPr>
          <w:spacing w:val="-3"/>
        </w:rPr>
        <w:t> </w:t>
      </w:r>
      <w:r>
        <w:rPr/>
        <w:t>toxicity</w:t>
      </w:r>
      <w:r>
        <w:rPr>
          <w:spacing w:val="-1"/>
        </w:rPr>
        <w:t> </w:t>
      </w:r>
      <w:r>
        <w:rPr/>
        <w:t>studies</w:t>
      </w:r>
      <w:bookmarkEnd w:id="35"/>
      <w:r>
        <w:rPr>
          <w:b w:val="0"/>
        </w:rPr>
        <w:t>.</w:t>
      </w:r>
    </w:p>
    <w:p>
      <w:pPr>
        <w:pStyle w:val="BodyText"/>
      </w:pPr>
    </w:p>
    <w:p>
      <w:pPr>
        <w:pStyle w:val="BodyText"/>
        <w:spacing w:line="480" w:lineRule="auto"/>
        <w:ind w:left="648" w:right="679"/>
        <w:jc w:val="both"/>
      </w:pPr>
      <w:r>
        <w:rPr/>
        <w:t>The method of Lorke (1983) was employed using thirteen Wistar rats, Swiss albino mice and</w:t>
      </w:r>
      <w:r>
        <w:rPr>
          <w:spacing w:val="1"/>
        </w:rPr>
        <w:t> </w:t>
      </w:r>
      <w:r>
        <w:rPr/>
        <w:t>day old cockerel chicks.</w:t>
      </w:r>
      <w:r>
        <w:rPr>
          <w:spacing w:val="60"/>
        </w:rPr>
        <w:t> </w:t>
      </w:r>
      <w:r>
        <w:rPr/>
        <w:t>For the rats and mice, both oral and intrapertoneal (i.p.) routes of</w:t>
      </w:r>
      <w:r>
        <w:rPr>
          <w:spacing w:val="1"/>
        </w:rPr>
        <w:t> </w:t>
      </w:r>
      <w:r>
        <w:rPr/>
        <w:t>drug administration were employed while for the day old cockerel chicks only the i.p. route</w:t>
      </w:r>
      <w:r>
        <w:rPr>
          <w:spacing w:val="1"/>
        </w:rPr>
        <w:t> </w:t>
      </w:r>
      <w:r>
        <w:rPr/>
        <w:t>was</w:t>
      </w:r>
      <w:r>
        <w:rPr>
          <w:spacing w:val="-1"/>
        </w:rPr>
        <w:t> </w:t>
      </w:r>
      <w:r>
        <w:rPr/>
        <w:t>employed.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/>
        <w:ind w:left="648" w:right="675"/>
        <w:jc w:val="both"/>
      </w:pPr>
      <w:r>
        <w:rPr/>
        <w:t>The method was divided into phase I and II.</w:t>
      </w:r>
      <w:r>
        <w:rPr>
          <w:spacing w:val="60"/>
        </w:rPr>
        <w:t> </w:t>
      </w:r>
      <w:r>
        <w:rPr/>
        <w:t>In phase I three groups of three animals each</w:t>
      </w:r>
      <w:r>
        <w:rPr>
          <w:spacing w:val="1"/>
        </w:rPr>
        <w:t> </w:t>
      </w:r>
      <w:r>
        <w:rPr/>
        <w:t>were</w:t>
      </w:r>
      <w:r>
        <w:rPr>
          <w:spacing w:val="13"/>
        </w:rPr>
        <w:t> </w:t>
      </w:r>
      <w:r>
        <w:rPr/>
        <w:t>administered</w:t>
      </w:r>
      <w:r>
        <w:rPr>
          <w:spacing w:val="14"/>
        </w:rPr>
        <w:t> </w:t>
      </w:r>
      <w:r>
        <w:rPr/>
        <w:t>10,</w:t>
      </w:r>
      <w:r>
        <w:rPr>
          <w:spacing w:val="15"/>
        </w:rPr>
        <w:t> </w:t>
      </w:r>
      <w:r>
        <w:rPr/>
        <w:t>100</w:t>
      </w:r>
      <w:r>
        <w:rPr>
          <w:spacing w:val="14"/>
        </w:rPr>
        <w:t> </w:t>
      </w:r>
      <w:r>
        <w:rPr/>
        <w:t>and</w:t>
      </w:r>
      <w:r>
        <w:rPr>
          <w:spacing w:val="14"/>
        </w:rPr>
        <w:t> </w:t>
      </w:r>
      <w:r>
        <w:rPr/>
        <w:t>1000</w:t>
      </w:r>
      <w:r>
        <w:rPr>
          <w:spacing w:val="13"/>
        </w:rPr>
        <w:t> </w:t>
      </w:r>
      <w:r>
        <w:rPr/>
        <w:t>mg/kg</w:t>
      </w:r>
      <w:r>
        <w:rPr>
          <w:spacing w:val="11"/>
        </w:rPr>
        <w:t> </w:t>
      </w:r>
      <w:r>
        <w:rPr/>
        <w:t>of</w:t>
      </w:r>
      <w:r>
        <w:rPr>
          <w:spacing w:val="13"/>
        </w:rPr>
        <w:t> </w:t>
      </w:r>
      <w:r>
        <w:rPr/>
        <w:t>the</w:t>
      </w:r>
      <w:r>
        <w:rPr>
          <w:spacing w:val="12"/>
        </w:rPr>
        <w:t> </w:t>
      </w:r>
      <w:r>
        <w:rPr/>
        <w:t>extract</w:t>
      </w:r>
      <w:r>
        <w:rPr>
          <w:spacing w:val="14"/>
        </w:rPr>
        <w:t> </w:t>
      </w:r>
      <w:r>
        <w:rPr/>
        <w:t>respectively</w:t>
      </w:r>
      <w:r>
        <w:rPr>
          <w:spacing w:val="9"/>
        </w:rPr>
        <w:t> </w:t>
      </w:r>
      <w:r>
        <w:rPr/>
        <w:t>to</w:t>
      </w:r>
      <w:r>
        <w:rPr>
          <w:spacing w:val="13"/>
        </w:rPr>
        <w:t> </w:t>
      </w:r>
      <w:r>
        <w:rPr/>
        <w:t>ascertain</w:t>
      </w:r>
      <w:r>
        <w:rPr>
          <w:spacing w:val="14"/>
        </w:rPr>
        <w:t> </w:t>
      </w:r>
      <w:r>
        <w:rPr/>
        <w:t>the</w:t>
      </w:r>
      <w:r>
        <w:rPr>
          <w:spacing w:val="12"/>
        </w:rPr>
        <w:t> </w:t>
      </w:r>
      <w:r>
        <w:rPr/>
        <w:t>extent</w:t>
      </w:r>
      <w:r>
        <w:rPr>
          <w:spacing w:val="-57"/>
        </w:rPr>
        <w:t> </w:t>
      </w:r>
      <w:r>
        <w:rPr/>
        <w:t>of toxicity of the extract. The animals were observed for any sign of toxicity or death within</w:t>
      </w:r>
      <w:r>
        <w:rPr>
          <w:spacing w:val="1"/>
        </w:rPr>
        <w:t> </w:t>
      </w:r>
      <w:r>
        <w:rPr/>
        <w:t>24 hour period. In phase II which depends on the outcome of the first phase, other specifically</w:t>
      </w:r>
      <w:r>
        <w:rPr>
          <w:spacing w:val="-57"/>
        </w:rPr>
        <w:t> </w:t>
      </w:r>
      <w:r>
        <w:rPr/>
        <w:t>graded doses were administered to four different sets of rats, mice and chicks using both oral</w:t>
      </w:r>
      <w:r>
        <w:rPr>
          <w:spacing w:val="1"/>
        </w:rPr>
        <w:t> </w:t>
      </w:r>
      <w:r>
        <w:rPr/>
        <w:t>and i.p routes as the case apply and observed for sign of toxicity or death within another 24</w:t>
      </w:r>
      <w:r>
        <w:rPr>
          <w:spacing w:val="1"/>
        </w:rPr>
        <w:t> </w:t>
      </w:r>
      <w:r>
        <w:rPr/>
        <w:t>hour period. From the outcome of phase II, LD</w:t>
      </w:r>
      <w:r>
        <w:rPr>
          <w:vertAlign w:val="subscript"/>
        </w:rPr>
        <w:t>50</w:t>
      </w:r>
      <w:r>
        <w:rPr>
          <w:vertAlign w:val="baseline"/>
        </w:rPr>
        <w:t> value was determined by calculating the</w:t>
      </w:r>
      <w:r>
        <w:rPr>
          <w:spacing w:val="1"/>
          <w:vertAlign w:val="baseline"/>
        </w:rPr>
        <w:t> </w:t>
      </w:r>
      <w:r>
        <w:rPr>
          <w:vertAlign w:val="baseline"/>
        </w:rPr>
        <w:t>geometric mean of lowest dose that causes death and the highest dose for which the animals</w:t>
      </w:r>
      <w:r>
        <w:rPr>
          <w:spacing w:val="1"/>
          <w:vertAlign w:val="baseline"/>
        </w:rPr>
        <w:t> </w:t>
      </w:r>
      <w:r>
        <w:rPr>
          <w:vertAlign w:val="baseline"/>
        </w:rPr>
        <w:t>survived, as shown by</w:t>
      </w:r>
      <w:r>
        <w:rPr>
          <w:spacing w:val="-5"/>
          <w:vertAlign w:val="baseline"/>
        </w:rPr>
        <w:t> </w:t>
      </w:r>
      <w:r>
        <w:rPr>
          <w:vertAlign w:val="baseline"/>
        </w:rPr>
        <w:t>the</w:t>
      </w:r>
      <w:r>
        <w:rPr>
          <w:spacing w:val="-1"/>
          <w:vertAlign w:val="baseline"/>
        </w:rPr>
        <w:t> </w:t>
      </w:r>
      <w:r>
        <w:rPr>
          <w:vertAlign w:val="baseline"/>
        </w:rPr>
        <w:t>formula</w:t>
      </w:r>
      <w:r>
        <w:rPr>
          <w:spacing w:val="-1"/>
          <w:vertAlign w:val="baseline"/>
        </w:rPr>
        <w:t> </w:t>
      </w:r>
      <w:r>
        <w:rPr>
          <w:vertAlign w:val="baseline"/>
        </w:rPr>
        <w:t>below:</w:t>
      </w:r>
    </w:p>
    <w:p>
      <w:pPr>
        <w:pStyle w:val="BodyText"/>
        <w:spacing w:before="2"/>
      </w:pPr>
    </w:p>
    <w:p>
      <w:pPr>
        <w:pStyle w:val="BodyText"/>
        <w:ind w:left="648"/>
        <w:jc w:val="both"/>
      </w:pPr>
      <w:r>
        <w:rPr/>
        <w:t>LD</w:t>
      </w:r>
      <w:r>
        <w:rPr>
          <w:vertAlign w:val="subscript"/>
        </w:rPr>
        <w:t>50</w:t>
      </w:r>
      <w:r>
        <w:rPr>
          <w:spacing w:val="1"/>
          <w:vertAlign w:val="baseline"/>
        </w:rPr>
        <w:t> </w:t>
      </w:r>
      <w:r>
        <w:rPr>
          <w:vertAlign w:val="baseline"/>
        </w:rPr>
        <w:t>=</w:t>
      </w:r>
      <w:r>
        <w:rPr>
          <w:spacing w:val="-1"/>
          <w:vertAlign w:val="baseline"/>
        </w:rPr>
        <w:t> </w:t>
      </w:r>
      <w:r>
        <w:rPr>
          <w:vertAlign w:val="baseline"/>
        </w:rPr>
        <w:t>G.M.</w:t>
      </w:r>
      <w:r>
        <w:rPr>
          <w:spacing w:val="1"/>
          <w:vertAlign w:val="baseline"/>
        </w:rPr>
        <w:t> </w:t>
      </w:r>
      <w:r>
        <w:rPr>
          <w:vertAlign w:val="baseline"/>
        </w:rPr>
        <w:t>=</w:t>
      </w:r>
      <w:r>
        <w:rPr>
          <w:spacing w:val="-2"/>
          <w:vertAlign w:val="baseline"/>
        </w:rPr>
        <w:t> </w:t>
      </w:r>
      <w:r>
        <w:rPr>
          <w:vertAlign w:val="baseline"/>
        </w:rPr>
        <w:t>i</w:t>
      </w:r>
    </w:p>
    <w:p>
      <w:pPr>
        <w:pStyle w:val="BodyText"/>
      </w:pPr>
    </w:p>
    <w:p>
      <w:pPr>
        <w:pStyle w:val="BodyText"/>
        <w:ind w:left="710"/>
      </w:pPr>
      <w:r>
        <w:rPr>
          <w:spacing w:val="-1"/>
        </w:rPr>
        <w:t>LD</w:t>
      </w:r>
      <w:r>
        <w:rPr>
          <w:spacing w:val="-1"/>
          <w:vertAlign w:val="subscript"/>
        </w:rPr>
        <w:t>50</w:t>
      </w:r>
      <w:r>
        <w:rPr>
          <w:spacing w:val="-18"/>
          <w:vertAlign w:val="baseline"/>
        </w:rPr>
        <w:t> </w:t>
      </w:r>
      <w:r>
        <w:rPr>
          <w:spacing w:val="-1"/>
          <w:vertAlign w:val="baseline"/>
        </w:rPr>
        <w:t>= Median</w:t>
      </w:r>
      <w:r>
        <w:rPr>
          <w:spacing w:val="1"/>
          <w:vertAlign w:val="baseline"/>
        </w:rPr>
        <w:t> </w:t>
      </w:r>
      <w:r>
        <w:rPr>
          <w:vertAlign w:val="baseline"/>
        </w:rPr>
        <w:t>Lethal</w:t>
      </w:r>
      <w:r>
        <w:rPr>
          <w:spacing w:val="1"/>
          <w:vertAlign w:val="baseline"/>
        </w:rPr>
        <w:t> </w:t>
      </w:r>
      <w:r>
        <w:rPr>
          <w:vertAlign w:val="baseline"/>
        </w:rPr>
        <w:t>Dose</w:t>
      </w:r>
    </w:p>
    <w:p>
      <w:pPr>
        <w:pStyle w:val="BodyText"/>
      </w:pPr>
    </w:p>
    <w:p>
      <w:pPr>
        <w:pStyle w:val="BodyText"/>
        <w:ind w:left="648"/>
      </w:pPr>
      <w:r>
        <w:rPr/>
        <w:t>G.M.</w:t>
      </w:r>
      <w:r>
        <w:rPr>
          <w:spacing w:val="-1"/>
        </w:rPr>
        <w:t> </w:t>
      </w:r>
      <w:r>
        <w:rPr/>
        <w:t>=</w:t>
      </w:r>
      <w:r>
        <w:rPr>
          <w:spacing w:val="-3"/>
        </w:rPr>
        <w:t> </w:t>
      </w:r>
      <w:r>
        <w:rPr/>
        <w:t>Geometric</w:t>
      </w:r>
      <w:r>
        <w:rPr>
          <w:spacing w:val="-2"/>
        </w:rPr>
        <w:t> </w:t>
      </w:r>
      <w:r>
        <w:rPr/>
        <w:t>Mean</w:t>
      </w:r>
    </w:p>
    <w:p>
      <w:pPr>
        <w:pStyle w:val="BodyText"/>
      </w:pPr>
    </w:p>
    <w:p>
      <w:pPr>
        <w:pStyle w:val="BodyText"/>
        <w:spacing w:before="1"/>
        <w:ind w:left="648"/>
      </w:pPr>
      <w:r>
        <w:rPr/>
        <w:t>X</w:t>
      </w:r>
      <w:r>
        <w:rPr>
          <w:spacing w:val="-1"/>
        </w:rPr>
        <w:t> </w:t>
      </w:r>
      <w:r>
        <w:rPr/>
        <w:t>=</w:t>
      </w:r>
      <w:r>
        <w:rPr>
          <w:spacing w:val="-2"/>
        </w:rPr>
        <w:t> </w:t>
      </w:r>
      <w:r>
        <w:rPr/>
        <w:t>lowest lethal dose</w:t>
      </w:r>
      <w:r>
        <w:rPr>
          <w:spacing w:val="-1"/>
        </w:rPr>
        <w:t> </w:t>
      </w:r>
      <w:r>
        <w:rPr/>
        <w:t>(1/1)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648"/>
      </w:pPr>
      <w:r>
        <w:rPr/>
        <w:t>Y</w:t>
      </w:r>
      <w:r>
        <w:rPr>
          <w:spacing w:val="-1"/>
        </w:rPr>
        <w:t> </w:t>
      </w:r>
      <w:r>
        <w:rPr/>
        <w:t>=</w:t>
      </w:r>
      <w:r>
        <w:rPr>
          <w:spacing w:val="-2"/>
        </w:rPr>
        <w:t> </w:t>
      </w:r>
      <w:r>
        <w:rPr/>
        <w:t>Highest</w:t>
      </w:r>
      <w:r>
        <w:rPr>
          <w:spacing w:val="-1"/>
        </w:rPr>
        <w:t> </w:t>
      </w:r>
      <w:r>
        <w:rPr/>
        <w:t>non-lethal dose</w:t>
      </w:r>
      <w:r>
        <w:rPr>
          <w:spacing w:val="-1"/>
        </w:rPr>
        <w:t> </w:t>
      </w:r>
      <w:r>
        <w:rPr/>
        <w:t>(0/1)</w:t>
      </w:r>
    </w:p>
    <w:p>
      <w:pPr>
        <w:spacing w:after="0"/>
        <w:sectPr>
          <w:pgSz w:w="12240" w:h="15840"/>
          <w:pgMar w:header="0" w:footer="792" w:top="1360" w:bottom="980" w:left="1080" w:right="760"/>
        </w:sectPr>
      </w:pPr>
    </w:p>
    <w:p>
      <w:pPr>
        <w:pStyle w:val="Heading1"/>
        <w:numPr>
          <w:ilvl w:val="1"/>
          <w:numId w:val="26"/>
        </w:numPr>
        <w:tabs>
          <w:tab w:pos="1369" w:val="left" w:leader="none"/>
        </w:tabs>
        <w:spacing w:line="240" w:lineRule="auto" w:before="76" w:after="0"/>
        <w:ind w:left="1368" w:right="0" w:hanging="721"/>
        <w:jc w:val="both"/>
      </w:pPr>
      <w:bookmarkStart w:name="_TOC_250025" w:id="36"/>
      <w:r>
        <w:rPr/>
        <w:t>Anticonvulsant</w:t>
      </w:r>
      <w:r>
        <w:rPr>
          <w:spacing w:val="-3"/>
        </w:rPr>
        <w:t> </w:t>
      </w:r>
      <w:bookmarkEnd w:id="36"/>
      <w:r>
        <w:rPr/>
        <w:t>Studies</w:t>
      </w:r>
    </w:p>
    <w:p>
      <w:pPr>
        <w:pStyle w:val="BodyText"/>
        <w:spacing w:before="1"/>
        <w:rPr>
          <w:b/>
        </w:rPr>
      </w:pPr>
    </w:p>
    <w:p>
      <w:pPr>
        <w:pStyle w:val="Heading1"/>
        <w:numPr>
          <w:ilvl w:val="2"/>
          <w:numId w:val="26"/>
        </w:numPr>
        <w:tabs>
          <w:tab w:pos="1369" w:val="left" w:leader="none"/>
        </w:tabs>
        <w:spacing w:line="240" w:lineRule="auto" w:before="0" w:after="0"/>
        <w:ind w:left="1368" w:right="0" w:hanging="721"/>
        <w:jc w:val="both"/>
      </w:pPr>
      <w:bookmarkStart w:name="_TOC_250024" w:id="37"/>
      <w:r>
        <w:rPr/>
        <w:t>General</w:t>
      </w:r>
      <w:r>
        <w:rPr>
          <w:spacing w:val="-1"/>
        </w:rPr>
        <w:t> </w:t>
      </w:r>
      <w:r>
        <w:rPr/>
        <w:t>study</w:t>
      </w:r>
      <w:r>
        <w:rPr>
          <w:spacing w:val="-1"/>
        </w:rPr>
        <w:t> </w:t>
      </w:r>
      <w:bookmarkEnd w:id="37"/>
      <w:r>
        <w:rPr/>
        <w:t>design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648" w:right="677"/>
        <w:jc w:val="both"/>
      </w:pPr>
      <w:r>
        <w:rPr/>
        <w:t>The studies were carried out using five groups each containing ten or six animals as the case</w:t>
      </w:r>
      <w:r>
        <w:rPr>
          <w:spacing w:val="1"/>
        </w:rPr>
        <w:t> </w:t>
      </w:r>
      <w:r>
        <w:rPr/>
        <w:t>may be.Groups 1 and 5 served as negative and positive controls using normal saline and a</w:t>
      </w:r>
      <w:r>
        <w:rPr>
          <w:spacing w:val="1"/>
        </w:rPr>
        <w:t> </w:t>
      </w:r>
      <w:r>
        <w:rPr/>
        <w:t>standard drug respectively while groups 2, 3 and 4 received graded doses of the extract.</w:t>
      </w:r>
      <w:r>
        <w:rPr>
          <w:spacing w:val="1"/>
        </w:rPr>
        <w:t> </w:t>
      </w:r>
      <w:r>
        <w:rPr/>
        <w:t>Results</w:t>
      </w:r>
      <w:r>
        <w:rPr>
          <w:spacing w:val="-1"/>
        </w:rPr>
        <w:t> </w:t>
      </w:r>
      <w:r>
        <w:rPr/>
        <w:t>obtained for</w:t>
      </w:r>
      <w:r>
        <w:rPr>
          <w:spacing w:val="-2"/>
        </w:rPr>
        <w:t> </w:t>
      </w:r>
      <w:r>
        <w:rPr/>
        <w:t>each</w:t>
      </w:r>
      <w:r>
        <w:rPr>
          <w:spacing w:val="3"/>
        </w:rPr>
        <w:t> </w:t>
      </w:r>
      <w:r>
        <w:rPr/>
        <w:t>experiment were</w:t>
      </w:r>
      <w:r>
        <w:rPr>
          <w:spacing w:val="-1"/>
        </w:rPr>
        <w:t> </w:t>
      </w:r>
      <w:r>
        <w:rPr/>
        <w:t>recorded accordingly</w:t>
      </w:r>
    </w:p>
    <w:p>
      <w:pPr>
        <w:pStyle w:val="BodyText"/>
        <w:ind w:left="648"/>
      </w:pPr>
      <w:r>
        <w:rPr/>
        <w:t>.</w:t>
      </w:r>
    </w:p>
    <w:p>
      <w:pPr>
        <w:pStyle w:val="Heading1"/>
        <w:numPr>
          <w:ilvl w:val="2"/>
          <w:numId w:val="26"/>
        </w:numPr>
        <w:tabs>
          <w:tab w:pos="1368" w:val="left" w:leader="none"/>
          <w:tab w:pos="1369" w:val="left" w:leader="none"/>
        </w:tabs>
        <w:spacing w:line="240" w:lineRule="auto" w:before="5" w:after="0"/>
        <w:ind w:left="1368" w:right="0" w:hanging="721"/>
        <w:jc w:val="left"/>
      </w:pPr>
      <w:r>
        <w:rPr/>
        <w:t>Pentylenetetrazole</w:t>
      </w:r>
      <w:r>
        <w:rPr>
          <w:spacing w:val="-4"/>
        </w:rPr>
        <w:t> </w:t>
      </w:r>
      <w:r>
        <w:rPr/>
        <w:t>induced</w:t>
      </w:r>
      <w:r>
        <w:rPr>
          <w:spacing w:val="-3"/>
        </w:rPr>
        <w:t> </w:t>
      </w:r>
      <w:r>
        <w:rPr/>
        <w:t>seizure</w:t>
      </w:r>
      <w:r>
        <w:rPr>
          <w:spacing w:val="-1"/>
        </w:rPr>
        <w:t> </w:t>
      </w:r>
      <w:r>
        <w:rPr/>
        <w:t>model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648" w:right="675"/>
        <w:jc w:val="both"/>
      </w:pPr>
      <w:r>
        <w:rPr/>
        <w:t>The method of Swinyard </w:t>
      </w:r>
      <w:r>
        <w:rPr>
          <w:i/>
        </w:rPr>
        <w:t>et al</w:t>
      </w:r>
      <w:r>
        <w:rPr/>
        <w:t>., (1989) was employed. Thirty mice of either sex were divided</w:t>
      </w:r>
      <w:r>
        <w:rPr>
          <w:spacing w:val="1"/>
        </w:rPr>
        <w:t> </w:t>
      </w:r>
      <w:r>
        <w:rPr/>
        <w:t>into five groups of six mice each. Mice in group 1 were treated with equivolume of distilled</w:t>
      </w:r>
      <w:r>
        <w:rPr>
          <w:spacing w:val="1"/>
        </w:rPr>
        <w:t> </w:t>
      </w:r>
      <w:r>
        <w:rPr/>
        <w:t>water per kg body weight intraperitoneally, the second, third and fourth group were treated</w:t>
      </w:r>
      <w:r>
        <w:rPr>
          <w:spacing w:val="1"/>
        </w:rPr>
        <w:t> </w:t>
      </w:r>
      <w:r>
        <w:rPr/>
        <w:t>with 50, 100 and 200 mg of the extract per kg body weight i.p., the fifth group were treated</w:t>
      </w:r>
      <w:r>
        <w:rPr>
          <w:spacing w:val="1"/>
        </w:rPr>
        <w:t> </w:t>
      </w:r>
      <w:r>
        <w:rPr/>
        <w:t>with 200 mg valproic acid per kg body weight i.p. Thirty minutes later, mice in all the groups</w:t>
      </w:r>
      <w:r>
        <w:rPr>
          <w:spacing w:val="1"/>
        </w:rPr>
        <w:t> </w:t>
      </w:r>
      <w:r>
        <w:rPr/>
        <w:t>were treated with 90 mg/kg of freshly prepared pentylenetratrazole subcutaneously. The mice</w:t>
      </w:r>
      <w:r>
        <w:rPr>
          <w:spacing w:val="1"/>
        </w:rPr>
        <w:t> </w:t>
      </w:r>
      <w:r>
        <w:rPr/>
        <w:t>were observed for presence or absence of clonic spasm</w:t>
      </w:r>
      <w:r>
        <w:rPr>
          <w:spacing w:val="60"/>
        </w:rPr>
        <w:t> </w:t>
      </w:r>
      <w:r>
        <w:rPr/>
        <w:t>of at least 5 seconds duration,hind</w:t>
      </w:r>
      <w:r>
        <w:rPr>
          <w:spacing w:val="1"/>
        </w:rPr>
        <w:t> </w:t>
      </w:r>
      <w:r>
        <w:rPr/>
        <w:t>limb extension</w:t>
      </w:r>
      <w:r>
        <w:rPr>
          <w:spacing w:val="-1"/>
        </w:rPr>
        <w:t> </w:t>
      </w:r>
      <w:r>
        <w:rPr/>
        <w:t>or</w:t>
      </w:r>
      <w:r>
        <w:rPr>
          <w:spacing w:val="-1"/>
        </w:rPr>
        <w:t> </w:t>
      </w:r>
      <w:r>
        <w:rPr/>
        <w:t>death.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1"/>
        <w:numPr>
          <w:ilvl w:val="2"/>
          <w:numId w:val="26"/>
        </w:numPr>
        <w:tabs>
          <w:tab w:pos="1369" w:val="left" w:leader="none"/>
        </w:tabs>
        <w:spacing w:line="240" w:lineRule="auto" w:before="1" w:after="0"/>
        <w:ind w:left="1368" w:right="0" w:hanging="721"/>
        <w:jc w:val="both"/>
      </w:pPr>
      <w:bookmarkStart w:name="_TOC_250023" w:id="38"/>
      <w:r>
        <w:rPr/>
        <w:t>Maximal electroshock</w:t>
      </w:r>
      <w:r>
        <w:rPr>
          <w:spacing w:val="-2"/>
        </w:rPr>
        <w:t> </w:t>
      </w:r>
      <w:bookmarkEnd w:id="38"/>
      <w:r>
        <w:rPr/>
        <w:t>test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648" w:right="675"/>
        <w:jc w:val="both"/>
      </w:pPr>
      <w:r>
        <w:rPr/>
        <w:t>The method of Toman (1946) as modified by Swinyard and Kupferberg (1985) and Browning</w:t>
      </w:r>
      <w:r>
        <w:rPr>
          <w:spacing w:val="-57"/>
        </w:rPr>
        <w:t> </w:t>
      </w:r>
      <w:r>
        <w:rPr/>
        <w:t>(1992) was employed.</w:t>
      </w:r>
      <w:r>
        <w:rPr>
          <w:spacing w:val="1"/>
        </w:rPr>
        <w:t> </w:t>
      </w:r>
      <w:r>
        <w:rPr/>
        <w:t>Fifty day old chicks were divided randomly into five groups of 10</w:t>
      </w:r>
      <w:r>
        <w:rPr>
          <w:spacing w:val="1"/>
        </w:rPr>
        <w:t> </w:t>
      </w:r>
      <w:r>
        <w:rPr/>
        <w:t>chicks per group.</w:t>
      </w:r>
      <w:r>
        <w:rPr>
          <w:spacing w:val="1"/>
        </w:rPr>
        <w:t> </w:t>
      </w:r>
      <w:r>
        <w:rPr/>
        <w:t>The first group was treated with distilled water (10ml/kg) i.p., second, third</w:t>
      </w:r>
      <w:r>
        <w:rPr>
          <w:spacing w:val="-57"/>
        </w:rPr>
        <w:t> </w:t>
      </w:r>
      <w:r>
        <w:rPr/>
        <w:t>and</w:t>
      </w:r>
      <w:r>
        <w:rPr>
          <w:spacing w:val="1"/>
        </w:rPr>
        <w:t> </w:t>
      </w:r>
      <w:r>
        <w:rPr/>
        <w:t>fourth</w:t>
      </w:r>
      <w:r>
        <w:rPr>
          <w:spacing w:val="1"/>
        </w:rPr>
        <w:t> </w:t>
      </w:r>
      <w:r>
        <w:rPr/>
        <w:t>groups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treated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250,</w:t>
      </w:r>
      <w:r>
        <w:rPr>
          <w:spacing w:val="1"/>
        </w:rPr>
        <w:t> </w:t>
      </w:r>
      <w:r>
        <w:rPr/>
        <w:t>500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1000mg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extract</w:t>
      </w:r>
      <w:r>
        <w:rPr>
          <w:spacing w:val="1"/>
        </w:rPr>
        <w:t> </w:t>
      </w:r>
      <w:r>
        <w:rPr/>
        <w:t>per</w:t>
      </w:r>
      <w:r>
        <w:rPr>
          <w:spacing w:val="1"/>
        </w:rPr>
        <w:t> </w:t>
      </w:r>
      <w:r>
        <w:rPr/>
        <w:t>kg</w:t>
      </w:r>
      <w:r>
        <w:rPr>
          <w:spacing w:val="1"/>
        </w:rPr>
        <w:t> </w:t>
      </w:r>
      <w:r>
        <w:rPr/>
        <w:t>i.p.</w:t>
      </w:r>
      <w:r>
        <w:rPr>
          <w:spacing w:val="1"/>
        </w:rPr>
        <w:t> </w:t>
      </w:r>
      <w:r>
        <w:rPr/>
        <w:t>respectively and the fifth group was treated with 20mg phenytoin per kg i.p. as positive</w:t>
      </w:r>
      <w:r>
        <w:rPr>
          <w:spacing w:val="1"/>
        </w:rPr>
        <w:t> </w:t>
      </w:r>
      <w:r>
        <w:rPr/>
        <w:t>control.</w:t>
      </w:r>
      <w:r>
        <w:rPr>
          <w:spacing w:val="8"/>
        </w:rPr>
        <w:t> </w:t>
      </w:r>
      <w:r>
        <w:rPr/>
        <w:t>Thirty</w:t>
      </w:r>
      <w:r>
        <w:rPr>
          <w:spacing w:val="4"/>
        </w:rPr>
        <w:t> </w:t>
      </w:r>
      <w:r>
        <w:rPr/>
        <w:t>minutes</w:t>
      </w:r>
      <w:r>
        <w:rPr>
          <w:spacing w:val="8"/>
        </w:rPr>
        <w:t> </w:t>
      </w:r>
      <w:r>
        <w:rPr/>
        <w:t>later,</w:t>
      </w:r>
      <w:r>
        <w:rPr>
          <w:spacing w:val="9"/>
        </w:rPr>
        <w:t> </w:t>
      </w:r>
      <w:r>
        <w:rPr/>
        <w:t>maximal</w:t>
      </w:r>
      <w:r>
        <w:rPr>
          <w:spacing w:val="8"/>
        </w:rPr>
        <w:t> </w:t>
      </w:r>
      <w:r>
        <w:rPr/>
        <w:t>electroshock</w:t>
      </w:r>
      <w:r>
        <w:rPr>
          <w:spacing w:val="9"/>
        </w:rPr>
        <w:t> </w:t>
      </w:r>
      <w:r>
        <w:rPr/>
        <w:t>was</w:t>
      </w:r>
      <w:r>
        <w:rPr>
          <w:spacing w:val="9"/>
        </w:rPr>
        <w:t> </w:t>
      </w:r>
      <w:r>
        <w:rPr/>
        <w:t>administered</w:t>
      </w:r>
      <w:r>
        <w:rPr>
          <w:spacing w:val="8"/>
        </w:rPr>
        <w:t> </w:t>
      </w:r>
      <w:r>
        <w:rPr/>
        <w:t>to</w:t>
      </w:r>
      <w:r>
        <w:rPr>
          <w:spacing w:val="9"/>
        </w:rPr>
        <w:t> </w:t>
      </w:r>
      <w:r>
        <w:rPr/>
        <w:t>induce</w:t>
      </w:r>
      <w:r>
        <w:rPr>
          <w:spacing w:val="7"/>
        </w:rPr>
        <w:t> </w:t>
      </w:r>
      <w:r>
        <w:rPr/>
        <w:t>seizure</w:t>
      </w:r>
      <w:r>
        <w:rPr>
          <w:spacing w:val="8"/>
        </w:rPr>
        <w:t> </w:t>
      </w:r>
      <w:r>
        <w:rPr/>
        <w:t>in</w:t>
      </w:r>
      <w:r>
        <w:rPr>
          <w:spacing w:val="9"/>
        </w:rPr>
        <w:t> </w:t>
      </w:r>
      <w:r>
        <w:rPr/>
        <w:t>the</w:t>
      </w:r>
    </w:p>
    <w:p>
      <w:pPr>
        <w:spacing w:after="0" w:line="480" w:lineRule="auto"/>
        <w:jc w:val="both"/>
        <w:sectPr>
          <w:pgSz w:w="12240" w:h="15840"/>
          <w:pgMar w:header="0" w:footer="792" w:top="1360" w:bottom="980" w:left="1080" w:right="760"/>
        </w:sectPr>
      </w:pPr>
    </w:p>
    <w:p>
      <w:pPr>
        <w:pStyle w:val="BodyText"/>
        <w:spacing w:line="480" w:lineRule="auto" w:before="72"/>
        <w:ind w:left="648" w:right="674"/>
        <w:jc w:val="both"/>
      </w:pPr>
      <w:r>
        <w:rPr/>
        <w:t>chicks using ugo Basile electroconvulsive machine (Model 7801) with corneal electrodes</w:t>
      </w:r>
      <w:r>
        <w:rPr>
          <w:spacing w:val="1"/>
        </w:rPr>
        <w:t> </w:t>
      </w:r>
      <w:r>
        <w:rPr/>
        <w:t>placed on the upper eyelids of the chicks.</w:t>
      </w:r>
      <w:r>
        <w:rPr>
          <w:spacing w:val="1"/>
        </w:rPr>
        <w:t> </w:t>
      </w:r>
      <w:r>
        <w:rPr/>
        <w:t>The current, shock duration, frequency and pulse</w:t>
      </w:r>
      <w:r>
        <w:rPr>
          <w:spacing w:val="1"/>
        </w:rPr>
        <w:t> </w:t>
      </w:r>
      <w:r>
        <w:rPr/>
        <w:t>width used were maintained at 90 mA, 0.8s, 100 pulse per second and 0.8ms respectively. The</w:t>
      </w:r>
      <w:r>
        <w:rPr>
          <w:spacing w:val="-57"/>
        </w:rPr>
        <w:t> </w:t>
      </w:r>
      <w:r>
        <w:rPr/>
        <w:t>chicks were observed for hind limb tonic extension which was considered as convulsion while</w:t>
      </w:r>
      <w:r>
        <w:rPr>
          <w:spacing w:val="-57"/>
        </w:rPr>
        <w:t> </w:t>
      </w:r>
      <w:r>
        <w:rPr/>
        <w:t>abolition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hind</w:t>
      </w:r>
      <w:r>
        <w:rPr>
          <w:spacing w:val="1"/>
        </w:rPr>
        <w:t> </w:t>
      </w:r>
      <w:r>
        <w:rPr/>
        <w:t>limb</w:t>
      </w:r>
      <w:r>
        <w:rPr>
          <w:spacing w:val="1"/>
        </w:rPr>
        <w:t> </w:t>
      </w:r>
      <w:r>
        <w:rPr/>
        <w:t>tonic</w:t>
      </w:r>
      <w:r>
        <w:rPr>
          <w:spacing w:val="1"/>
        </w:rPr>
        <w:t> </w:t>
      </w:r>
      <w:r>
        <w:rPr/>
        <w:t>extension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considered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protection</w:t>
      </w:r>
      <w:r>
        <w:rPr>
          <w:spacing w:val="1"/>
        </w:rPr>
        <w:t> </w:t>
      </w:r>
      <w:r>
        <w:rPr/>
        <w:t>against</w:t>
      </w:r>
      <w:r>
        <w:rPr>
          <w:spacing w:val="60"/>
        </w:rPr>
        <w:t> </w:t>
      </w:r>
      <w:r>
        <w:rPr/>
        <w:t>electrically</w:t>
      </w:r>
      <w:r>
        <w:rPr>
          <w:spacing w:val="1"/>
        </w:rPr>
        <w:t> </w:t>
      </w:r>
      <w:r>
        <w:rPr/>
        <w:t>induced</w:t>
      </w:r>
      <w:r>
        <w:rPr>
          <w:spacing w:val="-1"/>
        </w:rPr>
        <w:t> </w:t>
      </w:r>
      <w:r>
        <w:rPr/>
        <w:t>convulsion.</w:t>
      </w: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2"/>
        </w:rPr>
      </w:pPr>
    </w:p>
    <w:p>
      <w:pPr>
        <w:pStyle w:val="Heading1"/>
        <w:numPr>
          <w:ilvl w:val="2"/>
          <w:numId w:val="26"/>
        </w:numPr>
        <w:tabs>
          <w:tab w:pos="1369" w:val="left" w:leader="none"/>
        </w:tabs>
        <w:spacing w:line="240" w:lineRule="auto" w:before="0" w:after="0"/>
        <w:ind w:left="1368" w:right="0" w:hanging="721"/>
        <w:jc w:val="both"/>
      </w:pPr>
      <w:r>
        <w:rPr/>
        <w:t>Strychnine</w:t>
      </w:r>
      <w:r>
        <w:rPr>
          <w:spacing w:val="-3"/>
        </w:rPr>
        <w:t> </w:t>
      </w:r>
      <w:r>
        <w:rPr/>
        <w:t>induced</w:t>
      </w:r>
      <w:r>
        <w:rPr>
          <w:spacing w:val="-3"/>
        </w:rPr>
        <w:t> </w:t>
      </w:r>
      <w:r>
        <w:rPr/>
        <w:t>seizure</w:t>
      </w:r>
      <w:r>
        <w:rPr>
          <w:spacing w:val="-1"/>
        </w:rPr>
        <w:t> </w:t>
      </w:r>
      <w:r>
        <w:rPr/>
        <w:t>model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648" w:right="676"/>
        <w:jc w:val="both"/>
      </w:pPr>
      <w:r>
        <w:rPr/>
        <w:t>The method of Porter </w:t>
      </w:r>
      <w:r>
        <w:rPr>
          <w:i/>
        </w:rPr>
        <w:t>et al</w:t>
      </w:r>
      <w:r>
        <w:rPr/>
        <w:t>., (1984) was employed.   Thirty mice of either sex were divided</w:t>
      </w:r>
      <w:r>
        <w:rPr>
          <w:spacing w:val="1"/>
        </w:rPr>
        <w:t> </w:t>
      </w:r>
      <w:r>
        <w:rPr/>
        <w:t>into five groups of six mice each. Mice in group 1 were treated with 10 ml/kg</w:t>
      </w:r>
      <w:r>
        <w:rPr>
          <w:spacing w:val="1"/>
        </w:rPr>
        <w:t> </w:t>
      </w:r>
      <w:r>
        <w:rPr/>
        <w:t>of distilled</w:t>
      </w:r>
      <w:r>
        <w:rPr>
          <w:spacing w:val="1"/>
        </w:rPr>
        <w:t> </w:t>
      </w:r>
      <w:r>
        <w:rPr/>
        <w:t>water per kg body weight i.p.., the second, third, and fourth group were treated with 50, 100</w:t>
      </w:r>
      <w:r>
        <w:rPr>
          <w:spacing w:val="1"/>
        </w:rPr>
        <w:t> </w:t>
      </w:r>
      <w:r>
        <w:rPr/>
        <w:t>and</w:t>
      </w:r>
      <w:r>
        <w:rPr>
          <w:spacing w:val="5"/>
        </w:rPr>
        <w:t> </w:t>
      </w:r>
      <w:r>
        <w:rPr/>
        <w:t>200</w:t>
      </w:r>
      <w:r>
        <w:rPr>
          <w:spacing w:val="6"/>
        </w:rPr>
        <w:t> </w:t>
      </w:r>
      <w:r>
        <w:rPr/>
        <w:t>mg</w:t>
      </w:r>
      <w:r>
        <w:rPr>
          <w:spacing w:val="4"/>
        </w:rPr>
        <w:t> </w:t>
      </w:r>
      <w:r>
        <w:rPr/>
        <w:t>of</w:t>
      </w:r>
      <w:r>
        <w:rPr>
          <w:spacing w:val="5"/>
        </w:rPr>
        <w:t> </w:t>
      </w:r>
      <w:r>
        <w:rPr/>
        <w:t>the</w:t>
      </w:r>
      <w:r>
        <w:rPr>
          <w:spacing w:val="6"/>
        </w:rPr>
        <w:t> </w:t>
      </w:r>
      <w:r>
        <w:rPr/>
        <w:t>extract</w:t>
      </w:r>
      <w:r>
        <w:rPr>
          <w:spacing w:val="6"/>
        </w:rPr>
        <w:t> </w:t>
      </w:r>
      <w:r>
        <w:rPr/>
        <w:t>per</w:t>
      </w:r>
      <w:r>
        <w:rPr>
          <w:spacing w:val="5"/>
        </w:rPr>
        <w:t> </w:t>
      </w:r>
      <w:r>
        <w:rPr/>
        <w:t>kg</w:t>
      </w:r>
      <w:r>
        <w:rPr>
          <w:spacing w:val="3"/>
        </w:rPr>
        <w:t> </w:t>
      </w:r>
      <w:r>
        <w:rPr/>
        <w:t>body</w:t>
      </w:r>
      <w:r>
        <w:rPr>
          <w:spacing w:val="2"/>
        </w:rPr>
        <w:t> </w:t>
      </w:r>
      <w:r>
        <w:rPr/>
        <w:t>weight</w:t>
      </w:r>
      <w:r>
        <w:rPr>
          <w:spacing w:val="6"/>
        </w:rPr>
        <w:t> </w:t>
      </w:r>
      <w:r>
        <w:rPr/>
        <w:t>i.p.,</w:t>
      </w:r>
      <w:r>
        <w:rPr>
          <w:spacing w:val="6"/>
        </w:rPr>
        <w:t> </w:t>
      </w:r>
      <w:r>
        <w:rPr/>
        <w:t>and</w:t>
      </w:r>
      <w:r>
        <w:rPr>
          <w:spacing w:val="5"/>
        </w:rPr>
        <w:t> </w:t>
      </w:r>
      <w:r>
        <w:rPr/>
        <w:t>the</w:t>
      </w:r>
      <w:r>
        <w:rPr>
          <w:spacing w:val="6"/>
        </w:rPr>
        <w:t> </w:t>
      </w:r>
      <w:r>
        <w:rPr/>
        <w:t>fifth</w:t>
      </w:r>
      <w:r>
        <w:rPr>
          <w:spacing w:val="8"/>
        </w:rPr>
        <w:t> </w:t>
      </w:r>
      <w:r>
        <w:rPr/>
        <w:t>group</w:t>
      </w:r>
      <w:r>
        <w:rPr>
          <w:spacing w:val="5"/>
        </w:rPr>
        <w:t> </w:t>
      </w:r>
      <w:r>
        <w:rPr/>
        <w:t>was</w:t>
      </w:r>
      <w:r>
        <w:rPr>
          <w:spacing w:val="6"/>
        </w:rPr>
        <w:t> </w:t>
      </w:r>
      <w:r>
        <w:rPr/>
        <w:t>treated</w:t>
      </w:r>
      <w:r>
        <w:rPr>
          <w:spacing w:val="5"/>
        </w:rPr>
        <w:t> </w:t>
      </w:r>
      <w:r>
        <w:rPr/>
        <w:t>with</w:t>
      </w:r>
      <w:r>
        <w:rPr>
          <w:spacing w:val="6"/>
        </w:rPr>
        <w:t> </w:t>
      </w:r>
      <w:r>
        <w:rPr/>
        <w:t>30</w:t>
      </w:r>
      <w:r>
        <w:rPr>
          <w:spacing w:val="8"/>
        </w:rPr>
        <w:t> </w:t>
      </w:r>
      <w:r>
        <w:rPr/>
        <w:t>mg</w:t>
      </w:r>
    </w:p>
    <w:p>
      <w:pPr>
        <w:pStyle w:val="BodyText"/>
        <w:spacing w:line="480" w:lineRule="auto"/>
        <w:ind w:left="648" w:right="675"/>
        <w:jc w:val="both"/>
      </w:pPr>
      <w:r>
        <w:rPr/>
        <w:t>/kg phenobarbitone i.p. as positive control. Thirty minutes later, mice in all the groups were</w:t>
      </w:r>
      <w:r>
        <w:rPr>
          <w:spacing w:val="1"/>
        </w:rPr>
        <w:t> </w:t>
      </w:r>
      <w:r>
        <w:rPr/>
        <w:t>treated with 2.5 mg of freshly prepared strychnine per kg s.c. The mice were observed for</w:t>
      </w:r>
      <w:r>
        <w:rPr>
          <w:spacing w:val="1"/>
        </w:rPr>
        <w:t> </w:t>
      </w:r>
      <w:r>
        <w:rPr/>
        <w:t>tonic</w:t>
      </w:r>
      <w:r>
        <w:rPr>
          <w:spacing w:val="31"/>
        </w:rPr>
        <w:t> </w:t>
      </w:r>
      <w:r>
        <w:rPr/>
        <w:t>extensor</w:t>
      </w:r>
      <w:r>
        <w:rPr>
          <w:spacing w:val="31"/>
        </w:rPr>
        <w:t> </w:t>
      </w:r>
      <w:r>
        <w:rPr/>
        <w:t>jerks</w:t>
      </w:r>
      <w:r>
        <w:rPr>
          <w:spacing w:val="32"/>
        </w:rPr>
        <w:t> </w:t>
      </w:r>
      <w:r>
        <w:rPr/>
        <w:t>of</w:t>
      </w:r>
      <w:r>
        <w:rPr>
          <w:spacing w:val="31"/>
        </w:rPr>
        <w:t> </w:t>
      </w:r>
      <w:r>
        <w:rPr/>
        <w:t>the</w:t>
      </w:r>
      <w:r>
        <w:rPr>
          <w:spacing w:val="31"/>
        </w:rPr>
        <w:t> </w:t>
      </w:r>
      <w:r>
        <w:rPr/>
        <w:t>hind</w:t>
      </w:r>
      <w:r>
        <w:rPr>
          <w:spacing w:val="32"/>
        </w:rPr>
        <w:t> </w:t>
      </w:r>
      <w:r>
        <w:rPr/>
        <w:t>limb</w:t>
      </w:r>
      <w:r>
        <w:rPr>
          <w:spacing w:val="33"/>
        </w:rPr>
        <w:t> </w:t>
      </w:r>
      <w:r>
        <w:rPr/>
        <w:t>which</w:t>
      </w:r>
      <w:r>
        <w:rPr>
          <w:spacing w:val="32"/>
        </w:rPr>
        <w:t> </w:t>
      </w:r>
      <w:r>
        <w:rPr/>
        <w:t>was</w:t>
      </w:r>
      <w:r>
        <w:rPr>
          <w:spacing w:val="30"/>
        </w:rPr>
        <w:t> </w:t>
      </w:r>
      <w:r>
        <w:rPr/>
        <w:t>considered</w:t>
      </w:r>
      <w:r>
        <w:rPr>
          <w:spacing w:val="32"/>
        </w:rPr>
        <w:t> </w:t>
      </w:r>
      <w:r>
        <w:rPr/>
        <w:t>as</w:t>
      </w:r>
      <w:r>
        <w:rPr>
          <w:spacing w:val="32"/>
        </w:rPr>
        <w:t> </w:t>
      </w:r>
      <w:r>
        <w:rPr/>
        <w:t>convulsion</w:t>
      </w:r>
      <w:r>
        <w:rPr>
          <w:spacing w:val="32"/>
        </w:rPr>
        <w:t> </w:t>
      </w:r>
      <w:r>
        <w:rPr/>
        <w:t>and</w:t>
      </w:r>
      <w:r>
        <w:rPr>
          <w:spacing w:val="32"/>
        </w:rPr>
        <w:t> </w:t>
      </w:r>
      <w:r>
        <w:rPr/>
        <w:t>abolition</w:t>
      </w:r>
      <w:r>
        <w:rPr>
          <w:spacing w:val="33"/>
        </w:rPr>
        <w:t> </w:t>
      </w:r>
      <w:r>
        <w:rPr/>
        <w:t>of</w:t>
      </w:r>
      <w:r>
        <w:rPr>
          <w:spacing w:val="-58"/>
        </w:rPr>
        <w:t> </w:t>
      </w:r>
      <w:r>
        <w:rPr/>
        <w:t>such</w:t>
      </w:r>
      <w:r>
        <w:rPr>
          <w:spacing w:val="-2"/>
        </w:rPr>
        <w:t> </w:t>
      </w:r>
      <w:r>
        <w:rPr/>
        <w:t>was considered as protection.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1"/>
        <w:numPr>
          <w:ilvl w:val="2"/>
          <w:numId w:val="26"/>
        </w:numPr>
        <w:tabs>
          <w:tab w:pos="1309" w:val="left" w:leader="none"/>
        </w:tabs>
        <w:spacing w:line="240" w:lineRule="auto" w:before="0" w:after="0"/>
        <w:ind w:left="1308" w:right="0" w:hanging="661"/>
        <w:jc w:val="both"/>
      </w:pPr>
      <w:r>
        <w:rPr/>
        <w:t>4-Aminopyridine</w:t>
      </w:r>
      <w:r>
        <w:rPr>
          <w:spacing w:val="-6"/>
        </w:rPr>
        <w:t> </w:t>
      </w:r>
      <w:r>
        <w:rPr/>
        <w:t>induced</w:t>
      </w:r>
      <w:r>
        <w:rPr>
          <w:spacing w:val="-2"/>
        </w:rPr>
        <w:t> </w:t>
      </w:r>
      <w:r>
        <w:rPr/>
        <w:t>seizure</w:t>
      </w:r>
      <w:r>
        <w:rPr>
          <w:spacing w:val="-3"/>
        </w:rPr>
        <w:t> </w:t>
      </w:r>
      <w:r>
        <w:rPr/>
        <w:t>model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648" w:right="675"/>
        <w:jc w:val="both"/>
      </w:pPr>
      <w:r>
        <w:rPr/>
        <w:t>The method of Yamaguchi and Rogawski, (1992) was employed. Thirty mice of either sex</w:t>
      </w:r>
      <w:r>
        <w:rPr>
          <w:spacing w:val="1"/>
        </w:rPr>
        <w:t> </w:t>
      </w:r>
      <w:r>
        <w:rPr/>
        <w:t>were divided into five groups of six mice each. Mice in the first group were treated with 10ml</w:t>
      </w:r>
      <w:r>
        <w:rPr>
          <w:spacing w:val="1"/>
        </w:rPr>
        <w:t> </w:t>
      </w:r>
      <w:r>
        <w:rPr/>
        <w:t>normal</w:t>
      </w:r>
      <w:r>
        <w:rPr>
          <w:spacing w:val="22"/>
        </w:rPr>
        <w:t> </w:t>
      </w:r>
      <w:r>
        <w:rPr/>
        <w:t>saline</w:t>
      </w:r>
      <w:r>
        <w:rPr>
          <w:spacing w:val="22"/>
        </w:rPr>
        <w:t> </w:t>
      </w:r>
      <w:r>
        <w:rPr/>
        <w:t>per</w:t>
      </w:r>
      <w:r>
        <w:rPr>
          <w:spacing w:val="23"/>
        </w:rPr>
        <w:t> </w:t>
      </w:r>
      <w:r>
        <w:rPr/>
        <w:t>kg</w:t>
      </w:r>
      <w:r>
        <w:rPr>
          <w:spacing w:val="21"/>
        </w:rPr>
        <w:t> </w:t>
      </w:r>
      <w:r>
        <w:rPr/>
        <w:t>body</w:t>
      </w:r>
      <w:r>
        <w:rPr>
          <w:spacing w:val="18"/>
        </w:rPr>
        <w:t> </w:t>
      </w:r>
      <w:r>
        <w:rPr/>
        <w:t>weight</w:t>
      </w:r>
      <w:r>
        <w:rPr>
          <w:spacing w:val="24"/>
        </w:rPr>
        <w:t> </w:t>
      </w:r>
      <w:r>
        <w:rPr/>
        <w:t>i.p.</w:t>
      </w:r>
      <w:r>
        <w:rPr>
          <w:spacing w:val="24"/>
        </w:rPr>
        <w:t> </w:t>
      </w:r>
      <w:r>
        <w:rPr/>
        <w:t>The</w:t>
      </w:r>
      <w:r>
        <w:rPr>
          <w:spacing w:val="21"/>
        </w:rPr>
        <w:t> </w:t>
      </w:r>
      <w:r>
        <w:rPr/>
        <w:t>second,</w:t>
      </w:r>
      <w:r>
        <w:rPr>
          <w:spacing w:val="23"/>
        </w:rPr>
        <w:t> </w:t>
      </w:r>
      <w:r>
        <w:rPr/>
        <w:t>third</w:t>
      </w:r>
      <w:r>
        <w:rPr>
          <w:spacing w:val="23"/>
        </w:rPr>
        <w:t> </w:t>
      </w:r>
      <w:r>
        <w:rPr/>
        <w:t>and</w:t>
      </w:r>
      <w:r>
        <w:rPr>
          <w:spacing w:val="23"/>
        </w:rPr>
        <w:t> </w:t>
      </w:r>
      <w:r>
        <w:rPr/>
        <w:t>fourth</w:t>
      </w:r>
      <w:r>
        <w:rPr>
          <w:spacing w:val="24"/>
        </w:rPr>
        <w:t> </w:t>
      </w:r>
      <w:r>
        <w:rPr/>
        <w:t>group</w:t>
      </w:r>
      <w:r>
        <w:rPr>
          <w:spacing w:val="23"/>
        </w:rPr>
        <w:t> </w:t>
      </w:r>
      <w:r>
        <w:rPr/>
        <w:t>were</w:t>
      </w:r>
      <w:r>
        <w:rPr>
          <w:spacing w:val="22"/>
        </w:rPr>
        <w:t> </w:t>
      </w:r>
      <w:r>
        <w:rPr/>
        <w:t>treated</w:t>
      </w:r>
      <w:r>
        <w:rPr>
          <w:spacing w:val="22"/>
        </w:rPr>
        <w:t> </w:t>
      </w:r>
      <w:r>
        <w:rPr/>
        <w:t>with</w:t>
      </w:r>
      <w:r>
        <w:rPr>
          <w:spacing w:val="-57"/>
        </w:rPr>
        <w:t> </w:t>
      </w:r>
      <w:r>
        <w:rPr/>
        <w:t>50, 100 and 200 mg of the extract per kg body weight i.p. respectively. The fifth group was</w:t>
      </w:r>
      <w:r>
        <w:rPr>
          <w:spacing w:val="1"/>
        </w:rPr>
        <w:t> </w:t>
      </w:r>
      <w:r>
        <w:rPr/>
        <w:t>treated</w:t>
      </w:r>
      <w:r>
        <w:rPr>
          <w:spacing w:val="20"/>
        </w:rPr>
        <w:t> </w:t>
      </w:r>
      <w:r>
        <w:rPr/>
        <w:t>with</w:t>
      </w:r>
      <w:r>
        <w:rPr>
          <w:spacing w:val="22"/>
        </w:rPr>
        <w:t> </w:t>
      </w:r>
      <w:r>
        <w:rPr/>
        <w:t>30</w:t>
      </w:r>
      <w:r>
        <w:rPr>
          <w:spacing w:val="21"/>
        </w:rPr>
        <w:t> </w:t>
      </w:r>
      <w:r>
        <w:rPr/>
        <w:t>mg</w:t>
      </w:r>
      <w:r>
        <w:rPr>
          <w:spacing w:val="20"/>
        </w:rPr>
        <w:t> </w:t>
      </w:r>
      <w:r>
        <w:rPr/>
        <w:t>phenobarbitone</w:t>
      </w:r>
      <w:r>
        <w:rPr>
          <w:spacing w:val="21"/>
        </w:rPr>
        <w:t> </w:t>
      </w:r>
      <w:r>
        <w:rPr/>
        <w:t>per</w:t>
      </w:r>
      <w:r>
        <w:rPr>
          <w:spacing w:val="22"/>
        </w:rPr>
        <w:t> </w:t>
      </w:r>
      <w:r>
        <w:rPr/>
        <w:t>kg</w:t>
      </w:r>
      <w:r>
        <w:rPr>
          <w:spacing w:val="18"/>
        </w:rPr>
        <w:t> </w:t>
      </w:r>
      <w:r>
        <w:rPr/>
        <w:t>body</w:t>
      </w:r>
      <w:r>
        <w:rPr>
          <w:spacing w:val="19"/>
        </w:rPr>
        <w:t> </w:t>
      </w:r>
      <w:r>
        <w:rPr/>
        <w:t>weight</w:t>
      </w:r>
      <w:r>
        <w:rPr>
          <w:spacing w:val="21"/>
        </w:rPr>
        <w:t> </w:t>
      </w:r>
      <w:r>
        <w:rPr/>
        <w:t>i.p.</w:t>
      </w:r>
      <w:r>
        <w:rPr>
          <w:spacing w:val="24"/>
        </w:rPr>
        <w:t> </w:t>
      </w:r>
      <w:r>
        <w:rPr/>
        <w:t>Thirty</w:t>
      </w:r>
      <w:r>
        <w:rPr>
          <w:spacing w:val="16"/>
        </w:rPr>
        <w:t> </w:t>
      </w:r>
      <w:r>
        <w:rPr/>
        <w:t>minutes</w:t>
      </w:r>
      <w:r>
        <w:rPr>
          <w:spacing w:val="22"/>
        </w:rPr>
        <w:t> </w:t>
      </w:r>
      <w:r>
        <w:rPr/>
        <w:t>later,</w:t>
      </w:r>
      <w:r>
        <w:rPr>
          <w:spacing w:val="20"/>
        </w:rPr>
        <w:t> </w:t>
      </w:r>
      <w:r>
        <w:rPr/>
        <w:t>mice</w:t>
      </w:r>
      <w:r>
        <w:rPr>
          <w:spacing w:val="20"/>
        </w:rPr>
        <w:t> </w:t>
      </w:r>
      <w:r>
        <w:rPr/>
        <w:t>in</w:t>
      </w:r>
      <w:r>
        <w:rPr>
          <w:spacing w:val="21"/>
        </w:rPr>
        <w:t> </w:t>
      </w:r>
      <w:r>
        <w:rPr/>
        <w:t>all</w:t>
      </w:r>
    </w:p>
    <w:p>
      <w:pPr>
        <w:spacing w:after="0" w:line="480" w:lineRule="auto"/>
        <w:jc w:val="both"/>
        <w:sectPr>
          <w:pgSz w:w="12240" w:h="15840"/>
          <w:pgMar w:header="0" w:footer="792" w:top="1360" w:bottom="980" w:left="1080" w:right="760"/>
        </w:sectPr>
      </w:pPr>
    </w:p>
    <w:p>
      <w:pPr>
        <w:pStyle w:val="BodyText"/>
        <w:spacing w:line="480" w:lineRule="auto" w:before="72"/>
        <w:ind w:left="648" w:right="678"/>
        <w:jc w:val="both"/>
      </w:pPr>
      <w:r>
        <w:rPr/>
        <w:t>the groups were treated with 14 mg of freshly prepared 4-aminopyridine per kg s.c.. The mice</w:t>
      </w:r>
      <w:r>
        <w:rPr>
          <w:spacing w:val="1"/>
        </w:rPr>
        <w:t> </w:t>
      </w:r>
      <w:r>
        <w:rPr/>
        <w:t>were observed for presence or absence of hind limb tonic extension, onset of episodes of</w:t>
      </w:r>
      <w:r>
        <w:rPr>
          <w:spacing w:val="1"/>
        </w:rPr>
        <w:t> </w:t>
      </w:r>
      <w:r>
        <w:rPr/>
        <w:t>convulsion</w:t>
      </w:r>
      <w:r>
        <w:rPr>
          <w:spacing w:val="-1"/>
        </w:rPr>
        <w:t> </w:t>
      </w:r>
      <w:r>
        <w:rPr/>
        <w:t>and possibly</w:t>
      </w:r>
      <w:r>
        <w:rPr>
          <w:spacing w:val="-3"/>
        </w:rPr>
        <w:t> </w:t>
      </w:r>
      <w:r>
        <w:rPr/>
        <w:t>death, abolition of</w:t>
      </w:r>
      <w:r>
        <w:rPr>
          <w:spacing w:val="-1"/>
        </w:rPr>
        <w:t> </w:t>
      </w:r>
      <w:r>
        <w:rPr/>
        <w:t>any</w:t>
      </w:r>
      <w:r>
        <w:rPr>
          <w:spacing w:val="-5"/>
        </w:rPr>
        <w:t> </w:t>
      </w:r>
      <w:r>
        <w:rPr/>
        <w:t>of</w:t>
      </w:r>
      <w:r>
        <w:rPr>
          <w:spacing w:val="1"/>
        </w:rPr>
        <w:t> </w:t>
      </w:r>
      <w:r>
        <w:rPr/>
        <w:t>these</w:t>
      </w:r>
      <w:r>
        <w:rPr>
          <w:spacing w:val="-1"/>
        </w:rPr>
        <w:t> </w:t>
      </w:r>
      <w:r>
        <w:rPr/>
        <w:t>was considered</w:t>
      </w:r>
      <w:r>
        <w:rPr>
          <w:spacing w:val="1"/>
        </w:rPr>
        <w:t> </w:t>
      </w:r>
      <w:r>
        <w:rPr/>
        <w:t>as</w:t>
      </w:r>
      <w:r>
        <w:rPr>
          <w:spacing w:val="2"/>
        </w:rPr>
        <w:t> </w:t>
      </w:r>
      <w:r>
        <w:rPr/>
        <w:t>protection.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1"/>
        <w:numPr>
          <w:ilvl w:val="1"/>
          <w:numId w:val="26"/>
        </w:numPr>
        <w:tabs>
          <w:tab w:pos="1369" w:val="left" w:leader="none"/>
        </w:tabs>
        <w:spacing w:line="240" w:lineRule="auto" w:before="0" w:after="0"/>
        <w:ind w:left="1368" w:right="0" w:hanging="721"/>
        <w:jc w:val="both"/>
      </w:pPr>
      <w:bookmarkStart w:name="_TOC_250022" w:id="39"/>
      <w:r>
        <w:rPr/>
        <w:t>Subchronic</w:t>
      </w:r>
      <w:r>
        <w:rPr>
          <w:spacing w:val="-1"/>
        </w:rPr>
        <w:t> </w:t>
      </w:r>
      <w:r>
        <w:rPr/>
        <w:t>Toxicity</w:t>
      </w:r>
      <w:r>
        <w:rPr>
          <w:spacing w:val="-2"/>
        </w:rPr>
        <w:t> </w:t>
      </w:r>
      <w:bookmarkEnd w:id="39"/>
      <w:r>
        <w:rPr/>
        <w:t>Studies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648" w:right="673"/>
        <w:jc w:val="both"/>
      </w:pPr>
      <w:r>
        <w:rPr/>
        <w:t>Five</w:t>
      </w:r>
      <w:r>
        <w:rPr>
          <w:spacing w:val="-2"/>
        </w:rPr>
        <w:t> </w:t>
      </w:r>
      <w:r>
        <w:rPr/>
        <w:t>groups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six</w:t>
      </w:r>
      <w:r>
        <w:rPr>
          <w:spacing w:val="-1"/>
        </w:rPr>
        <w:t> </w:t>
      </w:r>
      <w:r>
        <w:rPr/>
        <w:t>adult</w:t>
      </w:r>
      <w:r>
        <w:rPr>
          <w:spacing w:val="-2"/>
        </w:rPr>
        <w:t> </w:t>
      </w:r>
      <w:r>
        <w:rPr/>
        <w:t>Wistar</w:t>
      </w:r>
      <w:r>
        <w:rPr>
          <w:spacing w:val="-3"/>
        </w:rPr>
        <w:t> </w:t>
      </w:r>
      <w:r>
        <w:rPr/>
        <w:t>rats</w:t>
      </w:r>
      <w:r>
        <w:rPr>
          <w:spacing w:val="-2"/>
        </w:rPr>
        <w:t> </w:t>
      </w:r>
      <w:r>
        <w:rPr/>
        <w:t>consisting</w:t>
      </w:r>
      <w:r>
        <w:rPr>
          <w:spacing w:val="-5"/>
        </w:rPr>
        <w:t> </w:t>
      </w:r>
      <w:r>
        <w:rPr/>
        <w:t>of three</w:t>
      </w:r>
      <w:r>
        <w:rPr>
          <w:spacing w:val="-3"/>
        </w:rPr>
        <w:t> </w:t>
      </w:r>
      <w:r>
        <w:rPr/>
        <w:t>males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three</w:t>
      </w:r>
      <w:r>
        <w:rPr>
          <w:spacing w:val="1"/>
        </w:rPr>
        <w:t> </w:t>
      </w:r>
      <w:r>
        <w:rPr/>
        <w:t>females‟</w:t>
      </w:r>
      <w:r>
        <w:rPr>
          <w:spacing w:val="-4"/>
        </w:rPr>
        <w:t> </w:t>
      </w:r>
      <w:r>
        <w:rPr/>
        <w:t>rats</w:t>
      </w:r>
      <w:r>
        <w:rPr>
          <w:spacing w:val="-2"/>
        </w:rPr>
        <w:t> </w:t>
      </w:r>
      <w:r>
        <w:rPr/>
        <w:t>per</w:t>
      </w:r>
      <w:r>
        <w:rPr>
          <w:spacing w:val="-1"/>
        </w:rPr>
        <w:t> </w:t>
      </w:r>
      <w:r>
        <w:rPr/>
        <w:t>group</w:t>
      </w:r>
      <w:r>
        <w:rPr>
          <w:spacing w:val="-57"/>
        </w:rPr>
        <w:t> </w:t>
      </w:r>
      <w:r>
        <w:rPr/>
        <w:t>were used for the study.</w:t>
      </w:r>
      <w:r>
        <w:rPr>
          <w:spacing w:val="1"/>
        </w:rPr>
        <w:t> </w:t>
      </w:r>
      <w:r>
        <w:rPr/>
        <w:t>Rats in group 1 were given distilled water only orally this is the</w:t>
      </w:r>
      <w:r>
        <w:rPr>
          <w:spacing w:val="1"/>
        </w:rPr>
        <w:t> </w:t>
      </w:r>
      <w:r>
        <w:rPr/>
        <w:t>control group while rats in groups 2, 3, 4 and 5 were administered with 50, 250, 500 and 1000</w:t>
      </w:r>
      <w:r>
        <w:rPr>
          <w:spacing w:val="-57"/>
        </w:rPr>
        <w:t> </w:t>
      </w:r>
      <w:r>
        <w:rPr/>
        <w:t>mg.</w:t>
      </w:r>
      <w:r>
        <w:rPr>
          <w:spacing w:val="1"/>
        </w:rPr>
        <w:t> </w:t>
      </w:r>
      <w:r>
        <w:rPr/>
        <w:t>per</w:t>
      </w:r>
      <w:r>
        <w:rPr>
          <w:spacing w:val="1"/>
        </w:rPr>
        <w:t> </w:t>
      </w:r>
      <w:r>
        <w:rPr/>
        <w:t>kg</w:t>
      </w:r>
      <w:r>
        <w:rPr>
          <w:spacing w:val="1"/>
        </w:rPr>
        <w:t> </w:t>
      </w:r>
      <w:r>
        <w:rPr/>
        <w:t>body</w:t>
      </w:r>
      <w:r>
        <w:rPr>
          <w:spacing w:val="1"/>
        </w:rPr>
        <w:t> </w:t>
      </w:r>
      <w:r>
        <w:rPr/>
        <w:t>weight</w:t>
      </w:r>
      <w:r>
        <w:rPr>
          <w:spacing w:val="1"/>
        </w:rPr>
        <w:t> </w:t>
      </w:r>
      <w:r>
        <w:rPr/>
        <w:t>orally 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methanol</w:t>
      </w:r>
      <w:r>
        <w:rPr>
          <w:spacing w:val="1"/>
        </w:rPr>
        <w:t> </w:t>
      </w:r>
      <w:r>
        <w:rPr/>
        <w:t>leaf</w:t>
      </w:r>
      <w:r>
        <w:rPr>
          <w:spacing w:val="1"/>
        </w:rPr>
        <w:t> </w:t>
      </w:r>
      <w:r>
        <w:rPr/>
        <w:t>extract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>
          <w:i/>
        </w:rPr>
        <w:t>Diospyros</w:t>
      </w:r>
      <w:r>
        <w:rPr>
          <w:i/>
          <w:spacing w:val="1"/>
        </w:rPr>
        <w:t> </w:t>
      </w:r>
      <w:r>
        <w:rPr>
          <w:i/>
        </w:rPr>
        <w:t>mespiliformis</w:t>
      </w:r>
      <w:r>
        <w:rPr>
          <w:i/>
          <w:spacing w:val="1"/>
        </w:rPr>
        <w:t> </w:t>
      </w:r>
      <w:r>
        <w:rPr/>
        <w:t>respectively on daily basis for 28 days. At the end of the study period, the animals were</w:t>
      </w:r>
      <w:r>
        <w:rPr>
          <w:spacing w:val="1"/>
        </w:rPr>
        <w:t> </w:t>
      </w:r>
      <w:r>
        <w:rPr/>
        <w:t>anaesthetized in light chloroform and then sacrificed, blood samples were collected by cardiac</w:t>
      </w:r>
      <w:r>
        <w:rPr>
          <w:spacing w:val="-57"/>
        </w:rPr>
        <w:t> </w:t>
      </w:r>
      <w:r>
        <w:rPr/>
        <w:t>puncture into clean dry centrifuge tubes. They are processed individually and allowed to stand</w:t>
      </w:r>
      <w:r>
        <w:rPr>
          <w:spacing w:val="-57"/>
        </w:rPr>
        <w:t> </w:t>
      </w:r>
      <w:r>
        <w:rPr/>
        <w:t>for about 10 minutes at room temperature and then centrifuged at 1000 rpm for 15 minutes on</w:t>
      </w:r>
      <w:r>
        <w:rPr>
          <w:spacing w:val="1"/>
        </w:rPr>
        <w:t> </w:t>
      </w:r>
      <w:r>
        <w:rPr/>
        <w:t>laboratory centrifuge (SM 800B, surgifrend medicals, England), the supernatant (serum) was</w:t>
      </w:r>
      <w:r>
        <w:rPr>
          <w:spacing w:val="1"/>
        </w:rPr>
        <w:t> </w:t>
      </w:r>
      <w:r>
        <w:rPr/>
        <w:t>removed</w:t>
      </w:r>
      <w:r>
        <w:rPr>
          <w:spacing w:val="-1"/>
        </w:rPr>
        <w:t> </w:t>
      </w:r>
      <w:r>
        <w:rPr/>
        <w:t>carefully</w:t>
      </w:r>
      <w:r>
        <w:rPr>
          <w:spacing w:val="-5"/>
        </w:rPr>
        <w:t> </w:t>
      </w:r>
      <w:r>
        <w:rPr/>
        <w:t>with pastor pipette and stored in a</w:t>
      </w:r>
      <w:r>
        <w:rPr>
          <w:spacing w:val="-1"/>
        </w:rPr>
        <w:t> </w:t>
      </w:r>
      <w:r>
        <w:rPr/>
        <w:t>refrigerator.</w:t>
      </w: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2"/>
        </w:rPr>
      </w:pPr>
    </w:p>
    <w:p>
      <w:pPr>
        <w:pStyle w:val="Heading1"/>
        <w:numPr>
          <w:ilvl w:val="2"/>
          <w:numId w:val="26"/>
        </w:numPr>
        <w:tabs>
          <w:tab w:pos="1369" w:val="left" w:leader="none"/>
        </w:tabs>
        <w:spacing w:line="240" w:lineRule="auto" w:before="0" w:after="0"/>
        <w:ind w:left="1368" w:right="0" w:hanging="721"/>
        <w:jc w:val="both"/>
      </w:pPr>
      <w:bookmarkStart w:name="_TOC_250021" w:id="40"/>
      <w:r>
        <w:rPr/>
        <w:t>Measurement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liver</w:t>
      </w:r>
      <w:r>
        <w:rPr>
          <w:spacing w:val="-2"/>
        </w:rPr>
        <w:t> </w:t>
      </w:r>
      <w:bookmarkEnd w:id="40"/>
      <w:r>
        <w:rPr/>
        <w:t>function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648" w:right="674"/>
        <w:jc w:val="both"/>
      </w:pPr>
      <w:r>
        <w:rPr/>
        <w:t>For hepatic/liver toxicity studies, Organisation for Econiomic Cooperation and Development</w:t>
      </w:r>
      <w:r>
        <w:rPr>
          <w:spacing w:val="1"/>
        </w:rPr>
        <w:t> </w:t>
      </w:r>
      <w:r>
        <w:rPr/>
        <w:t>(OECD), 2008 recommended at least two appropriate tests for hepatocellular and two for</w:t>
      </w:r>
      <w:r>
        <w:rPr>
          <w:spacing w:val="1"/>
        </w:rPr>
        <w:t> </w:t>
      </w:r>
      <w:r>
        <w:rPr/>
        <w:t>hepatobilary–evaluation (OECD, 2008) and for hepatocellular function, we tested for alanine</w:t>
      </w:r>
      <w:r>
        <w:rPr>
          <w:spacing w:val="1"/>
        </w:rPr>
        <w:t> </w:t>
      </w:r>
      <w:r>
        <w:rPr/>
        <w:t>aminotransferase</w:t>
      </w:r>
      <w:r>
        <w:rPr>
          <w:spacing w:val="1"/>
        </w:rPr>
        <w:t> </w:t>
      </w:r>
      <w:r>
        <w:rPr/>
        <w:t>(ALT)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aspartate</w:t>
      </w:r>
      <w:r>
        <w:rPr>
          <w:spacing w:val="1"/>
        </w:rPr>
        <w:t> </w:t>
      </w:r>
      <w:r>
        <w:rPr/>
        <w:t>aminotransferase</w:t>
      </w:r>
      <w:r>
        <w:rPr>
          <w:spacing w:val="1"/>
        </w:rPr>
        <w:t> </w:t>
      </w:r>
      <w:r>
        <w:rPr/>
        <w:t>(AST)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hepatobiliary</w:t>
      </w:r>
      <w:r>
        <w:rPr>
          <w:spacing w:val="1"/>
        </w:rPr>
        <w:t> </w:t>
      </w:r>
      <w:r>
        <w:rPr/>
        <w:t>function,</w:t>
      </w:r>
      <w:r>
        <w:rPr>
          <w:spacing w:val="-1"/>
        </w:rPr>
        <w:t> </w:t>
      </w:r>
      <w:r>
        <w:rPr/>
        <w:t>we</w:t>
      </w:r>
      <w:r>
        <w:rPr>
          <w:spacing w:val="-2"/>
        </w:rPr>
        <w:t> </w:t>
      </w:r>
      <w:r>
        <w:rPr/>
        <w:t>tested for alkaline</w:t>
      </w:r>
      <w:r>
        <w:rPr>
          <w:spacing w:val="-1"/>
        </w:rPr>
        <w:t> </w:t>
      </w:r>
      <w:r>
        <w:rPr/>
        <w:t>phosphatase</w:t>
      </w:r>
      <w:r>
        <w:rPr>
          <w:spacing w:val="-3"/>
        </w:rPr>
        <w:t> </w:t>
      </w:r>
      <w:r>
        <w:rPr/>
        <w:t>(ALP) and total bilirubin</w:t>
      </w:r>
      <w:r>
        <w:rPr>
          <w:spacing w:val="-1"/>
        </w:rPr>
        <w:t> </w:t>
      </w:r>
      <w:r>
        <w:rPr/>
        <w:t>(TB).</w:t>
      </w:r>
    </w:p>
    <w:p>
      <w:pPr>
        <w:pStyle w:val="Heading1"/>
        <w:numPr>
          <w:ilvl w:val="2"/>
          <w:numId w:val="26"/>
        </w:numPr>
        <w:tabs>
          <w:tab w:pos="1369" w:val="left" w:leader="none"/>
        </w:tabs>
        <w:spacing w:line="240" w:lineRule="auto" w:before="5" w:after="0"/>
        <w:ind w:left="1368" w:right="0" w:hanging="721"/>
        <w:jc w:val="both"/>
      </w:pPr>
      <w:bookmarkStart w:name="_TOC_250020" w:id="41"/>
      <w:r>
        <w:rPr/>
        <w:t>Measurement</w:t>
      </w:r>
      <w:r>
        <w:rPr>
          <w:spacing w:val="-1"/>
        </w:rPr>
        <w:t> </w:t>
      </w:r>
      <w:r>
        <w:rPr/>
        <w:t>of kidney</w:t>
      </w:r>
      <w:r>
        <w:rPr>
          <w:spacing w:val="-3"/>
        </w:rPr>
        <w:t> </w:t>
      </w:r>
      <w:bookmarkEnd w:id="41"/>
      <w:r>
        <w:rPr/>
        <w:t>function</w:t>
      </w:r>
    </w:p>
    <w:p>
      <w:pPr>
        <w:spacing w:after="0" w:line="240" w:lineRule="auto"/>
        <w:jc w:val="both"/>
        <w:sectPr>
          <w:pgSz w:w="12240" w:h="15840"/>
          <w:pgMar w:header="0" w:footer="792" w:top="1360" w:bottom="980" w:left="1080" w:right="760"/>
        </w:sectPr>
      </w:pPr>
    </w:p>
    <w:p>
      <w:pPr>
        <w:pStyle w:val="BodyText"/>
        <w:spacing w:line="480" w:lineRule="auto" w:before="72"/>
        <w:ind w:left="648" w:right="680"/>
        <w:jc w:val="both"/>
      </w:pPr>
      <w:r>
        <w:rPr/>
        <w:t>According to Weingnand </w:t>
      </w:r>
      <w:r>
        <w:rPr>
          <w:i/>
        </w:rPr>
        <w:t>et al</w:t>
      </w:r>
      <w:r>
        <w:rPr/>
        <w:t>., (1996), the following list of parameters were investigated to</w:t>
      </w:r>
      <w:r>
        <w:rPr>
          <w:spacing w:val="1"/>
        </w:rPr>
        <w:t> </w:t>
      </w:r>
      <w:r>
        <w:rPr/>
        <w:t>evaluate kidney function; glucose, urea (urea, nitrogen), creatinine, total protein, calcium,</w:t>
      </w:r>
      <w:r>
        <w:rPr>
          <w:spacing w:val="1"/>
        </w:rPr>
        <w:t> </w:t>
      </w:r>
      <w:r>
        <w:rPr/>
        <w:t>sodium,</w:t>
      </w:r>
      <w:r>
        <w:rPr>
          <w:spacing w:val="-1"/>
        </w:rPr>
        <w:t> </w:t>
      </w:r>
      <w:r>
        <w:rPr/>
        <w:t>potassium and total cholesterol.</w:t>
      </w:r>
    </w:p>
    <w:p>
      <w:pPr>
        <w:pStyle w:val="BodyText"/>
        <w:spacing w:before="5"/>
      </w:pPr>
    </w:p>
    <w:p>
      <w:pPr>
        <w:pStyle w:val="Heading1"/>
        <w:numPr>
          <w:ilvl w:val="2"/>
          <w:numId w:val="26"/>
        </w:numPr>
        <w:tabs>
          <w:tab w:pos="1369" w:val="left" w:leader="none"/>
        </w:tabs>
        <w:spacing w:line="240" w:lineRule="auto" w:before="0" w:after="0"/>
        <w:ind w:left="1368" w:right="0" w:hanging="721"/>
        <w:jc w:val="both"/>
      </w:pPr>
      <w:bookmarkStart w:name="_TOC_250019" w:id="42"/>
      <w:r>
        <w:rPr/>
        <w:t>Clinical</w:t>
      </w:r>
      <w:r>
        <w:rPr>
          <w:spacing w:val="-2"/>
        </w:rPr>
        <w:t> </w:t>
      </w:r>
      <w:bookmarkEnd w:id="42"/>
      <w:r>
        <w:rPr/>
        <w:t>chemistry methods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648" w:right="677"/>
        <w:jc w:val="both"/>
      </w:pPr>
      <w:r>
        <w:rPr/>
        <w:t>Different clinical chemistry methods were employed to determine both hepatic and renal</w:t>
      </w:r>
      <w:r>
        <w:rPr>
          <w:spacing w:val="1"/>
        </w:rPr>
        <w:t> </w:t>
      </w:r>
      <w:r>
        <w:rPr/>
        <w:t>function parameters, serum alanine aminotransferase (AST) and aspartate aminotransferase</w:t>
      </w:r>
      <w:r>
        <w:rPr>
          <w:spacing w:val="1"/>
        </w:rPr>
        <w:t> </w:t>
      </w:r>
      <w:r>
        <w:rPr/>
        <w:t>(ALT) were assayed by the method of Reitman and Frankel, (1957). While the activities of</w:t>
      </w:r>
      <w:r>
        <w:rPr>
          <w:spacing w:val="1"/>
        </w:rPr>
        <w:t> </w:t>
      </w:r>
      <w:r>
        <w:rPr/>
        <w:t>alkaline phosphatase (ALP) was assayed using the nitrophenol method of Bassey-lowry-</w:t>
      </w:r>
      <w:r>
        <w:rPr>
          <w:spacing w:val="1"/>
        </w:rPr>
        <w:t> </w:t>
      </w:r>
      <w:r>
        <w:rPr/>
        <w:t>Brock, 1946. Total bilirubin, however was assayed using the method of Jendrassik and Grof,</w:t>
      </w:r>
      <w:r>
        <w:rPr>
          <w:spacing w:val="1"/>
        </w:rPr>
        <w:t> </w:t>
      </w:r>
      <w:r>
        <w:rPr/>
        <w:t>(1938).</w:t>
      </w:r>
    </w:p>
    <w:p>
      <w:pPr>
        <w:pStyle w:val="BodyText"/>
        <w:spacing w:before="1"/>
        <w:rPr>
          <w:sz w:val="34"/>
        </w:rPr>
      </w:pPr>
    </w:p>
    <w:p>
      <w:pPr>
        <w:pStyle w:val="BodyText"/>
        <w:spacing w:line="480" w:lineRule="auto"/>
        <w:ind w:left="648" w:right="674"/>
        <w:jc w:val="both"/>
      </w:pP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renal</w:t>
      </w:r>
      <w:r>
        <w:rPr>
          <w:spacing w:val="1"/>
        </w:rPr>
        <w:t> </w:t>
      </w:r>
      <w:r>
        <w:rPr/>
        <w:t>function</w:t>
      </w:r>
      <w:r>
        <w:rPr>
          <w:spacing w:val="1"/>
        </w:rPr>
        <w:t> </w:t>
      </w:r>
      <w:r>
        <w:rPr/>
        <w:t>parameters,</w:t>
      </w:r>
      <w:r>
        <w:rPr>
          <w:spacing w:val="1"/>
        </w:rPr>
        <w:t> </w:t>
      </w:r>
      <w:r>
        <w:rPr/>
        <w:t>serum</w:t>
      </w:r>
      <w:r>
        <w:rPr>
          <w:spacing w:val="1"/>
        </w:rPr>
        <w:t> </w:t>
      </w:r>
      <w:r>
        <w:rPr/>
        <w:t>creatinine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determined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Jaffe-slot</w:t>
      </w:r>
      <w:r>
        <w:rPr>
          <w:spacing w:val="-57"/>
        </w:rPr>
        <w:t> </w:t>
      </w:r>
      <w:r>
        <w:rPr/>
        <w:t>modified</w:t>
      </w:r>
      <w:r>
        <w:rPr>
          <w:spacing w:val="1"/>
        </w:rPr>
        <w:t> </w:t>
      </w:r>
      <w:r>
        <w:rPr/>
        <w:t>alkaline</w:t>
      </w:r>
      <w:r>
        <w:rPr>
          <w:spacing w:val="1"/>
        </w:rPr>
        <w:t> </w:t>
      </w:r>
      <w:r>
        <w:rPr/>
        <w:t>picrate</w:t>
      </w:r>
      <w:r>
        <w:rPr>
          <w:spacing w:val="1"/>
        </w:rPr>
        <w:t> </w:t>
      </w:r>
      <w:r>
        <w:rPr/>
        <w:t>colorimetric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(Slot,</w:t>
      </w:r>
      <w:r>
        <w:rPr>
          <w:spacing w:val="1"/>
        </w:rPr>
        <w:t> </w:t>
      </w:r>
      <w:r>
        <w:rPr/>
        <w:t>1965)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serum</w:t>
      </w:r>
      <w:r>
        <w:rPr>
          <w:spacing w:val="1"/>
        </w:rPr>
        <w:t> </w:t>
      </w:r>
      <w:r>
        <w:rPr/>
        <w:t>albumin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determined using the bromocresol green (BCG) binding method of Spencer and Price, (1977)</w:t>
      </w:r>
      <w:r>
        <w:rPr>
          <w:spacing w:val="1"/>
        </w:rPr>
        <w:t> </w:t>
      </w:r>
      <w:r>
        <w:rPr/>
        <w:t>and Webster, (1977). Urea was assayed using the diacetyl-monoxime method of Wybenga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al, </w:t>
      </w:r>
      <w:r>
        <w:rPr/>
        <w:t>(1971), and Blood glucose was assayed using the glucose oxidase enzymatic method</w:t>
      </w:r>
      <w:r>
        <w:rPr>
          <w:spacing w:val="1"/>
        </w:rPr>
        <w:t> </w:t>
      </w:r>
      <w:r>
        <w:rPr/>
        <w:t>(Trinder, 1969). Total protein was determined using the Biuret method (Doumas, 1975) while</w:t>
      </w:r>
      <w:r>
        <w:rPr>
          <w:spacing w:val="1"/>
        </w:rPr>
        <w:t> </w:t>
      </w:r>
      <w:r>
        <w:rPr/>
        <w:t>Na</w:t>
      </w:r>
      <w:r>
        <w:rPr>
          <w:vertAlign w:val="superscript"/>
        </w:rPr>
        <w:t>+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K</w:t>
      </w:r>
      <w:r>
        <w:rPr>
          <w:vertAlign w:val="superscript"/>
        </w:rPr>
        <w:t>+</w:t>
      </w:r>
      <w:r>
        <w:rPr>
          <w:spacing w:val="1"/>
          <w:vertAlign w:val="baseline"/>
        </w:rPr>
        <w:t> </w:t>
      </w:r>
      <w:r>
        <w:rPr>
          <w:vertAlign w:val="baseline"/>
        </w:rPr>
        <w:t>were</w:t>
      </w:r>
      <w:r>
        <w:rPr>
          <w:spacing w:val="1"/>
          <w:vertAlign w:val="baseline"/>
        </w:rPr>
        <w:t> </w:t>
      </w:r>
      <w:r>
        <w:rPr>
          <w:vertAlign w:val="baseline"/>
        </w:rPr>
        <w:t>determined</w:t>
      </w:r>
      <w:r>
        <w:rPr>
          <w:spacing w:val="1"/>
          <w:vertAlign w:val="baseline"/>
        </w:rPr>
        <w:t> </w:t>
      </w:r>
      <w:r>
        <w:rPr>
          <w:vertAlign w:val="baseline"/>
        </w:rPr>
        <w:t>by</w:t>
      </w:r>
      <w:r>
        <w:rPr>
          <w:spacing w:val="1"/>
          <w:vertAlign w:val="baseline"/>
        </w:rPr>
        <w:t> </w:t>
      </w:r>
      <w:r>
        <w:rPr>
          <w:vertAlign w:val="baseline"/>
        </w:rPr>
        <w:t>ion</w:t>
      </w:r>
      <w:r>
        <w:rPr>
          <w:spacing w:val="1"/>
          <w:vertAlign w:val="baseline"/>
        </w:rPr>
        <w:t> </w:t>
      </w:r>
      <w:r>
        <w:rPr>
          <w:vertAlign w:val="baseline"/>
        </w:rPr>
        <w:t>selective</w:t>
      </w:r>
      <w:r>
        <w:rPr>
          <w:spacing w:val="1"/>
          <w:vertAlign w:val="baseline"/>
        </w:rPr>
        <w:t> </w:t>
      </w:r>
      <w:r>
        <w:rPr>
          <w:vertAlign w:val="baseline"/>
        </w:rPr>
        <w:t>electrode</w:t>
      </w:r>
      <w:r>
        <w:rPr>
          <w:spacing w:val="1"/>
          <w:vertAlign w:val="baseline"/>
        </w:rPr>
        <w:t> </w:t>
      </w:r>
      <w:r>
        <w:rPr>
          <w:vertAlign w:val="baseline"/>
        </w:rPr>
        <w:t>(ISE)</w:t>
      </w:r>
      <w:r>
        <w:rPr>
          <w:spacing w:val="1"/>
          <w:vertAlign w:val="baseline"/>
        </w:rPr>
        <w:t> </w:t>
      </w:r>
      <w:r>
        <w:rPr>
          <w:vertAlign w:val="baseline"/>
        </w:rPr>
        <w:t>technology</w:t>
      </w:r>
      <w:r>
        <w:rPr>
          <w:spacing w:val="1"/>
          <w:vertAlign w:val="baseline"/>
        </w:rPr>
        <w:t> </w:t>
      </w:r>
      <w:r>
        <w:rPr>
          <w:vertAlign w:val="baseline"/>
        </w:rPr>
        <w:t>using</w:t>
      </w:r>
      <w:r>
        <w:rPr>
          <w:spacing w:val="1"/>
          <w:vertAlign w:val="baseline"/>
        </w:rPr>
        <w:t> </w:t>
      </w:r>
      <w:r>
        <w:rPr>
          <w:vertAlign w:val="baseline"/>
        </w:rPr>
        <w:t>an</w:t>
      </w:r>
      <w:r>
        <w:rPr>
          <w:spacing w:val="1"/>
          <w:vertAlign w:val="baseline"/>
        </w:rPr>
        <w:t> </w:t>
      </w:r>
      <w:r>
        <w:rPr>
          <w:vertAlign w:val="baseline"/>
        </w:rPr>
        <w:t>ISE</w:t>
      </w:r>
      <w:r>
        <w:rPr>
          <w:spacing w:val="-57"/>
          <w:vertAlign w:val="baseline"/>
        </w:rPr>
        <w:t> </w:t>
      </w:r>
      <w:r>
        <w:rPr>
          <w:vertAlign w:val="baseline"/>
        </w:rPr>
        <w:t>analyzer</w:t>
      </w:r>
      <w:r>
        <w:rPr>
          <w:spacing w:val="26"/>
          <w:vertAlign w:val="baseline"/>
        </w:rPr>
        <w:t> </w:t>
      </w:r>
      <w:r>
        <w:rPr>
          <w:vertAlign w:val="baseline"/>
        </w:rPr>
        <w:t>which</w:t>
      </w:r>
      <w:r>
        <w:rPr>
          <w:spacing w:val="29"/>
          <w:vertAlign w:val="baseline"/>
        </w:rPr>
        <w:t> </w:t>
      </w:r>
      <w:r>
        <w:rPr>
          <w:vertAlign w:val="baseline"/>
        </w:rPr>
        <w:t>measures</w:t>
      </w:r>
      <w:r>
        <w:rPr>
          <w:spacing w:val="27"/>
          <w:vertAlign w:val="baseline"/>
        </w:rPr>
        <w:t> </w:t>
      </w:r>
      <w:r>
        <w:rPr>
          <w:vertAlign w:val="baseline"/>
        </w:rPr>
        <w:t>(senses)</w:t>
      </w:r>
      <w:r>
        <w:rPr>
          <w:spacing w:val="27"/>
          <w:vertAlign w:val="baseline"/>
        </w:rPr>
        <w:t> </w:t>
      </w:r>
      <w:r>
        <w:rPr>
          <w:vertAlign w:val="baseline"/>
        </w:rPr>
        <w:t>the</w:t>
      </w:r>
      <w:r>
        <w:rPr>
          <w:spacing w:val="27"/>
          <w:vertAlign w:val="baseline"/>
        </w:rPr>
        <w:t> </w:t>
      </w:r>
      <w:r>
        <w:rPr>
          <w:vertAlign w:val="baseline"/>
        </w:rPr>
        <w:t>activities</w:t>
      </w:r>
      <w:r>
        <w:rPr>
          <w:spacing w:val="28"/>
          <w:vertAlign w:val="baseline"/>
        </w:rPr>
        <w:t> </w:t>
      </w:r>
      <w:r>
        <w:rPr>
          <w:vertAlign w:val="baseline"/>
        </w:rPr>
        <w:t>of</w:t>
      </w:r>
      <w:r>
        <w:rPr>
          <w:spacing w:val="26"/>
          <w:vertAlign w:val="baseline"/>
        </w:rPr>
        <w:t> </w:t>
      </w:r>
      <w:r>
        <w:rPr>
          <w:vertAlign w:val="baseline"/>
        </w:rPr>
        <w:t>sodium</w:t>
      </w:r>
      <w:r>
        <w:rPr>
          <w:spacing w:val="29"/>
          <w:vertAlign w:val="baseline"/>
        </w:rPr>
        <w:t> </w:t>
      </w:r>
      <w:r>
        <w:rPr>
          <w:vertAlign w:val="baseline"/>
        </w:rPr>
        <w:t>and</w:t>
      </w:r>
      <w:r>
        <w:rPr>
          <w:spacing w:val="28"/>
          <w:vertAlign w:val="baseline"/>
        </w:rPr>
        <w:t> </w:t>
      </w:r>
      <w:r>
        <w:rPr>
          <w:vertAlign w:val="baseline"/>
        </w:rPr>
        <w:t>potassium</w:t>
      </w:r>
      <w:r>
        <w:rPr>
          <w:spacing w:val="28"/>
          <w:vertAlign w:val="baseline"/>
        </w:rPr>
        <w:t> </w:t>
      </w:r>
      <w:r>
        <w:rPr>
          <w:vertAlign w:val="baseline"/>
        </w:rPr>
        <w:t>ions</w:t>
      </w:r>
      <w:r>
        <w:rPr>
          <w:spacing w:val="29"/>
          <w:vertAlign w:val="baseline"/>
        </w:rPr>
        <w:t> </w:t>
      </w:r>
      <w:r>
        <w:rPr>
          <w:vertAlign w:val="baseline"/>
        </w:rPr>
        <w:t>and</w:t>
      </w:r>
      <w:r>
        <w:rPr>
          <w:spacing w:val="27"/>
          <w:vertAlign w:val="baseline"/>
        </w:rPr>
        <w:t> </w:t>
      </w:r>
      <w:r>
        <w:rPr>
          <w:vertAlign w:val="baseline"/>
        </w:rPr>
        <w:t>converts</w:t>
      </w:r>
      <w:r>
        <w:rPr>
          <w:spacing w:val="-57"/>
          <w:vertAlign w:val="baseline"/>
        </w:rPr>
        <w:t> </w:t>
      </w:r>
      <w:r>
        <w:rPr>
          <w:vertAlign w:val="baseline"/>
        </w:rPr>
        <w:t>the activity measurements to mmol/L (Cheesbrough, 1998) and serum calcium was however</w:t>
      </w:r>
      <w:r>
        <w:rPr>
          <w:spacing w:val="1"/>
          <w:vertAlign w:val="baseline"/>
        </w:rPr>
        <w:t> </w:t>
      </w:r>
      <w:r>
        <w:rPr>
          <w:vertAlign w:val="baseline"/>
        </w:rPr>
        <w:t>determined using the method of</w:t>
      </w:r>
      <w:r>
        <w:rPr>
          <w:spacing w:val="1"/>
          <w:vertAlign w:val="baseline"/>
        </w:rPr>
        <w:t> </w:t>
      </w:r>
      <w:r>
        <w:rPr>
          <w:vertAlign w:val="baseline"/>
        </w:rPr>
        <w:t>Baginski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et al., </w:t>
      </w:r>
      <w:r>
        <w:rPr>
          <w:vertAlign w:val="baseline"/>
        </w:rPr>
        <w:t>(1973) and lastly, total cholesterol</w:t>
      </w:r>
      <w:r>
        <w:rPr>
          <w:spacing w:val="1"/>
          <w:vertAlign w:val="baseline"/>
        </w:rPr>
        <w:t> </w:t>
      </w:r>
      <w:r>
        <w:rPr>
          <w:vertAlign w:val="baseline"/>
        </w:rPr>
        <w:t>was</w:t>
      </w:r>
      <w:r>
        <w:rPr>
          <w:spacing w:val="1"/>
          <w:vertAlign w:val="baseline"/>
        </w:rPr>
        <w:t> </w:t>
      </w:r>
      <w:r>
        <w:rPr>
          <w:vertAlign w:val="baseline"/>
        </w:rPr>
        <w:t>assayed</w:t>
      </w:r>
      <w:r>
        <w:rPr>
          <w:spacing w:val="-1"/>
          <w:vertAlign w:val="baseline"/>
        </w:rPr>
        <w:t> </w:t>
      </w:r>
      <w:r>
        <w:rPr>
          <w:vertAlign w:val="baseline"/>
        </w:rPr>
        <w:t>using</w:t>
      </w:r>
      <w:r>
        <w:rPr>
          <w:spacing w:val="-3"/>
          <w:vertAlign w:val="baseline"/>
        </w:rPr>
        <w:t> </w:t>
      </w:r>
      <w:r>
        <w:rPr>
          <w:vertAlign w:val="baseline"/>
        </w:rPr>
        <w:t>the</w:t>
      </w:r>
      <w:r>
        <w:rPr>
          <w:spacing w:val="-1"/>
          <w:vertAlign w:val="baseline"/>
        </w:rPr>
        <w:t> </w:t>
      </w:r>
      <w:r>
        <w:rPr>
          <w:vertAlign w:val="baseline"/>
        </w:rPr>
        <w:t>method of</w:t>
      </w:r>
      <w:r>
        <w:rPr>
          <w:spacing w:val="1"/>
          <w:vertAlign w:val="baseline"/>
        </w:rPr>
        <w:t> </w:t>
      </w:r>
      <w:r>
        <w:rPr>
          <w:vertAlign w:val="baseline"/>
        </w:rPr>
        <w:t>Liebermann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2"/>
          <w:vertAlign w:val="baseline"/>
        </w:rPr>
        <w:t> </w:t>
      </w:r>
      <w:r>
        <w:rPr>
          <w:vertAlign w:val="baseline"/>
        </w:rPr>
        <w:t>Burchard as described by</w:t>
      </w:r>
      <w:r>
        <w:rPr>
          <w:spacing w:val="-5"/>
          <w:vertAlign w:val="baseline"/>
        </w:rPr>
        <w:t> </w:t>
      </w:r>
      <w:r>
        <w:rPr>
          <w:vertAlign w:val="baseline"/>
        </w:rPr>
        <w:t>Xiong</w:t>
      </w:r>
      <w:r>
        <w:rPr>
          <w:spacing w:val="-2"/>
          <w:vertAlign w:val="baseline"/>
        </w:rPr>
        <w:t> </w:t>
      </w:r>
      <w:r>
        <w:rPr>
          <w:i/>
          <w:vertAlign w:val="baseline"/>
        </w:rPr>
        <w:t>et al</w:t>
      </w:r>
      <w:r>
        <w:rPr>
          <w:vertAlign w:val="baseline"/>
        </w:rPr>
        <w:t>., (2007).</w:t>
      </w:r>
    </w:p>
    <w:p>
      <w:pPr>
        <w:pStyle w:val="Heading1"/>
        <w:numPr>
          <w:ilvl w:val="2"/>
          <w:numId w:val="26"/>
        </w:numPr>
        <w:tabs>
          <w:tab w:pos="1369" w:val="left" w:leader="none"/>
        </w:tabs>
        <w:spacing w:line="240" w:lineRule="auto" w:before="4" w:after="0"/>
        <w:ind w:left="1368" w:right="0" w:hanging="661"/>
        <w:jc w:val="both"/>
      </w:pPr>
      <w:r>
        <w:rPr/>
        <w:t>Histopathological</w:t>
      </w:r>
      <w:r>
        <w:rPr>
          <w:spacing w:val="-3"/>
        </w:rPr>
        <w:t> </w:t>
      </w:r>
      <w:r>
        <w:rPr/>
        <w:t>Studies</w:t>
      </w:r>
    </w:p>
    <w:p>
      <w:pPr>
        <w:spacing w:after="0" w:line="240" w:lineRule="auto"/>
        <w:jc w:val="both"/>
        <w:sectPr>
          <w:pgSz w:w="12240" w:h="15840"/>
          <w:pgMar w:header="0" w:footer="792" w:top="1360" w:bottom="980" w:left="1080" w:right="760"/>
        </w:sectPr>
      </w:pPr>
    </w:p>
    <w:p>
      <w:pPr>
        <w:pStyle w:val="BodyText"/>
        <w:spacing w:line="480" w:lineRule="auto" w:before="72"/>
        <w:ind w:left="648" w:right="674"/>
        <w:jc w:val="both"/>
      </w:pPr>
      <w:r>
        <w:rPr/>
        <w:t>The liver and kidney of at least a male and a female rat from each group administered with</w:t>
      </w:r>
      <w:r>
        <w:rPr>
          <w:spacing w:val="1"/>
        </w:rPr>
        <w:t> </w:t>
      </w:r>
      <w:r>
        <w:rPr/>
        <w:t>methanol leaf extract of </w:t>
      </w:r>
      <w:r>
        <w:rPr>
          <w:i/>
        </w:rPr>
        <w:t>Diospyros mespiliformis </w:t>
      </w:r>
      <w:r>
        <w:rPr/>
        <w:t>including the control group administered</w:t>
      </w:r>
      <w:r>
        <w:rPr>
          <w:spacing w:val="1"/>
        </w:rPr>
        <w:t> </w:t>
      </w:r>
      <w:r>
        <w:rPr/>
        <w:t>with normal saline were removed after draining the blood and fixed in 10% Buffered neutral</w:t>
      </w:r>
      <w:r>
        <w:rPr>
          <w:spacing w:val="1"/>
        </w:rPr>
        <w:t> </w:t>
      </w:r>
      <w:r>
        <w:rPr/>
        <w:t>formalin for 48 hours and then with bovine solution for 6 hours. Paraffin sections were taken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5mm</w:t>
      </w:r>
      <w:r>
        <w:rPr>
          <w:spacing w:val="1"/>
        </w:rPr>
        <w:t> </w:t>
      </w:r>
      <w:r>
        <w:rPr/>
        <w:t>thickness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processed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alcohol-xylene</w:t>
      </w:r>
      <w:r>
        <w:rPr>
          <w:spacing w:val="1"/>
        </w:rPr>
        <w:t> </w:t>
      </w:r>
      <w:r>
        <w:rPr/>
        <w:t>series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stained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alum</w:t>
      </w:r>
      <w:r>
        <w:rPr>
          <w:spacing w:val="1"/>
        </w:rPr>
        <w:t> </w:t>
      </w:r>
      <w:r>
        <w:rPr/>
        <w:t>hematoxylin and eosin. The sections were examined microscopically for histopathological</w:t>
      </w:r>
      <w:r>
        <w:rPr>
          <w:spacing w:val="1"/>
        </w:rPr>
        <w:t> </w:t>
      </w:r>
      <w:r>
        <w:rPr/>
        <w:t>changes (Disbrey</w:t>
      </w:r>
      <w:r>
        <w:rPr>
          <w:spacing w:val="-5"/>
        </w:rPr>
        <w:t> </w:t>
      </w:r>
      <w:r>
        <w:rPr/>
        <w:t>and Rack, 1970)</w:t>
      </w:r>
    </w:p>
    <w:p>
      <w:pPr>
        <w:pStyle w:val="BodyText"/>
        <w:spacing w:before="5"/>
        <w:rPr>
          <w:sz w:val="38"/>
        </w:rPr>
      </w:pPr>
    </w:p>
    <w:p>
      <w:pPr>
        <w:pStyle w:val="Heading1"/>
        <w:numPr>
          <w:ilvl w:val="1"/>
          <w:numId w:val="26"/>
        </w:numPr>
        <w:tabs>
          <w:tab w:pos="4128" w:val="left" w:leader="none"/>
          <w:tab w:pos="4129" w:val="left" w:leader="none"/>
        </w:tabs>
        <w:spacing w:line="240" w:lineRule="auto" w:before="1" w:after="0"/>
        <w:ind w:left="4129" w:right="0" w:hanging="3481"/>
        <w:jc w:val="both"/>
      </w:pPr>
      <w:bookmarkStart w:name="_TOC_250018" w:id="43"/>
      <w:r>
        <w:rPr/>
        <w:t>Statistical</w:t>
      </w:r>
      <w:r>
        <w:rPr>
          <w:spacing w:val="-1"/>
        </w:rPr>
        <w:t> </w:t>
      </w:r>
      <w:bookmarkEnd w:id="43"/>
      <w:r>
        <w:rPr/>
        <w:t>Analysis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648" w:right="675"/>
        <w:jc w:val="both"/>
      </w:pPr>
      <w:r>
        <w:rPr/>
        <w:t>Results were expressed as the Mean </w:t>
      </w:r>
      <w:r>
        <w:rPr>
          <w:u w:val="single"/>
        </w:rPr>
        <w:t>+</w:t>
      </w:r>
      <w:r>
        <w:rPr/>
        <w:t> Standard Error of the Mean (SEM) and Percentages.</w:t>
      </w:r>
      <w:r>
        <w:rPr>
          <w:spacing w:val="1"/>
        </w:rPr>
        <w:t> </w:t>
      </w:r>
      <w:r>
        <w:rPr/>
        <w:t>Statistical analysis of data was done using statistical package for the Social Sciences (SPSS)</w:t>
      </w:r>
      <w:r>
        <w:rPr>
          <w:spacing w:val="1"/>
        </w:rPr>
        <w:t> </w:t>
      </w:r>
      <w:r>
        <w:rPr/>
        <w:t>version 16. The data were subjected to student t-test followed by one-way analysis of variance</w:t>
      </w:r>
      <w:r>
        <w:rPr>
          <w:spacing w:val="-57"/>
        </w:rPr>
        <w:t> </w:t>
      </w:r>
      <w:r>
        <w:rPr/>
        <w:t>(ANOVA) and the difference in the mean between the control and the tested groups were</w:t>
      </w:r>
      <w:r>
        <w:rPr>
          <w:spacing w:val="1"/>
        </w:rPr>
        <w:t> </w:t>
      </w:r>
      <w:r>
        <w:rPr/>
        <w:t>considered significant at P&lt;0.05). Differences between the control (distilled water) group 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group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received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standard</w:t>
      </w:r>
      <w:r>
        <w:rPr>
          <w:spacing w:val="1"/>
        </w:rPr>
        <w:t> </w:t>
      </w:r>
      <w:r>
        <w:rPr/>
        <w:t>drug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tested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Chi</w:t>
      </w:r>
      <w:r>
        <w:rPr>
          <w:spacing w:val="1"/>
        </w:rPr>
        <w:t> </w:t>
      </w:r>
      <w:r>
        <w:rPr/>
        <w:t>square</w:t>
      </w:r>
      <w:r>
        <w:rPr>
          <w:spacing w:val="1"/>
        </w:rPr>
        <w:t> </w:t>
      </w:r>
      <w:r>
        <w:rPr/>
        <w:t>test</w:t>
      </w:r>
      <w:r>
        <w:rPr>
          <w:spacing w:val="1"/>
        </w:rPr>
        <w:t> </w:t>
      </w:r>
      <w:r>
        <w:rPr/>
        <w:t>and</w:t>
      </w:r>
      <w:r>
        <w:rPr>
          <w:spacing w:val="60"/>
        </w:rPr>
        <w:t> </w:t>
      </w:r>
      <w:r>
        <w:rPr/>
        <w:t>was</w:t>
      </w:r>
      <w:r>
        <w:rPr>
          <w:spacing w:val="1"/>
        </w:rPr>
        <w:t> </w:t>
      </w:r>
      <w:r>
        <w:rPr/>
        <w:t>considered</w:t>
      </w:r>
      <w:r>
        <w:rPr>
          <w:spacing w:val="-1"/>
        </w:rPr>
        <w:t> </w:t>
      </w:r>
      <w:r>
        <w:rPr/>
        <w:t>significant at</w:t>
      </w:r>
      <w:r>
        <w:rPr>
          <w:spacing w:val="4"/>
        </w:rPr>
        <w:t> </w:t>
      </w:r>
      <w:r>
        <w:rPr/>
        <w:t>P&lt;</w:t>
      </w:r>
      <w:r>
        <w:rPr>
          <w:spacing w:val="-2"/>
        </w:rPr>
        <w:t> </w:t>
      </w:r>
      <w:r>
        <w:rPr/>
        <w:t>0.05. They</w:t>
      </w:r>
      <w:r>
        <w:rPr>
          <w:spacing w:val="-5"/>
        </w:rPr>
        <w:t> </w:t>
      </w:r>
      <w:r>
        <w:rPr/>
        <w:t>were</w:t>
      </w:r>
      <w:r>
        <w:rPr>
          <w:spacing w:val="-1"/>
        </w:rPr>
        <w:t> </w:t>
      </w:r>
      <w:r>
        <w:rPr/>
        <w:t>presented</w:t>
      </w:r>
      <w:r>
        <w:rPr>
          <w:spacing w:val="-1"/>
        </w:rPr>
        <w:t> </w:t>
      </w:r>
      <w:r>
        <w:rPr/>
        <w:t>as Tables, figures</w:t>
      </w:r>
      <w:r>
        <w:rPr>
          <w:spacing w:val="2"/>
        </w:rPr>
        <w:t> </w:t>
      </w:r>
      <w:r>
        <w:rPr/>
        <w:t>and</w:t>
      </w:r>
      <w:r>
        <w:rPr>
          <w:spacing w:val="-1"/>
        </w:rPr>
        <w:t> </w:t>
      </w:r>
      <w:r>
        <w:rPr/>
        <w:t>plates.</w:t>
      </w:r>
    </w:p>
    <w:p>
      <w:pPr>
        <w:spacing w:after="0" w:line="480" w:lineRule="auto"/>
        <w:jc w:val="both"/>
        <w:sectPr>
          <w:pgSz w:w="12240" w:h="15840"/>
          <w:pgMar w:header="0" w:footer="792" w:top="1360" w:bottom="980" w:left="1080" w:right="760"/>
        </w:sectPr>
      </w:pPr>
    </w:p>
    <w:p>
      <w:pPr>
        <w:pStyle w:val="Heading1"/>
        <w:spacing w:before="76"/>
        <w:ind w:left="1498" w:right="1231"/>
        <w:jc w:val="center"/>
      </w:pPr>
      <w:r>
        <w:rPr/>
        <w:t>CHAPTER</w:t>
      </w:r>
      <w:r>
        <w:rPr>
          <w:spacing w:val="-3"/>
        </w:rPr>
        <w:t> </w:t>
      </w:r>
      <w:r>
        <w:rPr/>
        <w:t>FOUR</w:t>
      </w:r>
    </w:p>
    <w:p>
      <w:pPr>
        <w:pStyle w:val="BodyText"/>
        <w:spacing w:before="1"/>
        <w:rPr>
          <w:b/>
        </w:rPr>
      </w:pPr>
    </w:p>
    <w:p>
      <w:pPr>
        <w:pStyle w:val="Heading1"/>
        <w:numPr>
          <w:ilvl w:val="1"/>
          <w:numId w:val="30"/>
        </w:numPr>
        <w:tabs>
          <w:tab w:pos="4489" w:val="left" w:leader="none"/>
          <w:tab w:pos="4490" w:val="left" w:leader="none"/>
        </w:tabs>
        <w:spacing w:line="240" w:lineRule="auto" w:before="0" w:after="0"/>
        <w:ind w:left="4489" w:right="0" w:hanging="1441"/>
        <w:jc w:val="left"/>
      </w:pPr>
      <w:bookmarkStart w:name="_TOC_250017" w:id="44"/>
      <w:bookmarkEnd w:id="44"/>
      <w:r>
        <w:rPr/>
        <w:t>RESULTS</w:t>
      </w:r>
    </w:p>
    <w:p>
      <w:pPr>
        <w:pStyle w:val="BodyText"/>
        <w:rPr>
          <w:b/>
        </w:rPr>
      </w:pPr>
    </w:p>
    <w:p>
      <w:pPr>
        <w:pStyle w:val="Heading1"/>
        <w:numPr>
          <w:ilvl w:val="1"/>
          <w:numId w:val="30"/>
        </w:numPr>
        <w:tabs>
          <w:tab w:pos="1009" w:val="left" w:leader="none"/>
        </w:tabs>
        <w:spacing w:line="240" w:lineRule="auto" w:before="0" w:after="0"/>
        <w:ind w:left="1008" w:right="0" w:hanging="361"/>
        <w:jc w:val="both"/>
      </w:pPr>
      <w:bookmarkStart w:name="_TOC_250016" w:id="45"/>
      <w:r>
        <w:rPr/>
        <w:t>Phytochemical</w:t>
      </w:r>
      <w:r>
        <w:rPr>
          <w:spacing w:val="-2"/>
        </w:rPr>
        <w:t> </w:t>
      </w:r>
      <w:r>
        <w:rPr/>
        <w:t>constituents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Diospyros</w:t>
      </w:r>
      <w:r>
        <w:rPr>
          <w:spacing w:val="-3"/>
        </w:rPr>
        <w:t> </w:t>
      </w:r>
      <w:bookmarkEnd w:id="45"/>
      <w:r>
        <w:rPr/>
        <w:t>mespiliformis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648" w:right="675"/>
        <w:jc w:val="both"/>
      </w:pPr>
      <w:r>
        <w:rPr/>
        <w:t>The preliminary phytochemical screening of methanol leaf extract of </w:t>
      </w:r>
      <w:r>
        <w:rPr>
          <w:i/>
        </w:rPr>
        <w:t>Diospyros mespiliformis</w:t>
      </w:r>
      <w:r>
        <w:rPr>
          <w:i/>
          <w:spacing w:val="-57"/>
        </w:rPr>
        <w:t> </w:t>
      </w:r>
      <w:r>
        <w:rPr/>
        <w:t>revealed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presence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alkaloids,</w:t>
      </w:r>
      <w:r>
        <w:rPr>
          <w:spacing w:val="1"/>
        </w:rPr>
        <w:t> </w:t>
      </w:r>
      <w:r>
        <w:rPr/>
        <w:t>saponins,</w:t>
      </w:r>
      <w:r>
        <w:rPr>
          <w:spacing w:val="1"/>
        </w:rPr>
        <w:t> </w:t>
      </w:r>
      <w:r>
        <w:rPr/>
        <w:t>flavonoids,</w:t>
      </w:r>
      <w:r>
        <w:rPr>
          <w:spacing w:val="1"/>
        </w:rPr>
        <w:t> </w:t>
      </w:r>
      <w:r>
        <w:rPr/>
        <w:t>tannins,</w:t>
      </w:r>
      <w:r>
        <w:rPr>
          <w:spacing w:val="1"/>
        </w:rPr>
        <w:t> </w:t>
      </w:r>
      <w:r>
        <w:rPr/>
        <w:t>carbohydrates,</w:t>
      </w:r>
      <w:r>
        <w:rPr>
          <w:spacing w:val="1"/>
        </w:rPr>
        <w:t> </w:t>
      </w:r>
      <w:r>
        <w:rPr/>
        <w:t>cardiac</w:t>
      </w:r>
      <w:r>
        <w:rPr>
          <w:spacing w:val="1"/>
        </w:rPr>
        <w:t> </w:t>
      </w:r>
      <w:r>
        <w:rPr/>
        <w:t>glycosides, and combined anthracene type of anthraquinones (table 4.1). The free type of</w:t>
      </w:r>
      <w:r>
        <w:rPr>
          <w:spacing w:val="1"/>
        </w:rPr>
        <w:t> </w:t>
      </w:r>
      <w:r>
        <w:rPr/>
        <w:t>anthraquinone</w:t>
      </w:r>
      <w:r>
        <w:rPr>
          <w:spacing w:val="-1"/>
        </w:rPr>
        <w:t> </w:t>
      </w:r>
      <w:r>
        <w:rPr/>
        <w:t>was however found</w:t>
      </w:r>
      <w:r>
        <w:rPr>
          <w:spacing w:val="1"/>
        </w:rPr>
        <w:t> </w:t>
      </w:r>
      <w:r>
        <w:rPr/>
        <w:t>to be</w:t>
      </w:r>
      <w:r>
        <w:rPr>
          <w:spacing w:val="1"/>
        </w:rPr>
        <w:t> </w:t>
      </w:r>
      <w:r>
        <w:rPr/>
        <w:t>absent</w:t>
      </w:r>
    </w:p>
    <w:p>
      <w:pPr>
        <w:spacing w:after="0" w:line="480" w:lineRule="auto"/>
        <w:jc w:val="both"/>
        <w:sectPr>
          <w:pgSz w:w="12240" w:h="15840"/>
          <w:pgMar w:header="0" w:footer="792" w:top="1360" w:bottom="980" w:left="1080" w:right="760"/>
        </w:sectPr>
      </w:pPr>
    </w:p>
    <w:p>
      <w:pPr>
        <w:tabs>
          <w:tab w:pos="7372" w:val="left" w:leader="none"/>
        </w:tabs>
        <w:spacing w:before="76"/>
        <w:ind w:left="648" w:right="676" w:firstLine="0"/>
        <w:jc w:val="left"/>
        <w:rPr>
          <w:b/>
          <w:i/>
          <w:sz w:val="24"/>
        </w:rPr>
      </w:pPr>
      <w:r>
        <w:rPr>
          <w:b/>
          <w:sz w:val="24"/>
        </w:rPr>
        <w:t>Table  </w:t>
      </w:r>
      <w:r>
        <w:rPr>
          <w:b/>
          <w:spacing w:val="12"/>
          <w:sz w:val="24"/>
        </w:rPr>
        <w:t> </w:t>
      </w:r>
      <w:r>
        <w:rPr>
          <w:b/>
          <w:sz w:val="24"/>
        </w:rPr>
        <w:t>4.1:  </w:t>
      </w:r>
      <w:r>
        <w:rPr>
          <w:b/>
          <w:spacing w:val="14"/>
          <w:sz w:val="24"/>
        </w:rPr>
        <w:t> </w:t>
      </w:r>
      <w:r>
        <w:rPr>
          <w:b/>
          <w:sz w:val="24"/>
        </w:rPr>
        <w:t>Phytochemical  </w:t>
      </w:r>
      <w:r>
        <w:rPr>
          <w:b/>
          <w:spacing w:val="14"/>
          <w:sz w:val="24"/>
        </w:rPr>
        <w:t> </w:t>
      </w:r>
      <w:r>
        <w:rPr>
          <w:b/>
          <w:sz w:val="24"/>
        </w:rPr>
        <w:t>constituents  </w:t>
      </w:r>
      <w:r>
        <w:rPr>
          <w:b/>
          <w:spacing w:val="11"/>
          <w:sz w:val="24"/>
        </w:rPr>
        <w:t> </w:t>
      </w:r>
      <w:r>
        <w:rPr>
          <w:b/>
          <w:sz w:val="24"/>
        </w:rPr>
        <w:t>of  </w:t>
      </w:r>
      <w:r>
        <w:rPr>
          <w:b/>
          <w:spacing w:val="16"/>
          <w:sz w:val="24"/>
        </w:rPr>
        <w:t> </w:t>
      </w:r>
      <w:r>
        <w:rPr>
          <w:b/>
          <w:sz w:val="24"/>
        </w:rPr>
        <w:t>Methanol  </w:t>
      </w:r>
      <w:r>
        <w:rPr>
          <w:b/>
          <w:spacing w:val="12"/>
          <w:sz w:val="24"/>
        </w:rPr>
        <w:t> </w:t>
      </w:r>
      <w:r>
        <w:rPr>
          <w:b/>
          <w:sz w:val="24"/>
        </w:rPr>
        <w:t>Leaf</w:t>
        <w:tab/>
        <w:t>Extract</w:t>
      </w:r>
      <w:r>
        <w:rPr>
          <w:b/>
          <w:spacing w:val="8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7"/>
          <w:sz w:val="24"/>
        </w:rPr>
        <w:t> </w:t>
      </w:r>
      <w:r>
        <w:rPr>
          <w:b/>
          <w:i/>
          <w:sz w:val="24"/>
        </w:rPr>
        <w:t>Diospyros</w:t>
      </w:r>
      <w:r>
        <w:rPr>
          <w:b/>
          <w:i/>
          <w:spacing w:val="-57"/>
          <w:sz w:val="24"/>
        </w:rPr>
        <w:t> </w:t>
      </w:r>
      <w:r>
        <w:rPr>
          <w:b/>
          <w:i/>
          <w:sz w:val="24"/>
        </w:rPr>
        <w:t>mespiliformis</w:t>
      </w:r>
    </w:p>
    <w:p>
      <w:pPr>
        <w:pStyle w:val="BodyText"/>
        <w:spacing w:before="4"/>
        <w:rPr>
          <w:b/>
          <w:i/>
        </w:rPr>
      </w:pPr>
    </w:p>
    <w:tbl>
      <w:tblPr>
        <w:tblW w:w="0" w:type="auto"/>
        <w:jc w:val="left"/>
        <w:tblInd w:w="8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86"/>
        <w:gridCol w:w="3062"/>
      </w:tblGrid>
      <w:tr>
        <w:trPr>
          <w:trHeight w:val="414" w:hRule="atLeast"/>
        </w:trPr>
        <w:tc>
          <w:tcPr>
            <w:tcW w:w="468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Chemical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Constituents</w:t>
            </w:r>
          </w:p>
        </w:tc>
        <w:tc>
          <w:tcPr>
            <w:tcW w:w="306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755" w:right="12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Inference</w:t>
            </w:r>
          </w:p>
        </w:tc>
      </w:tr>
      <w:tr>
        <w:trPr>
          <w:trHeight w:val="342" w:hRule="atLeast"/>
        </w:trPr>
        <w:tc>
          <w:tcPr>
            <w:tcW w:w="468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15"/>
              <w:rPr>
                <w:sz w:val="24"/>
              </w:rPr>
            </w:pPr>
            <w:r>
              <w:rPr>
                <w:sz w:val="24"/>
              </w:rPr>
              <w:t>Alkaloids</w:t>
            </w:r>
          </w:p>
        </w:tc>
        <w:tc>
          <w:tcPr>
            <w:tcW w:w="306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755" w:right="1291"/>
              <w:jc w:val="center"/>
              <w:rPr>
                <w:sz w:val="24"/>
              </w:rPr>
            </w:pPr>
            <w:r>
              <w:rPr>
                <w:sz w:val="24"/>
              </w:rPr>
              <w:t>Present</w:t>
            </w:r>
          </w:p>
        </w:tc>
      </w:tr>
      <w:tr>
        <w:trPr>
          <w:trHeight w:val="414" w:hRule="atLeast"/>
        </w:trPr>
        <w:tc>
          <w:tcPr>
            <w:tcW w:w="4686" w:type="dxa"/>
          </w:tcPr>
          <w:p>
            <w:pPr>
              <w:pStyle w:val="TableParagraph"/>
              <w:spacing w:before="64"/>
              <w:ind w:left="115"/>
              <w:rPr>
                <w:sz w:val="24"/>
              </w:rPr>
            </w:pPr>
            <w:r>
              <w:rPr>
                <w:sz w:val="24"/>
              </w:rPr>
              <w:t>Saponins</w:t>
            </w:r>
          </w:p>
        </w:tc>
        <w:tc>
          <w:tcPr>
            <w:tcW w:w="3062" w:type="dxa"/>
          </w:tcPr>
          <w:p>
            <w:pPr>
              <w:pStyle w:val="TableParagraph"/>
              <w:spacing w:before="62"/>
              <w:ind w:left="755" w:right="1291"/>
              <w:jc w:val="center"/>
              <w:rPr>
                <w:sz w:val="24"/>
              </w:rPr>
            </w:pPr>
            <w:r>
              <w:rPr>
                <w:sz w:val="24"/>
              </w:rPr>
              <w:t>Present</w:t>
            </w:r>
          </w:p>
        </w:tc>
      </w:tr>
      <w:tr>
        <w:trPr>
          <w:trHeight w:val="414" w:hRule="atLeast"/>
        </w:trPr>
        <w:tc>
          <w:tcPr>
            <w:tcW w:w="4686" w:type="dxa"/>
          </w:tcPr>
          <w:p>
            <w:pPr>
              <w:pStyle w:val="TableParagraph"/>
              <w:spacing w:before="65"/>
              <w:ind w:left="115"/>
              <w:rPr>
                <w:sz w:val="24"/>
              </w:rPr>
            </w:pPr>
            <w:r>
              <w:rPr>
                <w:sz w:val="24"/>
              </w:rPr>
              <w:t>Flavonoids</w:t>
            </w:r>
          </w:p>
        </w:tc>
        <w:tc>
          <w:tcPr>
            <w:tcW w:w="3062" w:type="dxa"/>
          </w:tcPr>
          <w:p>
            <w:pPr>
              <w:pStyle w:val="TableParagraph"/>
              <w:spacing w:before="63"/>
              <w:ind w:left="755" w:right="1291"/>
              <w:jc w:val="center"/>
              <w:rPr>
                <w:sz w:val="24"/>
              </w:rPr>
            </w:pPr>
            <w:r>
              <w:rPr>
                <w:sz w:val="24"/>
              </w:rPr>
              <w:t>Present</w:t>
            </w:r>
          </w:p>
        </w:tc>
      </w:tr>
      <w:tr>
        <w:trPr>
          <w:trHeight w:val="414" w:hRule="atLeast"/>
        </w:trPr>
        <w:tc>
          <w:tcPr>
            <w:tcW w:w="4686" w:type="dxa"/>
          </w:tcPr>
          <w:p>
            <w:pPr>
              <w:pStyle w:val="TableParagraph"/>
              <w:spacing w:before="64"/>
              <w:ind w:left="115"/>
              <w:rPr>
                <w:sz w:val="24"/>
              </w:rPr>
            </w:pPr>
            <w:r>
              <w:rPr>
                <w:sz w:val="24"/>
              </w:rPr>
              <w:t>Tannins</w:t>
            </w:r>
          </w:p>
        </w:tc>
        <w:tc>
          <w:tcPr>
            <w:tcW w:w="3062" w:type="dxa"/>
          </w:tcPr>
          <w:p>
            <w:pPr>
              <w:pStyle w:val="TableParagraph"/>
              <w:spacing w:before="62"/>
              <w:ind w:left="755" w:right="1291"/>
              <w:jc w:val="center"/>
              <w:rPr>
                <w:sz w:val="24"/>
              </w:rPr>
            </w:pPr>
            <w:r>
              <w:rPr>
                <w:sz w:val="24"/>
              </w:rPr>
              <w:t>Present</w:t>
            </w:r>
          </w:p>
        </w:tc>
      </w:tr>
      <w:tr>
        <w:trPr>
          <w:trHeight w:val="413" w:hRule="atLeast"/>
        </w:trPr>
        <w:tc>
          <w:tcPr>
            <w:tcW w:w="4686" w:type="dxa"/>
          </w:tcPr>
          <w:p>
            <w:pPr>
              <w:pStyle w:val="TableParagraph"/>
              <w:spacing w:before="65"/>
              <w:ind w:left="115"/>
              <w:rPr>
                <w:sz w:val="24"/>
              </w:rPr>
            </w:pPr>
            <w:r>
              <w:rPr>
                <w:sz w:val="24"/>
              </w:rPr>
              <w:t>Carbohydrates</w:t>
            </w:r>
          </w:p>
        </w:tc>
        <w:tc>
          <w:tcPr>
            <w:tcW w:w="3062" w:type="dxa"/>
          </w:tcPr>
          <w:p>
            <w:pPr>
              <w:pStyle w:val="TableParagraph"/>
              <w:spacing w:before="63"/>
              <w:ind w:left="755" w:right="1291"/>
              <w:jc w:val="center"/>
              <w:rPr>
                <w:sz w:val="24"/>
              </w:rPr>
            </w:pPr>
            <w:r>
              <w:rPr>
                <w:sz w:val="24"/>
              </w:rPr>
              <w:t>Present</w:t>
            </w:r>
          </w:p>
        </w:tc>
      </w:tr>
      <w:tr>
        <w:trPr>
          <w:trHeight w:val="431" w:hRule="atLeast"/>
        </w:trPr>
        <w:tc>
          <w:tcPr>
            <w:tcW w:w="4686" w:type="dxa"/>
          </w:tcPr>
          <w:p>
            <w:pPr>
              <w:pStyle w:val="TableParagraph"/>
              <w:spacing w:before="62"/>
              <w:ind w:left="115"/>
              <w:rPr>
                <w:sz w:val="24"/>
              </w:rPr>
            </w:pPr>
            <w:r>
              <w:rPr>
                <w:sz w:val="24"/>
              </w:rPr>
              <w:t>Cardiac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Glycosides</w:t>
            </w:r>
          </w:p>
        </w:tc>
        <w:tc>
          <w:tcPr>
            <w:tcW w:w="3062" w:type="dxa"/>
          </w:tcPr>
          <w:p>
            <w:pPr>
              <w:pStyle w:val="TableParagraph"/>
              <w:spacing w:before="62"/>
              <w:ind w:left="755" w:right="1291"/>
              <w:jc w:val="center"/>
              <w:rPr>
                <w:sz w:val="24"/>
              </w:rPr>
            </w:pPr>
            <w:r>
              <w:rPr>
                <w:sz w:val="24"/>
              </w:rPr>
              <w:t>Present</w:t>
            </w:r>
          </w:p>
        </w:tc>
      </w:tr>
      <w:tr>
        <w:trPr>
          <w:trHeight w:val="433" w:hRule="atLeast"/>
        </w:trPr>
        <w:tc>
          <w:tcPr>
            <w:tcW w:w="4686" w:type="dxa"/>
          </w:tcPr>
          <w:p>
            <w:pPr>
              <w:pStyle w:val="TableParagraph"/>
              <w:spacing w:before="85"/>
              <w:ind w:left="115"/>
              <w:rPr>
                <w:sz w:val="24"/>
              </w:rPr>
            </w:pPr>
            <w:r>
              <w:rPr>
                <w:sz w:val="24"/>
              </w:rPr>
              <w:t>Anthraquinones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(combined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anthracene)</w:t>
            </w:r>
          </w:p>
        </w:tc>
        <w:tc>
          <w:tcPr>
            <w:tcW w:w="3062" w:type="dxa"/>
          </w:tcPr>
          <w:p>
            <w:pPr>
              <w:pStyle w:val="TableParagraph"/>
              <w:spacing w:before="83"/>
              <w:ind w:left="755" w:right="1291"/>
              <w:jc w:val="center"/>
              <w:rPr>
                <w:sz w:val="24"/>
              </w:rPr>
            </w:pPr>
            <w:r>
              <w:rPr>
                <w:sz w:val="24"/>
              </w:rPr>
              <w:t>Present</w:t>
            </w:r>
          </w:p>
        </w:tc>
      </w:tr>
      <w:tr>
        <w:trPr>
          <w:trHeight w:val="485" w:hRule="atLeast"/>
        </w:trPr>
        <w:tc>
          <w:tcPr>
            <w:tcW w:w="468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4"/>
              <w:ind w:left="115"/>
              <w:rPr>
                <w:sz w:val="24"/>
              </w:rPr>
            </w:pPr>
            <w:r>
              <w:rPr>
                <w:sz w:val="24"/>
              </w:rPr>
              <w:t>Anthraquinones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(free)</w:t>
            </w:r>
          </w:p>
        </w:tc>
        <w:tc>
          <w:tcPr>
            <w:tcW w:w="306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2"/>
              <w:ind w:left="755" w:right="1293"/>
              <w:jc w:val="center"/>
              <w:rPr>
                <w:sz w:val="24"/>
              </w:rPr>
            </w:pPr>
            <w:r>
              <w:rPr>
                <w:sz w:val="24"/>
              </w:rPr>
              <w:t>Absent</w:t>
            </w:r>
          </w:p>
        </w:tc>
      </w:tr>
    </w:tbl>
    <w:p>
      <w:pPr>
        <w:spacing w:after="0"/>
        <w:jc w:val="center"/>
        <w:rPr>
          <w:sz w:val="24"/>
        </w:rPr>
        <w:sectPr>
          <w:pgSz w:w="12240" w:h="15840"/>
          <w:pgMar w:header="0" w:footer="792" w:top="1360" w:bottom="980" w:left="1080" w:right="760"/>
        </w:sectPr>
      </w:pPr>
    </w:p>
    <w:p>
      <w:pPr>
        <w:pStyle w:val="BodyText"/>
        <w:spacing w:before="8"/>
        <w:rPr>
          <w:b/>
          <w:i/>
          <w:sz w:val="10"/>
        </w:rPr>
      </w:pPr>
    </w:p>
    <w:p>
      <w:pPr>
        <w:pStyle w:val="Heading1"/>
        <w:numPr>
          <w:ilvl w:val="1"/>
          <w:numId w:val="30"/>
        </w:numPr>
        <w:tabs>
          <w:tab w:pos="1369" w:val="left" w:leader="none"/>
        </w:tabs>
        <w:spacing w:line="240" w:lineRule="auto" w:before="90" w:after="0"/>
        <w:ind w:left="1368" w:right="0" w:hanging="721"/>
        <w:jc w:val="both"/>
      </w:pPr>
      <w:bookmarkStart w:name="_TOC_250015" w:id="46"/>
      <w:r>
        <w:rPr/>
        <w:t>Acute</w:t>
      </w:r>
      <w:r>
        <w:rPr>
          <w:spacing w:val="-3"/>
        </w:rPr>
        <w:t> </w:t>
      </w:r>
      <w:bookmarkEnd w:id="46"/>
      <w:r>
        <w:rPr/>
        <w:t>Toxicity Studies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648" w:right="671"/>
        <w:jc w:val="both"/>
      </w:pPr>
      <w:r>
        <w:rPr/>
        <w:t>The median lethal dose (LD</w:t>
      </w:r>
      <w:r>
        <w:rPr>
          <w:vertAlign w:val="subscript"/>
        </w:rPr>
        <w:t>50</w:t>
      </w:r>
      <w:r>
        <w:rPr>
          <w:vertAlign w:val="baseline"/>
        </w:rPr>
        <w:t>) of the methanol leaf extract of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Diospyros</w:t>
      </w:r>
      <w:r>
        <w:rPr>
          <w:i/>
          <w:spacing w:val="60"/>
          <w:vertAlign w:val="baseline"/>
        </w:rPr>
        <w:t> </w:t>
      </w:r>
      <w:r>
        <w:rPr>
          <w:i/>
          <w:vertAlign w:val="baseline"/>
        </w:rPr>
        <w:t>mespiliformis </w:t>
      </w:r>
      <w:r>
        <w:rPr>
          <w:vertAlign w:val="baseline"/>
        </w:rPr>
        <w:t>plant</w:t>
      </w:r>
      <w:r>
        <w:rPr>
          <w:spacing w:val="1"/>
          <w:vertAlign w:val="baseline"/>
        </w:rPr>
        <w:t> </w:t>
      </w:r>
      <w:r>
        <w:rPr>
          <w:vertAlign w:val="baseline"/>
        </w:rPr>
        <w:t>in rats was found to be 774.6 mg/kg body weight intraperitoneally and above 5000 mg per kg</w:t>
      </w:r>
      <w:r>
        <w:rPr>
          <w:spacing w:val="1"/>
          <w:vertAlign w:val="baseline"/>
        </w:rPr>
        <w:t> </w:t>
      </w:r>
      <w:r>
        <w:rPr>
          <w:vertAlign w:val="baseline"/>
        </w:rPr>
        <w:t>body weight orally. In mice, the LD</w:t>
      </w:r>
      <w:r>
        <w:rPr>
          <w:vertAlign w:val="subscript"/>
        </w:rPr>
        <w:t>50</w:t>
      </w:r>
      <w:r>
        <w:rPr>
          <w:vertAlign w:val="baseline"/>
        </w:rPr>
        <w:t> values were found to be 774.6 mg/ kg intraperitoneally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above</w:t>
      </w:r>
      <w:r>
        <w:rPr>
          <w:spacing w:val="1"/>
          <w:vertAlign w:val="baseline"/>
        </w:rPr>
        <w:t> </w:t>
      </w:r>
      <w:r>
        <w:rPr>
          <w:vertAlign w:val="baseline"/>
        </w:rPr>
        <w:t>5000mg/kg</w:t>
      </w:r>
      <w:r>
        <w:rPr>
          <w:spacing w:val="1"/>
          <w:vertAlign w:val="baseline"/>
        </w:rPr>
        <w:t> </w:t>
      </w:r>
      <w:r>
        <w:rPr>
          <w:vertAlign w:val="baseline"/>
        </w:rPr>
        <w:t>orally</w:t>
      </w:r>
      <w:r>
        <w:rPr>
          <w:spacing w:val="1"/>
          <w:vertAlign w:val="baseline"/>
        </w:rPr>
        <w:t> </w:t>
      </w:r>
      <w:r>
        <w:rPr>
          <w:vertAlign w:val="baseline"/>
        </w:rPr>
        <w:t>while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chicks,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LD</w:t>
      </w:r>
      <w:r>
        <w:rPr>
          <w:vertAlign w:val="subscript"/>
        </w:rPr>
        <w:t>50</w:t>
      </w:r>
      <w:r>
        <w:rPr>
          <w:spacing w:val="1"/>
          <w:vertAlign w:val="baseline"/>
        </w:rPr>
        <w:t> </w:t>
      </w:r>
      <w:r>
        <w:rPr>
          <w:vertAlign w:val="baseline"/>
        </w:rPr>
        <w:t>value</w:t>
      </w:r>
      <w:r>
        <w:rPr>
          <w:spacing w:val="1"/>
          <w:vertAlign w:val="baseline"/>
        </w:rPr>
        <w:t> </w:t>
      </w:r>
      <w:r>
        <w:rPr>
          <w:vertAlign w:val="baseline"/>
        </w:rPr>
        <w:t>was</w:t>
      </w:r>
      <w:r>
        <w:rPr>
          <w:spacing w:val="1"/>
          <w:vertAlign w:val="baseline"/>
        </w:rPr>
        <w:t> </w:t>
      </w:r>
      <w:r>
        <w:rPr>
          <w:vertAlign w:val="baseline"/>
        </w:rPr>
        <w:t>found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be</w:t>
      </w:r>
      <w:r>
        <w:rPr>
          <w:spacing w:val="1"/>
          <w:vertAlign w:val="baseline"/>
        </w:rPr>
        <w:t> </w:t>
      </w:r>
      <w:r>
        <w:rPr>
          <w:vertAlign w:val="baseline"/>
        </w:rPr>
        <w:t>above</w:t>
      </w:r>
      <w:r>
        <w:rPr>
          <w:spacing w:val="1"/>
          <w:vertAlign w:val="baseline"/>
        </w:rPr>
        <w:t> </w:t>
      </w:r>
      <w:r>
        <w:rPr>
          <w:vertAlign w:val="baseline"/>
        </w:rPr>
        <w:t>5000mg/kg</w:t>
      </w:r>
      <w:r>
        <w:rPr>
          <w:spacing w:val="-4"/>
          <w:vertAlign w:val="baseline"/>
        </w:rPr>
        <w:t> </w:t>
      </w:r>
      <w:r>
        <w:rPr>
          <w:vertAlign w:val="baseline"/>
        </w:rPr>
        <w:t>body</w:t>
      </w:r>
      <w:r>
        <w:rPr>
          <w:spacing w:val="-5"/>
          <w:vertAlign w:val="baseline"/>
        </w:rPr>
        <w:t> </w:t>
      </w:r>
      <w:r>
        <w:rPr>
          <w:vertAlign w:val="baseline"/>
        </w:rPr>
        <w:t>weight</w:t>
      </w:r>
      <w:r>
        <w:rPr>
          <w:spacing w:val="2"/>
          <w:vertAlign w:val="baseline"/>
        </w:rPr>
        <w:t> </w:t>
      </w:r>
      <w:r>
        <w:rPr>
          <w:vertAlign w:val="baseline"/>
        </w:rPr>
        <w:t>via the</w:t>
      </w:r>
      <w:r>
        <w:rPr>
          <w:spacing w:val="-1"/>
          <w:vertAlign w:val="baseline"/>
        </w:rPr>
        <w:t> </w:t>
      </w:r>
      <w:r>
        <w:rPr>
          <w:vertAlign w:val="baseline"/>
        </w:rPr>
        <w:t>intraperitoneal route of</w:t>
      </w:r>
      <w:r>
        <w:rPr>
          <w:spacing w:val="-2"/>
          <w:vertAlign w:val="baseline"/>
        </w:rPr>
        <w:t> </w:t>
      </w:r>
      <w:r>
        <w:rPr>
          <w:vertAlign w:val="baseline"/>
        </w:rPr>
        <w:t>administration (Table</w:t>
      </w:r>
      <w:r>
        <w:rPr>
          <w:spacing w:val="1"/>
          <w:vertAlign w:val="baseline"/>
        </w:rPr>
        <w:t> </w:t>
      </w:r>
      <w:r>
        <w:rPr>
          <w:vertAlign w:val="baseline"/>
        </w:rPr>
        <w:t>4.2).</w:t>
      </w:r>
    </w:p>
    <w:p>
      <w:pPr>
        <w:spacing w:after="0" w:line="480" w:lineRule="auto"/>
        <w:jc w:val="both"/>
        <w:sectPr>
          <w:pgSz w:w="12240" w:h="15840"/>
          <w:pgMar w:header="0" w:footer="792" w:top="1500" w:bottom="980" w:left="1080" w:right="760"/>
        </w:sectPr>
      </w:pPr>
    </w:p>
    <w:p>
      <w:pPr>
        <w:pStyle w:val="BodyText"/>
        <w:spacing w:before="8"/>
        <w:rPr>
          <w:sz w:val="10"/>
        </w:rPr>
      </w:pPr>
    </w:p>
    <w:p>
      <w:pPr>
        <w:pStyle w:val="Heading1"/>
        <w:spacing w:before="90"/>
        <w:ind w:left="1728" w:right="672" w:hanging="1080"/>
      </w:pPr>
      <w:r>
        <w:rPr/>
        <w:t>Table 4.2:</w:t>
      </w:r>
      <w:r>
        <w:rPr>
          <w:spacing w:val="1"/>
        </w:rPr>
        <w:t> </w:t>
      </w:r>
      <w:r>
        <w:rPr/>
        <w:t>LD</w:t>
      </w:r>
      <w:r>
        <w:rPr>
          <w:vertAlign w:val="subscript"/>
        </w:rPr>
        <w:t>50</w:t>
      </w:r>
      <w:r>
        <w:rPr>
          <w:vertAlign w:val="baseline"/>
        </w:rPr>
        <w:t> Values of Methanol Leaf Extract of </w:t>
      </w:r>
      <w:r>
        <w:rPr>
          <w:i/>
          <w:vertAlign w:val="baseline"/>
        </w:rPr>
        <w:t>Diospyros mespiliformis </w:t>
      </w:r>
      <w:r>
        <w:rPr>
          <w:vertAlign w:val="baseline"/>
        </w:rPr>
        <w:t>via</w:t>
      </w:r>
      <w:r>
        <w:rPr>
          <w:spacing w:val="-57"/>
          <w:vertAlign w:val="baseline"/>
        </w:rPr>
        <w:t> </w:t>
      </w:r>
      <w:r>
        <w:rPr>
          <w:vertAlign w:val="baseline"/>
        </w:rPr>
        <w:t>Intraperitoneal</w:t>
      </w:r>
      <w:r>
        <w:rPr>
          <w:spacing w:val="-1"/>
          <w:vertAlign w:val="baseline"/>
        </w:rPr>
        <w:t> </w:t>
      </w:r>
      <w:r>
        <w:rPr>
          <w:vertAlign w:val="baseline"/>
        </w:rPr>
        <w:t>and Oral routes</w:t>
      </w:r>
      <w:r>
        <w:rPr>
          <w:spacing w:val="-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administration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28"/>
        </w:rPr>
      </w:pPr>
    </w:p>
    <w:tbl>
      <w:tblPr>
        <w:tblW w:w="0" w:type="auto"/>
        <w:jc w:val="left"/>
        <w:tblInd w:w="136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12"/>
        <w:gridCol w:w="3400"/>
        <w:gridCol w:w="2737"/>
      </w:tblGrid>
      <w:tr>
        <w:trPr>
          <w:trHeight w:val="414" w:hRule="atLeast"/>
        </w:trPr>
        <w:tc>
          <w:tcPr>
            <w:tcW w:w="161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Species</w:t>
            </w:r>
          </w:p>
        </w:tc>
        <w:tc>
          <w:tcPr>
            <w:tcW w:w="340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749"/>
              <w:rPr>
                <w:b/>
                <w:sz w:val="24"/>
              </w:rPr>
            </w:pPr>
            <w:r>
              <w:rPr>
                <w:b/>
                <w:sz w:val="24"/>
              </w:rPr>
              <w:t>Route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of Administration</w:t>
            </w:r>
          </w:p>
        </w:tc>
        <w:tc>
          <w:tcPr>
            <w:tcW w:w="273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146"/>
              <w:rPr>
                <w:b/>
                <w:sz w:val="24"/>
              </w:rPr>
            </w:pPr>
            <w:r>
              <w:rPr>
                <w:b/>
                <w:sz w:val="24"/>
              </w:rPr>
              <w:t>LD</w:t>
            </w:r>
            <w:r>
              <w:rPr>
                <w:b/>
                <w:sz w:val="24"/>
                <w:vertAlign w:val="subscript"/>
              </w:rPr>
              <w:t>50</w:t>
            </w:r>
            <w:r>
              <w:rPr>
                <w:b/>
                <w:spacing w:val="-1"/>
                <w:sz w:val="24"/>
                <w:vertAlign w:val="baseline"/>
              </w:rPr>
              <w:t> </w:t>
            </w:r>
            <w:r>
              <w:rPr>
                <w:b/>
                <w:sz w:val="24"/>
                <w:vertAlign w:val="baseline"/>
              </w:rPr>
              <w:t>Values</w:t>
            </w:r>
            <w:r>
              <w:rPr>
                <w:b/>
                <w:spacing w:val="-1"/>
                <w:sz w:val="24"/>
                <w:vertAlign w:val="baseline"/>
              </w:rPr>
              <w:t> </w:t>
            </w:r>
            <w:r>
              <w:rPr>
                <w:b/>
                <w:sz w:val="24"/>
                <w:vertAlign w:val="baseline"/>
              </w:rPr>
              <w:t>(mg/kg)</w:t>
            </w:r>
          </w:p>
        </w:tc>
      </w:tr>
      <w:tr>
        <w:trPr>
          <w:trHeight w:val="343" w:hRule="atLeast"/>
        </w:trPr>
        <w:tc>
          <w:tcPr>
            <w:tcW w:w="161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16"/>
              <w:rPr>
                <w:sz w:val="24"/>
              </w:rPr>
            </w:pPr>
            <w:r>
              <w:rPr>
                <w:sz w:val="24"/>
              </w:rPr>
              <w:t>Rats</w:t>
            </w:r>
          </w:p>
        </w:tc>
        <w:tc>
          <w:tcPr>
            <w:tcW w:w="340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749"/>
              <w:rPr>
                <w:sz w:val="24"/>
              </w:rPr>
            </w:pPr>
            <w:r>
              <w:rPr>
                <w:sz w:val="24"/>
              </w:rPr>
              <w:t>Intraperitoneal</w:t>
            </w:r>
          </w:p>
        </w:tc>
        <w:tc>
          <w:tcPr>
            <w:tcW w:w="273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46"/>
              <w:rPr>
                <w:sz w:val="24"/>
              </w:rPr>
            </w:pPr>
            <w:r>
              <w:rPr>
                <w:sz w:val="24"/>
              </w:rPr>
              <w:t>774.6</w:t>
            </w:r>
          </w:p>
        </w:tc>
      </w:tr>
      <w:tr>
        <w:trPr>
          <w:trHeight w:val="413" w:hRule="atLeast"/>
        </w:trPr>
        <w:tc>
          <w:tcPr>
            <w:tcW w:w="161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400" w:type="dxa"/>
          </w:tcPr>
          <w:p>
            <w:pPr>
              <w:pStyle w:val="TableParagraph"/>
              <w:spacing w:before="63"/>
              <w:ind w:left="749"/>
              <w:rPr>
                <w:sz w:val="24"/>
              </w:rPr>
            </w:pPr>
            <w:r>
              <w:rPr>
                <w:sz w:val="24"/>
              </w:rPr>
              <w:t>Oral</w:t>
            </w:r>
          </w:p>
        </w:tc>
        <w:tc>
          <w:tcPr>
            <w:tcW w:w="2737" w:type="dxa"/>
          </w:tcPr>
          <w:p>
            <w:pPr>
              <w:pStyle w:val="TableParagraph"/>
              <w:spacing w:before="63"/>
              <w:ind w:left="146"/>
              <w:rPr>
                <w:sz w:val="24"/>
              </w:rPr>
            </w:pPr>
            <w:r>
              <w:rPr>
                <w:sz w:val="24"/>
              </w:rPr>
              <w:t>&gt;5000</w:t>
            </w:r>
          </w:p>
        </w:tc>
      </w:tr>
      <w:tr>
        <w:trPr>
          <w:trHeight w:val="414" w:hRule="atLeast"/>
        </w:trPr>
        <w:tc>
          <w:tcPr>
            <w:tcW w:w="1612" w:type="dxa"/>
          </w:tcPr>
          <w:p>
            <w:pPr>
              <w:pStyle w:val="TableParagraph"/>
              <w:spacing w:before="64"/>
              <w:ind w:left="116"/>
              <w:rPr>
                <w:sz w:val="24"/>
              </w:rPr>
            </w:pPr>
            <w:r>
              <w:rPr>
                <w:sz w:val="24"/>
              </w:rPr>
              <w:t>Mice</w:t>
            </w:r>
          </w:p>
        </w:tc>
        <w:tc>
          <w:tcPr>
            <w:tcW w:w="3400" w:type="dxa"/>
          </w:tcPr>
          <w:p>
            <w:pPr>
              <w:pStyle w:val="TableParagraph"/>
              <w:spacing w:before="64"/>
              <w:ind w:left="749"/>
              <w:rPr>
                <w:sz w:val="24"/>
              </w:rPr>
            </w:pPr>
            <w:r>
              <w:rPr>
                <w:sz w:val="24"/>
              </w:rPr>
              <w:t>Intraperitoneal</w:t>
            </w:r>
          </w:p>
        </w:tc>
        <w:tc>
          <w:tcPr>
            <w:tcW w:w="2737" w:type="dxa"/>
          </w:tcPr>
          <w:p>
            <w:pPr>
              <w:pStyle w:val="TableParagraph"/>
              <w:spacing w:before="64"/>
              <w:ind w:left="146"/>
              <w:rPr>
                <w:sz w:val="24"/>
              </w:rPr>
            </w:pPr>
            <w:r>
              <w:rPr>
                <w:sz w:val="24"/>
              </w:rPr>
              <w:t>774.6</w:t>
            </w:r>
          </w:p>
        </w:tc>
      </w:tr>
      <w:tr>
        <w:trPr>
          <w:trHeight w:val="414" w:hRule="atLeast"/>
        </w:trPr>
        <w:tc>
          <w:tcPr>
            <w:tcW w:w="161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400" w:type="dxa"/>
          </w:tcPr>
          <w:p>
            <w:pPr>
              <w:pStyle w:val="TableParagraph"/>
              <w:spacing w:before="63"/>
              <w:ind w:left="749"/>
              <w:rPr>
                <w:sz w:val="24"/>
              </w:rPr>
            </w:pPr>
            <w:r>
              <w:rPr>
                <w:sz w:val="24"/>
              </w:rPr>
              <w:t>Oral</w:t>
            </w:r>
          </w:p>
        </w:tc>
        <w:tc>
          <w:tcPr>
            <w:tcW w:w="2737" w:type="dxa"/>
          </w:tcPr>
          <w:p>
            <w:pPr>
              <w:pStyle w:val="TableParagraph"/>
              <w:spacing w:before="63"/>
              <w:ind w:left="146"/>
              <w:rPr>
                <w:sz w:val="24"/>
              </w:rPr>
            </w:pPr>
            <w:r>
              <w:rPr>
                <w:sz w:val="24"/>
              </w:rPr>
              <w:t>&gt;5000</w:t>
            </w:r>
          </w:p>
        </w:tc>
      </w:tr>
      <w:tr>
        <w:trPr>
          <w:trHeight w:val="483" w:hRule="atLeast"/>
        </w:trPr>
        <w:tc>
          <w:tcPr>
            <w:tcW w:w="161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5"/>
              <w:ind w:left="176"/>
              <w:rPr>
                <w:sz w:val="24"/>
              </w:rPr>
            </w:pPr>
            <w:r>
              <w:rPr>
                <w:sz w:val="24"/>
              </w:rPr>
              <w:t>Chicks</w:t>
            </w:r>
          </w:p>
        </w:tc>
        <w:tc>
          <w:tcPr>
            <w:tcW w:w="340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5"/>
              <w:ind w:left="749"/>
              <w:rPr>
                <w:sz w:val="24"/>
              </w:rPr>
            </w:pPr>
            <w:r>
              <w:rPr>
                <w:sz w:val="24"/>
              </w:rPr>
              <w:t>Intraperitoneal</w:t>
            </w:r>
          </w:p>
        </w:tc>
        <w:tc>
          <w:tcPr>
            <w:tcW w:w="273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5"/>
              <w:ind w:left="146"/>
              <w:rPr>
                <w:sz w:val="24"/>
              </w:rPr>
            </w:pPr>
            <w:r>
              <w:rPr>
                <w:sz w:val="24"/>
              </w:rPr>
              <w:t>&gt;5000</w:t>
            </w:r>
          </w:p>
        </w:tc>
      </w:tr>
    </w:tbl>
    <w:p>
      <w:pPr>
        <w:spacing w:after="0"/>
        <w:rPr>
          <w:sz w:val="24"/>
        </w:rPr>
        <w:sectPr>
          <w:pgSz w:w="12240" w:h="15840"/>
          <w:pgMar w:header="0" w:footer="792" w:top="1500" w:bottom="980" w:left="1080" w:right="760"/>
        </w:sectPr>
      </w:pPr>
    </w:p>
    <w:p>
      <w:pPr>
        <w:pStyle w:val="Heading1"/>
        <w:numPr>
          <w:ilvl w:val="1"/>
          <w:numId w:val="30"/>
        </w:numPr>
        <w:tabs>
          <w:tab w:pos="1429" w:val="left" w:leader="none"/>
        </w:tabs>
        <w:spacing w:line="240" w:lineRule="auto" w:before="76" w:after="0"/>
        <w:ind w:left="1428" w:right="0" w:hanging="781"/>
        <w:jc w:val="both"/>
      </w:pPr>
      <w:bookmarkStart w:name="_TOC_250014" w:id="47"/>
      <w:r>
        <w:rPr/>
        <w:t>Anticonvulsant</w:t>
      </w:r>
      <w:r>
        <w:rPr>
          <w:spacing w:val="-2"/>
        </w:rPr>
        <w:t> </w:t>
      </w:r>
      <w:bookmarkEnd w:id="47"/>
      <w:r>
        <w:rPr/>
        <w:t>Studies</w:t>
      </w:r>
    </w:p>
    <w:p>
      <w:pPr>
        <w:pStyle w:val="BodyText"/>
        <w:spacing w:before="1"/>
        <w:rPr>
          <w:b/>
        </w:rPr>
      </w:pPr>
    </w:p>
    <w:p>
      <w:pPr>
        <w:pStyle w:val="Heading2"/>
        <w:numPr>
          <w:ilvl w:val="2"/>
          <w:numId w:val="30"/>
        </w:numPr>
        <w:tabs>
          <w:tab w:pos="1429" w:val="left" w:leader="none"/>
        </w:tabs>
        <w:spacing w:line="240" w:lineRule="auto" w:before="0" w:after="0"/>
        <w:ind w:left="1428" w:right="0" w:hanging="721"/>
        <w:jc w:val="both"/>
      </w:pPr>
      <w:bookmarkStart w:name="_TOC_250013" w:id="48"/>
      <w:r>
        <w:rPr/>
        <w:t>Pentylenetetrazole</w:t>
      </w:r>
      <w:r>
        <w:rPr>
          <w:spacing w:val="-2"/>
        </w:rPr>
        <w:t> </w:t>
      </w:r>
      <w:r>
        <w:rPr/>
        <w:t>(PTZ)-induced</w:t>
      </w:r>
      <w:r>
        <w:rPr>
          <w:spacing w:val="-2"/>
        </w:rPr>
        <w:t> </w:t>
      </w:r>
      <w:r>
        <w:rPr/>
        <w:t>seizure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bookmarkEnd w:id="48"/>
      <w:r>
        <w:rPr/>
        <w:t>mice</w:t>
      </w:r>
    </w:p>
    <w:p>
      <w:pPr>
        <w:pStyle w:val="BodyText"/>
        <w:spacing w:before="6"/>
        <w:rPr>
          <w:b/>
          <w:i/>
          <w:sz w:val="23"/>
        </w:rPr>
      </w:pPr>
    </w:p>
    <w:p>
      <w:pPr>
        <w:pStyle w:val="BodyText"/>
        <w:spacing w:line="480" w:lineRule="auto" w:before="1"/>
        <w:ind w:left="648" w:right="673"/>
        <w:jc w:val="both"/>
      </w:pPr>
      <w:r>
        <w:rPr/>
        <w:t>The methanol leaf extract of </w:t>
      </w:r>
      <w:r>
        <w:rPr>
          <w:i/>
        </w:rPr>
        <w:t>Diospyros mespiliformis </w:t>
      </w:r>
      <w:r>
        <w:rPr/>
        <w:t>protected the animals against PTZ-</w:t>
      </w:r>
      <w:r>
        <w:rPr>
          <w:spacing w:val="1"/>
        </w:rPr>
        <w:t> </w:t>
      </w:r>
      <w:r>
        <w:rPr/>
        <w:t>induced seizure. At 50 mg/kg of the extract, the percentage protection was found to be 50%</w:t>
      </w:r>
      <w:r>
        <w:rPr>
          <w:spacing w:val="1"/>
        </w:rPr>
        <w:t> </w:t>
      </w:r>
      <w:r>
        <w:rPr/>
        <w:t>which then goes up to 66.7% protection when the dose was raised to 100 mg/kg of the extract,</w:t>
      </w:r>
      <w:r>
        <w:rPr>
          <w:spacing w:val="-57"/>
        </w:rPr>
        <w:t> </w:t>
      </w:r>
      <w:r>
        <w:rPr/>
        <w:t>while increase in dose of the extract above 100 mg/kg did not confer additional protection</w:t>
      </w:r>
      <w:r>
        <w:rPr>
          <w:spacing w:val="1"/>
        </w:rPr>
        <w:t> </w:t>
      </w:r>
      <w:r>
        <w:rPr/>
        <w:t>against seizure, The percentage protection at 200mg/kg of the extract is still 66.7% same as</w:t>
      </w:r>
      <w:r>
        <w:rPr>
          <w:spacing w:val="1"/>
        </w:rPr>
        <w:t> </w:t>
      </w:r>
      <w:r>
        <w:rPr/>
        <w:t>that of 100 mg/kg. Valproic acid (200 mg/kg) produced 100% protection against seizure and</w:t>
      </w:r>
      <w:r>
        <w:rPr>
          <w:spacing w:val="1"/>
        </w:rPr>
        <w:t> </w:t>
      </w:r>
      <w:r>
        <w:rPr/>
        <w:t>mortality as well. There was no statistically significant difference in the mean onset of seizure</w:t>
      </w:r>
      <w:r>
        <w:rPr>
          <w:spacing w:val="-57"/>
        </w:rPr>
        <w:t> </w:t>
      </w:r>
      <w:r>
        <w:rPr/>
        <w:t>between the control (normal saline) group and extract at doses of 50, 100 and 200 mg/kg</w:t>
      </w:r>
      <w:r>
        <w:rPr>
          <w:spacing w:val="1"/>
        </w:rPr>
        <w:t> </w:t>
      </w:r>
      <w:r>
        <w:rPr/>
        <w:t>respectively</w:t>
      </w:r>
      <w:r>
        <w:rPr>
          <w:spacing w:val="-4"/>
        </w:rPr>
        <w:t> </w:t>
      </w:r>
      <w:r>
        <w:rPr/>
        <w:t>at P&lt;0.05 (Table 4.3).</w:t>
      </w:r>
    </w:p>
    <w:p>
      <w:pPr>
        <w:spacing w:after="0" w:line="480" w:lineRule="auto"/>
        <w:jc w:val="both"/>
        <w:sectPr>
          <w:pgSz w:w="12240" w:h="15840"/>
          <w:pgMar w:header="0" w:footer="792" w:top="1360" w:bottom="980" w:left="1080" w:right="760"/>
        </w:sectPr>
      </w:pPr>
    </w:p>
    <w:p>
      <w:pPr>
        <w:tabs>
          <w:tab w:pos="2088" w:val="left" w:leader="none"/>
        </w:tabs>
        <w:spacing w:before="76"/>
        <w:ind w:left="2088" w:right="1236" w:hanging="1440"/>
        <w:jc w:val="left"/>
        <w:rPr>
          <w:b/>
          <w:sz w:val="24"/>
        </w:rPr>
      </w:pPr>
      <w:r>
        <w:rPr>
          <w:b/>
          <w:sz w:val="24"/>
        </w:rPr>
        <w:t>Table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4.3:</w:t>
        <w:tab/>
        <w:t>Effect of Methanol Leaf Extract of </w:t>
      </w:r>
      <w:r>
        <w:rPr>
          <w:b/>
          <w:i/>
          <w:sz w:val="24"/>
        </w:rPr>
        <w:t>Diospyros Mespiliformis (DM) </w:t>
      </w:r>
      <w:r>
        <w:rPr>
          <w:b/>
          <w:sz w:val="24"/>
        </w:rPr>
        <w:t>and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Valproic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Acid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Pentylenetetrazole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(PTZ)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induced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seizure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in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mice</w:t>
      </w:r>
    </w:p>
    <w:p>
      <w:pPr>
        <w:pStyle w:val="BodyText"/>
        <w:spacing w:before="4"/>
        <w:rPr>
          <w:b/>
        </w:rPr>
      </w:pPr>
    </w:p>
    <w:tbl>
      <w:tblPr>
        <w:tblW w:w="0" w:type="auto"/>
        <w:jc w:val="left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28"/>
        <w:gridCol w:w="1803"/>
        <w:gridCol w:w="1465"/>
        <w:gridCol w:w="2241"/>
        <w:gridCol w:w="1450"/>
      </w:tblGrid>
      <w:tr>
        <w:trPr>
          <w:trHeight w:val="551" w:hRule="atLeast"/>
        </w:trPr>
        <w:tc>
          <w:tcPr>
            <w:tcW w:w="222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Treatment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(mg/kg)</w:t>
            </w:r>
          </w:p>
        </w:tc>
        <w:tc>
          <w:tcPr>
            <w:tcW w:w="180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6" w:lineRule="exact"/>
              <w:ind w:left="162" w:right="181"/>
              <w:rPr>
                <w:b/>
                <w:sz w:val="24"/>
              </w:rPr>
            </w:pPr>
            <w:r>
              <w:rPr>
                <w:b/>
                <w:sz w:val="24"/>
              </w:rPr>
              <w:t>Mean onset of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seizures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(min)</w:t>
            </w:r>
          </w:p>
        </w:tc>
        <w:tc>
          <w:tcPr>
            <w:tcW w:w="146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6" w:lineRule="exact"/>
              <w:ind w:left="203" w:right="185"/>
              <w:rPr>
                <w:b/>
                <w:sz w:val="24"/>
              </w:rPr>
            </w:pPr>
            <w:r>
              <w:rPr>
                <w:b/>
                <w:sz w:val="24"/>
              </w:rPr>
              <w:t>Quantal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pacing w:val="-1"/>
                <w:sz w:val="24"/>
              </w:rPr>
              <w:t>Protection</w:t>
            </w:r>
          </w:p>
        </w:tc>
        <w:tc>
          <w:tcPr>
            <w:tcW w:w="224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6" w:lineRule="exact"/>
              <w:ind w:left="200" w:right="161"/>
              <w:rPr>
                <w:b/>
                <w:sz w:val="24"/>
              </w:rPr>
            </w:pPr>
            <w:r>
              <w:rPr>
                <w:b/>
                <w:sz w:val="24"/>
              </w:rPr>
              <w:t>Protection against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seizure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(%)</w:t>
            </w:r>
          </w:p>
        </w:tc>
        <w:tc>
          <w:tcPr>
            <w:tcW w:w="145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6" w:lineRule="exact"/>
              <w:ind w:left="184" w:right="268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Mortality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rate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(%)</w:t>
            </w:r>
          </w:p>
        </w:tc>
      </w:tr>
      <w:tr>
        <w:trPr>
          <w:trHeight w:val="344" w:hRule="atLeast"/>
        </w:trPr>
        <w:tc>
          <w:tcPr>
            <w:tcW w:w="222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15"/>
              <w:rPr>
                <w:sz w:val="24"/>
              </w:rPr>
            </w:pPr>
            <w:r>
              <w:rPr>
                <w:sz w:val="24"/>
              </w:rPr>
              <w:t>N/saline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(10ml/kg)</w:t>
            </w:r>
          </w:p>
        </w:tc>
        <w:tc>
          <w:tcPr>
            <w:tcW w:w="180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62"/>
              <w:rPr>
                <w:sz w:val="24"/>
              </w:rPr>
            </w:pPr>
            <w:r>
              <w:rPr>
                <w:sz w:val="24"/>
              </w:rPr>
              <w:t>9.00</w:t>
            </w:r>
            <w:r>
              <w:rPr>
                <w:sz w:val="24"/>
                <w:u w:val="single"/>
              </w:rPr>
              <w:t>+</w:t>
            </w:r>
            <w:r>
              <w:rPr>
                <w:sz w:val="24"/>
              </w:rPr>
              <w:t>1.00</w:t>
            </w:r>
          </w:p>
        </w:tc>
        <w:tc>
          <w:tcPr>
            <w:tcW w:w="146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203"/>
              <w:rPr>
                <w:sz w:val="24"/>
              </w:rPr>
            </w:pPr>
            <w:r>
              <w:rPr>
                <w:sz w:val="24"/>
              </w:rPr>
              <w:t>1/6</w:t>
            </w:r>
          </w:p>
        </w:tc>
        <w:tc>
          <w:tcPr>
            <w:tcW w:w="224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200"/>
              <w:rPr>
                <w:sz w:val="24"/>
              </w:rPr>
            </w:pPr>
            <w:r>
              <w:rPr>
                <w:sz w:val="24"/>
              </w:rPr>
              <w:t>16.67</w:t>
            </w:r>
          </w:p>
        </w:tc>
        <w:tc>
          <w:tcPr>
            <w:tcW w:w="145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84"/>
              <w:rPr>
                <w:sz w:val="24"/>
              </w:rPr>
            </w:pPr>
            <w:r>
              <w:rPr>
                <w:sz w:val="24"/>
              </w:rPr>
              <w:t>83.33</w:t>
            </w:r>
          </w:p>
        </w:tc>
      </w:tr>
      <w:tr>
        <w:trPr>
          <w:trHeight w:val="414" w:hRule="atLeast"/>
        </w:trPr>
        <w:tc>
          <w:tcPr>
            <w:tcW w:w="2228" w:type="dxa"/>
          </w:tcPr>
          <w:p>
            <w:pPr>
              <w:pStyle w:val="TableParagraph"/>
              <w:spacing w:before="64"/>
              <w:ind w:left="115"/>
              <w:rPr>
                <w:sz w:val="24"/>
              </w:rPr>
            </w:pPr>
            <w:r>
              <w:rPr>
                <w:sz w:val="24"/>
              </w:rPr>
              <w:t>DM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50</w:t>
            </w:r>
          </w:p>
        </w:tc>
        <w:tc>
          <w:tcPr>
            <w:tcW w:w="1803" w:type="dxa"/>
          </w:tcPr>
          <w:p>
            <w:pPr>
              <w:pStyle w:val="TableParagraph"/>
              <w:spacing w:before="64"/>
              <w:ind w:left="162"/>
              <w:rPr>
                <w:sz w:val="24"/>
              </w:rPr>
            </w:pPr>
            <w:r>
              <w:rPr>
                <w:sz w:val="24"/>
              </w:rPr>
              <w:t>11.00</w:t>
            </w:r>
            <w:r>
              <w:rPr>
                <w:sz w:val="24"/>
                <w:u w:val="single"/>
              </w:rPr>
              <w:t>+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3.46</w:t>
            </w:r>
          </w:p>
        </w:tc>
        <w:tc>
          <w:tcPr>
            <w:tcW w:w="1465" w:type="dxa"/>
          </w:tcPr>
          <w:p>
            <w:pPr>
              <w:pStyle w:val="TableParagraph"/>
              <w:spacing w:before="64"/>
              <w:ind w:left="203"/>
              <w:rPr>
                <w:sz w:val="24"/>
              </w:rPr>
            </w:pPr>
            <w:r>
              <w:rPr>
                <w:sz w:val="24"/>
              </w:rPr>
              <w:t>3/6</w:t>
            </w:r>
          </w:p>
        </w:tc>
        <w:tc>
          <w:tcPr>
            <w:tcW w:w="2241" w:type="dxa"/>
          </w:tcPr>
          <w:p>
            <w:pPr>
              <w:pStyle w:val="TableParagraph"/>
              <w:spacing w:before="64"/>
              <w:ind w:left="200"/>
              <w:rPr>
                <w:sz w:val="24"/>
              </w:rPr>
            </w:pPr>
            <w:r>
              <w:rPr>
                <w:sz w:val="24"/>
              </w:rPr>
              <w:t>50.00</w:t>
            </w:r>
          </w:p>
        </w:tc>
        <w:tc>
          <w:tcPr>
            <w:tcW w:w="1450" w:type="dxa"/>
          </w:tcPr>
          <w:p>
            <w:pPr>
              <w:pStyle w:val="TableParagraph"/>
              <w:spacing w:before="64"/>
              <w:ind w:left="184"/>
              <w:rPr>
                <w:sz w:val="24"/>
              </w:rPr>
            </w:pPr>
            <w:r>
              <w:rPr>
                <w:sz w:val="24"/>
              </w:rPr>
              <w:t>50.00</w:t>
            </w:r>
          </w:p>
        </w:tc>
      </w:tr>
      <w:tr>
        <w:trPr>
          <w:trHeight w:val="413" w:hRule="atLeast"/>
        </w:trPr>
        <w:tc>
          <w:tcPr>
            <w:tcW w:w="2228" w:type="dxa"/>
          </w:tcPr>
          <w:p>
            <w:pPr>
              <w:pStyle w:val="TableParagraph"/>
              <w:spacing w:before="63"/>
              <w:ind w:left="115"/>
              <w:rPr>
                <w:sz w:val="24"/>
              </w:rPr>
            </w:pPr>
            <w:r>
              <w:rPr>
                <w:sz w:val="24"/>
              </w:rPr>
              <w:t>DM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100</w:t>
            </w:r>
          </w:p>
        </w:tc>
        <w:tc>
          <w:tcPr>
            <w:tcW w:w="1803" w:type="dxa"/>
          </w:tcPr>
          <w:p>
            <w:pPr>
              <w:pStyle w:val="TableParagraph"/>
              <w:spacing w:before="63"/>
              <w:ind w:left="162"/>
              <w:rPr>
                <w:sz w:val="24"/>
              </w:rPr>
            </w:pPr>
            <w:r>
              <w:rPr>
                <w:sz w:val="24"/>
              </w:rPr>
              <w:t>6.50 </w:t>
            </w:r>
            <w:r>
              <w:rPr>
                <w:sz w:val="24"/>
                <w:u w:val="single"/>
              </w:rPr>
              <w:t>+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1.50</w:t>
            </w:r>
          </w:p>
        </w:tc>
        <w:tc>
          <w:tcPr>
            <w:tcW w:w="1465" w:type="dxa"/>
          </w:tcPr>
          <w:p>
            <w:pPr>
              <w:pStyle w:val="TableParagraph"/>
              <w:spacing w:before="63"/>
              <w:ind w:left="203"/>
              <w:rPr>
                <w:sz w:val="24"/>
              </w:rPr>
            </w:pPr>
            <w:r>
              <w:rPr>
                <w:sz w:val="24"/>
              </w:rPr>
              <w:t>4/6</w:t>
            </w:r>
          </w:p>
        </w:tc>
        <w:tc>
          <w:tcPr>
            <w:tcW w:w="2241" w:type="dxa"/>
          </w:tcPr>
          <w:p>
            <w:pPr>
              <w:pStyle w:val="TableParagraph"/>
              <w:spacing w:before="63"/>
              <w:ind w:left="200"/>
              <w:rPr>
                <w:sz w:val="24"/>
              </w:rPr>
            </w:pPr>
            <w:r>
              <w:rPr>
                <w:sz w:val="24"/>
              </w:rPr>
              <w:t>66.67</w:t>
            </w:r>
          </w:p>
        </w:tc>
        <w:tc>
          <w:tcPr>
            <w:tcW w:w="1450" w:type="dxa"/>
          </w:tcPr>
          <w:p>
            <w:pPr>
              <w:pStyle w:val="TableParagraph"/>
              <w:spacing w:before="63"/>
              <w:ind w:left="184"/>
              <w:rPr>
                <w:sz w:val="24"/>
              </w:rPr>
            </w:pPr>
            <w:r>
              <w:rPr>
                <w:sz w:val="24"/>
              </w:rPr>
              <w:t>33.33</w:t>
            </w:r>
          </w:p>
        </w:tc>
      </w:tr>
      <w:tr>
        <w:trPr>
          <w:trHeight w:val="414" w:hRule="atLeast"/>
        </w:trPr>
        <w:tc>
          <w:tcPr>
            <w:tcW w:w="2228" w:type="dxa"/>
          </w:tcPr>
          <w:p>
            <w:pPr>
              <w:pStyle w:val="TableParagraph"/>
              <w:spacing w:before="64"/>
              <w:ind w:left="115"/>
              <w:rPr>
                <w:sz w:val="24"/>
              </w:rPr>
            </w:pPr>
            <w:r>
              <w:rPr>
                <w:sz w:val="24"/>
              </w:rPr>
              <w:t>DM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200</w:t>
            </w:r>
          </w:p>
        </w:tc>
        <w:tc>
          <w:tcPr>
            <w:tcW w:w="1803" w:type="dxa"/>
          </w:tcPr>
          <w:p>
            <w:pPr>
              <w:pStyle w:val="TableParagraph"/>
              <w:spacing w:before="64"/>
              <w:ind w:left="162"/>
              <w:rPr>
                <w:sz w:val="24"/>
              </w:rPr>
            </w:pPr>
            <w:r>
              <w:rPr>
                <w:sz w:val="24"/>
              </w:rPr>
              <w:t>10.00 </w:t>
            </w:r>
            <w:r>
              <w:rPr>
                <w:sz w:val="24"/>
                <w:u w:val="single"/>
              </w:rPr>
              <w:t>+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4.00</w:t>
            </w:r>
          </w:p>
        </w:tc>
        <w:tc>
          <w:tcPr>
            <w:tcW w:w="1465" w:type="dxa"/>
          </w:tcPr>
          <w:p>
            <w:pPr>
              <w:pStyle w:val="TableParagraph"/>
              <w:spacing w:before="64"/>
              <w:ind w:left="203"/>
              <w:rPr>
                <w:sz w:val="24"/>
              </w:rPr>
            </w:pPr>
            <w:r>
              <w:rPr>
                <w:sz w:val="24"/>
              </w:rPr>
              <w:t>4/6</w:t>
            </w:r>
          </w:p>
        </w:tc>
        <w:tc>
          <w:tcPr>
            <w:tcW w:w="2241" w:type="dxa"/>
          </w:tcPr>
          <w:p>
            <w:pPr>
              <w:pStyle w:val="TableParagraph"/>
              <w:spacing w:before="64"/>
              <w:ind w:left="200"/>
              <w:rPr>
                <w:sz w:val="24"/>
              </w:rPr>
            </w:pPr>
            <w:r>
              <w:rPr>
                <w:sz w:val="24"/>
              </w:rPr>
              <w:t>66.67</w:t>
            </w:r>
          </w:p>
        </w:tc>
        <w:tc>
          <w:tcPr>
            <w:tcW w:w="1450" w:type="dxa"/>
          </w:tcPr>
          <w:p>
            <w:pPr>
              <w:pStyle w:val="TableParagraph"/>
              <w:spacing w:before="64"/>
              <w:ind w:left="184"/>
              <w:rPr>
                <w:sz w:val="24"/>
              </w:rPr>
            </w:pPr>
            <w:r>
              <w:rPr>
                <w:sz w:val="24"/>
              </w:rPr>
              <w:t>33.33</w:t>
            </w:r>
          </w:p>
        </w:tc>
      </w:tr>
      <w:tr>
        <w:trPr>
          <w:trHeight w:val="483" w:hRule="atLeast"/>
        </w:trPr>
        <w:tc>
          <w:tcPr>
            <w:tcW w:w="222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3"/>
              <w:ind w:left="115"/>
              <w:rPr>
                <w:sz w:val="24"/>
              </w:rPr>
            </w:pPr>
            <w:r>
              <w:rPr>
                <w:sz w:val="24"/>
              </w:rPr>
              <w:t>VA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200</w:t>
            </w:r>
          </w:p>
        </w:tc>
        <w:tc>
          <w:tcPr>
            <w:tcW w:w="180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3"/>
              <w:ind w:left="162"/>
              <w:rPr>
                <w:sz w:val="24"/>
              </w:rPr>
            </w:pPr>
            <w:r>
              <w:rPr>
                <w:sz w:val="24"/>
              </w:rPr>
              <w:t>0.0</w:t>
            </w:r>
          </w:p>
        </w:tc>
        <w:tc>
          <w:tcPr>
            <w:tcW w:w="146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3"/>
              <w:ind w:left="203"/>
              <w:rPr>
                <w:sz w:val="24"/>
              </w:rPr>
            </w:pPr>
            <w:r>
              <w:rPr>
                <w:sz w:val="24"/>
              </w:rPr>
              <w:t>6/6</w:t>
            </w:r>
          </w:p>
        </w:tc>
        <w:tc>
          <w:tcPr>
            <w:tcW w:w="224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3"/>
              <w:ind w:left="200"/>
              <w:rPr>
                <w:sz w:val="24"/>
              </w:rPr>
            </w:pPr>
            <w:r>
              <w:rPr>
                <w:sz w:val="24"/>
              </w:rPr>
              <w:t>100.0</w:t>
            </w:r>
          </w:p>
        </w:tc>
        <w:tc>
          <w:tcPr>
            <w:tcW w:w="145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3"/>
              <w:ind w:left="184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</w:tr>
    </w:tbl>
    <w:p>
      <w:pPr>
        <w:pStyle w:val="BodyText"/>
        <w:spacing w:before="4"/>
        <w:rPr>
          <w:b/>
          <w:sz w:val="23"/>
        </w:rPr>
      </w:pPr>
    </w:p>
    <w:p>
      <w:pPr>
        <w:pStyle w:val="BodyText"/>
        <w:ind w:left="648" w:right="675"/>
        <w:jc w:val="both"/>
      </w:pPr>
      <w:r>
        <w:rPr/>
        <w:t>Values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presented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mean</w:t>
      </w:r>
      <w:r>
        <w:rPr>
          <w:spacing w:val="1"/>
        </w:rPr>
        <w:t> </w:t>
      </w:r>
      <w:r>
        <w:rPr>
          <w:u w:val="single"/>
        </w:rPr>
        <w:t>+</w:t>
      </w:r>
      <w:r>
        <w:rPr>
          <w:spacing w:val="1"/>
        </w:rPr>
        <w:t> </w:t>
      </w:r>
      <w:r>
        <w:rPr/>
        <w:t>SEM,</w:t>
      </w:r>
      <w:r>
        <w:rPr>
          <w:spacing w:val="1"/>
        </w:rPr>
        <w:t> </w:t>
      </w:r>
      <w:r>
        <w:rPr/>
        <w:t>n=6</w:t>
      </w:r>
      <w:r>
        <w:rPr>
          <w:spacing w:val="1"/>
        </w:rPr>
        <w:t> </w:t>
      </w:r>
      <w:r>
        <w:rPr/>
        <w:t>per</w:t>
      </w:r>
      <w:r>
        <w:rPr>
          <w:spacing w:val="1"/>
        </w:rPr>
        <w:t> </w:t>
      </w:r>
      <w:r>
        <w:rPr/>
        <w:t>group,</w:t>
      </w:r>
      <w:r>
        <w:rPr>
          <w:spacing w:val="1"/>
        </w:rPr>
        <w:t> </w:t>
      </w:r>
      <w:r>
        <w:rPr/>
        <w:t>DM=</w:t>
      </w:r>
      <w:r>
        <w:rPr>
          <w:i/>
        </w:rPr>
        <w:t>Diospyros</w:t>
      </w:r>
      <w:r>
        <w:rPr>
          <w:i/>
          <w:spacing w:val="1"/>
        </w:rPr>
        <w:t> </w:t>
      </w:r>
      <w:r>
        <w:rPr>
          <w:i/>
        </w:rPr>
        <w:t>mespiliformis</w:t>
      </w:r>
      <w:r>
        <w:rPr>
          <w:i/>
          <w:spacing w:val="1"/>
        </w:rPr>
        <w:t> </w:t>
      </w:r>
      <w:r>
        <w:rPr/>
        <w:t>VA=valproic acid. No significant difference in the mean onset of seizure between control</w:t>
      </w:r>
      <w:r>
        <w:rPr>
          <w:spacing w:val="1"/>
        </w:rPr>
        <w:t> </w:t>
      </w:r>
      <w:r>
        <w:rPr/>
        <w:t>(normal saline) group and treated groups at P&lt;0.05. Significant difference between control</w:t>
      </w:r>
      <w:r>
        <w:rPr>
          <w:spacing w:val="1"/>
        </w:rPr>
        <w:t> </w:t>
      </w:r>
      <w:r>
        <w:rPr/>
        <w:t>(saline) group</w:t>
      </w:r>
      <w:r>
        <w:rPr>
          <w:spacing w:val="1"/>
        </w:rPr>
        <w:t> </w:t>
      </w:r>
      <w:r>
        <w:rPr/>
        <w:t>and stansdard (VA) at P&lt;0.05</w:t>
      </w:r>
      <w:r>
        <w:rPr>
          <w:spacing w:val="-1"/>
        </w:rPr>
        <w:t> </w:t>
      </w:r>
      <w:r>
        <w:rPr/>
        <w:t>(chi-square</w:t>
      </w:r>
      <w:r>
        <w:rPr>
          <w:spacing w:val="-1"/>
        </w:rPr>
        <w:t> </w:t>
      </w:r>
      <w:r>
        <w:rPr/>
        <w:t>test).</w:t>
      </w:r>
    </w:p>
    <w:p>
      <w:pPr>
        <w:spacing w:after="0"/>
        <w:jc w:val="both"/>
        <w:sectPr>
          <w:pgSz w:w="12240" w:h="15840"/>
          <w:pgMar w:header="0" w:footer="792" w:top="1360" w:bottom="980" w:left="1080" w:right="760"/>
        </w:sectPr>
      </w:pPr>
    </w:p>
    <w:p>
      <w:pPr>
        <w:pStyle w:val="BodyText"/>
        <w:spacing w:before="8"/>
        <w:rPr>
          <w:sz w:val="10"/>
        </w:rPr>
      </w:pPr>
    </w:p>
    <w:p>
      <w:pPr>
        <w:pStyle w:val="Heading2"/>
        <w:numPr>
          <w:ilvl w:val="2"/>
          <w:numId w:val="30"/>
        </w:numPr>
        <w:tabs>
          <w:tab w:pos="1429" w:val="left" w:leader="none"/>
        </w:tabs>
        <w:spacing w:line="240" w:lineRule="auto" w:before="90" w:after="0"/>
        <w:ind w:left="1428" w:right="0" w:hanging="781"/>
        <w:jc w:val="both"/>
      </w:pPr>
      <w:r>
        <w:rPr/>
        <w:t>Maximal</w:t>
      </w:r>
      <w:r>
        <w:rPr>
          <w:spacing w:val="-1"/>
        </w:rPr>
        <w:t> </w:t>
      </w:r>
      <w:r>
        <w:rPr/>
        <w:t>electroshock</w:t>
      </w:r>
      <w:r>
        <w:rPr>
          <w:spacing w:val="-1"/>
        </w:rPr>
        <w:t> </w:t>
      </w:r>
      <w:r>
        <w:rPr/>
        <w:t>(MES) –induced</w:t>
      </w:r>
      <w:r>
        <w:rPr>
          <w:spacing w:val="-1"/>
        </w:rPr>
        <w:t> </w:t>
      </w:r>
      <w:r>
        <w:rPr/>
        <w:t>seizure</w:t>
      </w:r>
      <w:r>
        <w:rPr>
          <w:spacing w:val="-1"/>
        </w:rPr>
        <w:t> </w:t>
      </w:r>
      <w:r>
        <w:rPr/>
        <w:t>in chicks</w:t>
      </w:r>
    </w:p>
    <w:p>
      <w:pPr>
        <w:pStyle w:val="BodyText"/>
        <w:spacing w:before="6"/>
        <w:rPr>
          <w:b/>
          <w:i/>
          <w:sz w:val="23"/>
        </w:rPr>
      </w:pPr>
    </w:p>
    <w:p>
      <w:pPr>
        <w:pStyle w:val="BodyText"/>
        <w:spacing w:line="480" w:lineRule="auto" w:before="1"/>
        <w:ind w:left="648" w:right="674"/>
        <w:jc w:val="both"/>
      </w:pPr>
      <w:r>
        <w:rPr/>
        <w:t>The methanol leaf extract of </w:t>
      </w:r>
      <w:r>
        <w:rPr>
          <w:i/>
        </w:rPr>
        <w:t>Diospros mespiliformis </w:t>
      </w:r>
      <w:r>
        <w:rPr/>
        <w:t>did not confer protection against MES-</w:t>
      </w:r>
      <w:r>
        <w:rPr>
          <w:spacing w:val="1"/>
        </w:rPr>
        <w:t> </w:t>
      </w:r>
      <w:r>
        <w:rPr/>
        <w:t>induced seizure in chicks at all the doses of the extract tested, while phenytoin (20 mg/kg)</w:t>
      </w:r>
      <w:r>
        <w:rPr>
          <w:spacing w:val="1"/>
        </w:rPr>
        <w:t> </w:t>
      </w:r>
      <w:r>
        <w:rPr/>
        <w:t>demonstrated 90% protection against seizure. No mortality was recorded in all the groups and</w:t>
      </w:r>
      <w:r>
        <w:rPr>
          <w:spacing w:val="1"/>
        </w:rPr>
        <w:t> </w:t>
      </w:r>
      <w:r>
        <w:rPr/>
        <w:t>there was no statistically significant difference observed in the mean recovery time from</w:t>
      </w:r>
      <w:r>
        <w:rPr>
          <w:spacing w:val="1"/>
        </w:rPr>
        <w:t> </w:t>
      </w:r>
      <w:r>
        <w:rPr/>
        <w:t>seizure</w:t>
      </w:r>
      <w:r>
        <w:rPr>
          <w:spacing w:val="-2"/>
        </w:rPr>
        <w:t> </w:t>
      </w:r>
      <w:r>
        <w:rPr/>
        <w:t>between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control</w:t>
      </w:r>
      <w:r>
        <w:rPr>
          <w:spacing w:val="-1"/>
        </w:rPr>
        <w:t> </w:t>
      </w:r>
      <w:r>
        <w:rPr/>
        <w:t>(normal</w:t>
      </w:r>
      <w:r>
        <w:rPr>
          <w:spacing w:val="-1"/>
        </w:rPr>
        <w:t> </w:t>
      </w:r>
      <w:r>
        <w:rPr/>
        <w:t>saline)</w:t>
      </w:r>
      <w:r>
        <w:rPr>
          <w:spacing w:val="1"/>
        </w:rPr>
        <w:t> </w:t>
      </w:r>
      <w:r>
        <w:rPr/>
        <w:t>group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treated</w:t>
      </w:r>
      <w:r>
        <w:rPr>
          <w:spacing w:val="1"/>
        </w:rPr>
        <w:t> </w:t>
      </w:r>
      <w:r>
        <w:rPr/>
        <w:t>groups</w:t>
      </w:r>
      <w:r>
        <w:rPr>
          <w:spacing w:val="-1"/>
        </w:rPr>
        <w:t> </w:t>
      </w:r>
      <w:r>
        <w:rPr/>
        <w:t>at</w:t>
      </w:r>
      <w:r>
        <w:rPr>
          <w:spacing w:val="-1"/>
        </w:rPr>
        <w:t> </w:t>
      </w:r>
      <w:r>
        <w:rPr/>
        <w:t>P&lt;0.05 (Table</w:t>
      </w:r>
      <w:r>
        <w:rPr>
          <w:spacing w:val="-1"/>
        </w:rPr>
        <w:t> </w:t>
      </w:r>
      <w:r>
        <w:rPr/>
        <w:t>4.4).</w:t>
      </w:r>
    </w:p>
    <w:p>
      <w:pPr>
        <w:spacing w:after="0" w:line="480" w:lineRule="auto"/>
        <w:jc w:val="both"/>
        <w:sectPr>
          <w:pgSz w:w="12240" w:h="15840"/>
          <w:pgMar w:header="0" w:footer="792" w:top="1500" w:bottom="980" w:left="108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</w:p>
    <w:p>
      <w:pPr>
        <w:pStyle w:val="Heading1"/>
        <w:spacing w:before="90"/>
        <w:ind w:left="1908" w:right="674" w:hanging="1260"/>
        <w:jc w:val="both"/>
      </w:pPr>
      <w:r>
        <w:rPr/>
        <w:t>Table</w:t>
      </w:r>
      <w:r>
        <w:rPr>
          <w:spacing w:val="1"/>
        </w:rPr>
        <w:t> </w:t>
      </w:r>
      <w:r>
        <w:rPr/>
        <w:t>4.4: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Methanol</w:t>
      </w:r>
      <w:r>
        <w:rPr>
          <w:spacing w:val="1"/>
        </w:rPr>
        <w:t> </w:t>
      </w:r>
      <w:r>
        <w:rPr/>
        <w:t>Leaf</w:t>
      </w:r>
      <w:r>
        <w:rPr>
          <w:spacing w:val="1"/>
        </w:rPr>
        <w:t> </w:t>
      </w:r>
      <w:r>
        <w:rPr/>
        <w:t>Extract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>
          <w:i/>
        </w:rPr>
        <w:t>Diospyros</w:t>
      </w:r>
      <w:r>
        <w:rPr>
          <w:i/>
          <w:spacing w:val="1"/>
        </w:rPr>
        <w:t> </w:t>
      </w:r>
      <w:r>
        <w:rPr>
          <w:i/>
        </w:rPr>
        <w:t>Mespiliformis</w:t>
      </w:r>
      <w:r>
        <w:rPr>
          <w:i/>
          <w:spacing w:val="1"/>
        </w:rPr>
        <w:t> </w:t>
      </w:r>
      <w:r>
        <w:rPr/>
        <w:t>(DM)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Phenytoin</w:t>
      </w:r>
      <w:r>
        <w:rPr>
          <w:spacing w:val="1"/>
        </w:rPr>
        <w:t> </w:t>
      </w:r>
      <w:r>
        <w:rPr/>
        <w:t>(PHT)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maximal</w:t>
      </w:r>
      <w:r>
        <w:rPr>
          <w:spacing w:val="1"/>
        </w:rPr>
        <w:t> </w:t>
      </w:r>
      <w:r>
        <w:rPr/>
        <w:t>electroshock</w:t>
      </w:r>
      <w:r>
        <w:rPr>
          <w:spacing w:val="1"/>
        </w:rPr>
        <w:t> </w:t>
      </w:r>
      <w:r>
        <w:rPr/>
        <w:t>(MES)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induced</w:t>
      </w:r>
      <w:r>
        <w:rPr>
          <w:spacing w:val="1"/>
        </w:rPr>
        <w:t> </w:t>
      </w:r>
      <w:r>
        <w:rPr/>
        <w:t>seizure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chicks</w:t>
      </w:r>
    </w:p>
    <w:p>
      <w:pPr>
        <w:pStyle w:val="BodyText"/>
        <w:spacing w:before="3"/>
        <w:rPr>
          <w:b/>
        </w:rPr>
      </w:pPr>
    </w:p>
    <w:tbl>
      <w:tblPr>
        <w:tblW w:w="0" w:type="auto"/>
        <w:jc w:val="left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28"/>
        <w:gridCol w:w="1862"/>
        <w:gridCol w:w="1489"/>
        <w:gridCol w:w="2240"/>
        <w:gridCol w:w="1370"/>
      </w:tblGrid>
      <w:tr>
        <w:trPr>
          <w:trHeight w:val="827" w:hRule="atLeast"/>
        </w:trPr>
        <w:tc>
          <w:tcPr>
            <w:tcW w:w="222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Treatment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(mg/kg)</w:t>
            </w:r>
          </w:p>
        </w:tc>
        <w:tc>
          <w:tcPr>
            <w:tcW w:w="186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6" w:lineRule="exact"/>
              <w:ind w:left="162" w:right="23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Mean Time of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Recoveryfrom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seizures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(min)</w:t>
            </w:r>
          </w:p>
        </w:tc>
        <w:tc>
          <w:tcPr>
            <w:tcW w:w="148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232" w:right="170" w:firstLine="113"/>
              <w:rPr>
                <w:b/>
                <w:sz w:val="24"/>
              </w:rPr>
            </w:pPr>
            <w:r>
              <w:rPr>
                <w:b/>
                <w:sz w:val="24"/>
              </w:rPr>
              <w:t>Quantal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Protection</w:t>
            </w:r>
          </w:p>
        </w:tc>
        <w:tc>
          <w:tcPr>
            <w:tcW w:w="224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532" w:right="169" w:hanging="341"/>
              <w:rPr>
                <w:b/>
                <w:sz w:val="24"/>
              </w:rPr>
            </w:pPr>
            <w:r>
              <w:rPr>
                <w:b/>
                <w:sz w:val="24"/>
              </w:rPr>
              <w:t>Protection against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seizure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(%)</w:t>
            </w:r>
          </w:p>
        </w:tc>
        <w:tc>
          <w:tcPr>
            <w:tcW w:w="137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244" w:right="175" w:hanging="56"/>
              <w:rPr>
                <w:b/>
                <w:sz w:val="24"/>
              </w:rPr>
            </w:pPr>
            <w:r>
              <w:rPr>
                <w:b/>
                <w:sz w:val="24"/>
              </w:rPr>
              <w:t>Mortality rate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(%)</w:t>
            </w:r>
          </w:p>
        </w:tc>
      </w:tr>
      <w:tr>
        <w:trPr>
          <w:trHeight w:val="343" w:hRule="atLeast"/>
        </w:trPr>
        <w:tc>
          <w:tcPr>
            <w:tcW w:w="222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15"/>
              <w:rPr>
                <w:sz w:val="24"/>
              </w:rPr>
            </w:pPr>
            <w:r>
              <w:rPr>
                <w:sz w:val="24"/>
              </w:rPr>
              <w:t>N/saline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(10ml/kg)</w:t>
            </w:r>
          </w:p>
        </w:tc>
        <w:tc>
          <w:tcPr>
            <w:tcW w:w="186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62"/>
              <w:rPr>
                <w:sz w:val="24"/>
              </w:rPr>
            </w:pPr>
            <w:r>
              <w:rPr>
                <w:sz w:val="24"/>
              </w:rPr>
              <w:t>14.80</w:t>
            </w:r>
            <w:r>
              <w:rPr>
                <w:sz w:val="24"/>
                <w:u w:val="single"/>
              </w:rPr>
              <w:t>+</w:t>
            </w:r>
            <w:r>
              <w:rPr>
                <w:sz w:val="24"/>
              </w:rPr>
              <w:t>5.09</w:t>
            </w:r>
          </w:p>
        </w:tc>
        <w:tc>
          <w:tcPr>
            <w:tcW w:w="148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532" w:right="490"/>
              <w:jc w:val="center"/>
              <w:rPr>
                <w:sz w:val="24"/>
              </w:rPr>
            </w:pPr>
            <w:r>
              <w:rPr>
                <w:sz w:val="24"/>
              </w:rPr>
              <w:t>0/10</w:t>
            </w:r>
          </w:p>
        </w:tc>
        <w:tc>
          <w:tcPr>
            <w:tcW w:w="224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911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37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472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</w:tr>
      <w:tr>
        <w:trPr>
          <w:trHeight w:val="414" w:hRule="atLeast"/>
        </w:trPr>
        <w:tc>
          <w:tcPr>
            <w:tcW w:w="2228" w:type="dxa"/>
          </w:tcPr>
          <w:p>
            <w:pPr>
              <w:pStyle w:val="TableParagraph"/>
              <w:spacing w:before="65"/>
              <w:ind w:left="115"/>
              <w:rPr>
                <w:sz w:val="24"/>
              </w:rPr>
            </w:pPr>
            <w:r>
              <w:rPr>
                <w:sz w:val="24"/>
              </w:rPr>
              <w:t>DM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250</w:t>
            </w:r>
          </w:p>
        </w:tc>
        <w:tc>
          <w:tcPr>
            <w:tcW w:w="1862" w:type="dxa"/>
          </w:tcPr>
          <w:p>
            <w:pPr>
              <w:pStyle w:val="TableParagraph"/>
              <w:spacing w:before="65"/>
              <w:ind w:left="162"/>
              <w:rPr>
                <w:sz w:val="24"/>
              </w:rPr>
            </w:pPr>
            <w:r>
              <w:rPr>
                <w:sz w:val="24"/>
              </w:rPr>
              <w:t>11.90</w:t>
            </w:r>
            <w:r>
              <w:rPr>
                <w:sz w:val="24"/>
                <w:u w:val="single"/>
              </w:rPr>
              <w:t>+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4.88</w:t>
            </w:r>
          </w:p>
        </w:tc>
        <w:tc>
          <w:tcPr>
            <w:tcW w:w="1489" w:type="dxa"/>
          </w:tcPr>
          <w:p>
            <w:pPr>
              <w:pStyle w:val="TableParagraph"/>
              <w:spacing w:before="63"/>
              <w:ind w:left="532" w:right="490"/>
              <w:jc w:val="center"/>
              <w:rPr>
                <w:sz w:val="24"/>
              </w:rPr>
            </w:pPr>
            <w:r>
              <w:rPr>
                <w:sz w:val="24"/>
              </w:rPr>
              <w:t>0/10</w:t>
            </w:r>
          </w:p>
        </w:tc>
        <w:tc>
          <w:tcPr>
            <w:tcW w:w="2240" w:type="dxa"/>
          </w:tcPr>
          <w:p>
            <w:pPr>
              <w:pStyle w:val="TableParagraph"/>
              <w:spacing w:before="63"/>
              <w:ind w:left="911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370" w:type="dxa"/>
          </w:tcPr>
          <w:p>
            <w:pPr>
              <w:pStyle w:val="TableParagraph"/>
              <w:spacing w:before="63"/>
              <w:ind w:left="472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</w:tr>
      <w:tr>
        <w:trPr>
          <w:trHeight w:val="414" w:hRule="atLeast"/>
        </w:trPr>
        <w:tc>
          <w:tcPr>
            <w:tcW w:w="2228" w:type="dxa"/>
          </w:tcPr>
          <w:p>
            <w:pPr>
              <w:pStyle w:val="TableParagraph"/>
              <w:spacing w:before="65"/>
              <w:ind w:left="115"/>
              <w:rPr>
                <w:sz w:val="24"/>
              </w:rPr>
            </w:pPr>
            <w:r>
              <w:rPr>
                <w:sz w:val="24"/>
              </w:rPr>
              <w:t>DM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500</w:t>
            </w:r>
          </w:p>
        </w:tc>
        <w:tc>
          <w:tcPr>
            <w:tcW w:w="1862" w:type="dxa"/>
          </w:tcPr>
          <w:p>
            <w:pPr>
              <w:pStyle w:val="TableParagraph"/>
              <w:spacing w:before="65"/>
              <w:ind w:left="162"/>
              <w:rPr>
                <w:sz w:val="24"/>
              </w:rPr>
            </w:pPr>
            <w:r>
              <w:rPr>
                <w:sz w:val="24"/>
              </w:rPr>
              <w:t>9.10 </w:t>
            </w:r>
            <w:r>
              <w:rPr>
                <w:sz w:val="24"/>
                <w:u w:val="single"/>
              </w:rPr>
              <w:t>+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1.54</w:t>
            </w:r>
          </w:p>
        </w:tc>
        <w:tc>
          <w:tcPr>
            <w:tcW w:w="1489" w:type="dxa"/>
          </w:tcPr>
          <w:p>
            <w:pPr>
              <w:pStyle w:val="TableParagraph"/>
              <w:spacing w:before="62"/>
              <w:ind w:left="532" w:right="490"/>
              <w:jc w:val="center"/>
              <w:rPr>
                <w:sz w:val="24"/>
              </w:rPr>
            </w:pPr>
            <w:r>
              <w:rPr>
                <w:sz w:val="24"/>
              </w:rPr>
              <w:t>0/10</w:t>
            </w:r>
          </w:p>
        </w:tc>
        <w:tc>
          <w:tcPr>
            <w:tcW w:w="2240" w:type="dxa"/>
          </w:tcPr>
          <w:p>
            <w:pPr>
              <w:pStyle w:val="TableParagraph"/>
              <w:spacing w:before="62"/>
              <w:ind w:left="911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370" w:type="dxa"/>
          </w:tcPr>
          <w:p>
            <w:pPr>
              <w:pStyle w:val="TableParagraph"/>
              <w:spacing w:before="62"/>
              <w:ind w:left="472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</w:tr>
      <w:tr>
        <w:trPr>
          <w:trHeight w:val="413" w:hRule="atLeast"/>
        </w:trPr>
        <w:tc>
          <w:tcPr>
            <w:tcW w:w="2228" w:type="dxa"/>
          </w:tcPr>
          <w:p>
            <w:pPr>
              <w:pStyle w:val="TableParagraph"/>
              <w:spacing w:before="65"/>
              <w:ind w:left="115"/>
              <w:rPr>
                <w:sz w:val="24"/>
              </w:rPr>
            </w:pPr>
            <w:r>
              <w:rPr>
                <w:sz w:val="24"/>
              </w:rPr>
              <w:t>DM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1000</w:t>
            </w:r>
          </w:p>
        </w:tc>
        <w:tc>
          <w:tcPr>
            <w:tcW w:w="1862" w:type="dxa"/>
          </w:tcPr>
          <w:p>
            <w:pPr>
              <w:pStyle w:val="TableParagraph"/>
              <w:spacing w:before="65"/>
              <w:ind w:left="162"/>
              <w:rPr>
                <w:sz w:val="24"/>
              </w:rPr>
            </w:pPr>
            <w:r>
              <w:rPr>
                <w:sz w:val="24"/>
              </w:rPr>
              <w:t>11.90 </w:t>
            </w:r>
            <w:r>
              <w:rPr>
                <w:sz w:val="24"/>
                <w:u w:val="single"/>
              </w:rPr>
              <w:t>+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3.30</w:t>
            </w:r>
          </w:p>
        </w:tc>
        <w:tc>
          <w:tcPr>
            <w:tcW w:w="1489" w:type="dxa"/>
          </w:tcPr>
          <w:p>
            <w:pPr>
              <w:pStyle w:val="TableParagraph"/>
              <w:spacing w:before="63"/>
              <w:ind w:left="532" w:right="490"/>
              <w:jc w:val="center"/>
              <w:rPr>
                <w:sz w:val="24"/>
              </w:rPr>
            </w:pPr>
            <w:r>
              <w:rPr>
                <w:sz w:val="24"/>
              </w:rPr>
              <w:t>0/10</w:t>
            </w:r>
          </w:p>
        </w:tc>
        <w:tc>
          <w:tcPr>
            <w:tcW w:w="2240" w:type="dxa"/>
          </w:tcPr>
          <w:p>
            <w:pPr>
              <w:pStyle w:val="TableParagraph"/>
              <w:spacing w:before="63"/>
              <w:ind w:left="911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370" w:type="dxa"/>
          </w:tcPr>
          <w:p>
            <w:pPr>
              <w:pStyle w:val="TableParagraph"/>
              <w:spacing w:before="63"/>
              <w:ind w:left="472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</w:tr>
      <w:tr>
        <w:trPr>
          <w:trHeight w:val="485" w:hRule="atLeast"/>
        </w:trPr>
        <w:tc>
          <w:tcPr>
            <w:tcW w:w="222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4"/>
              <w:ind w:left="115"/>
              <w:rPr>
                <w:sz w:val="24"/>
              </w:rPr>
            </w:pPr>
            <w:r>
              <w:rPr>
                <w:sz w:val="24"/>
              </w:rPr>
              <w:t>PHT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20</w:t>
            </w:r>
          </w:p>
        </w:tc>
        <w:tc>
          <w:tcPr>
            <w:tcW w:w="186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4"/>
              <w:ind w:left="162"/>
              <w:rPr>
                <w:sz w:val="24"/>
              </w:rPr>
            </w:pPr>
            <w:r>
              <w:rPr>
                <w:sz w:val="24"/>
              </w:rPr>
              <w:t>17.0</w:t>
            </w:r>
          </w:p>
        </w:tc>
        <w:tc>
          <w:tcPr>
            <w:tcW w:w="148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2"/>
              <w:ind w:left="532" w:right="490"/>
              <w:jc w:val="center"/>
              <w:rPr>
                <w:sz w:val="24"/>
              </w:rPr>
            </w:pPr>
            <w:r>
              <w:rPr>
                <w:sz w:val="24"/>
              </w:rPr>
              <w:t>9/10</w:t>
            </w:r>
          </w:p>
        </w:tc>
        <w:tc>
          <w:tcPr>
            <w:tcW w:w="224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2"/>
              <w:ind w:left="851"/>
              <w:rPr>
                <w:sz w:val="24"/>
              </w:rPr>
            </w:pPr>
            <w:r>
              <w:rPr>
                <w:sz w:val="24"/>
              </w:rPr>
              <w:t>90.00</w:t>
            </w:r>
          </w:p>
        </w:tc>
        <w:tc>
          <w:tcPr>
            <w:tcW w:w="137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2"/>
              <w:ind w:left="472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</w:tr>
    </w:tbl>
    <w:p>
      <w:pPr>
        <w:pStyle w:val="BodyText"/>
        <w:ind w:left="648" w:right="677"/>
        <w:jc w:val="both"/>
      </w:pPr>
      <w:r>
        <w:rPr/>
        <w:t>Values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presented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mean</w:t>
      </w:r>
      <w:r>
        <w:rPr>
          <w:spacing w:val="1"/>
        </w:rPr>
        <w:t> </w:t>
      </w:r>
      <w:r>
        <w:rPr>
          <w:u w:val="single"/>
        </w:rPr>
        <w:t>+</w:t>
      </w:r>
      <w:r>
        <w:rPr>
          <w:spacing w:val="1"/>
        </w:rPr>
        <w:t> </w:t>
      </w:r>
      <w:r>
        <w:rPr/>
        <w:t>SEM,</w:t>
      </w:r>
      <w:r>
        <w:rPr>
          <w:spacing w:val="1"/>
        </w:rPr>
        <w:t> </w:t>
      </w:r>
      <w:r>
        <w:rPr/>
        <w:t>n=10</w:t>
      </w:r>
      <w:r>
        <w:rPr>
          <w:spacing w:val="1"/>
        </w:rPr>
        <w:t> </w:t>
      </w:r>
      <w:r>
        <w:rPr/>
        <w:t>per</w:t>
      </w:r>
      <w:r>
        <w:rPr>
          <w:spacing w:val="1"/>
        </w:rPr>
        <w:t> </w:t>
      </w:r>
      <w:r>
        <w:rPr/>
        <w:t>group</w:t>
      </w:r>
      <w:r>
        <w:rPr>
          <w:spacing w:val="1"/>
        </w:rPr>
        <w:t> </w:t>
      </w:r>
      <w:r>
        <w:rPr/>
        <w:t>DM=</w:t>
      </w:r>
      <w:r>
        <w:rPr>
          <w:spacing w:val="1"/>
        </w:rPr>
        <w:t> </w:t>
      </w:r>
      <w:r>
        <w:rPr>
          <w:i/>
        </w:rPr>
        <w:t>Diospyros</w:t>
      </w:r>
      <w:r>
        <w:rPr>
          <w:i/>
          <w:spacing w:val="1"/>
        </w:rPr>
        <w:t> </w:t>
      </w:r>
      <w:r>
        <w:rPr>
          <w:i/>
        </w:rPr>
        <w:t>Mespiliformis</w:t>
      </w:r>
      <w:r>
        <w:rPr>
          <w:i/>
          <w:spacing w:val="1"/>
        </w:rPr>
        <w:t> </w:t>
      </w:r>
      <w:r>
        <w:rPr/>
        <w:t>PHT=Phenytoin.</w:t>
      </w:r>
      <w:r>
        <w:rPr>
          <w:spacing w:val="1"/>
        </w:rPr>
        <w:t> </w:t>
      </w:r>
      <w:r>
        <w:rPr/>
        <w:t>No statistically significant difference between control (normal saline) group</w:t>
      </w:r>
      <w:r>
        <w:rPr>
          <w:spacing w:val="-57"/>
        </w:rPr>
        <w:t> </w:t>
      </w:r>
      <w:r>
        <w:rPr/>
        <w:t>and the treated groups at doses of 250, 500 and 1000mg/kg at P&lt;0.05, significant difference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control (saline) group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the standard</w:t>
      </w:r>
      <w:r>
        <w:rPr>
          <w:spacing w:val="-1"/>
        </w:rPr>
        <w:t> </w:t>
      </w:r>
      <w:r>
        <w:rPr/>
        <w:t>drug</w:t>
      </w:r>
      <w:r>
        <w:rPr>
          <w:spacing w:val="-3"/>
        </w:rPr>
        <w:t> </w:t>
      </w:r>
      <w:r>
        <w:rPr/>
        <w:t>(PHT) at</w:t>
      </w:r>
      <w:r>
        <w:rPr>
          <w:spacing w:val="-1"/>
        </w:rPr>
        <w:t> </w:t>
      </w:r>
      <w:r>
        <w:rPr/>
        <w:t>P&lt;0.05 (chi-square</w:t>
      </w:r>
      <w:r>
        <w:rPr>
          <w:spacing w:val="-2"/>
        </w:rPr>
        <w:t> </w:t>
      </w:r>
      <w:r>
        <w:rPr/>
        <w:t>test).</w:t>
      </w:r>
    </w:p>
    <w:p>
      <w:pPr>
        <w:spacing w:after="0"/>
        <w:jc w:val="both"/>
        <w:sectPr>
          <w:pgSz w:w="12240" w:h="15840"/>
          <w:pgMar w:header="0" w:footer="792" w:top="1500" w:bottom="980" w:left="1080" w:right="760"/>
        </w:sectPr>
      </w:pPr>
    </w:p>
    <w:p>
      <w:pPr>
        <w:pStyle w:val="Heading1"/>
        <w:numPr>
          <w:ilvl w:val="2"/>
          <w:numId w:val="31"/>
        </w:numPr>
        <w:tabs>
          <w:tab w:pos="1249" w:val="left" w:leader="none"/>
        </w:tabs>
        <w:spacing w:line="240" w:lineRule="auto" w:before="76" w:after="0"/>
        <w:ind w:left="1248" w:right="0" w:hanging="601"/>
        <w:jc w:val="both"/>
      </w:pPr>
      <w:bookmarkStart w:name="_TOC_250012" w:id="49"/>
      <w:r>
        <w:rPr/>
        <w:t>Strychnine</w:t>
      </w:r>
      <w:r>
        <w:rPr>
          <w:spacing w:val="-4"/>
        </w:rPr>
        <w:t> </w:t>
      </w:r>
      <w:r>
        <w:rPr/>
        <w:t>induced</w:t>
      </w:r>
      <w:r>
        <w:rPr>
          <w:spacing w:val="-2"/>
        </w:rPr>
        <w:t> </w:t>
      </w:r>
      <w:r>
        <w:rPr/>
        <w:t>seizure</w:t>
      </w:r>
      <w:r>
        <w:rPr>
          <w:spacing w:val="-3"/>
        </w:rPr>
        <w:t> </w:t>
      </w:r>
      <w:bookmarkEnd w:id="49"/>
      <w:r>
        <w:rPr/>
        <w:t>in mice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 w:before="1"/>
        <w:ind w:left="648" w:right="679"/>
        <w:jc w:val="both"/>
      </w:pPr>
      <w:r>
        <w:rPr/>
        <w:t>The methanol leaf extract of </w:t>
      </w:r>
      <w:r>
        <w:rPr>
          <w:i/>
        </w:rPr>
        <w:t>Diospyros mespiliformis </w:t>
      </w:r>
      <w:r>
        <w:rPr/>
        <w:t>demonstrated statistically significant</w:t>
      </w:r>
      <w:r>
        <w:rPr>
          <w:spacing w:val="1"/>
        </w:rPr>
        <w:t> </w:t>
      </w:r>
      <w:r>
        <w:rPr/>
        <w:t>difference in the latency of death by prolonging the onset of seizure at the tested doses of 50,</w:t>
      </w:r>
      <w:r>
        <w:rPr>
          <w:spacing w:val="1"/>
        </w:rPr>
        <w:t> </w:t>
      </w:r>
      <w:r>
        <w:rPr/>
        <w:t>100 and 200 mg/kg at P&lt;0.05, However, the extract fails to protect the animals against seizure</w:t>
      </w:r>
      <w:r>
        <w:rPr>
          <w:spacing w:val="-57"/>
        </w:rPr>
        <w:t> </w:t>
      </w:r>
      <w:r>
        <w:rPr/>
        <w:t>and lethality induced by strychnine at all the tested doses, meanwhile, the standard agent</w:t>
      </w:r>
      <w:r>
        <w:rPr>
          <w:spacing w:val="1"/>
        </w:rPr>
        <w:t> </w:t>
      </w:r>
      <w:r>
        <w:rPr/>
        <w:t>employed</w:t>
      </w:r>
      <w:r>
        <w:rPr>
          <w:spacing w:val="1"/>
        </w:rPr>
        <w:t> </w:t>
      </w:r>
      <w:r>
        <w:rPr/>
        <w:t>as positive</w:t>
      </w:r>
      <w:r>
        <w:rPr>
          <w:spacing w:val="-1"/>
        </w:rPr>
        <w:t> </w:t>
      </w:r>
      <w:r>
        <w:rPr/>
        <w:t>control, phenobarbitone</w:t>
      </w:r>
      <w:r>
        <w:rPr>
          <w:spacing w:val="-1"/>
        </w:rPr>
        <w:t> </w:t>
      </w:r>
      <w:r>
        <w:rPr/>
        <w:t>offers</w:t>
      </w:r>
      <w:r>
        <w:rPr>
          <w:spacing w:val="-1"/>
        </w:rPr>
        <w:t> </w:t>
      </w:r>
      <w:r>
        <w:rPr/>
        <w:t>83.33%</w:t>
      </w:r>
      <w:r>
        <w:rPr>
          <w:spacing w:val="-2"/>
        </w:rPr>
        <w:t> </w:t>
      </w:r>
      <w:r>
        <w:rPr/>
        <w:t>protection (Table</w:t>
      </w:r>
      <w:r>
        <w:rPr>
          <w:spacing w:val="1"/>
        </w:rPr>
        <w:t> </w:t>
      </w:r>
      <w:r>
        <w:rPr/>
        <w:t>4.5).</w:t>
      </w:r>
    </w:p>
    <w:p>
      <w:pPr>
        <w:spacing w:after="0" w:line="480" w:lineRule="auto"/>
        <w:jc w:val="both"/>
        <w:sectPr>
          <w:pgSz w:w="12240" w:h="15840"/>
          <w:pgMar w:header="0" w:footer="792" w:top="1360" w:bottom="980" w:left="1080" w:right="760"/>
        </w:sectPr>
      </w:pPr>
    </w:p>
    <w:p>
      <w:pPr>
        <w:pStyle w:val="Heading1"/>
        <w:tabs>
          <w:tab w:pos="2088" w:val="left" w:leader="none"/>
        </w:tabs>
        <w:spacing w:before="76"/>
        <w:ind w:left="2088" w:right="1423" w:hanging="1440"/>
      </w:pPr>
      <w:r>
        <w:rPr/>
        <w:t>Table</w:t>
      </w:r>
      <w:r>
        <w:rPr>
          <w:spacing w:val="-2"/>
        </w:rPr>
        <w:t> </w:t>
      </w:r>
      <w:r>
        <w:rPr/>
        <w:t>4.5:</w:t>
        <w:tab/>
        <w:t>Effect of methanol leaf extract of </w:t>
      </w:r>
      <w:r>
        <w:rPr>
          <w:i/>
        </w:rPr>
        <w:t>Diospyros mespiliformis </w:t>
      </w:r>
      <w:r>
        <w:rPr/>
        <w:t>(DM) and</w:t>
      </w:r>
      <w:r>
        <w:rPr>
          <w:spacing w:val="-57"/>
        </w:rPr>
        <w:t> </w:t>
      </w:r>
      <w:r>
        <w:rPr/>
        <w:t>phenobarbitone</w:t>
      </w:r>
      <w:r>
        <w:rPr>
          <w:spacing w:val="-2"/>
        </w:rPr>
        <w:t> </w:t>
      </w:r>
      <w:r>
        <w:rPr/>
        <w:t>(PHB)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strychnine</w:t>
      </w:r>
      <w:r>
        <w:rPr>
          <w:spacing w:val="-2"/>
        </w:rPr>
        <w:t> </w:t>
      </w:r>
      <w:r>
        <w:rPr/>
        <w:t>induced</w:t>
      </w:r>
      <w:r>
        <w:rPr>
          <w:spacing w:val="-1"/>
        </w:rPr>
        <w:t> </w:t>
      </w:r>
      <w:r>
        <w:rPr/>
        <w:t>seizure</w:t>
      </w:r>
      <w:r>
        <w:rPr>
          <w:spacing w:val="-2"/>
        </w:rPr>
        <w:t> </w:t>
      </w:r>
      <w:r>
        <w:rPr/>
        <w:t>in</w:t>
      </w:r>
      <w:r>
        <w:rPr>
          <w:spacing w:val="2"/>
        </w:rPr>
        <w:t> </w:t>
      </w:r>
      <w:r>
        <w:rPr/>
        <w:t>mice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28"/>
        </w:rPr>
      </w:pPr>
    </w:p>
    <w:tbl>
      <w:tblPr>
        <w:tblW w:w="0" w:type="auto"/>
        <w:jc w:val="left"/>
        <w:tblInd w:w="5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28"/>
        <w:gridCol w:w="1848"/>
        <w:gridCol w:w="1503"/>
        <w:gridCol w:w="2240"/>
        <w:gridCol w:w="1370"/>
      </w:tblGrid>
      <w:tr>
        <w:trPr>
          <w:trHeight w:val="551" w:hRule="atLeast"/>
        </w:trPr>
        <w:tc>
          <w:tcPr>
            <w:tcW w:w="222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Treatment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(mg/kg)</w:t>
            </w:r>
          </w:p>
        </w:tc>
        <w:tc>
          <w:tcPr>
            <w:tcW w:w="184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6" w:lineRule="exact"/>
              <w:ind w:left="162" w:right="226"/>
              <w:rPr>
                <w:b/>
                <w:sz w:val="24"/>
              </w:rPr>
            </w:pPr>
            <w:r>
              <w:rPr>
                <w:b/>
                <w:sz w:val="24"/>
              </w:rPr>
              <w:t>Mean onset of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seizures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(min)</w:t>
            </w:r>
          </w:p>
        </w:tc>
        <w:tc>
          <w:tcPr>
            <w:tcW w:w="150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6" w:lineRule="exact"/>
              <w:ind w:left="247" w:right="179" w:firstLine="112"/>
              <w:rPr>
                <w:b/>
                <w:sz w:val="24"/>
              </w:rPr>
            </w:pPr>
            <w:r>
              <w:rPr>
                <w:b/>
                <w:sz w:val="24"/>
              </w:rPr>
              <w:t>Quantal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pacing w:val="-1"/>
                <w:sz w:val="24"/>
              </w:rPr>
              <w:t>Protection</w:t>
            </w:r>
          </w:p>
        </w:tc>
        <w:tc>
          <w:tcPr>
            <w:tcW w:w="224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6" w:lineRule="exact"/>
              <w:ind w:left="532" w:right="169" w:hanging="341"/>
              <w:rPr>
                <w:b/>
                <w:sz w:val="24"/>
              </w:rPr>
            </w:pPr>
            <w:r>
              <w:rPr>
                <w:b/>
                <w:sz w:val="24"/>
              </w:rPr>
              <w:t>Protection against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seizure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(%)</w:t>
            </w:r>
          </w:p>
        </w:tc>
        <w:tc>
          <w:tcPr>
            <w:tcW w:w="137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6" w:lineRule="exact"/>
              <w:ind w:left="244" w:right="175" w:hanging="56"/>
              <w:rPr>
                <w:b/>
                <w:sz w:val="24"/>
              </w:rPr>
            </w:pPr>
            <w:r>
              <w:rPr>
                <w:b/>
                <w:sz w:val="24"/>
              </w:rPr>
              <w:t>Mortality rate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(%)</w:t>
            </w:r>
          </w:p>
        </w:tc>
      </w:tr>
      <w:tr>
        <w:trPr>
          <w:trHeight w:val="343" w:hRule="atLeast"/>
        </w:trPr>
        <w:tc>
          <w:tcPr>
            <w:tcW w:w="222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15"/>
              <w:rPr>
                <w:sz w:val="24"/>
              </w:rPr>
            </w:pPr>
            <w:r>
              <w:rPr>
                <w:sz w:val="24"/>
              </w:rPr>
              <w:t>N/saline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(10ml/kg)</w:t>
            </w:r>
          </w:p>
        </w:tc>
        <w:tc>
          <w:tcPr>
            <w:tcW w:w="184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62"/>
              <w:rPr>
                <w:sz w:val="24"/>
              </w:rPr>
            </w:pPr>
            <w:r>
              <w:rPr>
                <w:sz w:val="24"/>
              </w:rPr>
              <w:t>2.67</w:t>
            </w:r>
            <w:r>
              <w:rPr>
                <w:sz w:val="24"/>
                <w:u w:val="single"/>
              </w:rPr>
              <w:t>+</w:t>
            </w:r>
            <w:r>
              <w:rPr>
                <w:sz w:val="24"/>
              </w:rPr>
              <w:t>0.33</w:t>
            </w:r>
          </w:p>
        </w:tc>
        <w:tc>
          <w:tcPr>
            <w:tcW w:w="150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right="567"/>
              <w:jc w:val="right"/>
              <w:rPr>
                <w:sz w:val="24"/>
              </w:rPr>
            </w:pPr>
            <w:r>
              <w:rPr>
                <w:sz w:val="24"/>
              </w:rPr>
              <w:t>0/6</w:t>
            </w:r>
          </w:p>
        </w:tc>
        <w:tc>
          <w:tcPr>
            <w:tcW w:w="224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772" w:right="768"/>
              <w:jc w:val="center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37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333" w:right="336"/>
              <w:jc w:val="center"/>
              <w:rPr>
                <w:sz w:val="24"/>
              </w:rPr>
            </w:pPr>
            <w:r>
              <w:rPr>
                <w:sz w:val="24"/>
              </w:rPr>
              <w:t>100.00</w:t>
            </w:r>
          </w:p>
        </w:tc>
      </w:tr>
      <w:tr>
        <w:trPr>
          <w:trHeight w:val="414" w:hRule="atLeast"/>
        </w:trPr>
        <w:tc>
          <w:tcPr>
            <w:tcW w:w="2228" w:type="dxa"/>
          </w:tcPr>
          <w:p>
            <w:pPr>
              <w:pStyle w:val="TableParagraph"/>
              <w:spacing w:before="65"/>
              <w:ind w:left="115"/>
              <w:rPr>
                <w:sz w:val="24"/>
              </w:rPr>
            </w:pPr>
            <w:r>
              <w:rPr>
                <w:sz w:val="24"/>
              </w:rPr>
              <w:t>DM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50</w:t>
            </w:r>
          </w:p>
        </w:tc>
        <w:tc>
          <w:tcPr>
            <w:tcW w:w="1848" w:type="dxa"/>
          </w:tcPr>
          <w:p>
            <w:pPr>
              <w:pStyle w:val="TableParagraph"/>
              <w:spacing w:before="65"/>
              <w:ind w:left="162"/>
              <w:rPr>
                <w:sz w:val="24"/>
              </w:rPr>
            </w:pPr>
            <w:r>
              <w:rPr>
                <w:sz w:val="24"/>
              </w:rPr>
              <w:t>5.33 </w:t>
            </w:r>
            <w:r>
              <w:rPr>
                <w:sz w:val="24"/>
                <w:u w:val="single"/>
              </w:rPr>
              <w:t>+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0.71</w:t>
            </w:r>
          </w:p>
        </w:tc>
        <w:tc>
          <w:tcPr>
            <w:tcW w:w="1503" w:type="dxa"/>
          </w:tcPr>
          <w:p>
            <w:pPr>
              <w:pStyle w:val="TableParagraph"/>
              <w:spacing w:before="63"/>
              <w:ind w:right="567"/>
              <w:jc w:val="right"/>
              <w:rPr>
                <w:sz w:val="24"/>
              </w:rPr>
            </w:pPr>
            <w:r>
              <w:rPr>
                <w:sz w:val="24"/>
              </w:rPr>
              <w:t>0/6</w:t>
            </w:r>
          </w:p>
        </w:tc>
        <w:tc>
          <w:tcPr>
            <w:tcW w:w="2240" w:type="dxa"/>
          </w:tcPr>
          <w:p>
            <w:pPr>
              <w:pStyle w:val="TableParagraph"/>
              <w:spacing w:before="63"/>
              <w:ind w:left="772" w:right="768"/>
              <w:jc w:val="center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370" w:type="dxa"/>
          </w:tcPr>
          <w:p>
            <w:pPr>
              <w:pStyle w:val="TableParagraph"/>
              <w:spacing w:before="63"/>
              <w:ind w:left="333" w:right="336"/>
              <w:jc w:val="center"/>
              <w:rPr>
                <w:sz w:val="24"/>
              </w:rPr>
            </w:pPr>
            <w:r>
              <w:rPr>
                <w:sz w:val="24"/>
              </w:rPr>
              <w:t>100.00</w:t>
            </w:r>
          </w:p>
        </w:tc>
      </w:tr>
      <w:tr>
        <w:trPr>
          <w:trHeight w:val="414" w:hRule="atLeast"/>
        </w:trPr>
        <w:tc>
          <w:tcPr>
            <w:tcW w:w="2228" w:type="dxa"/>
          </w:tcPr>
          <w:p>
            <w:pPr>
              <w:pStyle w:val="TableParagraph"/>
              <w:spacing w:before="64"/>
              <w:ind w:left="115"/>
              <w:rPr>
                <w:sz w:val="24"/>
              </w:rPr>
            </w:pPr>
            <w:r>
              <w:rPr>
                <w:sz w:val="24"/>
              </w:rPr>
              <w:t>DM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100</w:t>
            </w:r>
          </w:p>
        </w:tc>
        <w:tc>
          <w:tcPr>
            <w:tcW w:w="1848" w:type="dxa"/>
          </w:tcPr>
          <w:p>
            <w:pPr>
              <w:pStyle w:val="TableParagraph"/>
              <w:spacing w:before="64"/>
              <w:ind w:left="162"/>
              <w:rPr>
                <w:sz w:val="24"/>
              </w:rPr>
            </w:pPr>
            <w:r>
              <w:rPr>
                <w:sz w:val="24"/>
              </w:rPr>
              <w:t>6.00 </w:t>
            </w:r>
            <w:r>
              <w:rPr>
                <w:sz w:val="24"/>
                <w:u w:val="single"/>
              </w:rPr>
              <w:t>+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0.37</w:t>
            </w:r>
          </w:p>
        </w:tc>
        <w:tc>
          <w:tcPr>
            <w:tcW w:w="1503" w:type="dxa"/>
          </w:tcPr>
          <w:p>
            <w:pPr>
              <w:pStyle w:val="TableParagraph"/>
              <w:spacing w:before="62"/>
              <w:ind w:right="567"/>
              <w:jc w:val="right"/>
              <w:rPr>
                <w:sz w:val="24"/>
              </w:rPr>
            </w:pPr>
            <w:r>
              <w:rPr>
                <w:sz w:val="24"/>
              </w:rPr>
              <w:t>0/6</w:t>
            </w:r>
          </w:p>
        </w:tc>
        <w:tc>
          <w:tcPr>
            <w:tcW w:w="2240" w:type="dxa"/>
          </w:tcPr>
          <w:p>
            <w:pPr>
              <w:pStyle w:val="TableParagraph"/>
              <w:spacing w:before="62"/>
              <w:ind w:left="772" w:right="768"/>
              <w:jc w:val="center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370" w:type="dxa"/>
          </w:tcPr>
          <w:p>
            <w:pPr>
              <w:pStyle w:val="TableParagraph"/>
              <w:spacing w:before="62"/>
              <w:ind w:left="333" w:right="336"/>
              <w:jc w:val="center"/>
              <w:rPr>
                <w:sz w:val="24"/>
              </w:rPr>
            </w:pPr>
            <w:r>
              <w:rPr>
                <w:sz w:val="24"/>
              </w:rPr>
              <w:t>100.00</w:t>
            </w:r>
          </w:p>
        </w:tc>
      </w:tr>
      <w:tr>
        <w:trPr>
          <w:trHeight w:val="413" w:hRule="atLeast"/>
        </w:trPr>
        <w:tc>
          <w:tcPr>
            <w:tcW w:w="2228" w:type="dxa"/>
          </w:tcPr>
          <w:p>
            <w:pPr>
              <w:pStyle w:val="TableParagraph"/>
              <w:spacing w:before="65"/>
              <w:ind w:left="115"/>
              <w:rPr>
                <w:sz w:val="24"/>
              </w:rPr>
            </w:pPr>
            <w:r>
              <w:rPr>
                <w:sz w:val="24"/>
              </w:rPr>
              <w:t>DM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200</w:t>
            </w:r>
          </w:p>
        </w:tc>
        <w:tc>
          <w:tcPr>
            <w:tcW w:w="1848" w:type="dxa"/>
          </w:tcPr>
          <w:p>
            <w:pPr>
              <w:pStyle w:val="TableParagraph"/>
              <w:spacing w:before="65"/>
              <w:ind w:left="162"/>
              <w:rPr>
                <w:sz w:val="24"/>
              </w:rPr>
            </w:pPr>
            <w:r>
              <w:rPr>
                <w:sz w:val="24"/>
              </w:rPr>
              <w:t>5.50 </w:t>
            </w:r>
            <w:r>
              <w:rPr>
                <w:sz w:val="24"/>
                <w:u w:val="single"/>
              </w:rPr>
              <w:t>+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0.50</w:t>
            </w:r>
          </w:p>
        </w:tc>
        <w:tc>
          <w:tcPr>
            <w:tcW w:w="1503" w:type="dxa"/>
          </w:tcPr>
          <w:p>
            <w:pPr>
              <w:pStyle w:val="TableParagraph"/>
              <w:spacing w:before="63"/>
              <w:ind w:right="567"/>
              <w:jc w:val="right"/>
              <w:rPr>
                <w:sz w:val="24"/>
              </w:rPr>
            </w:pPr>
            <w:r>
              <w:rPr>
                <w:sz w:val="24"/>
              </w:rPr>
              <w:t>0/6</w:t>
            </w:r>
          </w:p>
        </w:tc>
        <w:tc>
          <w:tcPr>
            <w:tcW w:w="2240" w:type="dxa"/>
          </w:tcPr>
          <w:p>
            <w:pPr>
              <w:pStyle w:val="TableParagraph"/>
              <w:spacing w:before="63"/>
              <w:ind w:left="772" w:right="768"/>
              <w:jc w:val="center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370" w:type="dxa"/>
          </w:tcPr>
          <w:p>
            <w:pPr>
              <w:pStyle w:val="TableParagraph"/>
              <w:spacing w:before="63"/>
              <w:ind w:left="333" w:right="336"/>
              <w:jc w:val="center"/>
              <w:rPr>
                <w:sz w:val="24"/>
              </w:rPr>
            </w:pPr>
            <w:r>
              <w:rPr>
                <w:sz w:val="24"/>
              </w:rPr>
              <w:t>100.00</w:t>
            </w:r>
          </w:p>
        </w:tc>
      </w:tr>
      <w:tr>
        <w:trPr>
          <w:trHeight w:val="485" w:hRule="atLeast"/>
        </w:trPr>
        <w:tc>
          <w:tcPr>
            <w:tcW w:w="222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4"/>
              <w:ind w:left="115"/>
              <w:rPr>
                <w:sz w:val="24"/>
              </w:rPr>
            </w:pPr>
            <w:r>
              <w:rPr>
                <w:sz w:val="24"/>
              </w:rPr>
              <w:t>PHB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20</w:t>
            </w:r>
          </w:p>
        </w:tc>
        <w:tc>
          <w:tcPr>
            <w:tcW w:w="184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4"/>
              <w:ind w:left="162"/>
              <w:rPr>
                <w:sz w:val="24"/>
              </w:rPr>
            </w:pPr>
            <w:r>
              <w:rPr>
                <w:sz w:val="24"/>
              </w:rPr>
              <w:t>0.0</w:t>
            </w:r>
          </w:p>
        </w:tc>
        <w:tc>
          <w:tcPr>
            <w:tcW w:w="150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2"/>
              <w:ind w:right="567"/>
              <w:jc w:val="right"/>
              <w:rPr>
                <w:sz w:val="24"/>
              </w:rPr>
            </w:pPr>
            <w:r>
              <w:rPr>
                <w:sz w:val="24"/>
              </w:rPr>
              <w:t>5/6</w:t>
            </w:r>
          </w:p>
        </w:tc>
        <w:tc>
          <w:tcPr>
            <w:tcW w:w="224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2"/>
              <w:ind w:left="772" w:right="768"/>
              <w:jc w:val="center"/>
              <w:rPr>
                <w:sz w:val="24"/>
              </w:rPr>
            </w:pPr>
            <w:r>
              <w:rPr>
                <w:sz w:val="24"/>
              </w:rPr>
              <w:t>83.33</w:t>
            </w:r>
          </w:p>
        </w:tc>
        <w:tc>
          <w:tcPr>
            <w:tcW w:w="137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2"/>
              <w:ind w:left="333" w:right="336"/>
              <w:jc w:val="center"/>
              <w:rPr>
                <w:sz w:val="24"/>
              </w:rPr>
            </w:pPr>
            <w:r>
              <w:rPr>
                <w:sz w:val="24"/>
              </w:rPr>
              <w:t>16.67</w:t>
            </w:r>
          </w:p>
        </w:tc>
      </w:tr>
    </w:tbl>
    <w:p>
      <w:pPr>
        <w:spacing w:line="268" w:lineRule="exact" w:before="0"/>
        <w:ind w:left="648" w:right="0" w:firstLine="0"/>
        <w:jc w:val="both"/>
        <w:rPr>
          <w:sz w:val="24"/>
        </w:rPr>
      </w:pPr>
      <w:r>
        <w:rPr>
          <w:sz w:val="24"/>
        </w:rPr>
        <w:t>Values</w:t>
      </w:r>
      <w:r>
        <w:rPr>
          <w:spacing w:val="19"/>
          <w:sz w:val="24"/>
        </w:rPr>
        <w:t> </w:t>
      </w:r>
      <w:r>
        <w:rPr>
          <w:sz w:val="24"/>
        </w:rPr>
        <w:t>are</w:t>
      </w:r>
      <w:r>
        <w:rPr>
          <w:spacing w:val="18"/>
          <w:sz w:val="24"/>
        </w:rPr>
        <w:t> </w:t>
      </w:r>
      <w:r>
        <w:rPr>
          <w:sz w:val="24"/>
        </w:rPr>
        <w:t>presented</w:t>
      </w:r>
      <w:r>
        <w:rPr>
          <w:spacing w:val="19"/>
          <w:sz w:val="24"/>
        </w:rPr>
        <w:t> </w:t>
      </w:r>
      <w:r>
        <w:rPr>
          <w:sz w:val="24"/>
        </w:rPr>
        <w:t>as</w:t>
      </w:r>
      <w:r>
        <w:rPr>
          <w:spacing w:val="23"/>
          <w:sz w:val="24"/>
        </w:rPr>
        <w:t> </w:t>
      </w:r>
      <w:r>
        <w:rPr>
          <w:sz w:val="24"/>
        </w:rPr>
        <w:t>meant</w:t>
      </w:r>
      <w:r>
        <w:rPr>
          <w:spacing w:val="23"/>
          <w:sz w:val="24"/>
        </w:rPr>
        <w:t> </w:t>
      </w:r>
      <w:r>
        <w:rPr>
          <w:sz w:val="24"/>
          <w:u w:val="single"/>
        </w:rPr>
        <w:t>+</w:t>
      </w:r>
      <w:r>
        <w:rPr>
          <w:spacing w:val="19"/>
          <w:sz w:val="24"/>
        </w:rPr>
        <w:t> </w:t>
      </w:r>
      <w:r>
        <w:rPr>
          <w:sz w:val="24"/>
        </w:rPr>
        <w:t>SEM,</w:t>
      </w:r>
      <w:r>
        <w:rPr>
          <w:spacing w:val="20"/>
          <w:sz w:val="24"/>
        </w:rPr>
        <w:t> </w:t>
      </w:r>
      <w:r>
        <w:rPr>
          <w:sz w:val="24"/>
        </w:rPr>
        <w:t>n=6</w:t>
      </w:r>
      <w:r>
        <w:rPr>
          <w:spacing w:val="20"/>
          <w:sz w:val="24"/>
        </w:rPr>
        <w:t> </w:t>
      </w:r>
      <w:r>
        <w:rPr>
          <w:sz w:val="24"/>
        </w:rPr>
        <w:t>per</w:t>
      </w:r>
      <w:r>
        <w:rPr>
          <w:spacing w:val="17"/>
          <w:sz w:val="24"/>
        </w:rPr>
        <w:t> </w:t>
      </w:r>
      <w:r>
        <w:rPr>
          <w:sz w:val="24"/>
        </w:rPr>
        <w:t>group,</w:t>
      </w:r>
      <w:r>
        <w:rPr>
          <w:spacing w:val="19"/>
          <w:sz w:val="24"/>
        </w:rPr>
        <w:t> </w:t>
      </w:r>
      <w:r>
        <w:rPr>
          <w:sz w:val="24"/>
        </w:rPr>
        <w:t>DM=</w:t>
      </w:r>
      <w:r>
        <w:rPr>
          <w:spacing w:val="21"/>
          <w:sz w:val="24"/>
        </w:rPr>
        <w:t> </w:t>
      </w:r>
      <w:r>
        <w:rPr>
          <w:i/>
          <w:sz w:val="24"/>
        </w:rPr>
        <w:t>Diospyros</w:t>
      </w:r>
      <w:r>
        <w:rPr>
          <w:i/>
          <w:spacing w:val="23"/>
          <w:sz w:val="24"/>
        </w:rPr>
        <w:t> </w:t>
      </w:r>
      <w:r>
        <w:rPr>
          <w:i/>
          <w:sz w:val="24"/>
        </w:rPr>
        <w:t>Mespiliformis</w:t>
      </w:r>
      <w:r>
        <w:rPr>
          <w:sz w:val="24"/>
        </w:rPr>
        <w:t>,</w:t>
      </w:r>
      <w:r>
        <w:rPr>
          <w:spacing w:val="20"/>
          <w:sz w:val="24"/>
        </w:rPr>
        <w:t> </w:t>
      </w:r>
      <w:r>
        <w:rPr>
          <w:sz w:val="24"/>
        </w:rPr>
        <w:t>PHB</w:t>
      </w:r>
    </w:p>
    <w:p>
      <w:pPr>
        <w:pStyle w:val="BodyText"/>
        <w:ind w:left="648" w:right="679"/>
        <w:jc w:val="both"/>
      </w:pPr>
      <w:r>
        <w:rPr/>
        <w:t>=phenobarbitone. There is statistically significant difference in the mean onset of seizure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control</w:t>
      </w:r>
      <w:r>
        <w:rPr>
          <w:spacing w:val="1"/>
        </w:rPr>
        <w:t> </w:t>
      </w:r>
      <w:r>
        <w:rPr/>
        <w:t>(Normal</w:t>
      </w:r>
      <w:r>
        <w:rPr>
          <w:spacing w:val="1"/>
        </w:rPr>
        <w:t> </w:t>
      </w:r>
      <w:r>
        <w:rPr/>
        <w:t>saline)</w:t>
      </w:r>
      <w:r>
        <w:rPr>
          <w:spacing w:val="1"/>
        </w:rPr>
        <w:t> </w:t>
      </w:r>
      <w:r>
        <w:rPr/>
        <w:t>group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treated</w:t>
      </w:r>
      <w:r>
        <w:rPr>
          <w:spacing w:val="1"/>
        </w:rPr>
        <w:t> </w:t>
      </w:r>
      <w:r>
        <w:rPr/>
        <w:t>groups</w:t>
      </w:r>
      <w:r>
        <w:rPr>
          <w:spacing w:val="1"/>
        </w:rPr>
        <w:t> </w:t>
      </w:r>
      <w:r>
        <w:rPr/>
        <w:t>given</w:t>
      </w:r>
      <w:r>
        <w:rPr>
          <w:spacing w:val="1"/>
        </w:rPr>
        <w:t> </w:t>
      </w:r>
      <w:r>
        <w:rPr/>
        <w:t>50,</w:t>
      </w:r>
      <w:r>
        <w:rPr>
          <w:spacing w:val="1"/>
        </w:rPr>
        <w:t> </w:t>
      </w:r>
      <w:r>
        <w:rPr/>
        <w:t>100</w:t>
      </w:r>
      <w:r>
        <w:rPr>
          <w:spacing w:val="60"/>
        </w:rPr>
        <w:t> </w:t>
      </w:r>
      <w:r>
        <w:rPr/>
        <w:t>and</w:t>
      </w:r>
      <w:r>
        <w:rPr>
          <w:spacing w:val="1"/>
        </w:rPr>
        <w:t> </w:t>
      </w:r>
      <w:r>
        <w:rPr/>
        <w:t>200mg/kg of the extracts at P&lt;0.05</w:t>
      </w:r>
      <w:r>
        <w:rPr>
          <w:spacing w:val="1"/>
        </w:rPr>
        <w:t> </w:t>
      </w:r>
      <w:r>
        <w:rPr/>
        <w:t>and also between the control group and the standard drug</w:t>
      </w:r>
      <w:r>
        <w:rPr>
          <w:spacing w:val="1"/>
        </w:rPr>
        <w:t> </w:t>
      </w:r>
      <w:r>
        <w:rPr/>
        <w:t>(PHB) at P&lt;0.05)</w:t>
      </w:r>
      <w:r>
        <w:rPr>
          <w:spacing w:val="-1"/>
        </w:rPr>
        <w:t> </w:t>
      </w:r>
      <w:r>
        <w:rPr/>
        <w:t>(chi-square</w:t>
      </w:r>
      <w:r>
        <w:rPr>
          <w:spacing w:val="-2"/>
        </w:rPr>
        <w:t> </w:t>
      </w:r>
      <w:r>
        <w:rPr/>
        <w:t>test).</w:t>
      </w:r>
    </w:p>
    <w:p>
      <w:pPr>
        <w:spacing w:after="0"/>
        <w:jc w:val="both"/>
        <w:sectPr>
          <w:pgSz w:w="12240" w:h="15840"/>
          <w:pgMar w:header="0" w:footer="792" w:top="1360" w:bottom="980" w:left="1080" w:right="760"/>
        </w:sectPr>
      </w:pPr>
    </w:p>
    <w:p>
      <w:pPr>
        <w:pStyle w:val="Heading1"/>
        <w:numPr>
          <w:ilvl w:val="2"/>
          <w:numId w:val="31"/>
        </w:numPr>
        <w:tabs>
          <w:tab w:pos="1369" w:val="left" w:leader="none"/>
        </w:tabs>
        <w:spacing w:line="240" w:lineRule="auto" w:before="76" w:after="0"/>
        <w:ind w:left="1368" w:right="0" w:hanging="721"/>
        <w:jc w:val="both"/>
      </w:pPr>
      <w:bookmarkStart w:name="_TOC_250011" w:id="50"/>
      <w:r>
        <w:rPr/>
        <w:t>4-aminopyridine</w:t>
      </w:r>
      <w:r>
        <w:rPr>
          <w:spacing w:val="-6"/>
        </w:rPr>
        <w:t> </w:t>
      </w:r>
      <w:r>
        <w:rPr/>
        <w:t>induced</w:t>
      </w:r>
      <w:r>
        <w:rPr>
          <w:spacing w:val="-2"/>
        </w:rPr>
        <w:t> </w:t>
      </w:r>
      <w:r>
        <w:rPr/>
        <w:t>seizure</w:t>
      </w:r>
      <w:r>
        <w:rPr>
          <w:spacing w:val="-3"/>
        </w:rPr>
        <w:t> </w:t>
      </w:r>
      <w:bookmarkEnd w:id="50"/>
      <w:r>
        <w:rPr/>
        <w:t>in mice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 w:before="1"/>
        <w:ind w:left="648" w:right="675"/>
        <w:jc w:val="both"/>
      </w:pPr>
      <w:r>
        <w:rPr/>
        <w:t>The</w:t>
      </w:r>
      <w:r>
        <w:rPr>
          <w:spacing w:val="1"/>
        </w:rPr>
        <w:t> </w:t>
      </w:r>
      <w:r>
        <w:rPr/>
        <w:t>methanol</w:t>
      </w:r>
      <w:r>
        <w:rPr>
          <w:spacing w:val="1"/>
        </w:rPr>
        <w:t> </w:t>
      </w:r>
      <w:r>
        <w:rPr/>
        <w:t>leaf</w:t>
      </w:r>
      <w:r>
        <w:rPr>
          <w:spacing w:val="1"/>
        </w:rPr>
        <w:t> </w:t>
      </w:r>
      <w:r>
        <w:rPr/>
        <w:t>extract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>
          <w:i/>
        </w:rPr>
        <w:t>Diospyros</w:t>
      </w:r>
      <w:r>
        <w:rPr>
          <w:i/>
          <w:spacing w:val="1"/>
        </w:rPr>
        <w:t> </w:t>
      </w:r>
      <w:r>
        <w:rPr>
          <w:i/>
        </w:rPr>
        <w:t>mespiliformis</w:t>
      </w:r>
      <w:r>
        <w:rPr>
          <w:i/>
          <w:spacing w:val="1"/>
        </w:rPr>
        <w:t> </w:t>
      </w:r>
      <w:r>
        <w:rPr/>
        <w:t>showed</w:t>
      </w:r>
      <w:r>
        <w:rPr>
          <w:spacing w:val="1"/>
        </w:rPr>
        <w:t> </w:t>
      </w:r>
      <w:r>
        <w:rPr/>
        <w:t>16.67%</w:t>
      </w:r>
      <w:r>
        <w:rPr>
          <w:spacing w:val="1"/>
        </w:rPr>
        <w:t> </w:t>
      </w:r>
      <w:r>
        <w:rPr/>
        <w:t>protection</w:t>
      </w:r>
      <w:r>
        <w:rPr>
          <w:spacing w:val="1"/>
        </w:rPr>
        <w:t> </w:t>
      </w:r>
      <w:r>
        <w:rPr/>
        <w:t>at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highest dose of the extract tested (200 mg/kg), however at the other doses tested i.e. 50 and</w:t>
      </w:r>
      <w:r>
        <w:rPr>
          <w:spacing w:val="1"/>
        </w:rPr>
        <w:t> </w:t>
      </w:r>
      <w:r>
        <w:rPr/>
        <w:t>100mg/kg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could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protect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animals</w:t>
      </w:r>
      <w:r>
        <w:rPr>
          <w:spacing w:val="1"/>
        </w:rPr>
        <w:t> </w:t>
      </w:r>
      <w:r>
        <w:rPr/>
        <w:t>against</w:t>
      </w:r>
      <w:r>
        <w:rPr>
          <w:spacing w:val="1"/>
        </w:rPr>
        <w:t> </w:t>
      </w:r>
      <w:r>
        <w:rPr/>
        <w:t>4-aminopyidine</w:t>
      </w:r>
      <w:r>
        <w:rPr>
          <w:spacing w:val="1"/>
        </w:rPr>
        <w:t> </w:t>
      </w:r>
      <w:r>
        <w:rPr/>
        <w:t>induced</w:t>
      </w:r>
      <w:r>
        <w:rPr>
          <w:spacing w:val="1"/>
        </w:rPr>
        <w:t> </w:t>
      </w:r>
      <w:r>
        <w:rPr/>
        <w:t>seizure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lethality. Also there is no statistically significant difference in the mean onset of seizure</w:t>
      </w:r>
      <w:r>
        <w:rPr>
          <w:spacing w:val="1"/>
        </w:rPr>
        <w:t> </w:t>
      </w:r>
      <w:r>
        <w:rPr/>
        <w:t>between the control (normal saline)</w:t>
      </w:r>
      <w:r>
        <w:rPr>
          <w:spacing w:val="1"/>
        </w:rPr>
        <w:t> </w:t>
      </w:r>
      <w:r>
        <w:rPr/>
        <w:t>group and the treated groups</w:t>
      </w:r>
      <w:r>
        <w:rPr>
          <w:spacing w:val="60"/>
        </w:rPr>
        <w:t> </w:t>
      </w:r>
      <w:r>
        <w:rPr/>
        <w:t>given 50, 100 and 200</w:t>
      </w:r>
      <w:r>
        <w:rPr>
          <w:spacing w:val="1"/>
        </w:rPr>
        <w:t> </w:t>
      </w:r>
      <w:r>
        <w:rPr/>
        <w:t>mg/kg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the extract respectively</w:t>
      </w:r>
      <w:r>
        <w:rPr>
          <w:spacing w:val="-5"/>
        </w:rPr>
        <w:t> </w:t>
      </w:r>
      <w:r>
        <w:rPr/>
        <w:t>at P&lt;0.05)</w:t>
      </w:r>
      <w:r>
        <w:rPr>
          <w:spacing w:val="-1"/>
        </w:rPr>
        <w:t> </w:t>
      </w:r>
      <w:r>
        <w:rPr/>
        <w:t>(Table</w:t>
      </w:r>
      <w:r>
        <w:rPr>
          <w:spacing w:val="-1"/>
        </w:rPr>
        <w:t> </w:t>
      </w:r>
      <w:r>
        <w:rPr/>
        <w:t>4.6).</w:t>
      </w:r>
    </w:p>
    <w:p>
      <w:pPr>
        <w:spacing w:after="0" w:line="480" w:lineRule="auto"/>
        <w:jc w:val="both"/>
        <w:sectPr>
          <w:pgSz w:w="12240" w:h="15840"/>
          <w:pgMar w:header="0" w:footer="792" w:top="1360" w:bottom="980" w:left="1080" w:right="760"/>
        </w:sectPr>
      </w:pPr>
    </w:p>
    <w:p>
      <w:pPr>
        <w:pStyle w:val="Heading1"/>
        <w:tabs>
          <w:tab w:pos="2088" w:val="left" w:leader="none"/>
        </w:tabs>
        <w:spacing w:before="76"/>
        <w:ind w:left="2088" w:right="1378" w:hanging="1440"/>
      </w:pPr>
      <w:r>
        <w:rPr/>
        <w:t>Table</w:t>
      </w:r>
      <w:r>
        <w:rPr>
          <w:spacing w:val="-1"/>
        </w:rPr>
        <w:t> </w:t>
      </w:r>
      <w:r>
        <w:rPr/>
        <w:t>6:</w:t>
        <w:tab/>
        <w:t>Effect of methanol leaf extract of </w:t>
      </w:r>
      <w:r>
        <w:rPr>
          <w:i/>
        </w:rPr>
        <w:t>Diospyros mespiliformis </w:t>
      </w:r>
      <w:r>
        <w:rPr/>
        <w:t>(DM) and</w:t>
      </w:r>
      <w:r>
        <w:rPr>
          <w:spacing w:val="-57"/>
        </w:rPr>
        <w:t> </w:t>
      </w:r>
      <w:r>
        <w:rPr/>
        <w:t>phenobarbitone</w:t>
      </w:r>
      <w:r>
        <w:rPr>
          <w:spacing w:val="-2"/>
        </w:rPr>
        <w:t> </w:t>
      </w:r>
      <w:r>
        <w:rPr/>
        <w:t>(PHB)</w:t>
      </w:r>
      <w:r>
        <w:rPr>
          <w:spacing w:val="-2"/>
        </w:rPr>
        <w:t> </w:t>
      </w:r>
      <w:r>
        <w:rPr/>
        <w:t>on</w:t>
      </w:r>
      <w:r>
        <w:rPr>
          <w:spacing w:val="-2"/>
        </w:rPr>
        <w:t> </w:t>
      </w:r>
      <w:r>
        <w:rPr/>
        <w:t>4-amino</w:t>
      </w:r>
      <w:r>
        <w:rPr>
          <w:spacing w:val="-3"/>
        </w:rPr>
        <w:t> </w:t>
      </w:r>
      <w:r>
        <w:rPr/>
        <w:t>pyridine</w:t>
      </w:r>
      <w:r>
        <w:rPr>
          <w:spacing w:val="-2"/>
        </w:rPr>
        <w:t> </w:t>
      </w:r>
      <w:r>
        <w:rPr/>
        <w:t>induced</w:t>
      </w:r>
      <w:r>
        <w:rPr>
          <w:spacing w:val="-2"/>
        </w:rPr>
        <w:t> </w:t>
      </w:r>
      <w:r>
        <w:rPr/>
        <w:t>seizure</w:t>
      </w:r>
      <w:r>
        <w:rPr>
          <w:spacing w:val="-3"/>
        </w:rPr>
        <w:t> </w:t>
      </w:r>
      <w:r>
        <w:rPr/>
        <w:t>in</w:t>
      </w:r>
      <w:r>
        <w:rPr>
          <w:spacing w:val="-2"/>
        </w:rPr>
        <w:t> </w:t>
      </w:r>
      <w:r>
        <w:rPr/>
        <w:t>mice</w:t>
      </w:r>
    </w:p>
    <w:p>
      <w:pPr>
        <w:pStyle w:val="BodyText"/>
        <w:spacing w:before="4"/>
        <w:rPr>
          <w:b/>
        </w:rPr>
      </w:pPr>
    </w:p>
    <w:tbl>
      <w:tblPr>
        <w:tblW w:w="0" w:type="auto"/>
        <w:jc w:val="left"/>
        <w:tblInd w:w="5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28"/>
        <w:gridCol w:w="1848"/>
        <w:gridCol w:w="1503"/>
        <w:gridCol w:w="2240"/>
        <w:gridCol w:w="1370"/>
      </w:tblGrid>
      <w:tr>
        <w:trPr>
          <w:trHeight w:val="551" w:hRule="atLeast"/>
        </w:trPr>
        <w:tc>
          <w:tcPr>
            <w:tcW w:w="222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Treatment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(mg/kg)</w:t>
            </w:r>
          </w:p>
        </w:tc>
        <w:tc>
          <w:tcPr>
            <w:tcW w:w="184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6" w:lineRule="exact"/>
              <w:ind w:left="162" w:right="226"/>
              <w:rPr>
                <w:b/>
                <w:sz w:val="24"/>
              </w:rPr>
            </w:pPr>
            <w:r>
              <w:rPr>
                <w:b/>
                <w:sz w:val="24"/>
              </w:rPr>
              <w:t>Mean onset of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seizures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(min)</w:t>
            </w:r>
          </w:p>
        </w:tc>
        <w:tc>
          <w:tcPr>
            <w:tcW w:w="150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6" w:lineRule="exact"/>
              <w:ind w:left="247" w:right="179" w:firstLine="112"/>
              <w:rPr>
                <w:b/>
                <w:sz w:val="24"/>
              </w:rPr>
            </w:pPr>
            <w:r>
              <w:rPr>
                <w:b/>
                <w:sz w:val="24"/>
              </w:rPr>
              <w:t>Quantal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pacing w:val="-1"/>
                <w:sz w:val="24"/>
              </w:rPr>
              <w:t>Protection</w:t>
            </w:r>
          </w:p>
        </w:tc>
        <w:tc>
          <w:tcPr>
            <w:tcW w:w="224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6" w:lineRule="exact"/>
              <w:ind w:left="532" w:right="169" w:hanging="341"/>
              <w:rPr>
                <w:b/>
                <w:sz w:val="24"/>
              </w:rPr>
            </w:pPr>
            <w:r>
              <w:rPr>
                <w:b/>
                <w:sz w:val="24"/>
              </w:rPr>
              <w:t>Protection against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seizure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(%)</w:t>
            </w:r>
          </w:p>
        </w:tc>
        <w:tc>
          <w:tcPr>
            <w:tcW w:w="137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6" w:lineRule="exact"/>
              <w:ind w:left="244" w:right="175" w:hanging="56"/>
              <w:rPr>
                <w:b/>
                <w:sz w:val="24"/>
              </w:rPr>
            </w:pPr>
            <w:r>
              <w:rPr>
                <w:b/>
                <w:sz w:val="24"/>
              </w:rPr>
              <w:t>Mortality rate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(%)</w:t>
            </w:r>
          </w:p>
        </w:tc>
      </w:tr>
      <w:tr>
        <w:trPr>
          <w:trHeight w:val="343" w:hRule="atLeast"/>
        </w:trPr>
        <w:tc>
          <w:tcPr>
            <w:tcW w:w="222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15"/>
              <w:rPr>
                <w:sz w:val="24"/>
              </w:rPr>
            </w:pPr>
            <w:r>
              <w:rPr>
                <w:sz w:val="24"/>
              </w:rPr>
              <w:t>N/saline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(10ml/kg)</w:t>
            </w:r>
          </w:p>
        </w:tc>
        <w:tc>
          <w:tcPr>
            <w:tcW w:w="184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62"/>
              <w:rPr>
                <w:sz w:val="24"/>
              </w:rPr>
            </w:pPr>
            <w:r>
              <w:rPr>
                <w:sz w:val="24"/>
              </w:rPr>
              <w:t>13.67</w:t>
            </w:r>
            <w:r>
              <w:rPr>
                <w:sz w:val="24"/>
                <w:u w:val="single"/>
              </w:rPr>
              <w:t>+</w:t>
            </w:r>
            <w:r>
              <w:rPr>
                <w:sz w:val="24"/>
              </w:rPr>
              <w:t>1.69</w:t>
            </w:r>
          </w:p>
        </w:tc>
        <w:tc>
          <w:tcPr>
            <w:tcW w:w="150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right="567"/>
              <w:jc w:val="right"/>
              <w:rPr>
                <w:sz w:val="24"/>
              </w:rPr>
            </w:pPr>
            <w:r>
              <w:rPr>
                <w:sz w:val="24"/>
              </w:rPr>
              <w:t>0/6</w:t>
            </w:r>
          </w:p>
        </w:tc>
        <w:tc>
          <w:tcPr>
            <w:tcW w:w="224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772" w:right="768"/>
              <w:jc w:val="center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37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333" w:right="336"/>
              <w:jc w:val="center"/>
              <w:rPr>
                <w:sz w:val="24"/>
              </w:rPr>
            </w:pPr>
            <w:r>
              <w:rPr>
                <w:sz w:val="24"/>
              </w:rPr>
              <w:t>100.00</w:t>
            </w:r>
          </w:p>
        </w:tc>
      </w:tr>
      <w:tr>
        <w:trPr>
          <w:trHeight w:val="413" w:hRule="atLeast"/>
        </w:trPr>
        <w:tc>
          <w:tcPr>
            <w:tcW w:w="2228" w:type="dxa"/>
          </w:tcPr>
          <w:p>
            <w:pPr>
              <w:pStyle w:val="TableParagraph"/>
              <w:spacing w:before="65"/>
              <w:ind w:left="115"/>
              <w:rPr>
                <w:sz w:val="24"/>
              </w:rPr>
            </w:pPr>
            <w:r>
              <w:rPr>
                <w:sz w:val="24"/>
              </w:rPr>
              <w:t>DM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50</w:t>
            </w:r>
          </w:p>
        </w:tc>
        <w:tc>
          <w:tcPr>
            <w:tcW w:w="1848" w:type="dxa"/>
          </w:tcPr>
          <w:p>
            <w:pPr>
              <w:pStyle w:val="TableParagraph"/>
              <w:spacing w:before="65"/>
              <w:ind w:left="162"/>
              <w:rPr>
                <w:sz w:val="24"/>
              </w:rPr>
            </w:pPr>
            <w:r>
              <w:rPr>
                <w:sz w:val="24"/>
              </w:rPr>
              <w:t>20.67</w:t>
            </w:r>
            <w:r>
              <w:rPr>
                <w:sz w:val="24"/>
                <w:u w:val="single"/>
              </w:rPr>
              <w:t>+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3.21</w:t>
            </w:r>
          </w:p>
        </w:tc>
        <w:tc>
          <w:tcPr>
            <w:tcW w:w="1503" w:type="dxa"/>
          </w:tcPr>
          <w:p>
            <w:pPr>
              <w:pStyle w:val="TableParagraph"/>
              <w:spacing w:before="63"/>
              <w:ind w:right="567"/>
              <w:jc w:val="right"/>
              <w:rPr>
                <w:sz w:val="24"/>
              </w:rPr>
            </w:pPr>
            <w:r>
              <w:rPr>
                <w:sz w:val="24"/>
              </w:rPr>
              <w:t>0/6</w:t>
            </w:r>
          </w:p>
        </w:tc>
        <w:tc>
          <w:tcPr>
            <w:tcW w:w="2240" w:type="dxa"/>
          </w:tcPr>
          <w:p>
            <w:pPr>
              <w:pStyle w:val="TableParagraph"/>
              <w:spacing w:before="63"/>
              <w:ind w:left="772" w:right="768"/>
              <w:jc w:val="center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370" w:type="dxa"/>
          </w:tcPr>
          <w:p>
            <w:pPr>
              <w:pStyle w:val="TableParagraph"/>
              <w:spacing w:before="63"/>
              <w:ind w:left="333" w:right="336"/>
              <w:jc w:val="center"/>
              <w:rPr>
                <w:sz w:val="24"/>
              </w:rPr>
            </w:pPr>
            <w:r>
              <w:rPr>
                <w:sz w:val="24"/>
              </w:rPr>
              <w:t>100.00</w:t>
            </w:r>
          </w:p>
        </w:tc>
      </w:tr>
      <w:tr>
        <w:trPr>
          <w:trHeight w:val="414" w:hRule="atLeast"/>
        </w:trPr>
        <w:tc>
          <w:tcPr>
            <w:tcW w:w="2228" w:type="dxa"/>
          </w:tcPr>
          <w:p>
            <w:pPr>
              <w:pStyle w:val="TableParagraph"/>
              <w:spacing w:before="64"/>
              <w:ind w:left="115"/>
              <w:rPr>
                <w:sz w:val="24"/>
              </w:rPr>
            </w:pPr>
            <w:r>
              <w:rPr>
                <w:sz w:val="24"/>
              </w:rPr>
              <w:t>DM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100</w:t>
            </w:r>
          </w:p>
        </w:tc>
        <w:tc>
          <w:tcPr>
            <w:tcW w:w="1848" w:type="dxa"/>
          </w:tcPr>
          <w:p>
            <w:pPr>
              <w:pStyle w:val="TableParagraph"/>
              <w:spacing w:before="64"/>
              <w:ind w:left="162"/>
              <w:rPr>
                <w:sz w:val="24"/>
              </w:rPr>
            </w:pPr>
            <w:r>
              <w:rPr>
                <w:sz w:val="24"/>
              </w:rPr>
              <w:t>15.33 </w:t>
            </w:r>
            <w:r>
              <w:rPr>
                <w:sz w:val="24"/>
                <w:u w:val="single"/>
              </w:rPr>
              <w:t>+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2.96</w:t>
            </w:r>
          </w:p>
        </w:tc>
        <w:tc>
          <w:tcPr>
            <w:tcW w:w="1503" w:type="dxa"/>
          </w:tcPr>
          <w:p>
            <w:pPr>
              <w:pStyle w:val="TableParagraph"/>
              <w:spacing w:before="62"/>
              <w:ind w:right="567"/>
              <w:jc w:val="right"/>
              <w:rPr>
                <w:sz w:val="24"/>
              </w:rPr>
            </w:pPr>
            <w:r>
              <w:rPr>
                <w:sz w:val="24"/>
              </w:rPr>
              <w:t>0/6</w:t>
            </w:r>
          </w:p>
        </w:tc>
        <w:tc>
          <w:tcPr>
            <w:tcW w:w="2240" w:type="dxa"/>
          </w:tcPr>
          <w:p>
            <w:pPr>
              <w:pStyle w:val="TableParagraph"/>
              <w:spacing w:before="62"/>
              <w:ind w:left="772" w:right="768"/>
              <w:jc w:val="center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370" w:type="dxa"/>
          </w:tcPr>
          <w:p>
            <w:pPr>
              <w:pStyle w:val="TableParagraph"/>
              <w:spacing w:before="62"/>
              <w:ind w:left="333" w:right="336"/>
              <w:jc w:val="center"/>
              <w:rPr>
                <w:sz w:val="24"/>
              </w:rPr>
            </w:pPr>
            <w:r>
              <w:rPr>
                <w:sz w:val="24"/>
              </w:rPr>
              <w:t>100.00</w:t>
            </w:r>
          </w:p>
        </w:tc>
      </w:tr>
      <w:tr>
        <w:trPr>
          <w:trHeight w:val="413" w:hRule="atLeast"/>
        </w:trPr>
        <w:tc>
          <w:tcPr>
            <w:tcW w:w="2228" w:type="dxa"/>
          </w:tcPr>
          <w:p>
            <w:pPr>
              <w:pStyle w:val="TableParagraph"/>
              <w:spacing w:before="65"/>
              <w:ind w:left="115"/>
              <w:rPr>
                <w:sz w:val="24"/>
              </w:rPr>
            </w:pPr>
            <w:r>
              <w:rPr>
                <w:sz w:val="24"/>
              </w:rPr>
              <w:t>DM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200</w:t>
            </w:r>
          </w:p>
        </w:tc>
        <w:tc>
          <w:tcPr>
            <w:tcW w:w="1848" w:type="dxa"/>
          </w:tcPr>
          <w:p>
            <w:pPr>
              <w:pStyle w:val="TableParagraph"/>
              <w:spacing w:before="65"/>
              <w:ind w:left="162"/>
              <w:rPr>
                <w:sz w:val="24"/>
              </w:rPr>
            </w:pPr>
            <w:r>
              <w:rPr>
                <w:sz w:val="24"/>
              </w:rPr>
              <w:t>16.00 </w:t>
            </w:r>
            <w:r>
              <w:rPr>
                <w:sz w:val="24"/>
                <w:u w:val="single"/>
              </w:rPr>
              <w:t>+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2.49</w:t>
            </w:r>
          </w:p>
        </w:tc>
        <w:tc>
          <w:tcPr>
            <w:tcW w:w="1503" w:type="dxa"/>
          </w:tcPr>
          <w:p>
            <w:pPr>
              <w:pStyle w:val="TableParagraph"/>
              <w:spacing w:before="63"/>
              <w:ind w:right="567"/>
              <w:jc w:val="right"/>
              <w:rPr>
                <w:sz w:val="24"/>
              </w:rPr>
            </w:pPr>
            <w:r>
              <w:rPr>
                <w:sz w:val="24"/>
              </w:rPr>
              <w:t>1/6</w:t>
            </w:r>
          </w:p>
        </w:tc>
        <w:tc>
          <w:tcPr>
            <w:tcW w:w="2240" w:type="dxa"/>
          </w:tcPr>
          <w:p>
            <w:pPr>
              <w:pStyle w:val="TableParagraph"/>
              <w:spacing w:before="63"/>
              <w:ind w:left="772" w:right="768"/>
              <w:jc w:val="center"/>
              <w:rPr>
                <w:sz w:val="24"/>
              </w:rPr>
            </w:pPr>
            <w:r>
              <w:rPr>
                <w:sz w:val="24"/>
              </w:rPr>
              <w:t>16.67</w:t>
            </w:r>
          </w:p>
        </w:tc>
        <w:tc>
          <w:tcPr>
            <w:tcW w:w="1370" w:type="dxa"/>
          </w:tcPr>
          <w:p>
            <w:pPr>
              <w:pStyle w:val="TableParagraph"/>
              <w:spacing w:before="63"/>
              <w:ind w:left="333" w:right="336"/>
              <w:jc w:val="center"/>
              <w:rPr>
                <w:sz w:val="24"/>
              </w:rPr>
            </w:pPr>
            <w:r>
              <w:rPr>
                <w:sz w:val="24"/>
              </w:rPr>
              <w:t>83.33</w:t>
            </w:r>
          </w:p>
        </w:tc>
      </w:tr>
      <w:tr>
        <w:trPr>
          <w:trHeight w:val="485" w:hRule="atLeast"/>
        </w:trPr>
        <w:tc>
          <w:tcPr>
            <w:tcW w:w="222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4"/>
              <w:ind w:left="115"/>
              <w:rPr>
                <w:sz w:val="24"/>
              </w:rPr>
            </w:pPr>
            <w:r>
              <w:rPr>
                <w:sz w:val="24"/>
              </w:rPr>
              <w:t>PHB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30</w:t>
            </w:r>
          </w:p>
        </w:tc>
        <w:tc>
          <w:tcPr>
            <w:tcW w:w="184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4"/>
              <w:ind w:left="162"/>
              <w:rPr>
                <w:sz w:val="24"/>
              </w:rPr>
            </w:pPr>
            <w:r>
              <w:rPr>
                <w:sz w:val="24"/>
              </w:rPr>
              <w:t>0.0</w:t>
            </w:r>
          </w:p>
        </w:tc>
        <w:tc>
          <w:tcPr>
            <w:tcW w:w="150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2"/>
              <w:ind w:right="567"/>
              <w:jc w:val="right"/>
              <w:rPr>
                <w:sz w:val="24"/>
              </w:rPr>
            </w:pPr>
            <w:r>
              <w:rPr>
                <w:sz w:val="24"/>
              </w:rPr>
              <w:t>6/6</w:t>
            </w:r>
          </w:p>
        </w:tc>
        <w:tc>
          <w:tcPr>
            <w:tcW w:w="224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2"/>
              <w:ind w:left="772" w:right="768"/>
              <w:jc w:val="center"/>
              <w:rPr>
                <w:sz w:val="24"/>
              </w:rPr>
            </w:pPr>
            <w:r>
              <w:rPr>
                <w:sz w:val="24"/>
              </w:rPr>
              <w:t>100.00</w:t>
            </w:r>
          </w:p>
        </w:tc>
        <w:tc>
          <w:tcPr>
            <w:tcW w:w="137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2"/>
              <w:ind w:left="333" w:right="336"/>
              <w:jc w:val="center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</w:tr>
    </w:tbl>
    <w:p>
      <w:pPr>
        <w:pStyle w:val="BodyText"/>
        <w:ind w:left="648" w:right="673"/>
        <w:jc w:val="both"/>
      </w:pPr>
      <w:r>
        <w:rPr/>
        <w:t>Values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presented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mean</w:t>
      </w:r>
      <w:r>
        <w:rPr>
          <w:spacing w:val="1"/>
        </w:rPr>
        <w:t> </w:t>
      </w:r>
      <w:r>
        <w:rPr>
          <w:u w:val="single"/>
        </w:rPr>
        <w:t>+</w:t>
      </w:r>
      <w:r>
        <w:rPr>
          <w:spacing w:val="1"/>
        </w:rPr>
        <w:t> </w:t>
      </w:r>
      <w:r>
        <w:rPr/>
        <w:t>SEM,</w:t>
      </w:r>
      <w:r>
        <w:rPr>
          <w:spacing w:val="1"/>
        </w:rPr>
        <w:t> </w:t>
      </w:r>
      <w:r>
        <w:rPr/>
        <w:t>n=6</w:t>
      </w:r>
      <w:r>
        <w:rPr>
          <w:spacing w:val="1"/>
        </w:rPr>
        <w:t> </w:t>
      </w:r>
      <w:r>
        <w:rPr/>
        <w:t>per</w:t>
      </w:r>
      <w:r>
        <w:rPr>
          <w:spacing w:val="1"/>
        </w:rPr>
        <w:t> </w:t>
      </w:r>
      <w:r>
        <w:rPr/>
        <w:t>group,</w:t>
      </w:r>
      <w:r>
        <w:rPr>
          <w:spacing w:val="1"/>
        </w:rPr>
        <w:t> </w:t>
      </w:r>
      <w:r>
        <w:rPr/>
        <w:t>DM=</w:t>
      </w:r>
      <w:r>
        <w:rPr>
          <w:i/>
        </w:rPr>
        <w:t>Diospyros</w:t>
      </w:r>
      <w:r>
        <w:rPr>
          <w:i/>
          <w:spacing w:val="1"/>
        </w:rPr>
        <w:t> </w:t>
      </w:r>
      <w:r>
        <w:rPr>
          <w:i/>
        </w:rPr>
        <w:t>mespiliformis</w:t>
      </w:r>
      <w:r>
        <w:rPr/>
        <w:t>,</w:t>
      </w:r>
      <w:r>
        <w:rPr>
          <w:spacing w:val="1"/>
        </w:rPr>
        <w:t> </w:t>
      </w:r>
      <w:r>
        <w:rPr/>
        <w:t>PHB=Phenobarbitone. There is no statistically significant difference in the mean onset of</w:t>
      </w:r>
      <w:r>
        <w:rPr>
          <w:spacing w:val="1"/>
        </w:rPr>
        <w:t> </w:t>
      </w:r>
      <w:r>
        <w:rPr/>
        <w:t>seizure between the control (normal saline) group and the groups given 50, 100 and 200mg/kg</w:t>
      </w:r>
      <w:r>
        <w:rPr>
          <w:spacing w:val="-57"/>
        </w:rPr>
        <w:t> </w:t>
      </w:r>
      <w:r>
        <w:rPr/>
        <w:t>of the extract respectively at P&lt;0.05, while there is significant difference between the control</w:t>
      </w:r>
      <w:r>
        <w:rPr>
          <w:spacing w:val="1"/>
        </w:rPr>
        <w:t> </w:t>
      </w:r>
      <w:r>
        <w:rPr/>
        <w:t>group and the standard drug</w:t>
      </w:r>
      <w:r>
        <w:rPr>
          <w:spacing w:val="-3"/>
        </w:rPr>
        <w:t> </w:t>
      </w:r>
      <w:r>
        <w:rPr/>
        <w:t>(PHB) at P&lt;0.05 (chi</w:t>
      </w:r>
      <w:r>
        <w:rPr>
          <w:spacing w:val="2"/>
        </w:rPr>
        <w:t> </w:t>
      </w:r>
      <w:r>
        <w:rPr/>
        <w:t>square</w:t>
      </w:r>
      <w:r>
        <w:rPr>
          <w:spacing w:val="-1"/>
        </w:rPr>
        <w:t> </w:t>
      </w:r>
      <w:r>
        <w:rPr/>
        <w:t>test).</w:t>
      </w:r>
    </w:p>
    <w:p>
      <w:pPr>
        <w:spacing w:after="0"/>
        <w:jc w:val="both"/>
        <w:sectPr>
          <w:pgSz w:w="12240" w:h="15840"/>
          <w:pgMar w:header="0" w:footer="792" w:top="1360" w:bottom="980" w:left="1080" w:right="760"/>
        </w:sectPr>
      </w:pPr>
    </w:p>
    <w:p>
      <w:pPr>
        <w:pStyle w:val="Heading1"/>
        <w:numPr>
          <w:ilvl w:val="1"/>
          <w:numId w:val="30"/>
        </w:numPr>
        <w:tabs>
          <w:tab w:pos="1368" w:val="left" w:leader="none"/>
          <w:tab w:pos="1369" w:val="left" w:leader="none"/>
        </w:tabs>
        <w:spacing w:line="240" w:lineRule="auto" w:before="76" w:after="0"/>
        <w:ind w:left="1368" w:right="0" w:hanging="721"/>
        <w:jc w:val="left"/>
      </w:pPr>
      <w:bookmarkStart w:name="_TOC_250010" w:id="51"/>
      <w:r>
        <w:rPr/>
        <w:t>Results</w:t>
      </w:r>
      <w:r>
        <w:rPr>
          <w:spacing w:val="-2"/>
        </w:rPr>
        <w:t> </w:t>
      </w:r>
      <w:r>
        <w:rPr/>
        <w:t>of sub-chronic</w:t>
      </w:r>
      <w:r>
        <w:rPr>
          <w:spacing w:val="-2"/>
        </w:rPr>
        <w:t> </w:t>
      </w:r>
      <w:r>
        <w:rPr/>
        <w:t>toxicity</w:t>
      </w:r>
      <w:r>
        <w:rPr>
          <w:spacing w:val="-1"/>
        </w:rPr>
        <w:t> </w:t>
      </w:r>
      <w:bookmarkEnd w:id="51"/>
      <w:r>
        <w:rPr/>
        <w:t>studies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Heading2"/>
        <w:numPr>
          <w:ilvl w:val="2"/>
          <w:numId w:val="30"/>
        </w:numPr>
        <w:tabs>
          <w:tab w:pos="1368" w:val="left" w:leader="none"/>
          <w:tab w:pos="1369" w:val="left" w:leader="none"/>
        </w:tabs>
        <w:spacing w:line="240" w:lineRule="auto" w:before="1" w:after="0"/>
        <w:ind w:left="1368" w:right="0" w:hanging="721"/>
        <w:jc w:val="left"/>
      </w:pPr>
      <w:bookmarkStart w:name="_TOC_250009" w:id="52"/>
      <w:r>
        <w:rPr>
          <w:b w:val="0"/>
        </w:rPr>
        <w:t>L</w:t>
      </w:r>
      <w:r>
        <w:rPr/>
        <w:t>iver</w:t>
      </w:r>
      <w:r>
        <w:rPr>
          <w:spacing w:val="-1"/>
        </w:rPr>
        <w:t> </w:t>
      </w:r>
      <w:bookmarkEnd w:id="52"/>
      <w:r>
        <w:rPr/>
        <w:t>function tests.</w:t>
      </w:r>
    </w:p>
    <w:p>
      <w:pPr>
        <w:pStyle w:val="BodyText"/>
        <w:spacing w:before="11"/>
        <w:rPr>
          <w:b/>
          <w:i/>
          <w:sz w:val="23"/>
        </w:rPr>
      </w:pPr>
    </w:p>
    <w:p>
      <w:pPr>
        <w:pStyle w:val="BodyText"/>
        <w:spacing w:line="480" w:lineRule="auto"/>
        <w:ind w:left="648" w:right="673"/>
        <w:jc w:val="both"/>
      </w:pPr>
      <w:r>
        <w:rPr>
          <w:b/>
        </w:rPr>
        <w:t>i.</w:t>
      </w:r>
      <w:r>
        <w:rPr>
          <w:b/>
          <w:spacing w:val="61"/>
        </w:rPr>
        <w:t> </w:t>
      </w:r>
      <w:r>
        <w:rPr>
          <w:b/>
          <w:i/>
        </w:rPr>
        <w:t>Hepatocellular function tests: </w:t>
      </w:r>
      <w:r>
        <w:rPr/>
        <w:t>The methanol leaf extract of </w:t>
      </w:r>
      <w:r>
        <w:rPr>
          <w:i/>
        </w:rPr>
        <w:t>Diospyros mespiliformis</w:t>
      </w:r>
      <w:r>
        <w:rPr>
          <w:i/>
          <w:spacing w:val="1"/>
        </w:rPr>
        <w:t> </w:t>
      </w:r>
      <w:r>
        <w:rPr/>
        <w:t>slightly raise the value of AST at 250 and 500mg/kg dose of the extract. While at 1000mg/kg</w:t>
      </w:r>
      <w:r>
        <w:rPr>
          <w:spacing w:val="1"/>
        </w:rPr>
        <w:t> </w:t>
      </w:r>
      <w:r>
        <w:rPr/>
        <w:t>AST</w:t>
      </w:r>
      <w:r>
        <w:rPr>
          <w:spacing w:val="59"/>
        </w:rPr>
        <w:t> </w:t>
      </w:r>
      <w:r>
        <w:rPr/>
        <w:t>values</w:t>
      </w:r>
      <w:r>
        <w:rPr>
          <w:spacing w:val="58"/>
        </w:rPr>
        <w:t> </w:t>
      </w:r>
      <w:r>
        <w:rPr/>
        <w:t>was</w:t>
      </w:r>
      <w:r>
        <w:rPr>
          <w:spacing w:val="59"/>
        </w:rPr>
        <w:t> </w:t>
      </w:r>
      <w:r>
        <w:rPr/>
        <w:t>found</w:t>
      </w:r>
      <w:r>
        <w:rPr>
          <w:spacing w:val="58"/>
        </w:rPr>
        <w:t> </w:t>
      </w:r>
      <w:r>
        <w:rPr/>
        <w:t>to  be</w:t>
      </w:r>
      <w:r>
        <w:rPr>
          <w:spacing w:val="57"/>
        </w:rPr>
        <w:t> </w:t>
      </w:r>
      <w:r>
        <w:rPr/>
        <w:t>decreased.</w:t>
      </w:r>
      <w:r>
        <w:rPr>
          <w:spacing w:val="2"/>
        </w:rPr>
        <w:t> </w:t>
      </w:r>
      <w:r>
        <w:rPr/>
        <w:t>The</w:t>
      </w:r>
      <w:r>
        <w:rPr>
          <w:spacing w:val="58"/>
        </w:rPr>
        <w:t> </w:t>
      </w:r>
      <w:r>
        <w:rPr/>
        <w:t>increase</w:t>
      </w:r>
      <w:r>
        <w:rPr>
          <w:spacing w:val="57"/>
        </w:rPr>
        <w:t> </w:t>
      </w:r>
      <w:r>
        <w:rPr/>
        <w:t>in  the</w:t>
      </w:r>
      <w:r>
        <w:rPr>
          <w:spacing w:val="58"/>
        </w:rPr>
        <w:t> </w:t>
      </w:r>
      <w:r>
        <w:rPr/>
        <w:t>AST</w:t>
      </w:r>
      <w:r>
        <w:rPr>
          <w:spacing w:val="59"/>
        </w:rPr>
        <w:t> </w:t>
      </w:r>
      <w:r>
        <w:rPr/>
        <w:t>was</w:t>
      </w:r>
      <w:r>
        <w:rPr>
          <w:spacing w:val="59"/>
        </w:rPr>
        <w:t> </w:t>
      </w:r>
      <w:r>
        <w:rPr/>
        <w:t>found</w:t>
      </w:r>
      <w:r>
        <w:rPr>
          <w:spacing w:val="59"/>
        </w:rPr>
        <w:t> </w:t>
      </w:r>
      <w:r>
        <w:rPr/>
        <w:t>not</w:t>
      </w:r>
      <w:r>
        <w:rPr>
          <w:spacing w:val="59"/>
        </w:rPr>
        <w:t> </w:t>
      </w:r>
      <w:r>
        <w:rPr/>
        <w:t>to</w:t>
      </w:r>
      <w:r>
        <w:rPr>
          <w:spacing w:val="59"/>
        </w:rPr>
        <w:t> </w:t>
      </w:r>
      <w:r>
        <w:rPr/>
        <w:t>be</w:t>
      </w:r>
      <w:r>
        <w:rPr>
          <w:spacing w:val="-58"/>
        </w:rPr>
        <w:t> </w:t>
      </w:r>
      <w:r>
        <w:rPr/>
        <w:t>statistically significant when compared with the control at P&lt;0.05. Similarly, there is a slight</w:t>
      </w:r>
      <w:r>
        <w:rPr>
          <w:spacing w:val="1"/>
        </w:rPr>
        <w:t> </w:t>
      </w:r>
      <w:r>
        <w:rPr/>
        <w:t>increase in ALT values</w:t>
      </w:r>
      <w:r>
        <w:rPr>
          <w:spacing w:val="61"/>
        </w:rPr>
        <w:t> </w:t>
      </w:r>
      <w:r>
        <w:rPr/>
        <w:t>with the 500 and 1000mg/kg dose of the extract, however, the</w:t>
      </w:r>
      <w:r>
        <w:rPr>
          <w:spacing w:val="1"/>
        </w:rPr>
        <w:t> </w:t>
      </w:r>
      <w:r>
        <w:rPr/>
        <w:t>increase was also found</w:t>
      </w:r>
      <w:r>
        <w:rPr>
          <w:spacing w:val="1"/>
        </w:rPr>
        <w:t> </w:t>
      </w:r>
      <w:r>
        <w:rPr/>
        <w:t>not to be statistically significant when compared with the control at</w:t>
      </w:r>
      <w:r>
        <w:rPr>
          <w:spacing w:val="1"/>
        </w:rPr>
        <w:t> </w:t>
      </w:r>
      <w:r>
        <w:rPr/>
        <w:t>P&lt;0.05</w:t>
      </w:r>
      <w:r>
        <w:rPr>
          <w:spacing w:val="59"/>
        </w:rPr>
        <w:t> </w:t>
      </w:r>
      <w:r>
        <w:rPr/>
        <w:t>(Fig.4.2 ).</w:t>
      </w:r>
    </w:p>
    <w:p>
      <w:pPr>
        <w:spacing w:after="0" w:line="480" w:lineRule="auto"/>
        <w:jc w:val="both"/>
        <w:sectPr>
          <w:pgSz w:w="12240" w:h="15840"/>
          <w:pgMar w:header="0" w:footer="792" w:top="1360" w:bottom="980" w:left="1080" w:right="760"/>
        </w:sectPr>
      </w:pPr>
    </w:p>
    <w:p>
      <w:pPr>
        <w:pStyle w:val="BodyText"/>
        <w:rPr>
          <w:sz w:val="20"/>
        </w:rPr>
      </w:pPr>
    </w:p>
    <w:p>
      <w:pPr>
        <w:spacing w:before="65"/>
        <w:ind w:left="1204" w:right="0" w:firstLine="0"/>
        <w:jc w:val="left"/>
        <w:rPr>
          <w:rFonts w:ascii="Calibri"/>
          <w:sz w:val="19"/>
        </w:rPr>
      </w:pPr>
      <w:r>
        <w:rPr/>
        <w:pict>
          <v:group style="position:absolute;margin-left:134.840652pt;margin-top:8.563193pt;width:322.9pt;height:224.45pt;mso-position-horizontal-relative:page;mso-position-vertical-relative:paragraph;z-index:15739392" coordorigin="2697,171" coordsize="6458,4489">
            <v:rect style="position:absolute;left:3114;top:2046;width:495;height:2542" filled="true" fillcolor="#4f81bc" stroked="false">
              <v:fill type="solid"/>
            </v:rect>
            <v:rect style="position:absolute;left:3609;top:2240;width:495;height:2347" filled="true" fillcolor="#c0504d" stroked="false">
              <v:fill type="solid"/>
            </v:rect>
            <v:rect style="position:absolute;left:4103;top:1582;width:480;height:3005" filled="true" fillcolor="#9bba58" stroked="false">
              <v:fill type="solid"/>
            </v:rect>
            <v:rect style="position:absolute;left:4582;top:2120;width:495;height:2467" filled="true" fillcolor="#8063a1" stroked="false">
              <v:fill type="solid"/>
            </v:rect>
            <v:rect style="position:absolute;left:5077;top:2689;width:495;height:1899" filled="true" fillcolor="#4aacc5" stroked="false">
              <v:fill type="solid"/>
            </v:rect>
            <v:shape style="position:absolute;left:3311;top:1078;width:2056;height:1619" coordorigin="3312,1078" coordsize="2056,1619" path="m3357,2052l3357,1797m3312,1782l3402,1782m3852,2247l3852,2067m3807,2052l3896,2052m4347,1587l4347,1093m4302,1078l4392,1078m4827,2127l4827,1737m4782,1722l4872,1722m5322,2697l5322,2607m5277,2591l5367,2591e" filled="false" stroked="true" strokeweight=".748184pt" strokecolor="#000000">
              <v:path arrowok="t"/>
              <v:stroke dashstyle="solid"/>
            </v:shape>
            <v:rect style="position:absolute;left:6305;top:3077;width:495;height:1510" filled="true" fillcolor="#4f81bc" stroked="false">
              <v:fill type="solid"/>
            </v:rect>
            <v:rect style="position:absolute;left:6799;top:3062;width:495;height:1525" filled="true" fillcolor="#c0504d" stroked="false">
              <v:fill type="solid"/>
            </v:rect>
            <v:rect style="position:absolute;left:7293;top:2674;width:480;height:1914" filled="true" fillcolor="#9bba58" stroked="false">
              <v:fill type="solid"/>
            </v:rect>
            <v:rect style="position:absolute;left:7773;top:3122;width:495;height:1465" filled="true" fillcolor="#8063a1" stroked="false">
              <v:fill type="solid"/>
            </v:rect>
            <v:rect style="position:absolute;left:8267;top:2763;width:495;height:1824" filled="true" fillcolor="#4aacc5" stroked="false">
              <v:fill type="solid"/>
            </v:rect>
            <v:shape style="position:absolute;left:6506;top:2156;width:2056;height:975" coordorigin="6507,2157" coordsize="2056,975" path="m6552,3086l6552,2966m6507,2951l6597,2951m7047,3071l7047,2981m7002,2966l7092,2966m7542,2682l7542,2382m7497,2367l7587,2367m8022,3131l8022,2936m7977,2921l8067,2921m8517,2771l8517,2172m8472,2157l8562,2157e" filled="false" stroked="true" strokeweight=".748184pt" strokecolor="#000000">
              <v:path arrowok="t"/>
              <v:stroke dashstyle="solid"/>
            </v:shape>
            <v:shape style="position:absolute;left:2696;top:178;width:6451;height:4482" coordorigin="2697,179" coordsize="6451,4482" path="m2757,179l2757,4585m2697,4600l2742,4600m2697,3716l2742,3716m2697,2832l2742,2832m2697,1947l2742,1947m2697,1063l2742,1063m2697,179l2742,179m2757,4600l9132,4600m2757,4660l2757,4615m5952,4660l5952,4615m9147,4660l9147,4615e" filled="false" stroked="true" strokeweight=".748184pt" strokecolor="#808080">
              <v:path arrowok="t"/>
              <v:stroke dashstyle="solid"/>
            </v:shape>
            <w10:wrap type="none"/>
          </v:group>
        </w:pict>
      </w:r>
      <w:r>
        <w:rPr>
          <w:rFonts w:ascii="Calibri"/>
          <w:w w:val="105"/>
          <w:sz w:val="19"/>
        </w:rPr>
        <w:t>250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2"/>
        <w:rPr>
          <w:rFonts w:ascii="Calibri"/>
          <w:sz w:val="28"/>
        </w:rPr>
      </w:pPr>
    </w:p>
    <w:p>
      <w:pPr>
        <w:spacing w:before="65"/>
        <w:ind w:left="1204" w:right="0" w:firstLine="0"/>
        <w:jc w:val="left"/>
        <w:rPr>
          <w:rFonts w:ascii="Calibri"/>
          <w:sz w:val="19"/>
        </w:rPr>
      </w:pPr>
      <w:r>
        <w:rPr>
          <w:rFonts w:ascii="Calibri"/>
          <w:w w:val="105"/>
          <w:sz w:val="19"/>
        </w:rPr>
        <w:t>200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1"/>
        <w:rPr>
          <w:rFonts w:ascii="Calibri"/>
          <w:sz w:val="28"/>
        </w:rPr>
      </w:pPr>
    </w:p>
    <w:p>
      <w:pPr>
        <w:spacing w:after="0"/>
        <w:rPr>
          <w:rFonts w:ascii="Calibri"/>
          <w:sz w:val="28"/>
        </w:rPr>
        <w:sectPr>
          <w:pgSz w:w="12240" w:h="15840"/>
          <w:pgMar w:header="0" w:footer="792" w:top="1500" w:bottom="980" w:left="1080" w:right="760"/>
        </w:sectPr>
      </w:pPr>
    </w:p>
    <w:p>
      <w:pPr>
        <w:spacing w:before="66"/>
        <w:ind w:left="0" w:right="38" w:firstLine="0"/>
        <w:jc w:val="right"/>
        <w:rPr>
          <w:rFonts w:ascii="Calibri"/>
          <w:sz w:val="19"/>
        </w:rPr>
      </w:pPr>
      <w:r>
        <w:rPr/>
        <w:pict>
          <v:shape style="position:absolute;margin-left:98.636299pt;margin-top:2.291889pt;width:9.8pt;height:36.3pt;mso-position-horizontal-relative:page;mso-position-vertical-relative:paragraph;z-index:-18400768" type="#_x0000_t202" filled="false" stroked="false">
            <v:textbox inset="0,0,0,0">
              <w:txbxContent>
                <w:p>
                  <w:pPr>
                    <w:pStyle w:val="BodyText"/>
                    <w:spacing w:before="8"/>
                    <w:rPr>
                      <w:b/>
                      <w:sz w:val="4"/>
                    </w:rPr>
                  </w:pPr>
                </w:p>
                <w:p>
                  <w:pPr>
                    <w:spacing w:line="57" w:lineRule="auto" w:before="0"/>
                    <w:ind w:left="0" w:right="0" w:firstLine="0"/>
                    <w:jc w:val="both"/>
                    <w:rPr>
                      <w:rFonts w:ascii="Calibri"/>
                      <w:b/>
                      <w:sz w:val="19"/>
                    </w:rPr>
                  </w:pPr>
                  <w:r>
                    <w:rPr>
                      <w:rFonts w:ascii="Calibri"/>
                      <w:b/>
                      <w:w w:val="105"/>
                      <w:sz w:val="19"/>
                    </w:rPr>
                    <w:t>e</w:t>
                  </w:r>
                  <w:r>
                    <w:rPr>
                      <w:rFonts w:ascii="Calibri"/>
                      <w:b/>
                      <w:spacing w:val="2"/>
                      <w:w w:val="105"/>
                      <w:sz w:val="19"/>
                    </w:rPr>
                    <w:t> </w:t>
                  </w:r>
                  <w:r>
                    <w:rPr>
                      <w:rFonts w:ascii="Calibri"/>
                      <w:b/>
                      <w:w w:val="105"/>
                      <w:sz w:val="19"/>
                    </w:rPr>
                    <w:t>l</w:t>
                  </w:r>
                  <w:r>
                    <w:rPr>
                      <w:rFonts w:ascii="Calibri"/>
                      <w:b/>
                      <w:spacing w:val="33"/>
                      <w:w w:val="105"/>
                      <w:sz w:val="19"/>
                    </w:rPr>
                    <w:t> </w:t>
                  </w:r>
                  <w:r>
                    <w:rPr>
                      <w:rFonts w:ascii="Calibri"/>
                      <w:b/>
                      <w:w w:val="105"/>
                      <w:sz w:val="19"/>
                    </w:rPr>
                    <w:t>t</w:t>
                  </w:r>
                  <w:r>
                    <w:rPr>
                      <w:rFonts w:ascii="Calibri"/>
                      <w:b/>
                      <w:spacing w:val="33"/>
                      <w:w w:val="105"/>
                      <w:sz w:val="19"/>
                    </w:rPr>
                    <w:t> </w:t>
                  </w:r>
                  <w:r>
                    <w:rPr>
                      <w:rFonts w:ascii="Calibri"/>
                      <w:b/>
                      <w:w w:val="105"/>
                      <w:sz w:val="19"/>
                    </w:rPr>
                    <w:t>i</w:t>
                  </w:r>
                </w:p>
                <w:p>
                  <w:pPr>
                    <w:spacing w:line="69" w:lineRule="exact" w:before="0"/>
                    <w:ind w:left="0" w:right="0" w:firstLine="0"/>
                    <w:jc w:val="left"/>
                    <w:rPr>
                      <w:rFonts w:ascii="Calibri"/>
                      <w:b/>
                      <w:sz w:val="19"/>
                    </w:rPr>
                  </w:pPr>
                  <w:r>
                    <w:rPr>
                      <w:rFonts w:ascii="Calibri"/>
                      <w:b/>
                      <w:w w:val="102"/>
                      <w:sz w:val="19"/>
                    </w:rPr>
                    <w:t>T</w:t>
                  </w:r>
                </w:p>
                <w:p>
                  <w:pPr>
                    <w:spacing w:line="132" w:lineRule="auto" w:before="23"/>
                    <w:ind w:left="0" w:right="0" w:firstLine="0"/>
                    <w:jc w:val="both"/>
                    <w:rPr>
                      <w:rFonts w:ascii="Calibri"/>
                      <w:b/>
                      <w:sz w:val="19"/>
                    </w:rPr>
                  </w:pPr>
                  <w:r>
                    <w:rPr>
                      <w:rFonts w:ascii="Calibri"/>
                      <w:b/>
                      <w:w w:val="105"/>
                      <w:sz w:val="19"/>
                    </w:rPr>
                    <w:t>s</w:t>
                  </w:r>
                  <w:r>
                    <w:rPr>
                      <w:rFonts w:ascii="Calibri"/>
                      <w:b/>
                      <w:spacing w:val="1"/>
                      <w:w w:val="105"/>
                      <w:sz w:val="19"/>
                    </w:rPr>
                    <w:t> </w:t>
                  </w:r>
                  <w:r>
                    <w:rPr>
                      <w:rFonts w:ascii="Calibri"/>
                      <w:b/>
                      <w:w w:val="105"/>
                      <w:sz w:val="19"/>
                    </w:rPr>
                    <w:t>xi</w:t>
                  </w:r>
                  <w:r>
                    <w:rPr>
                      <w:rFonts w:ascii="Calibri"/>
                      <w:b/>
                      <w:spacing w:val="1"/>
                      <w:w w:val="105"/>
                      <w:sz w:val="19"/>
                    </w:rPr>
                    <w:t> </w:t>
                  </w:r>
                  <w:r>
                    <w:rPr>
                      <w:rFonts w:ascii="Calibri"/>
                      <w:b/>
                      <w:w w:val="105"/>
                      <w:sz w:val="19"/>
                    </w:rPr>
                    <w:t>A</w:t>
                  </w:r>
                </w:p>
              </w:txbxContent>
            </v:textbox>
            <w10:wrap type="none"/>
          </v:shape>
        </w:pict>
      </w:r>
      <w:r>
        <w:rPr/>
        <w:pict>
          <v:rect style="position:absolute;margin-left:83.400002pt;margin-top:-29.077845pt;width:27pt;height:99pt;mso-position-horizontal-relative:page;mso-position-vertical-relative:paragraph;z-index:15742464" filled="true" fillcolor="#ffffff" stroked="false">
            <v:fill type="solid"/>
            <w10:wrap type="none"/>
          </v:rect>
        </w:pict>
      </w:r>
      <w:r>
        <w:rPr/>
        <w:pict>
          <v:shape style="position:absolute;margin-left:90.102112pt;margin-top:-4.745015pt;width:14.25pt;height:50.35pt;mso-position-horizontal-relative:page;mso-position-vertical-relative:paragraph;z-index:15742976" type="#_x0000_t202" filled="false" stroked="false">
            <v:textbox inset="0,0,0,0" style="layout-flow:vertical;mso-layout-flow-alt:bottom-to-top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sz w:val="22"/>
                    </w:rPr>
                  </w:pPr>
                  <w:r>
                    <w:rPr>
                      <w:sz w:val="22"/>
                    </w:rPr>
                    <w:t>Units/Litre</w:t>
                  </w:r>
                </w:p>
              </w:txbxContent>
            </v:textbox>
            <w10:wrap type="none"/>
          </v:shape>
        </w:pict>
      </w:r>
      <w:r>
        <w:rPr>
          <w:rFonts w:ascii="Calibri"/>
          <w:w w:val="105"/>
          <w:sz w:val="19"/>
        </w:rPr>
        <w:t>150</w:t>
      </w: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spacing w:before="4"/>
        <w:rPr>
          <w:rFonts w:ascii="Calibri"/>
          <w:sz w:val="17"/>
        </w:rPr>
      </w:pPr>
    </w:p>
    <w:p>
      <w:pPr>
        <w:spacing w:before="1"/>
        <w:ind w:left="0" w:right="38" w:firstLine="0"/>
        <w:jc w:val="right"/>
        <w:rPr>
          <w:rFonts w:ascii="Calibri"/>
          <w:sz w:val="19"/>
        </w:rPr>
      </w:pPr>
      <w:r>
        <w:rPr>
          <w:rFonts w:ascii="Calibri"/>
          <w:w w:val="105"/>
          <w:sz w:val="19"/>
        </w:rPr>
        <w:t>100</w:t>
      </w: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spacing w:before="5"/>
        <w:rPr>
          <w:rFonts w:ascii="Calibri"/>
          <w:sz w:val="17"/>
        </w:rPr>
      </w:pPr>
    </w:p>
    <w:p>
      <w:pPr>
        <w:spacing w:before="0"/>
        <w:ind w:left="0" w:right="38" w:firstLine="0"/>
        <w:jc w:val="right"/>
        <w:rPr>
          <w:rFonts w:ascii="Calibri"/>
          <w:sz w:val="19"/>
        </w:rPr>
      </w:pPr>
      <w:r>
        <w:rPr>
          <w:rFonts w:ascii="Calibri"/>
          <w:w w:val="105"/>
          <w:sz w:val="19"/>
        </w:rPr>
        <w:t>50</w:t>
      </w:r>
    </w:p>
    <w:p>
      <w:pPr>
        <w:pStyle w:val="BodyText"/>
        <w:spacing w:before="7"/>
        <w:rPr>
          <w:rFonts w:ascii="Calibri"/>
          <w:sz w:val="17"/>
        </w:rPr>
      </w:pPr>
      <w:r>
        <w:rPr/>
        <w:br w:type="column"/>
      </w:r>
      <w:r>
        <w:rPr>
          <w:rFonts w:ascii="Calibri"/>
          <w:sz w:val="17"/>
        </w:rPr>
      </w:r>
    </w:p>
    <w:p>
      <w:pPr>
        <w:spacing w:line="372" w:lineRule="auto" w:before="1"/>
        <w:ind w:left="1204" w:right="4" w:firstLine="0"/>
        <w:jc w:val="left"/>
        <w:rPr>
          <w:rFonts w:ascii="Calibri"/>
          <w:sz w:val="19"/>
        </w:rPr>
      </w:pPr>
      <w:r>
        <w:rPr>
          <w:rFonts w:ascii="Calibri"/>
          <w:w w:val="105"/>
          <w:sz w:val="19"/>
        </w:rPr>
        <w:t>Normal</w:t>
      </w:r>
      <w:r>
        <w:rPr>
          <w:rFonts w:ascii="Calibri"/>
          <w:spacing w:val="1"/>
          <w:w w:val="105"/>
          <w:sz w:val="19"/>
        </w:rPr>
        <w:t> </w:t>
      </w:r>
      <w:r>
        <w:rPr>
          <w:rFonts w:ascii="Calibri"/>
          <w:w w:val="105"/>
          <w:sz w:val="19"/>
        </w:rPr>
        <w:t>saline</w:t>
      </w:r>
      <w:r>
        <w:rPr>
          <w:rFonts w:ascii="Calibri"/>
          <w:spacing w:val="-43"/>
          <w:w w:val="105"/>
          <w:sz w:val="19"/>
        </w:rPr>
        <w:t> </w:t>
      </w:r>
      <w:r>
        <w:rPr>
          <w:rFonts w:ascii="Calibri"/>
          <w:w w:val="105"/>
          <w:sz w:val="19"/>
        </w:rPr>
        <w:t>DM</w:t>
      </w:r>
      <w:r>
        <w:rPr>
          <w:rFonts w:ascii="Calibri"/>
          <w:spacing w:val="-10"/>
          <w:w w:val="105"/>
          <w:sz w:val="19"/>
        </w:rPr>
        <w:t> </w:t>
      </w:r>
      <w:r>
        <w:rPr>
          <w:rFonts w:ascii="Calibri"/>
          <w:w w:val="105"/>
          <w:sz w:val="19"/>
        </w:rPr>
        <w:t>50</w:t>
      </w:r>
      <w:r>
        <w:rPr>
          <w:rFonts w:ascii="Calibri"/>
          <w:spacing w:val="-3"/>
          <w:w w:val="105"/>
          <w:sz w:val="19"/>
        </w:rPr>
        <w:t> </w:t>
      </w:r>
      <w:r>
        <w:rPr>
          <w:rFonts w:ascii="Calibri"/>
          <w:w w:val="105"/>
          <w:sz w:val="19"/>
        </w:rPr>
        <w:t>mg/kg</w:t>
      </w:r>
    </w:p>
    <w:p>
      <w:pPr>
        <w:spacing w:before="0"/>
        <w:ind w:left="1204" w:right="0" w:firstLine="0"/>
        <w:jc w:val="left"/>
        <w:rPr>
          <w:rFonts w:ascii="Calibri"/>
          <w:sz w:val="19"/>
        </w:rPr>
      </w:pPr>
      <w:r>
        <w:rPr/>
        <w:pict>
          <v:rect style="position:absolute;margin-left:495.753357pt;margin-top:-32.831161pt;width:5.242486pt;height:5.232084pt;mso-position-horizontal-relative:page;mso-position-vertical-relative:paragraph;z-index:15739904" filled="true" fillcolor="#4f81bc" stroked="false">
            <v:fill type="solid"/>
            <w10:wrap type="none"/>
          </v:rect>
        </w:pict>
      </w:r>
      <w:r>
        <w:rPr/>
        <w:pict>
          <v:rect style="position:absolute;margin-left:495.753357pt;margin-top:-14.89259pt;width:5.242486pt;height:5.232084pt;mso-position-horizontal-relative:page;mso-position-vertical-relative:paragraph;z-index:15740416" filled="true" fillcolor="#c0504d" stroked="false">
            <v:fill type="solid"/>
            <w10:wrap type="none"/>
          </v:rect>
        </w:pict>
      </w:r>
      <w:r>
        <w:rPr/>
        <w:pict>
          <v:rect style="position:absolute;margin-left:495.753357pt;margin-top:3.045983pt;width:5.242486pt;height:5.232084pt;mso-position-horizontal-relative:page;mso-position-vertical-relative:paragraph;z-index:15740928" filled="true" fillcolor="#9bba58" stroked="false">
            <v:fill type="solid"/>
            <w10:wrap type="none"/>
          </v:rect>
        </w:pict>
      </w:r>
      <w:r>
        <w:rPr>
          <w:rFonts w:ascii="Calibri"/>
          <w:sz w:val="19"/>
        </w:rPr>
        <w:t>DM</w:t>
      </w:r>
      <w:r>
        <w:rPr>
          <w:rFonts w:ascii="Calibri"/>
          <w:spacing w:val="10"/>
          <w:sz w:val="19"/>
        </w:rPr>
        <w:t> </w:t>
      </w:r>
      <w:r>
        <w:rPr>
          <w:rFonts w:ascii="Calibri"/>
          <w:sz w:val="19"/>
        </w:rPr>
        <w:t>250</w:t>
      </w:r>
      <w:r>
        <w:rPr>
          <w:rFonts w:ascii="Calibri"/>
          <w:spacing w:val="21"/>
          <w:sz w:val="19"/>
        </w:rPr>
        <w:t> </w:t>
      </w:r>
      <w:r>
        <w:rPr>
          <w:rFonts w:ascii="Calibri"/>
          <w:sz w:val="19"/>
        </w:rPr>
        <w:t>mg/kg</w:t>
      </w:r>
    </w:p>
    <w:p>
      <w:pPr>
        <w:spacing w:before="113"/>
        <w:ind w:left="1204" w:right="0" w:firstLine="0"/>
        <w:jc w:val="left"/>
        <w:rPr>
          <w:rFonts w:ascii="Calibri"/>
          <w:sz w:val="19"/>
        </w:rPr>
      </w:pPr>
      <w:r>
        <w:rPr/>
        <w:pict>
          <v:rect style="position:absolute;margin-left:495.753357pt;margin-top:8.646149pt;width:5.242486pt;height:5.232084pt;mso-position-horizontal-relative:page;mso-position-vertical-relative:paragraph;z-index:15741440" filled="true" fillcolor="#8063a1" stroked="false">
            <v:fill type="solid"/>
            <w10:wrap type="none"/>
          </v:rect>
        </w:pict>
      </w:r>
      <w:r>
        <w:rPr>
          <w:rFonts w:ascii="Calibri"/>
          <w:sz w:val="19"/>
        </w:rPr>
        <w:t>DM</w:t>
      </w:r>
      <w:r>
        <w:rPr>
          <w:rFonts w:ascii="Calibri"/>
          <w:spacing w:val="10"/>
          <w:sz w:val="19"/>
        </w:rPr>
        <w:t> </w:t>
      </w:r>
      <w:r>
        <w:rPr>
          <w:rFonts w:ascii="Calibri"/>
          <w:sz w:val="19"/>
        </w:rPr>
        <w:t>500</w:t>
      </w:r>
      <w:r>
        <w:rPr>
          <w:rFonts w:ascii="Calibri"/>
          <w:spacing w:val="21"/>
          <w:sz w:val="19"/>
        </w:rPr>
        <w:t> </w:t>
      </w:r>
      <w:r>
        <w:rPr>
          <w:rFonts w:ascii="Calibri"/>
          <w:sz w:val="19"/>
        </w:rPr>
        <w:t>mg/kg</w:t>
      </w:r>
    </w:p>
    <w:p>
      <w:pPr>
        <w:spacing w:before="128"/>
        <w:ind w:left="1204" w:right="0" w:firstLine="0"/>
        <w:jc w:val="left"/>
        <w:rPr>
          <w:rFonts w:ascii="Calibri"/>
          <w:sz w:val="19"/>
        </w:rPr>
      </w:pPr>
      <w:r>
        <w:rPr/>
        <w:pict>
          <v:rect style="position:absolute;margin-left:495.753357pt;margin-top:9.346319pt;width:5.242486pt;height:5.232084pt;mso-position-horizontal-relative:page;mso-position-vertical-relative:paragraph;z-index:15741952" filled="true" fillcolor="#4aacc5" stroked="false">
            <v:fill type="solid"/>
            <w10:wrap type="none"/>
          </v:rect>
        </w:pict>
      </w:r>
      <w:r>
        <w:rPr>
          <w:rFonts w:ascii="Calibri"/>
          <w:w w:val="105"/>
          <w:sz w:val="19"/>
        </w:rPr>
        <w:t>DM</w:t>
      </w:r>
      <w:r>
        <w:rPr>
          <w:rFonts w:ascii="Calibri"/>
          <w:spacing w:val="-10"/>
          <w:w w:val="105"/>
          <w:sz w:val="19"/>
        </w:rPr>
        <w:t> </w:t>
      </w:r>
      <w:r>
        <w:rPr>
          <w:rFonts w:ascii="Calibri"/>
          <w:w w:val="105"/>
          <w:sz w:val="19"/>
        </w:rPr>
        <w:t>1000</w:t>
      </w:r>
      <w:r>
        <w:rPr>
          <w:rFonts w:ascii="Calibri"/>
          <w:spacing w:val="-4"/>
          <w:w w:val="105"/>
          <w:sz w:val="19"/>
        </w:rPr>
        <w:t> </w:t>
      </w:r>
      <w:r>
        <w:rPr>
          <w:rFonts w:ascii="Calibri"/>
          <w:w w:val="105"/>
          <w:sz w:val="19"/>
        </w:rPr>
        <w:t>mg/kg</w:t>
      </w:r>
    </w:p>
    <w:p>
      <w:pPr>
        <w:spacing w:after="0"/>
        <w:jc w:val="left"/>
        <w:rPr>
          <w:rFonts w:ascii="Calibri"/>
          <w:sz w:val="19"/>
        </w:rPr>
        <w:sectPr>
          <w:type w:val="continuous"/>
          <w:pgSz w:w="12240" w:h="15840"/>
          <w:pgMar w:top="1360" w:bottom="980" w:left="1080" w:right="760"/>
          <w:cols w:num="2" w:equalWidth="0">
            <w:col w:w="1559" w:space="6240"/>
            <w:col w:w="2601"/>
          </w:cols>
        </w:sect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1"/>
        <w:rPr>
          <w:rFonts w:ascii="Calibri"/>
          <w:sz w:val="28"/>
        </w:rPr>
      </w:pPr>
    </w:p>
    <w:p>
      <w:pPr>
        <w:spacing w:before="65"/>
        <w:ind w:left="1414" w:right="0" w:firstLine="0"/>
        <w:jc w:val="left"/>
        <w:rPr>
          <w:rFonts w:ascii="Calibri"/>
          <w:sz w:val="19"/>
        </w:rPr>
      </w:pPr>
      <w:r>
        <w:rPr>
          <w:rFonts w:ascii="Calibri"/>
          <w:w w:val="102"/>
          <w:sz w:val="19"/>
        </w:rPr>
        <w:t>0</w:t>
      </w:r>
    </w:p>
    <w:p>
      <w:pPr>
        <w:tabs>
          <w:tab w:pos="6334" w:val="left" w:leader="none"/>
        </w:tabs>
        <w:spacing w:before="53"/>
        <w:ind w:left="3139" w:right="0" w:firstLine="0"/>
        <w:jc w:val="left"/>
        <w:rPr>
          <w:rFonts w:ascii="Calibri"/>
          <w:sz w:val="19"/>
        </w:rPr>
      </w:pPr>
      <w:r>
        <w:rPr>
          <w:rFonts w:ascii="Calibri"/>
          <w:w w:val="105"/>
          <w:sz w:val="19"/>
        </w:rPr>
        <w:t>AST</w:t>
        <w:tab/>
        <w:t>ALT</w:t>
      </w:r>
    </w:p>
    <w:p>
      <w:pPr>
        <w:spacing w:before="113"/>
        <w:ind w:left="1007" w:right="1529" w:firstLine="0"/>
        <w:jc w:val="center"/>
        <w:rPr>
          <w:rFonts w:ascii="Calibri"/>
          <w:b/>
          <w:sz w:val="19"/>
        </w:rPr>
      </w:pPr>
      <w:r>
        <w:rPr>
          <w:rFonts w:ascii="Calibri"/>
          <w:b/>
          <w:sz w:val="19"/>
        </w:rPr>
        <w:t>Liver</w:t>
      </w:r>
      <w:r>
        <w:rPr>
          <w:rFonts w:ascii="Calibri"/>
          <w:b/>
          <w:spacing w:val="30"/>
          <w:sz w:val="19"/>
        </w:rPr>
        <w:t> </w:t>
      </w:r>
      <w:r>
        <w:rPr>
          <w:rFonts w:ascii="Calibri"/>
          <w:b/>
          <w:sz w:val="19"/>
        </w:rPr>
        <w:t>function</w:t>
      </w:r>
      <w:r>
        <w:rPr>
          <w:rFonts w:ascii="Calibri"/>
          <w:b/>
          <w:spacing w:val="21"/>
          <w:sz w:val="19"/>
        </w:rPr>
        <w:t> </w:t>
      </w:r>
      <w:r>
        <w:rPr>
          <w:rFonts w:ascii="Calibri"/>
          <w:b/>
          <w:sz w:val="19"/>
        </w:rPr>
        <w:t>Parameters</w:t>
      </w:r>
    </w:p>
    <w:p>
      <w:pPr>
        <w:pStyle w:val="BodyText"/>
        <w:spacing w:before="4"/>
        <w:rPr>
          <w:rFonts w:ascii="Calibri"/>
          <w:b/>
          <w:sz w:val="8"/>
        </w:rPr>
      </w:pPr>
    </w:p>
    <w:p>
      <w:pPr>
        <w:spacing w:before="91"/>
        <w:ind w:left="792" w:right="672" w:firstLine="0"/>
        <w:jc w:val="left"/>
        <w:rPr>
          <w:b/>
          <w:sz w:val="22"/>
        </w:rPr>
      </w:pPr>
      <w:r>
        <w:rPr>
          <w:b/>
          <w:sz w:val="22"/>
        </w:rPr>
        <w:t>Fig.4.2:</w:t>
      </w:r>
      <w:r>
        <w:rPr>
          <w:b/>
          <w:spacing w:val="8"/>
          <w:sz w:val="22"/>
        </w:rPr>
        <w:t> </w:t>
      </w:r>
      <w:r>
        <w:rPr>
          <w:b/>
          <w:sz w:val="22"/>
        </w:rPr>
        <w:t>Effect</w:t>
      </w:r>
      <w:r>
        <w:rPr>
          <w:b/>
          <w:spacing w:val="9"/>
          <w:sz w:val="22"/>
        </w:rPr>
        <w:t> </w:t>
      </w:r>
      <w:r>
        <w:rPr>
          <w:b/>
          <w:sz w:val="22"/>
        </w:rPr>
        <w:t>of</w:t>
      </w:r>
      <w:r>
        <w:rPr>
          <w:b/>
          <w:spacing w:val="10"/>
          <w:sz w:val="22"/>
        </w:rPr>
        <w:t> </w:t>
      </w:r>
      <w:r>
        <w:rPr>
          <w:b/>
          <w:sz w:val="22"/>
        </w:rPr>
        <w:t>28</w:t>
      </w:r>
      <w:r>
        <w:rPr>
          <w:b/>
          <w:spacing w:val="8"/>
          <w:sz w:val="22"/>
        </w:rPr>
        <w:t> </w:t>
      </w:r>
      <w:r>
        <w:rPr>
          <w:b/>
          <w:sz w:val="22"/>
        </w:rPr>
        <w:t>days</w:t>
      </w:r>
      <w:r>
        <w:rPr>
          <w:b/>
          <w:spacing w:val="6"/>
          <w:sz w:val="22"/>
        </w:rPr>
        <w:t> </w:t>
      </w:r>
      <w:r>
        <w:rPr>
          <w:b/>
          <w:sz w:val="22"/>
        </w:rPr>
        <w:t>administration</w:t>
      </w:r>
      <w:r>
        <w:rPr>
          <w:b/>
          <w:spacing w:val="4"/>
          <w:sz w:val="22"/>
        </w:rPr>
        <w:t> </w:t>
      </w:r>
      <w:r>
        <w:rPr>
          <w:b/>
          <w:sz w:val="22"/>
        </w:rPr>
        <w:t>of</w:t>
      </w:r>
      <w:r>
        <w:rPr>
          <w:b/>
          <w:spacing w:val="11"/>
          <w:sz w:val="22"/>
        </w:rPr>
        <w:t> </w:t>
      </w:r>
      <w:r>
        <w:rPr>
          <w:b/>
          <w:sz w:val="22"/>
        </w:rPr>
        <w:t>DM</w:t>
      </w:r>
      <w:r>
        <w:rPr>
          <w:b/>
          <w:spacing w:val="7"/>
          <w:sz w:val="22"/>
        </w:rPr>
        <w:t> </w:t>
      </w:r>
      <w:r>
        <w:rPr>
          <w:b/>
          <w:sz w:val="22"/>
        </w:rPr>
        <w:t>on</w:t>
      </w:r>
      <w:r>
        <w:rPr>
          <w:b/>
          <w:spacing w:val="11"/>
          <w:sz w:val="22"/>
        </w:rPr>
        <w:t> </w:t>
      </w:r>
      <w:r>
        <w:rPr>
          <w:b/>
          <w:sz w:val="22"/>
        </w:rPr>
        <w:t>AST</w:t>
      </w:r>
      <w:r>
        <w:rPr>
          <w:b/>
          <w:spacing w:val="7"/>
          <w:sz w:val="22"/>
        </w:rPr>
        <w:t> </w:t>
      </w:r>
      <w:r>
        <w:rPr>
          <w:b/>
          <w:sz w:val="22"/>
        </w:rPr>
        <w:t>and</w:t>
      </w:r>
      <w:r>
        <w:rPr>
          <w:b/>
          <w:spacing w:val="6"/>
          <w:sz w:val="22"/>
        </w:rPr>
        <w:t> </w:t>
      </w:r>
      <w:r>
        <w:rPr>
          <w:b/>
          <w:sz w:val="22"/>
        </w:rPr>
        <w:t>ALT.</w:t>
      </w:r>
      <w:r>
        <w:rPr>
          <w:b/>
          <w:spacing w:val="8"/>
          <w:sz w:val="22"/>
        </w:rPr>
        <w:t> </w:t>
      </w:r>
      <w:r>
        <w:rPr>
          <w:b/>
          <w:sz w:val="22"/>
        </w:rPr>
        <w:t>No</w:t>
      </w:r>
      <w:r>
        <w:rPr>
          <w:b/>
          <w:spacing w:val="8"/>
          <w:sz w:val="22"/>
        </w:rPr>
        <w:t> </w:t>
      </w:r>
      <w:r>
        <w:rPr>
          <w:b/>
          <w:sz w:val="22"/>
        </w:rPr>
        <w:t>statistically</w:t>
      </w:r>
      <w:r>
        <w:rPr>
          <w:b/>
          <w:spacing w:val="10"/>
          <w:sz w:val="22"/>
        </w:rPr>
        <w:t> </w:t>
      </w:r>
      <w:r>
        <w:rPr>
          <w:b/>
          <w:sz w:val="22"/>
        </w:rPr>
        <w:t>significant</w:t>
      </w:r>
      <w:r>
        <w:rPr>
          <w:b/>
          <w:spacing w:val="-52"/>
          <w:sz w:val="22"/>
        </w:rPr>
        <w:t> </w:t>
      </w:r>
      <w:r>
        <w:rPr>
          <w:b/>
          <w:sz w:val="22"/>
        </w:rPr>
        <w:t>increase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in AST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and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ALT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when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compared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with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the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control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at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P&lt;0.05</w:t>
      </w:r>
    </w:p>
    <w:p>
      <w:pPr>
        <w:spacing w:after="0"/>
        <w:jc w:val="left"/>
        <w:rPr>
          <w:sz w:val="22"/>
        </w:rPr>
        <w:sectPr>
          <w:type w:val="continuous"/>
          <w:pgSz w:w="12240" w:h="15840"/>
          <w:pgMar w:top="1360" w:bottom="980" w:left="1080" w:right="760"/>
        </w:sectPr>
      </w:pPr>
    </w:p>
    <w:p>
      <w:pPr>
        <w:spacing w:line="480" w:lineRule="auto" w:before="78"/>
        <w:ind w:left="648" w:right="675" w:firstLine="0"/>
        <w:jc w:val="both"/>
        <w:rPr>
          <w:sz w:val="24"/>
        </w:rPr>
      </w:pPr>
      <w:r>
        <w:rPr>
          <w:b/>
          <w:sz w:val="24"/>
        </w:rPr>
        <w:t>ii.     </w:t>
      </w:r>
      <w:r>
        <w:rPr>
          <w:b/>
          <w:spacing w:val="1"/>
          <w:sz w:val="24"/>
        </w:rPr>
        <w:t> </w:t>
      </w:r>
      <w:r>
        <w:rPr>
          <w:b/>
          <w:i/>
          <w:sz w:val="24"/>
        </w:rPr>
        <w:t>Hepatobiliary function test; </w:t>
      </w:r>
      <w:r>
        <w:rPr>
          <w:sz w:val="24"/>
        </w:rPr>
        <w:t>The methanol leaf extract of </w:t>
      </w:r>
      <w:r>
        <w:rPr>
          <w:i/>
          <w:sz w:val="24"/>
        </w:rPr>
        <w:t>Diospyros mespiliformis</w:t>
      </w:r>
      <w:r>
        <w:rPr>
          <w:i/>
          <w:spacing w:val="1"/>
          <w:sz w:val="24"/>
        </w:rPr>
        <w:t> </w:t>
      </w:r>
      <w:r>
        <w:rPr>
          <w:sz w:val="24"/>
        </w:rPr>
        <w:t>causes a dose dependent increase in the values of ALP especially at 50, 500 and 1000mg/kg</w:t>
      </w:r>
      <w:r>
        <w:rPr>
          <w:spacing w:val="1"/>
          <w:sz w:val="24"/>
        </w:rPr>
        <w:t> </w:t>
      </w:r>
      <w:r>
        <w:rPr>
          <w:sz w:val="24"/>
        </w:rPr>
        <w:t>doses</w:t>
      </w:r>
      <w:r>
        <w:rPr>
          <w:spacing w:val="17"/>
          <w:sz w:val="24"/>
        </w:rPr>
        <w:t> </w:t>
      </w:r>
      <w:r>
        <w:rPr>
          <w:sz w:val="24"/>
        </w:rPr>
        <w:t>of</w:t>
      </w:r>
      <w:r>
        <w:rPr>
          <w:spacing w:val="17"/>
          <w:sz w:val="24"/>
        </w:rPr>
        <w:t> </w:t>
      </w:r>
      <w:r>
        <w:rPr>
          <w:sz w:val="24"/>
        </w:rPr>
        <w:t>the</w:t>
      </w:r>
      <w:r>
        <w:rPr>
          <w:spacing w:val="17"/>
          <w:sz w:val="24"/>
        </w:rPr>
        <w:t> </w:t>
      </w:r>
      <w:r>
        <w:rPr>
          <w:sz w:val="24"/>
        </w:rPr>
        <w:t>extract,</w:t>
      </w:r>
      <w:r>
        <w:rPr>
          <w:spacing w:val="18"/>
          <w:sz w:val="24"/>
        </w:rPr>
        <w:t> </w:t>
      </w:r>
      <w:r>
        <w:rPr>
          <w:sz w:val="24"/>
        </w:rPr>
        <w:t>this</w:t>
      </w:r>
      <w:r>
        <w:rPr>
          <w:spacing w:val="18"/>
          <w:sz w:val="24"/>
        </w:rPr>
        <w:t> </w:t>
      </w:r>
      <w:r>
        <w:rPr>
          <w:sz w:val="24"/>
        </w:rPr>
        <w:t>increase</w:t>
      </w:r>
      <w:r>
        <w:rPr>
          <w:spacing w:val="17"/>
          <w:sz w:val="24"/>
        </w:rPr>
        <w:t> </w:t>
      </w:r>
      <w:r>
        <w:rPr>
          <w:sz w:val="24"/>
        </w:rPr>
        <w:t>in</w:t>
      </w:r>
      <w:r>
        <w:rPr>
          <w:spacing w:val="18"/>
          <w:sz w:val="24"/>
        </w:rPr>
        <w:t> </w:t>
      </w:r>
      <w:r>
        <w:rPr>
          <w:sz w:val="24"/>
        </w:rPr>
        <w:t>ALP</w:t>
      </w:r>
      <w:r>
        <w:rPr>
          <w:spacing w:val="18"/>
          <w:sz w:val="24"/>
        </w:rPr>
        <w:t> </w:t>
      </w:r>
      <w:r>
        <w:rPr>
          <w:sz w:val="24"/>
        </w:rPr>
        <w:t>was</w:t>
      </w:r>
      <w:r>
        <w:rPr>
          <w:spacing w:val="18"/>
          <w:sz w:val="24"/>
        </w:rPr>
        <w:t> </w:t>
      </w:r>
      <w:r>
        <w:rPr>
          <w:sz w:val="24"/>
        </w:rPr>
        <w:t>found</w:t>
      </w:r>
      <w:r>
        <w:rPr>
          <w:spacing w:val="17"/>
          <w:sz w:val="24"/>
        </w:rPr>
        <w:t> </w:t>
      </w:r>
      <w:r>
        <w:rPr>
          <w:sz w:val="24"/>
        </w:rPr>
        <w:t>to</w:t>
      </w:r>
      <w:r>
        <w:rPr>
          <w:spacing w:val="18"/>
          <w:sz w:val="24"/>
        </w:rPr>
        <w:t> </w:t>
      </w:r>
      <w:r>
        <w:rPr>
          <w:sz w:val="24"/>
        </w:rPr>
        <w:t>be</w:t>
      </w:r>
      <w:r>
        <w:rPr>
          <w:spacing w:val="17"/>
          <w:sz w:val="24"/>
        </w:rPr>
        <w:t> </w:t>
      </w:r>
      <w:r>
        <w:rPr>
          <w:sz w:val="24"/>
        </w:rPr>
        <w:t>statistically</w:t>
      </w:r>
      <w:r>
        <w:rPr>
          <w:spacing w:val="13"/>
          <w:sz w:val="24"/>
        </w:rPr>
        <w:t> </w:t>
      </w:r>
      <w:r>
        <w:rPr>
          <w:sz w:val="24"/>
        </w:rPr>
        <w:t>significant</w:t>
      </w:r>
      <w:r>
        <w:rPr>
          <w:spacing w:val="18"/>
          <w:sz w:val="24"/>
        </w:rPr>
        <w:t> </w:t>
      </w:r>
      <w:r>
        <w:rPr>
          <w:sz w:val="24"/>
        </w:rPr>
        <w:t>at</w:t>
      </w:r>
    </w:p>
    <w:p>
      <w:pPr>
        <w:pStyle w:val="BodyText"/>
        <w:spacing w:line="480" w:lineRule="auto"/>
        <w:ind w:left="648" w:right="677"/>
        <w:jc w:val="both"/>
      </w:pPr>
      <w:r>
        <w:rPr/>
        <w:t>*P&lt;0.05(50 mg/kg), P&lt;0.05(500 mg/kg) and***P&lt;0.001(1000 mg/kg) respectively, however</w:t>
      </w:r>
      <w:r>
        <w:rPr>
          <w:spacing w:val="1"/>
        </w:rPr>
        <w:t> </w:t>
      </w:r>
      <w:r>
        <w:rPr/>
        <w:t>the extract at all the tested doses causes only a slight decrease in TB even though the decrease</w:t>
      </w:r>
      <w:r>
        <w:rPr>
          <w:spacing w:val="-57"/>
        </w:rPr>
        <w:t> </w:t>
      </w:r>
      <w:r>
        <w:rPr/>
        <w:t>in</w:t>
      </w:r>
      <w:r>
        <w:rPr>
          <w:spacing w:val="-1"/>
        </w:rPr>
        <w:t> </w:t>
      </w:r>
      <w:r>
        <w:rPr/>
        <w:t>TB</w:t>
      </w:r>
      <w:r>
        <w:rPr>
          <w:spacing w:val="-2"/>
        </w:rPr>
        <w:t> </w:t>
      </w:r>
      <w:r>
        <w:rPr/>
        <w:t>was not statistically</w:t>
      </w:r>
      <w:r>
        <w:rPr>
          <w:spacing w:val="-3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at P&lt;0.05.(</w:t>
      </w:r>
      <w:r>
        <w:rPr>
          <w:spacing w:val="1"/>
        </w:rPr>
        <w:t> </w:t>
      </w:r>
      <w:r>
        <w:rPr/>
        <w:t>Fig. 4.3</w:t>
      </w:r>
      <w:r>
        <w:rPr>
          <w:spacing w:val="3"/>
        </w:rPr>
        <w:t> </w:t>
      </w:r>
      <w:r>
        <w:rPr/>
        <w:t>and</w:t>
      </w:r>
      <w:r>
        <w:rPr>
          <w:spacing w:val="-1"/>
        </w:rPr>
        <w:t> </w:t>
      </w:r>
      <w:r>
        <w:rPr/>
        <w:t>4.4).</w:t>
      </w:r>
    </w:p>
    <w:p>
      <w:pPr>
        <w:spacing w:after="0" w:line="480" w:lineRule="auto"/>
        <w:jc w:val="both"/>
        <w:sectPr>
          <w:pgSz w:w="12240" w:h="15840"/>
          <w:pgMar w:header="0" w:footer="792" w:top="1400" w:bottom="980" w:left="108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5"/>
        </w:rPr>
      </w:pPr>
    </w:p>
    <w:p>
      <w:pPr>
        <w:spacing w:after="0"/>
        <w:rPr>
          <w:sz w:val="15"/>
        </w:rPr>
        <w:sectPr>
          <w:pgSz w:w="12240" w:h="15840"/>
          <w:pgMar w:header="0" w:footer="792" w:top="1500" w:bottom="980" w:left="1080" w:right="760"/>
        </w:sectPr>
      </w:pPr>
    </w:p>
    <w:p>
      <w:pPr>
        <w:spacing w:before="58"/>
        <w:ind w:left="0" w:right="0" w:firstLine="0"/>
        <w:jc w:val="right"/>
        <w:rPr>
          <w:rFonts w:ascii="Calibri"/>
          <w:b/>
          <w:sz w:val="23"/>
        </w:rPr>
      </w:pPr>
      <w:r>
        <w:rPr>
          <w:rFonts w:ascii="Calibri"/>
          <w:b/>
          <w:sz w:val="23"/>
        </w:rPr>
        <w:t>400</w:t>
      </w:r>
    </w:p>
    <w:p>
      <w:pPr>
        <w:spacing w:before="187"/>
        <w:ind w:left="0" w:right="0" w:firstLine="0"/>
        <w:jc w:val="right"/>
        <w:rPr>
          <w:rFonts w:ascii="Calibri"/>
          <w:b/>
          <w:sz w:val="23"/>
        </w:rPr>
      </w:pPr>
      <w:r>
        <w:rPr>
          <w:rFonts w:ascii="Calibri"/>
          <w:b/>
          <w:sz w:val="23"/>
        </w:rPr>
        <w:t>350</w:t>
      </w:r>
    </w:p>
    <w:p>
      <w:pPr>
        <w:spacing w:before="188"/>
        <w:ind w:left="0" w:right="0" w:firstLine="0"/>
        <w:jc w:val="right"/>
        <w:rPr>
          <w:rFonts w:ascii="Calibri"/>
          <w:b/>
          <w:sz w:val="23"/>
        </w:rPr>
      </w:pPr>
      <w:r>
        <w:rPr>
          <w:rFonts w:ascii="Calibri"/>
          <w:b/>
          <w:sz w:val="23"/>
        </w:rPr>
        <w:t>300</w:t>
      </w:r>
    </w:p>
    <w:p>
      <w:pPr>
        <w:spacing w:before="186"/>
        <w:ind w:left="0" w:right="0" w:firstLine="0"/>
        <w:jc w:val="right"/>
        <w:rPr>
          <w:rFonts w:ascii="Calibri"/>
          <w:b/>
          <w:sz w:val="23"/>
        </w:rPr>
      </w:pPr>
      <w:r>
        <w:rPr/>
        <w:pict>
          <v:shape style="position:absolute;margin-left:141.811798pt;margin-top:10.934936pt;width:14.75pt;height:58.65pt;mso-position-horizontal-relative:page;mso-position-vertical-relative:paragraph;z-index:15744000" type="#_x0000_t202" filled="false" stroked="false">
            <v:textbox inset="0,0,0,0" style="layout-flow:vertical;mso-layout-flow-alt:bottom-to-top">
              <w:txbxContent>
                <w:p>
                  <w:pPr>
                    <w:spacing w:line="278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25"/>
                    </w:rPr>
                  </w:pPr>
                  <w:r>
                    <w:rPr>
                      <w:rFonts w:ascii="Calibri"/>
                      <w:b/>
                      <w:w w:val="110"/>
                      <w:sz w:val="25"/>
                    </w:rPr>
                    <w:t>Unit/Litre</w:t>
                  </w:r>
                </w:p>
              </w:txbxContent>
            </v:textbox>
            <w10:wrap type="none"/>
          </v:shape>
        </w:pict>
      </w:r>
      <w:r>
        <w:rPr>
          <w:rFonts w:ascii="Calibri"/>
          <w:b/>
          <w:sz w:val="23"/>
        </w:rPr>
        <w:t>250</w:t>
      </w:r>
    </w:p>
    <w:p>
      <w:pPr>
        <w:spacing w:before="188"/>
        <w:ind w:left="0" w:right="0" w:firstLine="0"/>
        <w:jc w:val="right"/>
        <w:rPr>
          <w:rFonts w:ascii="Calibri"/>
          <w:b/>
          <w:sz w:val="23"/>
        </w:rPr>
      </w:pPr>
      <w:r>
        <w:rPr>
          <w:rFonts w:ascii="Calibri"/>
          <w:b/>
          <w:sz w:val="23"/>
        </w:rPr>
        <w:t>200</w:t>
      </w:r>
    </w:p>
    <w:p>
      <w:pPr>
        <w:spacing w:before="187"/>
        <w:ind w:left="0" w:right="0" w:firstLine="0"/>
        <w:jc w:val="right"/>
        <w:rPr>
          <w:rFonts w:ascii="Calibri"/>
          <w:b/>
          <w:sz w:val="23"/>
        </w:rPr>
      </w:pPr>
      <w:r>
        <w:rPr>
          <w:rFonts w:ascii="Calibri"/>
          <w:b/>
          <w:sz w:val="23"/>
        </w:rPr>
        <w:t>150</w:t>
      </w:r>
    </w:p>
    <w:p>
      <w:pPr>
        <w:spacing w:before="187"/>
        <w:ind w:left="0" w:right="0" w:firstLine="0"/>
        <w:jc w:val="right"/>
        <w:rPr>
          <w:rFonts w:ascii="Calibri"/>
          <w:b/>
          <w:sz w:val="23"/>
        </w:rPr>
      </w:pPr>
      <w:r>
        <w:rPr>
          <w:rFonts w:ascii="Calibri"/>
          <w:b/>
          <w:sz w:val="23"/>
        </w:rPr>
        <w:t>100</w:t>
      </w:r>
    </w:p>
    <w:p>
      <w:pPr>
        <w:spacing w:before="187"/>
        <w:ind w:left="0" w:right="2" w:firstLine="0"/>
        <w:jc w:val="right"/>
        <w:rPr>
          <w:rFonts w:ascii="Calibri"/>
          <w:b/>
          <w:sz w:val="23"/>
        </w:rPr>
      </w:pPr>
      <w:r>
        <w:rPr>
          <w:rFonts w:ascii="Calibri"/>
          <w:b/>
          <w:sz w:val="23"/>
        </w:rPr>
        <w:t>50</w:t>
      </w:r>
    </w:p>
    <w:p>
      <w:pPr>
        <w:spacing w:before="188"/>
        <w:ind w:left="0" w:right="0" w:firstLine="0"/>
        <w:jc w:val="right"/>
        <w:rPr>
          <w:rFonts w:ascii="Calibri"/>
          <w:b/>
          <w:sz w:val="23"/>
        </w:rPr>
      </w:pPr>
      <w:r>
        <w:rPr>
          <w:rFonts w:ascii="Calibri"/>
          <w:b/>
          <w:w w:val="93"/>
          <w:sz w:val="23"/>
        </w:rPr>
        <w:t>0</w:t>
      </w:r>
    </w:p>
    <w:p>
      <w:pPr>
        <w:pStyle w:val="BodyText"/>
        <w:rPr>
          <w:rFonts w:ascii="Calibri"/>
          <w:b/>
          <w:sz w:val="28"/>
        </w:rPr>
      </w:pPr>
      <w:r>
        <w:rPr/>
        <w:br w:type="column"/>
      </w:r>
      <w:r>
        <w:rPr>
          <w:rFonts w:ascii="Calibri"/>
          <w:b/>
          <w:sz w:val="28"/>
        </w:rPr>
      </w:r>
    </w:p>
    <w:p>
      <w:pPr>
        <w:pStyle w:val="BodyText"/>
        <w:rPr>
          <w:rFonts w:ascii="Calibri"/>
          <w:b/>
          <w:sz w:val="28"/>
        </w:rPr>
      </w:pPr>
    </w:p>
    <w:p>
      <w:pPr>
        <w:pStyle w:val="BodyText"/>
        <w:rPr>
          <w:rFonts w:ascii="Calibri"/>
          <w:b/>
          <w:sz w:val="33"/>
        </w:rPr>
      </w:pPr>
    </w:p>
    <w:p>
      <w:pPr>
        <w:pStyle w:val="BodyText"/>
        <w:tabs>
          <w:tab w:pos="2957" w:val="left" w:leader="none"/>
        </w:tabs>
        <w:ind w:left="1317"/>
      </w:pPr>
      <w:r>
        <w:rPr>
          <w:position w:val="-1"/>
        </w:rPr>
        <w:t>*</w:t>
        <w:tab/>
      </w:r>
      <w:r>
        <w:rPr/>
        <w:t>*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10"/>
        <w:rPr>
          <w:sz w:val="30"/>
        </w:rPr>
      </w:pPr>
    </w:p>
    <w:p>
      <w:pPr>
        <w:spacing w:before="0"/>
        <w:ind w:left="1240" w:right="0" w:firstLine="0"/>
        <w:jc w:val="left"/>
        <w:rPr>
          <w:b/>
          <w:sz w:val="23"/>
        </w:rPr>
      </w:pPr>
      <w:r>
        <w:rPr/>
        <w:pict>
          <v:group style="position:absolute;margin-left:321.47821pt;margin-top:-152.6474pt;width:11.55pt;height:184.25pt;mso-position-horizontal-relative:page;mso-position-vertical-relative:paragraph;z-index:-18396160" coordorigin="6430,-3053" coordsize="231,3685">
            <v:rect style="position:absolute;left:6612;top:-3027;width:48;height:3659" filled="true" fillcolor="#858585" stroked="false">
              <v:fill type="solid"/>
            </v:rect>
            <v:shape style="position:absolute;left:6429;top:-3027;width:207;height:2909" coordorigin="6430,-3027" coordsize="207,2909" path="m6430,-118l6636,-118m6430,-1572l6636,-1572m6430,-3027l6636,-3027e" filled="false" stroked="true" strokeweight="2.505061pt" strokecolor="#858585">
              <v:path arrowok="t"/>
              <v:stroke dashstyle="solid"/>
            </v:shape>
            <w10:wrap type="none"/>
          </v:group>
        </w:pict>
      </w:r>
      <w:r>
        <w:rPr>
          <w:b/>
          <w:w w:val="90"/>
          <w:sz w:val="23"/>
        </w:rPr>
        <w:t>Alkaline</w:t>
      </w:r>
      <w:r>
        <w:rPr>
          <w:b/>
          <w:spacing w:val="7"/>
          <w:w w:val="90"/>
          <w:sz w:val="23"/>
        </w:rPr>
        <w:t> </w:t>
      </w:r>
      <w:r>
        <w:rPr>
          <w:b/>
          <w:w w:val="90"/>
          <w:sz w:val="23"/>
        </w:rPr>
        <w:t>Phosphatase</w:t>
      </w:r>
    </w:p>
    <w:p>
      <w:pPr>
        <w:pStyle w:val="BodyText"/>
        <w:rPr>
          <w:b/>
          <w:sz w:val="26"/>
        </w:rPr>
      </w:pPr>
      <w:r>
        <w:rPr/>
        <w:br w:type="column"/>
      </w:r>
      <w:r>
        <w:rPr>
          <w:b/>
          <w:sz w:val="26"/>
        </w:rPr>
      </w:r>
    </w:p>
    <w:p>
      <w:pPr>
        <w:pStyle w:val="BodyText"/>
        <w:spacing w:before="176"/>
        <w:ind w:left="468"/>
      </w:pPr>
      <w:r>
        <w:rPr/>
        <w:t>***</w:t>
      </w:r>
    </w:p>
    <w:p>
      <w:pPr>
        <w:pStyle w:val="BodyText"/>
      </w:pPr>
      <w:r>
        <w:rPr/>
        <w:br w:type="column"/>
      </w:r>
      <w:r>
        <w:rPr/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spacing w:line="362" w:lineRule="auto" w:before="148"/>
        <w:ind w:left="683" w:right="1529" w:firstLine="0"/>
        <w:jc w:val="left"/>
        <w:rPr>
          <w:rFonts w:ascii="Calibri"/>
          <w:sz w:val="23"/>
        </w:rPr>
      </w:pPr>
      <w:r>
        <w:rPr>
          <w:rFonts w:ascii="Calibri"/>
          <w:w w:val="90"/>
          <w:sz w:val="23"/>
        </w:rPr>
        <w:t>Distilled Water</w:t>
      </w:r>
      <w:r>
        <w:rPr>
          <w:rFonts w:ascii="Calibri"/>
          <w:spacing w:val="-44"/>
          <w:w w:val="90"/>
          <w:sz w:val="23"/>
        </w:rPr>
        <w:t> </w:t>
      </w:r>
      <w:r>
        <w:rPr>
          <w:rFonts w:ascii="Calibri"/>
          <w:w w:val="90"/>
          <w:sz w:val="23"/>
        </w:rPr>
        <w:t>DM 50</w:t>
      </w:r>
      <w:r>
        <w:rPr>
          <w:rFonts w:ascii="Calibri"/>
          <w:spacing w:val="4"/>
          <w:w w:val="90"/>
          <w:sz w:val="23"/>
        </w:rPr>
        <w:t> </w:t>
      </w:r>
      <w:r>
        <w:rPr>
          <w:rFonts w:ascii="Calibri"/>
          <w:w w:val="90"/>
          <w:sz w:val="23"/>
        </w:rPr>
        <w:t>mg/kg</w:t>
      </w:r>
    </w:p>
    <w:p>
      <w:pPr>
        <w:spacing w:line="280" w:lineRule="exact" w:before="0"/>
        <w:ind w:left="683" w:right="0" w:firstLine="0"/>
        <w:jc w:val="left"/>
        <w:rPr>
          <w:rFonts w:ascii="Calibri"/>
          <w:sz w:val="23"/>
        </w:rPr>
      </w:pPr>
      <w:r>
        <w:rPr>
          <w:rFonts w:ascii="Calibri"/>
          <w:w w:val="90"/>
          <w:sz w:val="23"/>
        </w:rPr>
        <w:t>DM</w:t>
      </w:r>
      <w:r>
        <w:rPr>
          <w:rFonts w:ascii="Calibri"/>
          <w:spacing w:val="9"/>
          <w:w w:val="90"/>
          <w:sz w:val="23"/>
        </w:rPr>
        <w:t> </w:t>
      </w:r>
      <w:r>
        <w:rPr>
          <w:rFonts w:ascii="Calibri"/>
          <w:w w:val="90"/>
          <w:sz w:val="23"/>
        </w:rPr>
        <w:t>250</w:t>
      </w:r>
      <w:r>
        <w:rPr>
          <w:rFonts w:ascii="Calibri"/>
          <w:spacing w:val="15"/>
          <w:w w:val="90"/>
          <w:sz w:val="23"/>
        </w:rPr>
        <w:t> </w:t>
      </w:r>
      <w:r>
        <w:rPr>
          <w:rFonts w:ascii="Calibri"/>
          <w:w w:val="90"/>
          <w:sz w:val="23"/>
        </w:rPr>
        <w:t>mg/kg</w:t>
      </w:r>
    </w:p>
    <w:p>
      <w:pPr>
        <w:spacing w:before="142"/>
        <w:ind w:left="683" w:right="0" w:firstLine="0"/>
        <w:jc w:val="left"/>
        <w:rPr>
          <w:rFonts w:ascii="Calibri"/>
          <w:sz w:val="23"/>
        </w:rPr>
      </w:pPr>
      <w:r>
        <w:rPr>
          <w:rFonts w:ascii="Calibri"/>
          <w:w w:val="90"/>
          <w:sz w:val="23"/>
        </w:rPr>
        <w:t>DM</w:t>
      </w:r>
      <w:r>
        <w:rPr>
          <w:rFonts w:ascii="Calibri"/>
          <w:spacing w:val="9"/>
          <w:w w:val="90"/>
          <w:sz w:val="23"/>
        </w:rPr>
        <w:t> </w:t>
      </w:r>
      <w:r>
        <w:rPr>
          <w:rFonts w:ascii="Calibri"/>
          <w:w w:val="90"/>
          <w:sz w:val="23"/>
        </w:rPr>
        <w:t>500</w:t>
      </w:r>
      <w:r>
        <w:rPr>
          <w:rFonts w:ascii="Calibri"/>
          <w:spacing w:val="15"/>
          <w:w w:val="90"/>
          <w:sz w:val="23"/>
        </w:rPr>
        <w:t> </w:t>
      </w:r>
      <w:r>
        <w:rPr>
          <w:rFonts w:ascii="Calibri"/>
          <w:w w:val="90"/>
          <w:sz w:val="23"/>
        </w:rPr>
        <w:t>mg/kg</w:t>
      </w:r>
    </w:p>
    <w:p>
      <w:pPr>
        <w:spacing w:before="143"/>
        <w:ind w:left="683" w:right="0" w:firstLine="0"/>
        <w:jc w:val="left"/>
        <w:rPr>
          <w:rFonts w:ascii="Calibri"/>
          <w:sz w:val="23"/>
        </w:rPr>
      </w:pPr>
      <w:r>
        <w:rPr>
          <w:rFonts w:ascii="Calibri"/>
          <w:w w:val="90"/>
          <w:sz w:val="23"/>
        </w:rPr>
        <w:t>DM</w:t>
      </w:r>
      <w:r>
        <w:rPr>
          <w:rFonts w:ascii="Calibri"/>
          <w:spacing w:val="2"/>
          <w:w w:val="90"/>
          <w:sz w:val="23"/>
        </w:rPr>
        <w:t> </w:t>
      </w:r>
      <w:r>
        <w:rPr>
          <w:rFonts w:ascii="Calibri"/>
          <w:w w:val="90"/>
          <w:sz w:val="23"/>
        </w:rPr>
        <w:t>1000</w:t>
      </w:r>
      <w:r>
        <w:rPr>
          <w:rFonts w:ascii="Calibri"/>
          <w:spacing w:val="12"/>
          <w:w w:val="90"/>
          <w:sz w:val="23"/>
        </w:rPr>
        <w:t> </w:t>
      </w:r>
      <w:r>
        <w:rPr>
          <w:rFonts w:ascii="Calibri"/>
          <w:w w:val="90"/>
          <w:sz w:val="23"/>
        </w:rPr>
        <w:t>mg/kg</w:t>
      </w:r>
    </w:p>
    <w:p>
      <w:pPr>
        <w:spacing w:after="0"/>
        <w:jc w:val="left"/>
        <w:rPr>
          <w:rFonts w:ascii="Calibri"/>
          <w:sz w:val="23"/>
        </w:rPr>
        <w:sectPr>
          <w:type w:val="continuous"/>
          <w:pgSz w:w="12240" w:h="15840"/>
          <w:pgMar w:top="1360" w:bottom="980" w:left="1080" w:right="760"/>
          <w:cols w:num="4" w:equalWidth="0">
            <w:col w:w="2517" w:space="40"/>
            <w:col w:w="3184" w:space="39"/>
            <w:col w:w="829" w:space="40"/>
            <w:col w:w="3751"/>
          </w:cols>
        </w:sect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</w:rPr>
      </w:pPr>
    </w:p>
    <w:p>
      <w:pPr>
        <w:tabs>
          <w:tab w:pos="6657" w:val="left" w:leader="none"/>
        </w:tabs>
        <w:spacing w:before="92"/>
        <w:ind w:left="648" w:right="682" w:firstLine="0"/>
        <w:jc w:val="left"/>
        <w:rPr>
          <w:b/>
          <w:sz w:val="22"/>
        </w:rPr>
      </w:pPr>
      <w:r>
        <w:rPr>
          <w:b/>
          <w:sz w:val="22"/>
        </w:rPr>
        <w:t>Fig.</w:t>
      </w:r>
      <w:r>
        <w:rPr>
          <w:b/>
          <w:spacing w:val="47"/>
          <w:sz w:val="22"/>
        </w:rPr>
        <w:t> </w:t>
      </w:r>
      <w:r>
        <w:rPr>
          <w:b/>
          <w:sz w:val="22"/>
        </w:rPr>
        <w:t>4.3:</w:t>
      </w:r>
      <w:r>
        <w:rPr>
          <w:b/>
          <w:spacing w:val="47"/>
          <w:sz w:val="22"/>
        </w:rPr>
        <w:t> </w:t>
      </w:r>
      <w:r>
        <w:rPr>
          <w:b/>
          <w:sz w:val="22"/>
        </w:rPr>
        <w:t>Effect</w:t>
      </w:r>
      <w:r>
        <w:rPr>
          <w:b/>
          <w:spacing w:val="45"/>
          <w:sz w:val="22"/>
        </w:rPr>
        <w:t> </w:t>
      </w:r>
      <w:r>
        <w:rPr>
          <w:b/>
          <w:sz w:val="22"/>
        </w:rPr>
        <w:t>of</w:t>
      </w:r>
      <w:r>
        <w:rPr>
          <w:b/>
          <w:spacing w:val="49"/>
          <w:sz w:val="22"/>
        </w:rPr>
        <w:t> </w:t>
      </w:r>
      <w:r>
        <w:rPr>
          <w:b/>
          <w:sz w:val="22"/>
        </w:rPr>
        <w:t>28</w:t>
      </w:r>
      <w:r>
        <w:rPr>
          <w:b/>
          <w:spacing w:val="46"/>
          <w:sz w:val="22"/>
        </w:rPr>
        <w:t> </w:t>
      </w:r>
      <w:r>
        <w:rPr>
          <w:b/>
          <w:sz w:val="22"/>
        </w:rPr>
        <w:t>days</w:t>
      </w:r>
      <w:r>
        <w:rPr>
          <w:b/>
          <w:spacing w:val="47"/>
          <w:sz w:val="22"/>
        </w:rPr>
        <w:t> </w:t>
      </w:r>
      <w:r>
        <w:rPr>
          <w:b/>
          <w:sz w:val="22"/>
        </w:rPr>
        <w:t>administration</w:t>
      </w:r>
      <w:r>
        <w:rPr>
          <w:b/>
          <w:spacing w:val="46"/>
          <w:sz w:val="22"/>
        </w:rPr>
        <w:t> </w:t>
      </w:r>
      <w:r>
        <w:rPr>
          <w:b/>
          <w:sz w:val="22"/>
        </w:rPr>
        <w:t>of</w:t>
      </w:r>
      <w:r>
        <w:rPr>
          <w:b/>
          <w:spacing w:val="49"/>
          <w:sz w:val="22"/>
        </w:rPr>
        <w:t> </w:t>
      </w:r>
      <w:r>
        <w:rPr>
          <w:b/>
          <w:sz w:val="22"/>
        </w:rPr>
        <w:t>DM</w:t>
      </w:r>
      <w:r>
        <w:rPr>
          <w:b/>
          <w:spacing w:val="44"/>
          <w:sz w:val="22"/>
        </w:rPr>
        <w:t> </w:t>
      </w:r>
      <w:r>
        <w:rPr>
          <w:b/>
          <w:sz w:val="22"/>
        </w:rPr>
        <w:t>on</w:t>
      </w:r>
      <w:r>
        <w:rPr>
          <w:b/>
          <w:spacing w:val="46"/>
          <w:sz w:val="22"/>
        </w:rPr>
        <w:t> </w:t>
      </w:r>
      <w:r>
        <w:rPr>
          <w:b/>
          <w:sz w:val="22"/>
        </w:rPr>
        <w:t>ALP.</w:t>
        <w:tab/>
        <w:t>There</w:t>
      </w:r>
      <w:r>
        <w:rPr>
          <w:b/>
          <w:spacing w:val="45"/>
          <w:sz w:val="22"/>
        </w:rPr>
        <w:t> </w:t>
      </w:r>
      <w:r>
        <w:rPr>
          <w:b/>
          <w:sz w:val="22"/>
        </w:rPr>
        <w:t>is</w:t>
      </w:r>
      <w:r>
        <w:rPr>
          <w:b/>
          <w:spacing w:val="44"/>
          <w:sz w:val="22"/>
        </w:rPr>
        <w:t> </w:t>
      </w:r>
      <w:r>
        <w:rPr>
          <w:b/>
          <w:sz w:val="22"/>
        </w:rPr>
        <w:t>statistically</w:t>
      </w:r>
      <w:r>
        <w:rPr>
          <w:b/>
          <w:spacing w:val="44"/>
          <w:sz w:val="22"/>
        </w:rPr>
        <w:t> </w:t>
      </w:r>
      <w:r>
        <w:rPr>
          <w:b/>
          <w:sz w:val="22"/>
        </w:rPr>
        <w:t>significant</w:t>
      </w:r>
      <w:r>
        <w:rPr>
          <w:b/>
          <w:spacing w:val="-52"/>
          <w:sz w:val="22"/>
        </w:rPr>
        <w:t> </w:t>
      </w:r>
      <w:r>
        <w:rPr>
          <w:b/>
          <w:sz w:val="22"/>
        </w:rPr>
        <w:t>increase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in the level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of ALP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when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compared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with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the control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at</w:t>
      </w:r>
      <w:r>
        <w:rPr>
          <w:b/>
          <w:spacing w:val="3"/>
          <w:sz w:val="22"/>
        </w:rPr>
        <w:t> </w:t>
      </w:r>
      <w:r>
        <w:rPr>
          <w:b/>
          <w:sz w:val="22"/>
        </w:rPr>
        <w:t>*P&lt;0.05 and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***P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&lt;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0.001</w:t>
      </w:r>
    </w:p>
    <w:p>
      <w:pPr>
        <w:spacing w:after="0"/>
        <w:jc w:val="left"/>
        <w:rPr>
          <w:sz w:val="22"/>
        </w:rPr>
        <w:sectPr>
          <w:type w:val="continuous"/>
          <w:pgSz w:w="12240" w:h="15840"/>
          <w:pgMar w:top="1360" w:bottom="980" w:left="1080" w:right="76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15"/>
        </w:rPr>
      </w:pPr>
    </w:p>
    <w:p>
      <w:pPr>
        <w:spacing w:before="61"/>
        <w:ind w:left="1748" w:right="0" w:firstLine="0"/>
        <w:jc w:val="left"/>
        <w:rPr>
          <w:rFonts w:ascii="Calibri"/>
          <w:b/>
          <w:sz w:val="21"/>
        </w:rPr>
      </w:pPr>
      <w:r>
        <w:rPr>
          <w:rFonts w:ascii="Calibri"/>
          <w:b/>
          <w:sz w:val="21"/>
        </w:rPr>
        <w:t>16</w:t>
      </w:r>
    </w:p>
    <w:p>
      <w:pPr>
        <w:pStyle w:val="BodyText"/>
        <w:spacing w:before="11"/>
        <w:rPr>
          <w:rFonts w:ascii="Calibri"/>
          <w:b/>
          <w:sz w:val="13"/>
        </w:rPr>
      </w:pPr>
    </w:p>
    <w:p>
      <w:pPr>
        <w:spacing w:before="62"/>
        <w:ind w:left="1748" w:right="0" w:firstLine="0"/>
        <w:jc w:val="left"/>
        <w:rPr>
          <w:rFonts w:ascii="Calibri"/>
          <w:b/>
          <w:sz w:val="21"/>
        </w:rPr>
      </w:pPr>
      <w:r>
        <w:rPr>
          <w:rFonts w:ascii="Calibri"/>
          <w:b/>
          <w:sz w:val="21"/>
        </w:rPr>
        <w:t>14</w:t>
      </w:r>
    </w:p>
    <w:p>
      <w:pPr>
        <w:pStyle w:val="BodyText"/>
        <w:spacing w:before="10"/>
        <w:rPr>
          <w:rFonts w:ascii="Calibri"/>
          <w:b/>
          <w:sz w:val="13"/>
        </w:rPr>
      </w:pPr>
    </w:p>
    <w:p>
      <w:pPr>
        <w:spacing w:before="62"/>
        <w:ind w:left="1748" w:right="0" w:firstLine="0"/>
        <w:jc w:val="left"/>
        <w:rPr>
          <w:rFonts w:ascii="Calibri"/>
          <w:b/>
          <w:sz w:val="21"/>
        </w:rPr>
      </w:pPr>
      <w:r>
        <w:rPr/>
        <w:pict>
          <v:group style="position:absolute;margin-left:280.032745pt;margin-top:-5.458818pt;width:12.4pt;height:194.25pt;mso-position-horizontal-relative:page;mso-position-vertical-relative:paragraph;z-index:-18394112" coordorigin="5601,-109" coordsize="248,3885">
            <v:rect style="position:absolute;left:5800;top:-86;width:48;height:3861" filled="true" fillcolor="#858585" stroked="false">
              <v:fill type="solid"/>
            </v:rect>
            <v:shape style="position:absolute;left:5600;top:-86;width:224;height:3034" coordorigin="5601,-85" coordsize="224,3034" path="m5601,2948l5824,2948m5601,1431l5824,1431m5601,-85l5824,-85e" filled="false" stroked="true" strokeweight="2.395127pt" strokecolor="#858585">
              <v:path arrowok="t"/>
              <v:stroke dashstyle="solid"/>
            </v:shape>
            <w10:wrap type="none"/>
          </v:group>
        </w:pict>
      </w:r>
      <w:r>
        <w:rPr>
          <w:rFonts w:ascii="Calibri"/>
          <w:b/>
          <w:sz w:val="21"/>
        </w:rPr>
        <w:t>12</w:t>
      </w:r>
    </w:p>
    <w:p>
      <w:pPr>
        <w:tabs>
          <w:tab w:pos="7765" w:val="left" w:leader="none"/>
        </w:tabs>
        <w:spacing w:before="167"/>
        <w:ind w:left="1748" w:right="0" w:firstLine="0"/>
        <w:jc w:val="left"/>
        <w:rPr>
          <w:sz w:val="21"/>
        </w:rPr>
      </w:pPr>
      <w:r>
        <w:rPr/>
        <w:pict>
          <v:shape style="position:absolute;margin-left:120.669724pt;margin-top:22.516441pt;width:13.8pt;height:40.25pt;mso-position-horizontal-relative:page;mso-position-vertical-relative:paragraph;z-index:15746048" type="#_x0000_t202" filled="false" stroked="false">
            <v:textbox inset="0,0,0,0" style="layout-flow:vertical;mso-layout-flow-alt:bottom-to-top">
              <w:txbxContent>
                <w:p>
                  <w:pPr>
                    <w:spacing w:line="258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23"/>
                    </w:rPr>
                  </w:pPr>
                  <w:r>
                    <w:rPr>
                      <w:rFonts w:ascii="Calibri"/>
                      <w:b/>
                      <w:sz w:val="23"/>
                    </w:rPr>
                    <w:t>mmol/L</w:t>
                  </w:r>
                </w:p>
              </w:txbxContent>
            </v:textbox>
            <w10:wrap type="none"/>
          </v:shape>
        </w:pict>
      </w:r>
      <w:r>
        <w:rPr>
          <w:rFonts w:ascii="Calibri"/>
          <w:b/>
          <w:position w:val="-6"/>
          <w:sz w:val="21"/>
        </w:rPr>
        <w:t>10</w:t>
        <w:tab/>
      </w:r>
      <w:r>
        <w:rPr>
          <w:sz w:val="21"/>
        </w:rPr>
        <w:t>Distilled</w:t>
      </w:r>
      <w:r>
        <w:rPr>
          <w:spacing w:val="-5"/>
          <w:sz w:val="21"/>
        </w:rPr>
        <w:t> </w:t>
      </w:r>
      <w:r>
        <w:rPr>
          <w:sz w:val="21"/>
        </w:rPr>
        <w:t>Water</w:t>
      </w:r>
    </w:p>
    <w:p>
      <w:pPr>
        <w:spacing w:line="211" w:lineRule="exact" w:before="48"/>
        <w:ind w:left="7765" w:right="0" w:firstLine="0"/>
        <w:jc w:val="left"/>
        <w:rPr>
          <w:sz w:val="21"/>
        </w:rPr>
      </w:pPr>
      <w:r>
        <w:rPr>
          <w:sz w:val="21"/>
        </w:rPr>
        <w:t>DM</w:t>
      </w:r>
      <w:r>
        <w:rPr>
          <w:spacing w:val="3"/>
          <w:sz w:val="21"/>
        </w:rPr>
        <w:t> </w:t>
      </w:r>
      <w:r>
        <w:rPr>
          <w:sz w:val="21"/>
        </w:rPr>
        <w:t>50</w:t>
      </w:r>
      <w:r>
        <w:rPr>
          <w:spacing w:val="6"/>
          <w:sz w:val="21"/>
        </w:rPr>
        <w:t> </w:t>
      </w:r>
      <w:r>
        <w:rPr>
          <w:sz w:val="21"/>
        </w:rPr>
        <w:t>mg/kg</w:t>
      </w:r>
    </w:p>
    <w:p>
      <w:pPr>
        <w:spacing w:line="193" w:lineRule="exact" w:before="0"/>
        <w:ind w:left="1859" w:right="0" w:firstLine="0"/>
        <w:jc w:val="left"/>
        <w:rPr>
          <w:rFonts w:ascii="Calibri"/>
          <w:b/>
          <w:sz w:val="21"/>
        </w:rPr>
      </w:pPr>
      <w:r>
        <w:rPr/>
        <w:pict>
          <v:shape style="position:absolute;margin-left:363.078003pt;margin-top:10.227761pt;width:15.2pt;height:125.2pt;mso-position-horizontal-relative:page;mso-position-vertical-relative:paragraph;z-index:-18395136" coordorigin="7262,205" coordsize="304,2504" path="m7413,2708l7413,205m7262,205l7565,205e" filled="false" stroked="true" strokeweight="2.395127pt" strokecolor="#000000">
            <v:path arrowok="t"/>
            <v:stroke dashstyle="solid"/>
            <w10:wrap type="none"/>
          </v:shape>
        </w:pict>
      </w:r>
      <w:r>
        <w:rPr>
          <w:rFonts w:ascii="Calibri"/>
          <w:b/>
          <w:w w:val="102"/>
          <w:sz w:val="21"/>
        </w:rPr>
        <w:t>8</w:t>
      </w:r>
    </w:p>
    <w:p>
      <w:pPr>
        <w:spacing w:line="209" w:lineRule="exact" w:before="0"/>
        <w:ind w:left="7765" w:right="0" w:firstLine="0"/>
        <w:jc w:val="left"/>
        <w:rPr>
          <w:sz w:val="21"/>
        </w:rPr>
      </w:pPr>
      <w:r>
        <w:rPr>
          <w:sz w:val="21"/>
        </w:rPr>
        <w:t>DM</w:t>
      </w:r>
      <w:r>
        <w:rPr>
          <w:spacing w:val="11"/>
          <w:sz w:val="21"/>
        </w:rPr>
        <w:t> </w:t>
      </w:r>
      <w:r>
        <w:rPr>
          <w:sz w:val="21"/>
        </w:rPr>
        <w:t>250</w:t>
      </w:r>
      <w:r>
        <w:rPr>
          <w:spacing w:val="6"/>
          <w:sz w:val="21"/>
        </w:rPr>
        <w:t> </w:t>
      </w:r>
      <w:r>
        <w:rPr>
          <w:sz w:val="21"/>
        </w:rPr>
        <w:t>mg/kg</w:t>
      </w:r>
    </w:p>
    <w:p>
      <w:pPr>
        <w:tabs>
          <w:tab w:pos="7765" w:val="left" w:leader="none"/>
        </w:tabs>
        <w:spacing w:before="56"/>
        <w:ind w:left="1859" w:right="0" w:firstLine="0"/>
        <w:jc w:val="left"/>
        <w:rPr>
          <w:sz w:val="21"/>
        </w:rPr>
      </w:pPr>
      <w:r>
        <w:rPr>
          <w:rFonts w:ascii="Calibri"/>
          <w:b/>
          <w:position w:val="7"/>
          <w:sz w:val="21"/>
        </w:rPr>
        <w:t>6</w:t>
        <w:tab/>
      </w:r>
      <w:r>
        <w:rPr>
          <w:sz w:val="21"/>
        </w:rPr>
        <w:t>DM</w:t>
      </w:r>
      <w:r>
        <w:rPr>
          <w:spacing w:val="11"/>
          <w:sz w:val="21"/>
        </w:rPr>
        <w:t> </w:t>
      </w:r>
      <w:r>
        <w:rPr>
          <w:sz w:val="21"/>
        </w:rPr>
        <w:t>500</w:t>
      </w:r>
      <w:r>
        <w:rPr>
          <w:spacing w:val="6"/>
          <w:sz w:val="21"/>
        </w:rPr>
        <w:t> </w:t>
      </w:r>
      <w:r>
        <w:rPr>
          <w:sz w:val="21"/>
        </w:rPr>
        <w:t>mg/kg</w:t>
      </w:r>
    </w:p>
    <w:p>
      <w:pPr>
        <w:tabs>
          <w:tab w:pos="7765" w:val="left" w:leader="none"/>
        </w:tabs>
        <w:spacing w:before="129"/>
        <w:ind w:left="1859" w:right="0" w:firstLine="0"/>
        <w:jc w:val="left"/>
        <w:rPr>
          <w:sz w:val="21"/>
        </w:rPr>
      </w:pPr>
      <w:r>
        <w:rPr>
          <w:rFonts w:ascii="Calibri"/>
          <w:b/>
          <w:position w:val="-4"/>
          <w:sz w:val="21"/>
        </w:rPr>
        <w:t>4</w:t>
        <w:tab/>
      </w:r>
      <w:r>
        <w:rPr>
          <w:sz w:val="21"/>
        </w:rPr>
        <w:t>DM</w:t>
      </w:r>
      <w:r>
        <w:rPr>
          <w:spacing w:val="5"/>
          <w:sz w:val="21"/>
        </w:rPr>
        <w:t> </w:t>
      </w:r>
      <w:r>
        <w:rPr>
          <w:sz w:val="21"/>
        </w:rPr>
        <w:t>1000</w:t>
      </w:r>
      <w:r>
        <w:rPr>
          <w:spacing w:val="1"/>
          <w:sz w:val="21"/>
        </w:rPr>
        <w:t> </w:t>
      </w:r>
      <w:r>
        <w:rPr>
          <w:sz w:val="21"/>
        </w:rPr>
        <w:t>mg/kg</w:t>
      </w:r>
    </w:p>
    <w:p>
      <w:pPr>
        <w:pStyle w:val="BodyText"/>
        <w:spacing w:before="4"/>
        <w:rPr>
          <w:sz w:val="14"/>
        </w:rPr>
      </w:pPr>
    </w:p>
    <w:p>
      <w:pPr>
        <w:spacing w:before="61"/>
        <w:ind w:left="1859" w:right="0" w:firstLine="0"/>
        <w:jc w:val="left"/>
        <w:rPr>
          <w:rFonts w:ascii="Calibri"/>
          <w:b/>
          <w:sz w:val="21"/>
        </w:rPr>
      </w:pPr>
      <w:r>
        <w:rPr>
          <w:rFonts w:ascii="Calibri"/>
          <w:b/>
          <w:w w:val="102"/>
          <w:sz w:val="21"/>
        </w:rPr>
        <w:t>2</w:t>
      </w:r>
    </w:p>
    <w:p>
      <w:pPr>
        <w:pStyle w:val="BodyText"/>
        <w:spacing w:before="11"/>
        <w:rPr>
          <w:rFonts w:ascii="Calibri"/>
          <w:b/>
          <w:sz w:val="13"/>
        </w:rPr>
      </w:pPr>
    </w:p>
    <w:p>
      <w:pPr>
        <w:spacing w:before="62"/>
        <w:ind w:left="1859" w:right="0" w:firstLine="0"/>
        <w:jc w:val="left"/>
        <w:rPr>
          <w:rFonts w:ascii="Calibri"/>
          <w:b/>
          <w:sz w:val="21"/>
        </w:rPr>
      </w:pPr>
      <w:r>
        <w:rPr/>
        <w:pict>
          <v:group style="position:absolute;margin-left:521.18335pt;margin-top:6.430653pt;width:3.8pt;height:2.4pt;mso-position-horizontal-relative:page;mso-position-vertical-relative:paragraph;z-index:15745024" coordorigin="10424,129" coordsize="76,48">
            <v:shape style="position:absolute;left:10423;top:152;width:76;height:2" coordorigin="10424,153" coordsize="76,0" path="m10499,153l10424,153,10499,153xe" filled="true" fillcolor="#000000" stroked="false">
              <v:path arrowok="t"/>
              <v:fill type="solid"/>
            </v:shape>
            <v:line style="position:absolute" from="10424,153" to="10499,153" stroked="true" strokeweight="2.394718pt" strokecolor="#000000">
              <v:stroke dashstyle="solid"/>
            </v:line>
            <w10:wrap type="none"/>
          </v:group>
        </w:pict>
      </w:r>
      <w:r>
        <w:rPr>
          <w:rFonts w:ascii="Calibri"/>
          <w:b/>
          <w:w w:val="102"/>
          <w:sz w:val="21"/>
        </w:rPr>
        <w:t>0</w:t>
      </w:r>
    </w:p>
    <w:p>
      <w:pPr>
        <w:spacing w:before="48"/>
        <w:ind w:left="4291" w:right="0" w:firstLine="0"/>
        <w:jc w:val="left"/>
        <w:rPr>
          <w:rFonts w:ascii="Calibri"/>
          <w:b/>
          <w:sz w:val="23"/>
        </w:rPr>
      </w:pPr>
      <w:r>
        <w:rPr>
          <w:rFonts w:ascii="Calibri"/>
          <w:b/>
          <w:sz w:val="23"/>
        </w:rPr>
        <w:t>Total</w:t>
      </w:r>
      <w:r>
        <w:rPr>
          <w:rFonts w:ascii="Calibri"/>
          <w:b/>
          <w:spacing w:val="-4"/>
          <w:sz w:val="23"/>
        </w:rPr>
        <w:t> </w:t>
      </w:r>
      <w:r>
        <w:rPr>
          <w:rFonts w:ascii="Calibri"/>
          <w:b/>
          <w:sz w:val="23"/>
        </w:rPr>
        <w:t>Bilirubin</w: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7"/>
        <w:rPr>
          <w:rFonts w:ascii="Calibri"/>
          <w:b/>
          <w:sz w:val="22"/>
        </w:rPr>
      </w:pPr>
    </w:p>
    <w:p>
      <w:pPr>
        <w:pStyle w:val="Heading1"/>
        <w:spacing w:line="247" w:lineRule="auto" w:before="90"/>
        <w:ind w:left="972" w:right="222"/>
      </w:pPr>
      <w:r>
        <w:rPr/>
        <w:t>Fig.</w:t>
      </w:r>
      <w:r>
        <w:rPr>
          <w:spacing w:val="-1"/>
        </w:rPr>
        <w:t> </w:t>
      </w:r>
      <w:r>
        <w:rPr/>
        <w:t>4.4:</w:t>
      </w:r>
      <w:r>
        <w:rPr>
          <w:spacing w:val="-1"/>
        </w:rPr>
        <w:t> </w:t>
      </w:r>
      <w:r>
        <w:rPr/>
        <w:t>Effect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28</w:t>
      </w:r>
      <w:r>
        <w:rPr>
          <w:spacing w:val="-1"/>
        </w:rPr>
        <w:t> </w:t>
      </w:r>
      <w:r>
        <w:rPr/>
        <w:t>days administration of DM</w:t>
      </w:r>
      <w:r>
        <w:rPr>
          <w:spacing w:val="-3"/>
        </w:rPr>
        <w:t> </w:t>
      </w:r>
      <w:r>
        <w:rPr/>
        <w:t>on</w:t>
      </w:r>
      <w:r>
        <w:rPr>
          <w:spacing w:val="-1"/>
        </w:rPr>
        <w:t> </w:t>
      </w:r>
      <w:r>
        <w:rPr/>
        <w:t>TB.</w:t>
      </w:r>
      <w:r>
        <w:rPr>
          <w:spacing w:val="-1"/>
        </w:rPr>
        <w:t> </w:t>
      </w:r>
      <w:r>
        <w:rPr/>
        <w:t>There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no</w:t>
      </w:r>
      <w:r>
        <w:rPr>
          <w:spacing w:val="-1"/>
        </w:rPr>
        <w:t> </w:t>
      </w:r>
      <w:r>
        <w:rPr/>
        <w:t>statistically</w:t>
      </w:r>
      <w:r>
        <w:rPr>
          <w:spacing w:val="-1"/>
        </w:rPr>
        <w:t> </w:t>
      </w:r>
      <w:r>
        <w:rPr/>
        <w:t>signficiant</w:t>
      </w:r>
      <w:r>
        <w:rPr>
          <w:spacing w:val="-57"/>
        </w:rPr>
        <w:t> </w:t>
      </w:r>
      <w:r>
        <w:rPr/>
        <w:t>increase</w:t>
      </w:r>
      <w:r>
        <w:rPr>
          <w:spacing w:val="-1"/>
        </w:rPr>
        <w:t> </w:t>
      </w:r>
      <w:r>
        <w:rPr/>
        <w:t>in the</w:t>
      </w:r>
      <w:r>
        <w:rPr>
          <w:spacing w:val="-2"/>
        </w:rPr>
        <w:t> </w:t>
      </w:r>
      <w:r>
        <w:rPr/>
        <w:t>level of</w:t>
      </w:r>
      <w:r>
        <w:rPr>
          <w:spacing w:val="1"/>
        </w:rPr>
        <w:t> </w:t>
      </w:r>
      <w:r>
        <w:rPr/>
        <w:t>TB</w:t>
      </w:r>
      <w:r>
        <w:rPr>
          <w:spacing w:val="-1"/>
        </w:rPr>
        <w:t> </w:t>
      </w:r>
      <w:r>
        <w:rPr/>
        <w:t>when compared</w:t>
      </w:r>
      <w:r>
        <w:rPr>
          <w:spacing w:val="3"/>
        </w:rPr>
        <w:t> </w:t>
      </w:r>
      <w:r>
        <w:rPr/>
        <w:t>with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control at P&lt;0.05</w:t>
      </w:r>
    </w:p>
    <w:p>
      <w:pPr>
        <w:spacing w:after="0" w:line="247" w:lineRule="auto"/>
        <w:sectPr>
          <w:pgSz w:w="12240" w:h="15840"/>
          <w:pgMar w:header="0" w:footer="792" w:top="1500" w:bottom="980" w:left="1080" w:right="760"/>
        </w:sectPr>
      </w:pPr>
    </w:p>
    <w:p>
      <w:pPr>
        <w:spacing w:before="76"/>
        <w:ind w:left="648" w:right="0" w:firstLine="0"/>
        <w:jc w:val="both"/>
        <w:rPr>
          <w:b/>
          <w:i/>
          <w:sz w:val="24"/>
        </w:rPr>
      </w:pPr>
      <w:r>
        <w:rPr>
          <w:b/>
          <w:sz w:val="24"/>
        </w:rPr>
        <w:t>4.4.2.</w:t>
      </w:r>
      <w:r>
        <w:rPr>
          <w:b/>
          <w:spacing w:val="-2"/>
          <w:sz w:val="24"/>
        </w:rPr>
        <w:t> </w:t>
      </w:r>
      <w:r>
        <w:rPr>
          <w:b/>
          <w:i/>
          <w:sz w:val="24"/>
        </w:rPr>
        <w:t>Kidney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function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tests</w:t>
      </w:r>
    </w:p>
    <w:p>
      <w:pPr>
        <w:pStyle w:val="BodyText"/>
        <w:spacing w:before="7"/>
        <w:rPr>
          <w:b/>
          <w:i/>
          <w:sz w:val="23"/>
        </w:rPr>
      </w:pPr>
    </w:p>
    <w:p>
      <w:pPr>
        <w:pStyle w:val="BodyText"/>
        <w:spacing w:line="480" w:lineRule="auto" w:before="1"/>
        <w:ind w:left="648" w:right="674"/>
        <w:jc w:val="both"/>
      </w:pPr>
      <w:r>
        <w:rPr/>
        <w:t>The methanol leaf extract of </w:t>
      </w:r>
      <w:r>
        <w:rPr>
          <w:i/>
        </w:rPr>
        <w:t>Diospyros mespiliformis </w:t>
      </w:r>
      <w:r>
        <w:rPr/>
        <w:t>when administred</w:t>
      </w:r>
      <w:r>
        <w:rPr>
          <w:spacing w:val="1"/>
        </w:rPr>
        <w:t> </w:t>
      </w:r>
      <w:r>
        <w:rPr/>
        <w:t>orally for 28 days at</w:t>
      </w:r>
      <w:r>
        <w:rPr>
          <w:spacing w:val="1"/>
        </w:rPr>
        <w:t> </w:t>
      </w:r>
      <w:r>
        <w:rPr/>
        <w:t>doses of 50, 250, 500 and 1000mg/kg causes only a slight increase in sodium, calcium and a</w:t>
      </w:r>
      <w:r>
        <w:rPr>
          <w:spacing w:val="1"/>
        </w:rPr>
        <w:t> </w:t>
      </w:r>
      <w:r>
        <w:rPr/>
        <w:t>slight decrease in glucose, urea, total protein, albumin, and total cholesterol, these increases</w:t>
      </w:r>
      <w:r>
        <w:rPr>
          <w:spacing w:val="1"/>
        </w:rPr>
        <w:t> </w:t>
      </w:r>
      <w:r>
        <w:rPr/>
        <w:t>and decreases are however, not statistically significant when compared with the control at</w:t>
      </w:r>
      <w:r>
        <w:rPr>
          <w:spacing w:val="1"/>
        </w:rPr>
        <w:t> </w:t>
      </w:r>
      <w:r>
        <w:rPr/>
        <w:t>P&lt;0.05 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/>
        <w:ind w:left="648" w:right="678"/>
        <w:jc w:val="both"/>
      </w:pPr>
      <w:r>
        <w:rPr/>
        <w:t>However, there is statistically significant decrease in the value of creatinine at doses of</w:t>
      </w:r>
      <w:r>
        <w:rPr>
          <w:spacing w:val="1"/>
        </w:rPr>
        <w:t> </w:t>
      </w:r>
      <w:r>
        <w:rPr/>
        <w:t>250(*p&lt;0.05), 500(*p&lt;0.05) and 1000mg/kg(***p&lt;0.001) of the extract when compared with</w:t>
      </w:r>
      <w:r>
        <w:rPr>
          <w:spacing w:val="-57"/>
        </w:rPr>
        <w:t> </w:t>
      </w:r>
      <w:r>
        <w:rPr/>
        <w:t>the control at P&lt;0.05 , similarly, there is increase in the value of potassium at 250mg/kg dose</w:t>
      </w:r>
      <w:r>
        <w:rPr>
          <w:spacing w:val="1"/>
        </w:rPr>
        <w:t> </w:t>
      </w:r>
      <w:r>
        <w:rPr/>
        <w:t>of the extract and this increase was found to</w:t>
      </w:r>
      <w:r>
        <w:rPr>
          <w:spacing w:val="1"/>
        </w:rPr>
        <w:t> </w:t>
      </w:r>
      <w:r>
        <w:rPr/>
        <w:t>be statistically significant at P&lt;0.05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compared</w:t>
      </w:r>
      <w:r>
        <w:rPr>
          <w:spacing w:val="-1"/>
        </w:rPr>
        <w:t> </w:t>
      </w:r>
      <w:r>
        <w:rPr/>
        <w:t>with the</w:t>
      </w:r>
      <w:r>
        <w:rPr>
          <w:spacing w:val="1"/>
        </w:rPr>
        <w:t> </w:t>
      </w:r>
      <w:r>
        <w:rPr/>
        <w:t>control group</w:t>
      </w:r>
      <w:r>
        <w:rPr>
          <w:spacing w:val="-1"/>
        </w:rPr>
        <w:t> </w:t>
      </w:r>
      <w:r>
        <w:rPr/>
        <w:t>(Fig. 4.5-4.9).</w:t>
      </w:r>
    </w:p>
    <w:p>
      <w:pPr>
        <w:spacing w:after="0" w:line="480" w:lineRule="auto"/>
        <w:jc w:val="both"/>
        <w:sectPr>
          <w:pgSz w:w="12240" w:h="15840"/>
          <w:pgMar w:header="0" w:footer="792" w:top="1360" w:bottom="980" w:left="108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2"/>
        </w:rPr>
      </w:pPr>
    </w:p>
    <w:p>
      <w:pPr>
        <w:spacing w:before="138"/>
        <w:ind w:left="1306" w:right="0" w:firstLine="0"/>
        <w:jc w:val="left"/>
        <w:rPr>
          <w:rFonts w:ascii="Trebuchet MS"/>
          <w:b/>
          <w:sz w:val="19"/>
        </w:rPr>
      </w:pPr>
      <w:r>
        <w:rPr/>
        <w:pict>
          <v:shape style="position:absolute;margin-left:145.913986pt;margin-top:14.415919pt;width:3.65pt;height:204.95pt;mso-position-horizontal-relative:page;mso-position-vertical-relative:paragraph;z-index:15749632" coordorigin="2918,288" coordsize="73,4099" path="m2991,4387l2991,288m2918,4387l2991,4387m2918,3702l2991,3702m2918,3017l2991,3017m2918,2332l2991,2332m2918,1658l2991,1658m2918,973l2991,973m2918,288l2991,288e" filled="false" stroked="true" strokeweight=".519025pt" strokecolor="#888888">
            <v:path arrowok="t"/>
            <v:stroke dashstyle="solid"/>
            <w10:wrap type="none"/>
          </v:shape>
        </w:pict>
      </w:r>
      <w:r>
        <w:rPr>
          <w:rFonts w:ascii="Trebuchet MS"/>
          <w:b/>
          <w:spacing w:val="10"/>
          <w:w w:val="110"/>
          <w:sz w:val="19"/>
        </w:rPr>
        <w:t>300</w:t>
      </w:r>
    </w:p>
    <w:p>
      <w:pPr>
        <w:pStyle w:val="BodyText"/>
        <w:spacing w:before="1"/>
        <w:rPr>
          <w:rFonts w:ascii="Trebuchet MS"/>
          <w:b/>
          <w:sz w:val="28"/>
        </w:rPr>
      </w:pPr>
    </w:p>
    <w:p>
      <w:pPr>
        <w:spacing w:after="0"/>
        <w:rPr>
          <w:rFonts w:ascii="Trebuchet MS"/>
          <w:sz w:val="28"/>
        </w:rPr>
        <w:sectPr>
          <w:pgSz w:w="12240" w:h="15840"/>
          <w:pgMar w:header="0" w:footer="792" w:top="1500" w:bottom="980" w:left="1080" w:right="760"/>
        </w:sectPr>
      </w:pPr>
    </w:p>
    <w:p>
      <w:pPr>
        <w:spacing w:before="139"/>
        <w:ind w:left="0" w:right="38" w:firstLine="0"/>
        <w:jc w:val="right"/>
        <w:rPr>
          <w:rFonts w:ascii="Trebuchet MS"/>
          <w:b/>
          <w:sz w:val="19"/>
        </w:rPr>
      </w:pPr>
      <w:r>
        <w:rPr>
          <w:rFonts w:ascii="Trebuchet MS"/>
          <w:b/>
          <w:spacing w:val="10"/>
          <w:w w:val="110"/>
          <w:sz w:val="19"/>
        </w:rPr>
        <w:t>250</w:t>
      </w:r>
    </w:p>
    <w:p>
      <w:pPr>
        <w:pStyle w:val="BodyText"/>
        <w:rPr>
          <w:rFonts w:ascii="Trebuchet MS"/>
          <w:b/>
          <w:sz w:val="40"/>
        </w:rPr>
      </w:pPr>
    </w:p>
    <w:p>
      <w:pPr>
        <w:spacing w:before="0"/>
        <w:ind w:left="0" w:right="38" w:firstLine="0"/>
        <w:jc w:val="right"/>
        <w:rPr>
          <w:rFonts w:ascii="Trebuchet MS"/>
          <w:b/>
          <w:sz w:val="19"/>
        </w:rPr>
      </w:pPr>
      <w:r>
        <w:rPr/>
        <w:pict>
          <v:shape style="position:absolute;margin-left:94.501694pt;margin-top:16.168644pt;width:21.15pt;height:51.25pt;mso-position-horizontal-relative:page;mso-position-vertical-relative:paragraph;z-index:15753216" type="#_x0000_t202" filled="false" stroked="false">
            <v:textbox inset="0,0,0,0" style="layout-flow:vertical;mso-layout-flow-alt:bottom-to-top">
              <w:txbxContent>
                <w:p>
                  <w:pPr>
                    <w:spacing w:before="58"/>
                    <w:ind w:left="20" w:right="0" w:firstLine="0"/>
                    <w:jc w:val="left"/>
                    <w:rPr>
                      <w:rFonts w:ascii="Trebuchet MS"/>
                      <w:b/>
                      <w:sz w:val="25"/>
                    </w:rPr>
                  </w:pPr>
                  <w:r>
                    <w:rPr>
                      <w:rFonts w:ascii="Trebuchet MS"/>
                      <w:b/>
                      <w:w w:val="110"/>
                      <w:sz w:val="25"/>
                    </w:rPr>
                    <w:t>mmol/L</w:t>
                  </w:r>
                </w:p>
              </w:txbxContent>
            </v:textbox>
            <w10:wrap type="none"/>
          </v:shape>
        </w:pict>
      </w:r>
      <w:r>
        <w:rPr>
          <w:rFonts w:ascii="Trebuchet MS"/>
          <w:b/>
          <w:spacing w:val="10"/>
          <w:w w:val="110"/>
          <w:sz w:val="19"/>
        </w:rPr>
        <w:t>200</w:t>
      </w:r>
    </w:p>
    <w:p>
      <w:pPr>
        <w:pStyle w:val="BodyText"/>
        <w:rPr>
          <w:rFonts w:ascii="Trebuchet MS"/>
          <w:b/>
          <w:sz w:val="40"/>
        </w:rPr>
      </w:pPr>
    </w:p>
    <w:p>
      <w:pPr>
        <w:spacing w:before="0"/>
        <w:ind w:left="0" w:right="38" w:firstLine="0"/>
        <w:jc w:val="right"/>
        <w:rPr>
          <w:rFonts w:ascii="Trebuchet MS"/>
          <w:b/>
          <w:sz w:val="19"/>
        </w:rPr>
      </w:pPr>
      <w:r>
        <w:rPr>
          <w:rFonts w:ascii="Trebuchet MS"/>
          <w:b/>
          <w:spacing w:val="10"/>
          <w:w w:val="110"/>
          <w:sz w:val="19"/>
        </w:rPr>
        <w:t>150</w:t>
      </w:r>
    </w:p>
    <w:p>
      <w:pPr>
        <w:pStyle w:val="BodyText"/>
        <w:rPr>
          <w:rFonts w:ascii="Trebuchet MS"/>
          <w:b/>
          <w:sz w:val="40"/>
        </w:rPr>
      </w:pPr>
    </w:p>
    <w:p>
      <w:pPr>
        <w:spacing w:before="0"/>
        <w:ind w:left="0" w:right="38" w:firstLine="0"/>
        <w:jc w:val="right"/>
        <w:rPr>
          <w:rFonts w:ascii="Trebuchet MS"/>
          <w:b/>
          <w:sz w:val="19"/>
        </w:rPr>
      </w:pPr>
      <w:r>
        <w:rPr>
          <w:rFonts w:ascii="Trebuchet MS"/>
          <w:b/>
          <w:spacing w:val="10"/>
          <w:w w:val="110"/>
          <w:sz w:val="19"/>
        </w:rPr>
        <w:t>100</w:t>
      </w:r>
    </w:p>
    <w:p>
      <w:pPr>
        <w:pStyle w:val="BodyText"/>
        <w:spacing w:before="1"/>
        <w:rPr>
          <w:rFonts w:ascii="Trebuchet MS"/>
          <w:b/>
          <w:sz w:val="40"/>
        </w:rPr>
      </w:pPr>
    </w:p>
    <w:p>
      <w:pPr>
        <w:spacing w:before="0"/>
        <w:ind w:left="0" w:right="48" w:firstLine="0"/>
        <w:jc w:val="right"/>
        <w:rPr>
          <w:rFonts w:ascii="Trebuchet MS"/>
          <w:b/>
          <w:sz w:val="19"/>
        </w:rPr>
      </w:pPr>
      <w:r>
        <w:rPr>
          <w:rFonts w:ascii="Trebuchet MS"/>
          <w:b/>
          <w:spacing w:val="10"/>
          <w:w w:val="110"/>
          <w:sz w:val="19"/>
        </w:rPr>
        <w:t>50</w:t>
      </w:r>
    </w:p>
    <w:p>
      <w:pPr>
        <w:pStyle w:val="BodyText"/>
        <w:rPr>
          <w:rFonts w:ascii="Trebuchet MS"/>
          <w:b/>
          <w:sz w:val="30"/>
        </w:rPr>
      </w:pPr>
      <w:r>
        <w:rPr/>
        <w:br w:type="column"/>
      </w:r>
      <w:r>
        <w:rPr>
          <w:rFonts w:ascii="Trebuchet MS"/>
          <w:b/>
          <w:sz w:val="30"/>
        </w:rPr>
      </w:r>
    </w:p>
    <w:p>
      <w:pPr>
        <w:pStyle w:val="BodyText"/>
        <w:rPr>
          <w:rFonts w:ascii="Trebuchet MS"/>
          <w:b/>
          <w:sz w:val="30"/>
        </w:rPr>
      </w:pPr>
    </w:p>
    <w:p>
      <w:pPr>
        <w:spacing w:before="235"/>
        <w:ind w:left="1306" w:right="0" w:firstLine="0"/>
        <w:jc w:val="left"/>
        <w:rPr>
          <w:rFonts w:ascii="Trebuchet MS"/>
          <w:b/>
          <w:sz w:val="19"/>
        </w:rPr>
      </w:pPr>
      <w:r>
        <w:rPr>
          <w:rFonts w:ascii="Trebuchet MS"/>
          <w:b/>
          <w:w w:val="105"/>
          <w:sz w:val="19"/>
        </w:rPr>
        <w:t>Distilled</w:t>
      </w:r>
      <w:r>
        <w:rPr>
          <w:rFonts w:ascii="Trebuchet MS"/>
          <w:b/>
          <w:spacing w:val="-15"/>
          <w:w w:val="105"/>
          <w:sz w:val="19"/>
        </w:rPr>
        <w:t> </w:t>
      </w:r>
      <w:r>
        <w:rPr>
          <w:rFonts w:ascii="Trebuchet MS"/>
          <w:b/>
          <w:w w:val="105"/>
          <w:sz w:val="19"/>
        </w:rPr>
        <w:t>Water</w:t>
      </w:r>
    </w:p>
    <w:p>
      <w:pPr>
        <w:spacing w:before="158"/>
        <w:ind w:left="1306" w:right="0" w:firstLine="0"/>
        <w:jc w:val="left"/>
        <w:rPr>
          <w:rFonts w:ascii="Trebuchet MS"/>
          <w:b/>
          <w:sz w:val="19"/>
        </w:rPr>
      </w:pPr>
      <w:r>
        <w:rPr/>
        <w:pict>
          <v:group style="position:absolute;margin-left:377.239349pt;margin-top:21.90069pt;width:46.25pt;height:105.35pt;mso-position-horizontal-relative:page;mso-position-vertical-relative:paragraph;z-index:15749120" coordorigin="7545,438" coordsize="925,2107">
            <v:rect style="position:absolute;left:7544;top:604;width:925;height:1941" filled="true" fillcolor="#6f2f9f" stroked="false">
              <v:fill type="solid"/>
            </v:rect>
            <v:shape style="position:absolute;left:7975;top:443;width:63;height:177" coordorigin="7976,443" coordsize="63,177" path="m8007,620l8007,620,8007,443m7976,443l8038,443e" filled="false" stroked="true" strokeweight=".519544pt" strokecolor="#000000">
              <v:path arrowok="t"/>
              <v:stroke dashstyle="solid"/>
            </v:shape>
            <w10:wrap type="none"/>
          </v:group>
        </w:pict>
      </w:r>
      <w:r>
        <w:rPr/>
        <w:pict>
          <v:rect style="position:absolute;margin-left:440.587708pt;margin-top:-7.148455pt;width:6.750235pt;height:6.744415pt;mso-position-horizontal-relative:page;mso-position-vertical-relative:paragraph;z-index:15750144" filled="true" fillcolor="#c00000" stroked="false">
            <v:fill type="solid"/>
            <w10:wrap type="none"/>
          </v:rect>
        </w:pict>
      </w:r>
      <w:r>
        <w:rPr/>
        <w:pict>
          <v:rect style="position:absolute;margin-left:440.587708pt;margin-top:11.528386pt;width:6.750235pt;height:6.744415pt;mso-position-horizontal-relative:page;mso-position-vertical-relative:paragraph;z-index:15750656" filled="true" fillcolor="#ffc000" stroked="false">
            <v:fill type="solid"/>
            <w10:wrap type="none"/>
          </v:rect>
        </w:pict>
      </w:r>
      <w:r>
        <w:rPr>
          <w:rFonts w:ascii="Trebuchet MS"/>
          <w:b/>
          <w:w w:val="120"/>
          <w:sz w:val="19"/>
        </w:rPr>
        <w:t>DM</w:t>
      </w:r>
      <w:r>
        <w:rPr>
          <w:rFonts w:ascii="Trebuchet MS"/>
          <w:b/>
          <w:spacing w:val="-14"/>
          <w:w w:val="120"/>
          <w:sz w:val="19"/>
        </w:rPr>
        <w:t> </w:t>
      </w:r>
      <w:r>
        <w:rPr>
          <w:rFonts w:ascii="Trebuchet MS"/>
          <w:b/>
          <w:w w:val="120"/>
          <w:sz w:val="19"/>
        </w:rPr>
        <w:t>50</w:t>
      </w:r>
      <w:r>
        <w:rPr>
          <w:rFonts w:ascii="Trebuchet MS"/>
          <w:b/>
          <w:spacing w:val="-9"/>
          <w:w w:val="120"/>
          <w:sz w:val="19"/>
        </w:rPr>
        <w:t> </w:t>
      </w:r>
      <w:r>
        <w:rPr>
          <w:rFonts w:ascii="Trebuchet MS"/>
          <w:b/>
          <w:w w:val="120"/>
          <w:sz w:val="19"/>
        </w:rPr>
        <w:t>mg/kg</w:t>
      </w:r>
    </w:p>
    <w:p>
      <w:pPr>
        <w:spacing w:before="158"/>
        <w:ind w:left="1306" w:right="0" w:firstLine="0"/>
        <w:jc w:val="left"/>
        <w:rPr>
          <w:rFonts w:ascii="Trebuchet MS"/>
          <w:b/>
          <w:sz w:val="19"/>
        </w:rPr>
      </w:pPr>
      <w:r>
        <w:rPr/>
        <w:pict>
          <v:rect style="position:absolute;margin-left:440.587708pt;margin-top:11.805083pt;width:6.750235pt;height:6.225614pt;mso-position-horizontal-relative:page;mso-position-vertical-relative:paragraph;z-index:15751168" filled="true" fillcolor="#00af50" stroked="false">
            <v:fill type="solid"/>
            <w10:wrap type="none"/>
          </v:rect>
        </w:pict>
      </w:r>
      <w:r>
        <w:rPr>
          <w:rFonts w:ascii="Trebuchet MS"/>
          <w:b/>
          <w:w w:val="115"/>
          <w:sz w:val="19"/>
        </w:rPr>
        <w:t>DM</w:t>
      </w:r>
      <w:r>
        <w:rPr>
          <w:rFonts w:ascii="Trebuchet MS"/>
          <w:b/>
          <w:spacing w:val="25"/>
          <w:w w:val="115"/>
          <w:sz w:val="19"/>
        </w:rPr>
        <w:t> </w:t>
      </w:r>
      <w:r>
        <w:rPr>
          <w:rFonts w:ascii="Trebuchet MS"/>
          <w:b/>
          <w:w w:val="115"/>
          <w:sz w:val="19"/>
        </w:rPr>
        <w:t>250</w:t>
      </w:r>
      <w:r>
        <w:rPr>
          <w:rFonts w:ascii="Trebuchet MS"/>
          <w:b/>
          <w:spacing w:val="14"/>
          <w:w w:val="115"/>
          <w:sz w:val="19"/>
        </w:rPr>
        <w:t> </w:t>
      </w:r>
      <w:r>
        <w:rPr>
          <w:rFonts w:ascii="Trebuchet MS"/>
          <w:b/>
          <w:w w:val="115"/>
          <w:sz w:val="19"/>
        </w:rPr>
        <w:t>mg/kg</w:t>
      </w:r>
    </w:p>
    <w:p>
      <w:pPr>
        <w:spacing w:before="158"/>
        <w:ind w:left="1306" w:right="0" w:firstLine="0"/>
        <w:jc w:val="left"/>
        <w:rPr>
          <w:rFonts w:ascii="Trebuchet MS"/>
          <w:b/>
          <w:sz w:val="19"/>
        </w:rPr>
      </w:pPr>
      <w:r>
        <w:rPr/>
        <w:pict>
          <v:rect style="position:absolute;margin-left:440.587708pt;margin-top:11.562979pt;width:6.750235pt;height:6.744415pt;mso-position-horizontal-relative:page;mso-position-vertical-relative:paragraph;z-index:15751680" filled="true" fillcolor="#001f5f" stroked="false">
            <v:fill type="solid"/>
            <w10:wrap type="none"/>
          </v:rect>
        </w:pict>
      </w:r>
      <w:r>
        <w:rPr>
          <w:rFonts w:ascii="Trebuchet MS"/>
          <w:b/>
          <w:w w:val="115"/>
          <w:sz w:val="19"/>
        </w:rPr>
        <w:t>DM</w:t>
      </w:r>
      <w:r>
        <w:rPr>
          <w:rFonts w:ascii="Trebuchet MS"/>
          <w:b/>
          <w:spacing w:val="25"/>
          <w:w w:val="115"/>
          <w:sz w:val="19"/>
        </w:rPr>
        <w:t> </w:t>
      </w:r>
      <w:r>
        <w:rPr>
          <w:rFonts w:ascii="Trebuchet MS"/>
          <w:b/>
          <w:w w:val="115"/>
          <w:sz w:val="19"/>
        </w:rPr>
        <w:t>500</w:t>
      </w:r>
      <w:r>
        <w:rPr>
          <w:rFonts w:ascii="Trebuchet MS"/>
          <w:b/>
          <w:spacing w:val="14"/>
          <w:w w:val="115"/>
          <w:sz w:val="19"/>
        </w:rPr>
        <w:t> </w:t>
      </w:r>
      <w:r>
        <w:rPr>
          <w:rFonts w:ascii="Trebuchet MS"/>
          <w:b/>
          <w:w w:val="115"/>
          <w:sz w:val="19"/>
        </w:rPr>
        <w:t>mg/kg</w:t>
      </w:r>
    </w:p>
    <w:p>
      <w:pPr>
        <w:spacing w:before="158"/>
        <w:ind w:left="1306" w:right="0" w:firstLine="0"/>
        <w:jc w:val="left"/>
        <w:rPr>
          <w:rFonts w:ascii="Trebuchet MS"/>
          <w:b/>
          <w:sz w:val="19"/>
        </w:rPr>
      </w:pPr>
      <w:r>
        <w:rPr/>
        <w:pict>
          <v:rect style="position:absolute;margin-left:440.587708pt;margin-top:11.30705pt;width:6.750235pt;height:6.744415pt;mso-position-horizontal-relative:page;mso-position-vertical-relative:paragraph;z-index:15752192" filled="true" fillcolor="#6f2f9f" stroked="false">
            <v:fill type="solid"/>
            <w10:wrap type="none"/>
          </v:rect>
        </w:pict>
      </w:r>
      <w:r>
        <w:rPr>
          <w:rFonts w:ascii="Trebuchet MS"/>
          <w:b/>
          <w:w w:val="115"/>
          <w:sz w:val="19"/>
        </w:rPr>
        <w:t>DM</w:t>
      </w:r>
      <w:r>
        <w:rPr>
          <w:rFonts w:ascii="Trebuchet MS"/>
          <w:b/>
          <w:spacing w:val="6"/>
          <w:w w:val="115"/>
          <w:sz w:val="19"/>
        </w:rPr>
        <w:t> </w:t>
      </w:r>
      <w:r>
        <w:rPr>
          <w:rFonts w:ascii="Trebuchet MS"/>
          <w:b/>
          <w:w w:val="115"/>
          <w:sz w:val="19"/>
        </w:rPr>
        <w:t>1000</w:t>
      </w:r>
      <w:r>
        <w:rPr>
          <w:rFonts w:ascii="Trebuchet MS"/>
          <w:b/>
          <w:spacing w:val="-4"/>
          <w:w w:val="115"/>
          <w:sz w:val="19"/>
        </w:rPr>
        <w:t> </w:t>
      </w:r>
      <w:r>
        <w:rPr>
          <w:rFonts w:ascii="Trebuchet MS"/>
          <w:b/>
          <w:w w:val="115"/>
          <w:sz w:val="19"/>
        </w:rPr>
        <w:t>mg/kg</w:t>
      </w:r>
    </w:p>
    <w:p>
      <w:pPr>
        <w:spacing w:after="0"/>
        <w:jc w:val="left"/>
        <w:rPr>
          <w:rFonts w:ascii="Trebuchet MS"/>
          <w:sz w:val="19"/>
        </w:rPr>
        <w:sectPr>
          <w:type w:val="continuous"/>
          <w:pgSz w:w="12240" w:h="15840"/>
          <w:pgMar w:top="1360" w:bottom="980" w:left="1080" w:right="760"/>
          <w:cols w:num="2" w:equalWidth="0">
            <w:col w:w="1752" w:space="4877"/>
            <w:col w:w="3771"/>
          </w:cols>
        </w:sectPr>
      </w:pPr>
    </w:p>
    <w:p>
      <w:pPr>
        <w:pStyle w:val="BodyText"/>
        <w:spacing w:before="1"/>
        <w:rPr>
          <w:rFonts w:ascii="Trebuchet MS"/>
          <w:b/>
          <w:sz w:val="28"/>
        </w:rPr>
      </w:pPr>
    </w:p>
    <w:p>
      <w:pPr>
        <w:spacing w:before="138"/>
        <w:ind w:left="1554" w:right="0" w:firstLine="0"/>
        <w:jc w:val="left"/>
        <w:rPr>
          <w:rFonts w:ascii="Trebuchet MS"/>
          <w:b/>
          <w:sz w:val="19"/>
        </w:rPr>
      </w:pPr>
      <w:r>
        <w:rPr/>
        <w:pict>
          <v:shape style="position:absolute;margin-left:253.298111pt;margin-top:15.045361pt;width:70.2pt;height:19.2pt;mso-position-horizontal-relative:page;mso-position-vertical-relative:paragraph;z-index:-18393088" type="#_x0000_t202" filled="false" stroked="false">
            <v:textbox inset="0,0,0,0">
              <w:txbxContent>
                <w:p>
                  <w:pPr>
                    <w:spacing w:before="39"/>
                    <w:ind w:left="0" w:right="0" w:firstLine="0"/>
                    <w:jc w:val="left"/>
                    <w:rPr>
                      <w:rFonts w:ascii="Trebuchet MS"/>
                      <w:b/>
                      <w:sz w:val="25"/>
                    </w:rPr>
                  </w:pPr>
                  <w:r>
                    <w:rPr>
                      <w:rFonts w:ascii="Trebuchet MS"/>
                      <w:b/>
                      <w:sz w:val="25"/>
                    </w:rPr>
                    <w:t>Treatments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153.962357pt;margin-top:-84.568817pt;width:46.75pt;height:98.1pt;mso-position-horizontal-relative:page;mso-position-vertical-relative:paragraph;z-index:15747072" coordorigin="3079,-1691" coordsize="935,1962">
            <v:rect style="position:absolute;left:3079;top:-1567;width:935;height:1837" filled="true" fillcolor="#c00000" stroked="false">
              <v:fill type="solid"/>
            </v:rect>
            <v:shape style="position:absolute;left:3520;top:-1687;width:63;height:125" coordorigin="3521,-1686" coordsize="63,125" path="m3552,-1562l3552,-1562,3552,-1686m3521,-1686l3583,-1686e" filled="false" stroked="true" strokeweight=".519544pt" strokecolor="#000000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209.521973pt;margin-top:-72.636391pt;width:46.75pt;height:86.15pt;mso-position-horizontal-relative:page;mso-position-vertical-relative:paragraph;z-index:15747584" coordorigin="4190,-1453" coordsize="935,1723">
            <v:rect style="position:absolute;left:4190;top:-1401;width:935;height:1671" filled="true" fillcolor="#ffc000" stroked="false">
              <v:fill type="solid"/>
            </v:rect>
            <v:line style="position:absolute" from="4658,-1422" to="4668,-1422" stroked="true" strokeweight="2.594006pt" strokecolor="#000000">
              <v:stroke dashstyle="solid"/>
            </v:line>
            <v:line style="position:absolute" from="4632,-1448" to="4694,-1448" stroked="true" strokeweight=".51932pt" strokecolor="#000000">
              <v:stroke dashstyle="solid"/>
            </v:line>
            <w10:wrap type="none"/>
          </v:group>
        </w:pict>
      </w:r>
      <w:r>
        <w:rPr/>
        <w:pict>
          <v:group style="position:absolute;margin-left:265.600861pt;margin-top:-79.899612pt;width:46.25pt;height:93.4pt;mso-position-horizontal-relative:page;mso-position-vertical-relative:paragraph;z-index:15748096" coordorigin="5312,-1598" coordsize="925,1868">
            <v:rect style="position:absolute;left:5312;top:-1567;width:925;height:1837" filled="true" fillcolor="#00af50" stroked="false">
              <v:fill type="solid"/>
            </v:rect>
            <v:line style="position:absolute" from="5779,-1577" to="5790,-1577" stroked="true" strokeweight="1.556403pt" strokecolor="#000000">
              <v:stroke dashstyle="solid"/>
            </v:line>
            <v:line style="position:absolute" from="5753,-1593" to="5816,-1593" stroked="true" strokeweight=".51932pt" strokecolor="#000000">
              <v:stroke dashstyle="solid"/>
            </v:line>
            <w10:wrap type="none"/>
          </v:group>
        </w:pict>
      </w:r>
      <w:r>
        <w:rPr/>
        <w:pict>
          <v:group style="position:absolute;margin-left:321.160492pt;margin-top:-170.689804pt;width:46.75pt;height:184.2pt;mso-position-horizontal-relative:page;mso-position-vertical-relative:paragraph;z-index:15748608" coordorigin="6423,-3414" coordsize="935,3684">
            <v:rect style="position:absolute;left:6423;top:-2709;width:935;height:2978" filled="true" fillcolor="#001f5f" stroked="false">
              <v:fill type="solid"/>
            </v:rect>
            <v:shape style="position:absolute;left:6864;top:-3409;width:63;height:706" coordorigin="6865,-3409" coordsize="63,706" path="m6896,-2703l6896,-2703,6896,-3409m6865,-3409l6927,-3409e" filled="false" stroked="true" strokeweight=".519544pt" strokecolor="#000000">
              <v:path arrowok="t"/>
              <v:stroke dashstyle="solid"/>
            </v:shape>
            <w10:wrap type="none"/>
          </v:group>
        </w:pict>
      </w:r>
      <w:r>
        <w:rPr/>
        <w:pict>
          <v:rect style="position:absolute;margin-left:230.399994pt;margin-top:17.493061pt;width:99.0pt;height:18pt;mso-position-horizontal-relative:page;mso-position-vertical-relative:paragraph;z-index:-18386944" filled="true" fillcolor="#ffffff" stroked="false">
            <v:fill type="solid"/>
            <w10:wrap type="none"/>
          </v:rect>
        </w:pict>
      </w:r>
      <w:r>
        <w:rPr>
          <w:rFonts w:ascii="Trebuchet MS"/>
          <w:b/>
          <w:w w:val="112"/>
          <w:sz w:val="19"/>
        </w:rPr>
        <w:t>0</w:t>
      </w:r>
    </w:p>
    <w:p>
      <w:pPr>
        <w:pStyle w:val="Heading1"/>
        <w:spacing w:before="62"/>
        <w:ind w:left="168" w:right="1529"/>
        <w:jc w:val="center"/>
      </w:pPr>
      <w:r>
        <w:rPr/>
        <w:t>Sodium</w:t>
      </w:r>
    </w:p>
    <w:p>
      <w:pPr>
        <w:pStyle w:val="BodyText"/>
        <w:spacing w:before="1"/>
        <w:rPr>
          <w:b/>
          <w:sz w:val="28"/>
        </w:rPr>
      </w:pPr>
    </w:p>
    <w:p>
      <w:pPr>
        <w:spacing w:before="90"/>
        <w:ind w:left="1188" w:right="672" w:hanging="540"/>
        <w:jc w:val="left"/>
        <w:rPr>
          <w:b/>
          <w:sz w:val="24"/>
        </w:rPr>
      </w:pPr>
      <w:r>
        <w:rPr>
          <w:b/>
          <w:sz w:val="24"/>
        </w:rPr>
        <w:t>Fig</w:t>
      </w:r>
      <w:r>
        <w:rPr>
          <w:b/>
          <w:spacing w:val="7"/>
          <w:sz w:val="24"/>
        </w:rPr>
        <w:t> </w:t>
      </w:r>
      <w:r>
        <w:rPr>
          <w:b/>
          <w:sz w:val="24"/>
        </w:rPr>
        <w:t>4.5:</w:t>
      </w:r>
      <w:r>
        <w:rPr>
          <w:b/>
          <w:spacing w:val="6"/>
          <w:sz w:val="24"/>
        </w:rPr>
        <w:t> </w:t>
      </w:r>
      <w:r>
        <w:rPr>
          <w:b/>
          <w:sz w:val="24"/>
        </w:rPr>
        <w:t>Effect</w:t>
      </w:r>
      <w:r>
        <w:rPr>
          <w:b/>
          <w:spacing w:val="8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8"/>
          <w:sz w:val="24"/>
        </w:rPr>
        <w:t> </w:t>
      </w:r>
      <w:r>
        <w:rPr>
          <w:b/>
          <w:sz w:val="24"/>
        </w:rPr>
        <w:t>28</w:t>
      </w:r>
      <w:r>
        <w:rPr>
          <w:b/>
          <w:spacing w:val="4"/>
          <w:sz w:val="24"/>
        </w:rPr>
        <w:t> </w:t>
      </w:r>
      <w:r>
        <w:rPr>
          <w:b/>
          <w:sz w:val="24"/>
        </w:rPr>
        <w:t>days</w:t>
      </w:r>
      <w:r>
        <w:rPr>
          <w:b/>
          <w:spacing w:val="7"/>
          <w:sz w:val="24"/>
        </w:rPr>
        <w:t> </w:t>
      </w:r>
      <w:r>
        <w:rPr>
          <w:b/>
          <w:sz w:val="24"/>
        </w:rPr>
        <w:t>administration</w:t>
      </w:r>
      <w:r>
        <w:rPr>
          <w:b/>
          <w:spacing w:val="8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6"/>
          <w:sz w:val="24"/>
        </w:rPr>
        <w:t> </w:t>
      </w:r>
      <w:r>
        <w:rPr>
          <w:b/>
          <w:sz w:val="24"/>
        </w:rPr>
        <w:t>DM</w:t>
      </w:r>
      <w:r>
        <w:rPr>
          <w:b/>
          <w:spacing w:val="8"/>
          <w:sz w:val="24"/>
        </w:rPr>
        <w:t> </w:t>
      </w:r>
      <w:r>
        <w:rPr>
          <w:b/>
          <w:sz w:val="24"/>
        </w:rPr>
        <w:t>on</w:t>
      </w:r>
      <w:r>
        <w:rPr>
          <w:b/>
          <w:spacing w:val="7"/>
          <w:sz w:val="24"/>
        </w:rPr>
        <w:t> </w:t>
      </w:r>
      <w:r>
        <w:rPr>
          <w:b/>
          <w:sz w:val="24"/>
        </w:rPr>
        <w:t>sodium</w:t>
      </w:r>
      <w:r>
        <w:rPr>
          <w:b/>
          <w:spacing w:val="5"/>
          <w:sz w:val="24"/>
        </w:rPr>
        <w:t> </w:t>
      </w:r>
      <w:r>
        <w:rPr>
          <w:b/>
          <w:sz w:val="24"/>
        </w:rPr>
        <w:t>levels</w:t>
      </w:r>
      <w:r>
        <w:rPr>
          <w:b/>
          <w:spacing w:val="7"/>
          <w:sz w:val="24"/>
        </w:rPr>
        <w:t> </w:t>
      </w:r>
      <w:r>
        <w:rPr>
          <w:b/>
          <w:sz w:val="24"/>
        </w:rPr>
        <w:t>.No</w:t>
      </w:r>
      <w:r>
        <w:rPr>
          <w:b/>
          <w:spacing w:val="6"/>
          <w:sz w:val="24"/>
        </w:rPr>
        <w:t> </w:t>
      </w:r>
      <w:r>
        <w:rPr>
          <w:b/>
          <w:sz w:val="24"/>
        </w:rPr>
        <w:t>statistically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significant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increase in the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level of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sodium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when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compared with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control a p‹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0.05</w:t>
      </w:r>
    </w:p>
    <w:p>
      <w:pPr>
        <w:spacing w:after="0"/>
        <w:jc w:val="left"/>
        <w:rPr>
          <w:sz w:val="24"/>
        </w:rPr>
        <w:sectPr>
          <w:type w:val="continuous"/>
          <w:pgSz w:w="12240" w:h="15840"/>
          <w:pgMar w:top="1360" w:bottom="980" w:left="1080" w:right="76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29"/>
        </w:rPr>
      </w:pPr>
    </w:p>
    <w:p>
      <w:pPr>
        <w:spacing w:after="0"/>
        <w:rPr>
          <w:sz w:val="29"/>
        </w:rPr>
        <w:sectPr>
          <w:pgSz w:w="12240" w:h="15840"/>
          <w:pgMar w:header="0" w:footer="792" w:top="1500" w:bottom="980" w:left="1080" w:right="760"/>
        </w:sectPr>
      </w:pPr>
    </w:p>
    <w:p>
      <w:pPr>
        <w:pStyle w:val="Heading1"/>
        <w:spacing w:before="142"/>
        <w:ind w:left="1419"/>
        <w:rPr>
          <w:rFonts w:ascii="Trebuchet MS"/>
        </w:rPr>
      </w:pPr>
      <w:r>
        <w:rPr/>
        <w:pict>
          <v:shape style="position:absolute;margin-left:142.378723pt;margin-top:16.380512pt;width:4.650pt;height:220.1pt;mso-position-horizontal-relative:page;mso-position-vertical-relative:paragraph;z-index:15756288" coordorigin="2848,328" coordsize="93,4402" path="m2940,4729l2940,328m2848,4729l2940,4729m2848,4175l2940,4175m2848,3632l2940,3632m2848,3077l2940,3077m2848,2523l2940,2523m2848,1980l2940,1980m2848,1425l2940,1425m2848,882l2940,882m2848,328l2940,328e" filled="false" stroked="true" strokeweight=".57775pt" strokecolor="#888888">
            <v:path arrowok="t"/>
            <v:stroke dashstyle="solid"/>
            <w10:wrap type="none"/>
          </v:shape>
        </w:pict>
      </w:r>
      <w:r>
        <w:rPr>
          <w:rFonts w:ascii="Trebuchet MS"/>
          <w:w w:val="109"/>
        </w:rPr>
        <w:t>8</w:t>
      </w:r>
    </w:p>
    <w:p>
      <w:pPr>
        <w:spacing w:before="273"/>
        <w:ind w:left="1419" w:right="0" w:firstLine="0"/>
        <w:jc w:val="left"/>
        <w:rPr>
          <w:rFonts w:ascii="Trebuchet MS"/>
          <w:b/>
          <w:sz w:val="24"/>
        </w:rPr>
      </w:pPr>
      <w:r>
        <w:rPr/>
        <w:pict>
          <v:group style="position:absolute;margin-left:268.065979pt;margin-top:25.021503pt;width:48.55pt;height:190.15pt;mso-position-horizontal-relative:page;mso-position-vertical-relative:paragraph;z-index:15754752" coordorigin="5361,500" coordsize="971,3803">
            <v:rect style="position:absolute;left:5361;top:675;width:971;height:3628" filled="true" fillcolor="#00af50" stroked="false">
              <v:fill type="solid"/>
            </v:rect>
            <v:shape style="position:absolute;left:5817;top:600;width:70;height:81" coordorigin="5818,600" coordsize="70,81" path="m5853,681l5853,681,5853,600m5818,600l5887,600e" filled="false" stroked="true" strokeweight=".578328pt" strokecolor="#000000">
              <v:path arrowok="t"/>
              <v:stroke dashstyle="solid"/>
            </v:shape>
            <v:shape style="position:absolute;left:5865;top:500;width:104;height:267" type="#_x0000_t202" filled="false" stroked="false">
              <v:textbox inset="0,0,0,0">
                <w:txbxContent>
                  <w:p>
                    <w:pPr>
                      <w:spacing w:before="31"/>
                      <w:ind w:left="0" w:right="0" w:firstLine="0"/>
                      <w:jc w:val="left"/>
                      <w:rPr>
                        <w:rFonts w:ascii="Trebuchet MS"/>
                        <w:b/>
                        <w:sz w:val="17"/>
                      </w:rPr>
                    </w:pPr>
                    <w:r>
                      <w:rPr>
                        <w:rFonts w:ascii="Trebuchet MS"/>
                        <w:b/>
                        <w:w w:val="113"/>
                        <w:sz w:val="17"/>
                      </w:rPr>
                      <w:t>*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Trebuchet MS"/>
          <w:b/>
          <w:w w:val="109"/>
          <w:sz w:val="24"/>
        </w:rPr>
        <w:t>7</w:t>
      </w:r>
    </w:p>
    <w:p>
      <w:pPr>
        <w:pStyle w:val="Heading1"/>
        <w:spacing w:before="273"/>
        <w:ind w:left="1419"/>
        <w:rPr>
          <w:rFonts w:ascii="Trebuchet MS"/>
        </w:rPr>
      </w:pPr>
      <w:r>
        <w:rPr/>
        <w:pict>
          <v:group style="position:absolute;margin-left:151.91362pt;margin-top:26.977499pt;width:48pt;height:160.6pt;mso-position-horizontal-relative:page;mso-position-vertical-relative:paragraph;z-index:15753728" coordorigin="3038,540" coordsize="960,3212">
            <v:rect style="position:absolute;left:3038;top:666;width:960;height:3085" filled="true" fillcolor="#c00000" stroked="false">
              <v:fill type="solid"/>
            </v:rect>
            <v:shape style="position:absolute;left:3494;top:545;width:70;height:128" coordorigin="3495,545" coordsize="70,128" path="m3530,672l3530,672,3530,545m3495,545l3564,545e" filled="false" stroked="true" strokeweight=".578328pt" strokecolor="#000000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209.700851pt;margin-top:24.089361pt;width:48.55pt;height:163.5pt;mso-position-horizontal-relative:page;mso-position-vertical-relative:paragraph;z-index:15754240" coordorigin="4194,482" coordsize="971,3270">
            <v:rect style="position:absolute;left:4194;top:620;width:971;height:3131" filled="true" fillcolor="#ffc000" stroked="false">
              <v:fill type="solid"/>
            </v:rect>
            <v:shape style="position:absolute;left:4650;top:487;width:70;height:139" coordorigin="4651,488" coordsize="70,139" path="m4685,626l4685,626,4685,488m4651,488l4720,488e" filled="false" stroked="true" strokeweight=".578328pt" strokecolor="#000000">
              <v:path arrowok="t"/>
              <v:stroke dashstyle="solid"/>
            </v:shape>
            <w10:wrap type="none"/>
          </v:group>
        </w:pict>
      </w:r>
      <w:r>
        <w:rPr>
          <w:rFonts w:ascii="Trebuchet MS"/>
          <w:w w:val="109"/>
        </w:rPr>
        <w:t>6</w:t>
      </w:r>
    </w:p>
    <w:p>
      <w:pPr>
        <w:spacing w:before="273"/>
        <w:ind w:left="1419" w:right="0" w:firstLine="0"/>
        <w:jc w:val="left"/>
        <w:rPr>
          <w:rFonts w:ascii="Trebuchet MS"/>
          <w:b/>
          <w:sz w:val="24"/>
        </w:rPr>
      </w:pPr>
      <w:r>
        <w:rPr/>
        <w:pict>
          <v:group style="position:absolute;margin-left:325.85321pt;margin-top:8.046697pt;width:48.55pt;height:151.950pt;mso-position-horizontal-relative:page;mso-position-vertical-relative:paragraph;z-index:15755264" coordorigin="6517,161" coordsize="971,3039">
            <v:rect style="position:absolute;left:6517;top:288;width:971;height:2912" filled="true" fillcolor="#001f5f" stroked="false">
              <v:fill type="solid"/>
            </v:rect>
            <v:shape style="position:absolute;left:6973;top:166;width:70;height:128" coordorigin="6974,167" coordsize="70,128" path="m7008,294l7008,294,7008,167m6974,167l7043,167e" filled="false" stroked="true" strokeweight=".578328pt" strokecolor="#000000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99.349907pt;margin-top:25.199371pt;width:20.65pt;height:50.7pt;mso-position-horizontal-relative:page;mso-position-vertical-relative:paragraph;z-index:15759360" type="#_x0000_t202" filled="false" stroked="false">
            <v:textbox inset="0,0,0,0" style="layout-flow:vertical;mso-layout-flow-alt:bottom-to-top">
              <w:txbxContent>
                <w:p>
                  <w:pPr>
                    <w:spacing w:before="61"/>
                    <w:ind w:left="20" w:right="0" w:firstLine="0"/>
                    <w:jc w:val="left"/>
                    <w:rPr>
                      <w:rFonts w:ascii="Trebuchet MS"/>
                      <w:b/>
                      <w:sz w:val="24"/>
                    </w:rPr>
                  </w:pPr>
                  <w:r>
                    <w:rPr>
                      <w:rFonts w:ascii="Trebuchet MS"/>
                      <w:b/>
                      <w:w w:val="110"/>
                      <w:sz w:val="24"/>
                    </w:rPr>
                    <w:t>mmol/L</w:t>
                  </w:r>
                </w:p>
              </w:txbxContent>
            </v:textbox>
            <w10:wrap type="none"/>
          </v:shape>
        </w:pict>
      </w:r>
      <w:r>
        <w:rPr>
          <w:rFonts w:ascii="Trebuchet MS"/>
          <w:b/>
          <w:w w:val="109"/>
          <w:sz w:val="24"/>
        </w:rPr>
        <w:t>5</w:t>
      </w:r>
    </w:p>
    <w:p>
      <w:pPr>
        <w:pStyle w:val="Heading1"/>
        <w:spacing w:before="273"/>
        <w:ind w:left="1419"/>
        <w:rPr>
          <w:rFonts w:ascii="Trebuchet MS"/>
        </w:rPr>
      </w:pPr>
      <w:r>
        <w:rPr>
          <w:rFonts w:ascii="Trebuchet MS"/>
          <w:w w:val="109"/>
        </w:rPr>
        <w:t>4</w:t>
      </w:r>
    </w:p>
    <w:p>
      <w:pPr>
        <w:spacing w:before="273"/>
        <w:ind w:left="1419" w:right="0" w:firstLine="0"/>
        <w:jc w:val="left"/>
        <w:rPr>
          <w:rFonts w:ascii="Trebuchet MS"/>
          <w:b/>
          <w:sz w:val="24"/>
        </w:rPr>
      </w:pPr>
      <w:r>
        <w:rPr>
          <w:rFonts w:ascii="Trebuchet MS"/>
          <w:b/>
          <w:w w:val="109"/>
          <w:sz w:val="24"/>
        </w:rPr>
        <w:t>3</w:t>
      </w:r>
    </w:p>
    <w:p>
      <w:pPr>
        <w:pStyle w:val="Heading1"/>
        <w:spacing w:before="272"/>
        <w:ind w:left="1419"/>
        <w:rPr>
          <w:rFonts w:ascii="Trebuchet MS"/>
        </w:rPr>
      </w:pPr>
      <w:r>
        <w:rPr>
          <w:rFonts w:ascii="Trebuchet MS"/>
          <w:w w:val="109"/>
        </w:rPr>
        <w:t>2</w:t>
      </w:r>
    </w:p>
    <w:p>
      <w:pPr>
        <w:spacing w:before="274"/>
        <w:ind w:left="1419" w:right="0" w:firstLine="0"/>
        <w:jc w:val="left"/>
        <w:rPr>
          <w:rFonts w:ascii="Trebuchet MS"/>
          <w:b/>
          <w:sz w:val="24"/>
        </w:rPr>
      </w:pPr>
      <w:r>
        <w:rPr>
          <w:rFonts w:ascii="Trebuchet MS"/>
          <w:b/>
          <w:w w:val="109"/>
          <w:sz w:val="24"/>
        </w:rPr>
        <w:t>1</w:t>
      </w:r>
    </w:p>
    <w:p>
      <w:pPr>
        <w:pStyle w:val="Heading1"/>
        <w:spacing w:before="273"/>
        <w:ind w:left="1419"/>
        <w:rPr>
          <w:rFonts w:ascii="Trebuchet MS"/>
        </w:rPr>
      </w:pPr>
      <w:r>
        <w:rPr>
          <w:rFonts w:ascii="Trebuchet MS"/>
          <w:w w:val="109"/>
        </w:rPr>
        <w:t>0</w:t>
      </w:r>
    </w:p>
    <w:p>
      <w:pPr>
        <w:spacing w:before="67"/>
        <w:ind w:left="0" w:right="38" w:firstLine="0"/>
        <w:jc w:val="right"/>
        <w:rPr>
          <w:b/>
          <w:sz w:val="24"/>
        </w:rPr>
      </w:pPr>
      <w:r>
        <w:rPr>
          <w:b/>
          <w:sz w:val="24"/>
        </w:rPr>
        <w:t>Potassium</w:t>
      </w:r>
    </w:p>
    <w:p>
      <w:pPr>
        <w:pStyle w:val="BodyText"/>
        <w:rPr>
          <w:b/>
          <w:sz w:val="34"/>
        </w:rPr>
      </w:pPr>
      <w:r>
        <w:rPr/>
        <w:br w:type="column"/>
      </w:r>
      <w:r>
        <w:rPr>
          <w:b/>
          <w:sz w:val="34"/>
        </w:rPr>
      </w:r>
    </w:p>
    <w:p>
      <w:pPr>
        <w:pStyle w:val="BodyText"/>
        <w:rPr>
          <w:b/>
          <w:sz w:val="34"/>
        </w:rPr>
      </w:pPr>
    </w:p>
    <w:p>
      <w:pPr>
        <w:pStyle w:val="BodyText"/>
        <w:spacing w:before="2"/>
        <w:rPr>
          <w:b/>
          <w:sz w:val="44"/>
        </w:rPr>
      </w:pPr>
    </w:p>
    <w:p>
      <w:pPr>
        <w:spacing w:line="396" w:lineRule="auto" w:before="0"/>
        <w:ind w:left="1419" w:right="631" w:firstLine="0"/>
        <w:jc w:val="left"/>
        <w:rPr>
          <w:rFonts w:ascii="Trebuchet MS"/>
          <w:b/>
          <w:sz w:val="22"/>
        </w:rPr>
      </w:pPr>
      <w:r>
        <w:rPr>
          <w:rFonts w:ascii="Trebuchet MS"/>
          <w:b/>
          <w:sz w:val="22"/>
        </w:rPr>
        <w:t>Distilled Water</w:t>
      </w:r>
      <w:r>
        <w:rPr>
          <w:rFonts w:ascii="Trebuchet MS"/>
          <w:b/>
          <w:spacing w:val="-64"/>
          <w:sz w:val="22"/>
        </w:rPr>
        <w:t> </w:t>
      </w:r>
      <w:r>
        <w:rPr>
          <w:rFonts w:ascii="Trebuchet MS"/>
          <w:b/>
          <w:w w:val="110"/>
          <w:sz w:val="22"/>
        </w:rPr>
        <w:t>DM</w:t>
      </w:r>
      <w:r>
        <w:rPr>
          <w:rFonts w:ascii="Trebuchet MS"/>
          <w:b/>
          <w:spacing w:val="5"/>
          <w:w w:val="110"/>
          <w:sz w:val="22"/>
        </w:rPr>
        <w:t> </w:t>
      </w:r>
      <w:r>
        <w:rPr>
          <w:rFonts w:ascii="Trebuchet MS"/>
          <w:b/>
          <w:w w:val="110"/>
          <w:sz w:val="22"/>
        </w:rPr>
        <w:t>50</w:t>
      </w:r>
      <w:r>
        <w:rPr>
          <w:rFonts w:ascii="Trebuchet MS"/>
          <w:b/>
          <w:spacing w:val="12"/>
          <w:w w:val="110"/>
          <w:sz w:val="22"/>
        </w:rPr>
        <w:t> </w:t>
      </w:r>
      <w:r>
        <w:rPr>
          <w:rFonts w:ascii="Trebuchet MS"/>
          <w:b/>
          <w:w w:val="110"/>
          <w:sz w:val="22"/>
        </w:rPr>
        <w:t>mg/kg</w:t>
      </w:r>
    </w:p>
    <w:p>
      <w:pPr>
        <w:spacing w:before="0"/>
        <w:ind w:left="1419" w:right="0" w:firstLine="0"/>
        <w:jc w:val="left"/>
        <w:rPr>
          <w:rFonts w:ascii="Trebuchet MS"/>
          <w:b/>
          <w:sz w:val="22"/>
        </w:rPr>
      </w:pPr>
      <w:r>
        <w:rPr/>
        <w:pict>
          <v:group style="position:absolute;margin-left:384.218323pt;margin-top:-31.072159pt;width:48.55pt;height:160.6pt;mso-position-horizontal-relative:page;mso-position-vertical-relative:paragraph;z-index:15755776" coordorigin="7684,-621" coordsize="971,3212">
            <v:rect style="position:absolute;left:7684;top:-437;width:971;height:3027" filled="true" fillcolor="#6f2f9f" stroked="false">
              <v:fill type="solid"/>
            </v:rect>
            <v:shape style="position:absolute;left:8140;top:-616;width:70;height:185" coordorigin="8141,-616" coordsize="70,185" path="m8176,-431l8176,-431,8176,-616m8141,-616l8210,-616e" filled="false" stroked="true" strokeweight=".578328pt" strokecolor="#000000">
              <v:path arrowok="t"/>
              <v:stroke dashstyle="solid"/>
            </v:shape>
            <w10:wrap type="none"/>
          </v:group>
        </w:pict>
      </w:r>
      <w:r>
        <w:rPr/>
        <w:pict>
          <v:rect style="position:absolute;margin-left:439.11618pt;margin-top:-37.421921pt;width:7.512341pt;height:7.509158pt;mso-position-horizontal-relative:page;mso-position-vertical-relative:paragraph;z-index:15756800" filled="true" fillcolor="#c00000" stroked="false">
            <v:fill type="solid"/>
            <w10:wrap type="none"/>
          </v:rect>
        </w:pict>
      </w:r>
      <w:r>
        <w:rPr/>
        <w:pict>
          <v:rect style="position:absolute;margin-left:439.11618pt;margin-top:-16.627331pt;width:7.512341pt;height:7.509158pt;mso-position-horizontal-relative:page;mso-position-vertical-relative:paragraph;z-index:15757312" filled="true" fillcolor="#ffc000" stroked="false">
            <v:fill type="solid"/>
            <w10:wrap type="none"/>
          </v:rect>
        </w:pict>
      </w:r>
      <w:r>
        <w:rPr/>
        <w:pict>
          <v:rect style="position:absolute;margin-left:439.11618pt;margin-top:4.744887pt;width:7.512341pt;height:6.93153pt;mso-position-horizontal-relative:page;mso-position-vertical-relative:paragraph;z-index:15757824" filled="true" fillcolor="#00af50" stroked="false">
            <v:fill type="solid"/>
            <w10:wrap type="none"/>
          </v:rect>
        </w:pict>
      </w:r>
      <w:r>
        <w:rPr>
          <w:rFonts w:ascii="Trebuchet MS"/>
          <w:b/>
          <w:w w:val="110"/>
          <w:sz w:val="22"/>
        </w:rPr>
        <w:t>DM</w:t>
      </w:r>
      <w:r>
        <w:rPr>
          <w:rFonts w:ascii="Trebuchet MS"/>
          <w:b/>
          <w:spacing w:val="30"/>
          <w:w w:val="110"/>
          <w:sz w:val="22"/>
        </w:rPr>
        <w:t> </w:t>
      </w:r>
      <w:r>
        <w:rPr>
          <w:rFonts w:ascii="Trebuchet MS"/>
          <w:b/>
          <w:w w:val="110"/>
          <w:sz w:val="22"/>
        </w:rPr>
        <w:t>250</w:t>
      </w:r>
      <w:r>
        <w:rPr>
          <w:rFonts w:ascii="Trebuchet MS"/>
          <w:b/>
          <w:spacing w:val="17"/>
          <w:w w:val="110"/>
          <w:sz w:val="22"/>
        </w:rPr>
        <w:t> </w:t>
      </w:r>
      <w:r>
        <w:rPr>
          <w:rFonts w:ascii="Trebuchet MS"/>
          <w:b/>
          <w:w w:val="110"/>
          <w:sz w:val="22"/>
        </w:rPr>
        <w:t>mg/kg</w:t>
      </w:r>
    </w:p>
    <w:p>
      <w:pPr>
        <w:spacing w:before="166"/>
        <w:ind w:left="1419" w:right="0" w:firstLine="0"/>
        <w:jc w:val="left"/>
        <w:rPr>
          <w:rFonts w:ascii="Trebuchet MS"/>
          <w:b/>
          <w:sz w:val="22"/>
        </w:rPr>
      </w:pPr>
      <w:r>
        <w:rPr/>
        <w:pict>
          <v:rect style="position:absolute;margin-left:439.11618pt;margin-top:12.77533pt;width:7.512341pt;height:7.509158pt;mso-position-horizontal-relative:page;mso-position-vertical-relative:paragraph;z-index:15758336" filled="true" fillcolor="#001f5f" stroked="false">
            <v:fill type="solid"/>
            <w10:wrap type="none"/>
          </v:rect>
        </w:pict>
      </w:r>
      <w:r>
        <w:rPr>
          <w:rFonts w:ascii="Trebuchet MS"/>
          <w:b/>
          <w:w w:val="110"/>
          <w:sz w:val="22"/>
        </w:rPr>
        <w:t>DM</w:t>
      </w:r>
      <w:r>
        <w:rPr>
          <w:rFonts w:ascii="Trebuchet MS"/>
          <w:b/>
          <w:spacing w:val="30"/>
          <w:w w:val="110"/>
          <w:sz w:val="22"/>
        </w:rPr>
        <w:t> </w:t>
      </w:r>
      <w:r>
        <w:rPr>
          <w:rFonts w:ascii="Trebuchet MS"/>
          <w:b/>
          <w:w w:val="110"/>
          <w:sz w:val="22"/>
        </w:rPr>
        <w:t>500</w:t>
      </w:r>
      <w:r>
        <w:rPr>
          <w:rFonts w:ascii="Trebuchet MS"/>
          <w:b/>
          <w:spacing w:val="17"/>
          <w:w w:val="110"/>
          <w:sz w:val="22"/>
        </w:rPr>
        <w:t> </w:t>
      </w:r>
      <w:r>
        <w:rPr>
          <w:rFonts w:ascii="Trebuchet MS"/>
          <w:b/>
          <w:w w:val="110"/>
          <w:sz w:val="22"/>
        </w:rPr>
        <w:t>mg/kg</w:t>
      </w:r>
    </w:p>
    <w:p>
      <w:pPr>
        <w:spacing w:before="166"/>
        <w:ind w:left="1419" w:right="0" w:firstLine="0"/>
        <w:jc w:val="left"/>
        <w:rPr>
          <w:rFonts w:ascii="Trebuchet MS"/>
          <w:b/>
          <w:sz w:val="22"/>
        </w:rPr>
      </w:pPr>
      <w:r>
        <w:rPr/>
        <w:pict>
          <v:rect style="position:absolute;margin-left:439.11618pt;margin-top:12.490331pt;width:7.512341pt;height:7.509158pt;mso-position-horizontal-relative:page;mso-position-vertical-relative:paragraph;z-index:15758848" filled="true" fillcolor="#6f2f9f" stroked="false">
            <v:fill type="solid"/>
            <w10:wrap type="none"/>
          </v:rect>
        </w:pict>
      </w:r>
      <w:r>
        <w:rPr>
          <w:rFonts w:ascii="Trebuchet MS"/>
          <w:b/>
          <w:w w:val="110"/>
          <w:sz w:val="22"/>
        </w:rPr>
        <w:t>DM</w:t>
      </w:r>
      <w:r>
        <w:rPr>
          <w:rFonts w:ascii="Trebuchet MS"/>
          <w:b/>
          <w:spacing w:val="8"/>
          <w:w w:val="110"/>
          <w:sz w:val="22"/>
        </w:rPr>
        <w:t> </w:t>
      </w:r>
      <w:r>
        <w:rPr>
          <w:rFonts w:ascii="Trebuchet MS"/>
          <w:b/>
          <w:w w:val="110"/>
          <w:sz w:val="22"/>
        </w:rPr>
        <w:t>1000</w:t>
      </w:r>
      <w:r>
        <w:rPr>
          <w:rFonts w:ascii="Trebuchet MS"/>
          <w:b/>
          <w:spacing w:val="-5"/>
          <w:w w:val="110"/>
          <w:sz w:val="22"/>
        </w:rPr>
        <w:t> </w:t>
      </w:r>
      <w:r>
        <w:rPr>
          <w:rFonts w:ascii="Trebuchet MS"/>
          <w:b/>
          <w:w w:val="110"/>
          <w:sz w:val="22"/>
        </w:rPr>
        <w:t>mg/kg</w:t>
      </w:r>
    </w:p>
    <w:p>
      <w:pPr>
        <w:spacing w:after="0"/>
        <w:jc w:val="left"/>
        <w:rPr>
          <w:rFonts w:ascii="Trebuchet MS"/>
          <w:sz w:val="22"/>
        </w:rPr>
        <w:sectPr>
          <w:type w:val="continuous"/>
          <w:pgSz w:w="12240" w:h="15840"/>
          <w:pgMar w:top="1360" w:bottom="980" w:left="1080" w:right="760"/>
          <w:cols w:num="2" w:equalWidth="0">
            <w:col w:w="5535" w:space="975"/>
            <w:col w:w="3890"/>
          </w:cols>
        </w:sectPr>
      </w:pPr>
    </w:p>
    <w:p>
      <w:pPr>
        <w:pStyle w:val="BodyText"/>
        <w:rPr>
          <w:rFonts w:ascii="Trebuchet MS"/>
          <w:b/>
          <w:sz w:val="23"/>
        </w:rPr>
      </w:pPr>
    </w:p>
    <w:p>
      <w:pPr>
        <w:pStyle w:val="Heading1"/>
        <w:spacing w:before="90"/>
        <w:ind w:left="1188" w:right="677" w:hanging="540"/>
        <w:jc w:val="both"/>
      </w:pPr>
      <w:r>
        <w:rPr/>
        <w:t>Fig.4.6;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28</w:t>
      </w:r>
      <w:r>
        <w:rPr>
          <w:spacing w:val="1"/>
        </w:rPr>
        <w:t> </w:t>
      </w:r>
      <w:r>
        <w:rPr/>
        <w:t>days</w:t>
      </w:r>
      <w:r>
        <w:rPr>
          <w:spacing w:val="1"/>
        </w:rPr>
        <w:t> </w:t>
      </w:r>
      <w:r>
        <w:rPr/>
        <w:t>administration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DM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Potassium</w:t>
      </w:r>
      <w:r>
        <w:rPr>
          <w:spacing w:val="1"/>
        </w:rPr>
        <w:t> </w:t>
      </w:r>
      <w:r>
        <w:rPr/>
        <w:t>levels.</w:t>
      </w:r>
      <w:r>
        <w:rPr>
          <w:spacing w:val="1"/>
        </w:rPr>
        <w:t> </w:t>
      </w:r>
      <w:r>
        <w:rPr/>
        <w:t>Statistically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increase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level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potassium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250mg/kg</w:t>
      </w:r>
      <w:r>
        <w:rPr>
          <w:spacing w:val="1"/>
        </w:rPr>
        <w:t> </w:t>
      </w:r>
      <w:r>
        <w:rPr/>
        <w:t>dose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compared</w:t>
      </w:r>
      <w:r>
        <w:rPr>
          <w:spacing w:val="-1"/>
        </w:rPr>
        <w:t> </w:t>
      </w:r>
      <w:r>
        <w:rPr/>
        <w:t>with control at</w:t>
      </w:r>
      <w:r>
        <w:rPr>
          <w:spacing w:val="-1"/>
        </w:rPr>
        <w:t> </w:t>
      </w:r>
      <w:r>
        <w:rPr/>
        <w:t>p‹ 0.05.* p‹ 0.05</w:t>
      </w:r>
    </w:p>
    <w:p>
      <w:pPr>
        <w:spacing w:after="0"/>
        <w:jc w:val="both"/>
        <w:sectPr>
          <w:type w:val="continuous"/>
          <w:pgSz w:w="12240" w:h="15840"/>
          <w:pgMar w:top="1360" w:bottom="980" w:left="1080" w:right="760"/>
        </w:sectPr>
      </w:pPr>
    </w:p>
    <w:p>
      <w:pPr>
        <w:pStyle w:val="BodyText"/>
        <w:rPr>
          <w:b/>
          <w:sz w:val="20"/>
        </w:rPr>
      </w:pPr>
    </w:p>
    <w:p>
      <w:pPr>
        <w:spacing w:after="0"/>
        <w:rPr>
          <w:sz w:val="20"/>
        </w:rPr>
        <w:sectPr>
          <w:pgSz w:w="12240" w:h="15840"/>
          <w:pgMar w:header="0" w:footer="792" w:top="1500" w:bottom="980" w:left="1080" w:right="760"/>
        </w:sectPr>
      </w:pPr>
    </w:p>
    <w:p>
      <w:pPr>
        <w:pStyle w:val="BodyText"/>
        <w:spacing w:before="4"/>
        <w:rPr>
          <w:b/>
        </w:rPr>
      </w:pPr>
    </w:p>
    <w:p>
      <w:pPr>
        <w:spacing w:before="0"/>
        <w:ind w:left="1224" w:right="0" w:firstLine="0"/>
        <w:jc w:val="left"/>
        <w:rPr>
          <w:rFonts w:ascii="Trebuchet MS"/>
          <w:b/>
          <w:sz w:val="18"/>
        </w:rPr>
      </w:pPr>
      <w:r>
        <w:rPr/>
        <w:pict>
          <v:group style="position:absolute;margin-left:129.293228pt;margin-top:6.743711pt;width:296.75pt;height:227.4pt;mso-position-horizontal-relative:page;mso-position-vertical-relative:paragraph;z-index:15759872" coordorigin="2586,135" coordsize="5935,4548">
            <v:rect style="position:absolute;left:2736;top:3558;width:260;height:1061" filled="true" fillcolor="#2ca1be" stroked="false">
              <v:fill type="solid"/>
            </v:rect>
            <v:rect style="position:absolute;left:2996;top:3500;width:260;height:1119" filled="true" fillcolor="#da1f28" stroked="false">
              <v:fill type="solid"/>
            </v:rect>
            <v:rect style="position:absolute;left:3255;top:3558;width:260;height:1061" filled="true" fillcolor="#eb631b" stroked="false">
              <v:fill type="solid"/>
            </v:rect>
            <v:rect style="position:absolute;left:3515;top:3500;width:260;height:1119" filled="true" fillcolor="#39629d" stroked="false">
              <v:fill type="solid"/>
            </v:rect>
            <v:rect style="position:absolute;left:3774;top:3327;width:270;height:1293" filled="true" fillcolor="#464a78" stroked="false">
              <v:fill type="solid"/>
            </v:rect>
            <v:line style="position:absolute" from="2871,3534" to="2882,3534" stroked="true" strokeweight="2.893169pt" strokecolor="#000000">
              <v:stroke dashstyle="solid"/>
            </v:line>
            <v:line style="position:absolute" from="2845,3505" to="2908,3505" stroked="true" strokeweight=".482677pt" strokecolor="#000000">
              <v:stroke dashstyle="solid"/>
            </v:line>
            <v:line style="position:absolute" from="3131,3467" to="3141,3467" stroked="true" strokeweight="3.857559pt" strokecolor="#000000">
              <v:stroke dashstyle="solid"/>
            </v:line>
            <v:line style="position:absolute" from="3105,3428" to="3167,3428" stroked="true" strokeweight=".482677pt" strokecolor="#000000">
              <v:stroke dashstyle="solid"/>
            </v:line>
            <v:line style="position:absolute" from="3391,3525" to="3401,3525" stroked="true" strokeweight="3.857559pt" strokecolor="#000000">
              <v:stroke dashstyle="solid"/>
            </v:line>
            <v:line style="position:absolute" from="3365,3486" to="3427,3486" stroked="true" strokeweight=".482677pt" strokecolor="#000000">
              <v:stroke dashstyle="solid"/>
            </v:line>
            <v:line style="position:absolute" from="3650,3491" to="3661,3491" stroked="true" strokeweight="1.446585pt" strokecolor="#000000">
              <v:stroke dashstyle="solid"/>
            </v:line>
            <v:shape style="position:absolute;left:3624;top:3119;width:322;height:357" coordorigin="3624,3120" coordsize="322,357" path="m3624,3476l3687,3476m3915,3341l3915,3341,3915,3120m3884,3120l3946,3120e" filled="false" stroked="true" strokeweight=".501193pt" strokecolor="#000000">
              <v:path arrowok="t"/>
              <v:stroke dashstyle="solid"/>
            </v:shape>
            <v:rect style="position:absolute;left:4200;top:1870;width:260;height:2749" filled="true" fillcolor="#2ca1be" stroked="false">
              <v:fill type="solid"/>
            </v:rect>
            <v:rect style="position:absolute;left:4460;top:1986;width:260;height:2633" filled="true" fillcolor="#da1f28" stroked="false">
              <v:fill type="solid"/>
            </v:rect>
            <v:rect style="position:absolute;left:4719;top:2092;width:260;height:2527" filled="true" fillcolor="#eb631b" stroked="false">
              <v:fill type="solid"/>
            </v:rect>
            <v:rect style="position:absolute;left:4979;top:2545;width:270;height:2074" filled="true" fillcolor="#39629d" stroked="false">
              <v:fill type="solid"/>
            </v:rect>
            <v:rect style="position:absolute;left:5249;top:2092;width:260;height:2527" filled="true" fillcolor="#464a78" stroked="false">
              <v:fill type="solid"/>
            </v:rect>
            <v:shape style="position:absolute;left:4309;top:1653;width:1112;height:897" coordorigin="4310,1654" coordsize="1112,897" path="m4341,1885l4341,1885,4341,1654m4310,1654l4372,1654m4600,1991l4600,1991,4600,1712m4569,1712l4632,1712m4860,2107l4860,2107,4860,1933m4829,1933l4891,1933m5120,2551l5120,2551,5120,2425m5088,2425l5151,2425m5390,2107l5390,2107,5390,2001m5358,2001l5421,2001e" filled="false" stroked="true" strokeweight=".501193pt" strokecolor="#000000">
              <v:path arrowok="t"/>
              <v:stroke dashstyle="solid"/>
            </v:shape>
            <v:rect style="position:absolute;left:5664;top:3500;width:260;height:1119" filled="true" fillcolor="#2ca1be" stroked="false">
              <v:fill type="solid"/>
            </v:rect>
            <v:rect style="position:absolute;left:5924;top:3664;width:270;height:955" filled="true" fillcolor="#da1f28" stroked="false">
              <v:fill type="solid"/>
            </v:rect>
            <v:rect style="position:absolute;left:6194;top:3558;width:260;height:1061" filled="true" fillcolor="#eb631b" stroked="false">
              <v:fill type="solid"/>
            </v:rect>
            <v:rect style="position:absolute;left:6453;top:3558;width:260;height:1061" filled="true" fillcolor="#39629d" stroked="false">
              <v:fill type="solid"/>
            </v:rect>
            <v:rect style="position:absolute;left:6713;top:3780;width:260;height:839" filled="true" fillcolor="#464a78" stroked="false">
              <v:fill type="solid"/>
            </v:rect>
            <v:shape style="position:absolute;left:5773;top:3408;width:1112;height:377" coordorigin="5774,3409" coordsize="1112,377" path="m5805,3505l5805,3505,5805,3419m5774,3419l5836,3419m6065,3679l6065,3679,6065,3544m6033,3544l6096,3544m6324,3563l6324,3563,6324,3409m6293,3409l6355,3409m6584,3563l6584,3563,6584,3448m6553,3448l6615,3448m6854,3785l6854,3785,6854,3689m6823,3689l6885,3689e" filled="false" stroked="true" strokeweight=".501193pt" strokecolor="#000000">
              <v:path arrowok="t"/>
              <v:stroke dashstyle="solid"/>
            </v:shape>
            <v:rect style="position:absolute;left:7128;top:1195;width:270;height:3424" filled="true" fillcolor="#2ca1be" stroked="false">
              <v:fill type="solid"/>
            </v:rect>
            <v:rect style="position:absolute;left:7398;top:1147;width:260;height:3472" filled="true" fillcolor="#da1f28" stroked="false">
              <v:fill type="solid"/>
            </v:rect>
            <v:rect style="position:absolute;left:7658;top:1812;width:260;height:2807" filled="true" fillcolor="#eb631b" stroked="false">
              <v:fill type="solid"/>
            </v:rect>
            <v:rect style="position:absolute;left:7917;top:2208;width:260;height:2411" filled="true" fillcolor="#39629d" stroked="false">
              <v:fill type="solid"/>
            </v:rect>
            <v:rect style="position:absolute;left:8177;top:1928;width:260;height:2691" filled="true" fillcolor="#464a78" stroked="false">
              <v:fill type="solid"/>
            </v:rect>
            <v:line style="position:absolute" from="7264,1181" to="7274,1181" stroked="true" strokeweight="2.893169pt" strokecolor="#000000">
              <v:stroke dashstyle="solid"/>
            </v:line>
            <v:shape style="position:absolute;left:7237;top:727;width:1112;height:1486" coordorigin="7238,728" coordsize="1112,1486" path="m7238,1152l7300,1152m7529,1152l7529,1152,7529,728m7497,728l7560,728m7788,1827l7788,1827,7788,1461m7757,1461l7819,1461m8058,2213l8058,2213,8058,1962m8027,1962l8089,1962m8318,1933l8318,1933,8318,1692m8287,1692l8349,1692e" filled="false" stroked="true" strokeweight=".501193pt" strokecolor="#000000">
              <v:path arrowok="t"/>
              <v:stroke dashstyle="solid"/>
            </v:shape>
            <v:shape style="position:absolute;left:2585;top:139;width:5930;height:4543" coordorigin="2586,140" coordsize="5930,4543" path="m2659,4624l2659,140m2586,4624l2659,4624m2586,4065l2659,4065m2586,3505l2659,3505m2586,2946l2659,2946m2586,2377l2659,2377m2586,1818l2659,1818m2586,1258l2659,1258m2586,699l2659,699m2586,140l2659,140m2659,4624l8515,4624m2659,4624l2659,4682m4123,4624l4123,4682m5587,4624l5587,4682m7051,4624l7051,4682m8515,4624l8515,4682e" filled="false" stroked="true" strokeweight=".500693pt" strokecolor="#888888">
              <v:path arrowok="t"/>
              <v:stroke dashstyle="solid"/>
            </v:shape>
            <w10:wrap type="none"/>
          </v:group>
        </w:pict>
      </w:r>
      <w:r>
        <w:rPr>
          <w:rFonts w:ascii="Trebuchet MS"/>
          <w:b/>
          <w:w w:val="118"/>
          <w:sz w:val="18"/>
        </w:rPr>
        <w:t>8</w:t>
      </w:r>
    </w:p>
    <w:p>
      <w:pPr>
        <w:pStyle w:val="BodyText"/>
        <w:spacing w:before="4"/>
        <w:rPr>
          <w:rFonts w:ascii="Trebuchet MS"/>
          <w:b/>
          <w:sz w:val="30"/>
        </w:rPr>
      </w:pPr>
    </w:p>
    <w:p>
      <w:pPr>
        <w:spacing w:before="0"/>
        <w:ind w:left="1224" w:right="0" w:firstLine="0"/>
        <w:jc w:val="left"/>
        <w:rPr>
          <w:rFonts w:ascii="Trebuchet MS"/>
          <w:b/>
          <w:sz w:val="18"/>
        </w:rPr>
      </w:pPr>
      <w:r>
        <w:rPr>
          <w:rFonts w:ascii="Trebuchet MS"/>
          <w:b/>
          <w:w w:val="118"/>
          <w:sz w:val="18"/>
        </w:rPr>
        <w:t>7</w:t>
      </w:r>
    </w:p>
    <w:p>
      <w:pPr>
        <w:pStyle w:val="BodyText"/>
        <w:spacing w:before="4"/>
        <w:rPr>
          <w:rFonts w:ascii="Trebuchet MS"/>
          <w:b/>
          <w:sz w:val="30"/>
        </w:rPr>
      </w:pPr>
    </w:p>
    <w:p>
      <w:pPr>
        <w:spacing w:before="0"/>
        <w:ind w:left="1224" w:right="0" w:firstLine="0"/>
        <w:jc w:val="left"/>
        <w:rPr>
          <w:rFonts w:ascii="Trebuchet MS"/>
          <w:b/>
          <w:sz w:val="18"/>
        </w:rPr>
      </w:pPr>
      <w:r>
        <w:rPr>
          <w:rFonts w:ascii="Trebuchet MS"/>
          <w:b/>
          <w:w w:val="118"/>
          <w:sz w:val="18"/>
        </w:rPr>
        <w:t>6</w:t>
      </w:r>
    </w:p>
    <w:p>
      <w:pPr>
        <w:pStyle w:val="BodyText"/>
        <w:spacing w:before="4"/>
        <w:rPr>
          <w:rFonts w:ascii="Trebuchet MS"/>
          <w:b/>
          <w:sz w:val="30"/>
        </w:rPr>
      </w:pPr>
    </w:p>
    <w:p>
      <w:pPr>
        <w:spacing w:before="0"/>
        <w:ind w:left="1224" w:right="0" w:firstLine="0"/>
        <w:jc w:val="left"/>
        <w:rPr>
          <w:rFonts w:ascii="Trebuchet MS"/>
          <w:b/>
          <w:sz w:val="18"/>
        </w:rPr>
      </w:pPr>
      <w:r>
        <w:rPr/>
        <w:pict>
          <v:shape style="position:absolute;margin-left:92.55719pt;margin-top:14.26573pt;width:18.8pt;height:42.65pt;mso-position-horizontal-relative:page;mso-position-vertical-relative:paragraph;z-index:15762944" type="#_x0000_t202" filled="false" stroked="false">
            <v:textbox inset="0,0,0,0" style="layout-flow:vertical;mso-layout-flow-alt:bottom-to-top">
              <w:txbxContent>
                <w:p>
                  <w:pPr>
                    <w:spacing w:before="52"/>
                    <w:ind w:left="20" w:right="0" w:firstLine="0"/>
                    <w:jc w:val="left"/>
                    <w:rPr>
                      <w:rFonts w:ascii="Trebuchet MS"/>
                      <w:b/>
                      <w:sz w:val="22"/>
                    </w:rPr>
                  </w:pPr>
                  <w:r>
                    <w:rPr>
                      <w:rFonts w:ascii="Trebuchet MS"/>
                      <w:b/>
                      <w:sz w:val="22"/>
                    </w:rPr>
                    <w:t>mmol/L</w:t>
                  </w:r>
                </w:p>
              </w:txbxContent>
            </v:textbox>
            <w10:wrap type="none"/>
          </v:shape>
        </w:pict>
      </w:r>
      <w:r>
        <w:rPr>
          <w:rFonts w:ascii="Trebuchet MS"/>
          <w:b/>
          <w:w w:val="118"/>
          <w:sz w:val="18"/>
        </w:rPr>
        <w:t>5</w:t>
      </w:r>
    </w:p>
    <w:p>
      <w:pPr>
        <w:pStyle w:val="BodyText"/>
        <w:spacing w:before="4"/>
        <w:rPr>
          <w:rFonts w:ascii="Trebuchet MS"/>
          <w:b/>
          <w:sz w:val="30"/>
        </w:rPr>
      </w:pPr>
    </w:p>
    <w:p>
      <w:pPr>
        <w:spacing w:before="0"/>
        <w:ind w:left="1224" w:right="0" w:firstLine="0"/>
        <w:jc w:val="left"/>
        <w:rPr>
          <w:rFonts w:ascii="Trebuchet MS"/>
          <w:b/>
          <w:sz w:val="18"/>
        </w:rPr>
      </w:pPr>
      <w:r>
        <w:rPr>
          <w:rFonts w:ascii="Trebuchet MS"/>
          <w:b/>
          <w:w w:val="118"/>
          <w:sz w:val="18"/>
        </w:rPr>
        <w:t>4</w:t>
      </w:r>
    </w:p>
    <w:p>
      <w:pPr>
        <w:pStyle w:val="BodyText"/>
        <w:spacing w:before="5"/>
        <w:rPr>
          <w:rFonts w:ascii="Trebuchet MS"/>
          <w:b/>
          <w:sz w:val="30"/>
        </w:rPr>
      </w:pPr>
    </w:p>
    <w:p>
      <w:pPr>
        <w:spacing w:before="0"/>
        <w:ind w:left="1224" w:right="0" w:firstLine="0"/>
        <w:jc w:val="left"/>
        <w:rPr>
          <w:rFonts w:ascii="Trebuchet MS"/>
          <w:b/>
          <w:sz w:val="18"/>
        </w:rPr>
      </w:pPr>
      <w:r>
        <w:rPr>
          <w:rFonts w:ascii="Trebuchet MS"/>
          <w:b/>
          <w:w w:val="118"/>
          <w:sz w:val="18"/>
        </w:rPr>
        <w:t>3</w:t>
      </w:r>
    </w:p>
    <w:p>
      <w:pPr>
        <w:pStyle w:val="BodyText"/>
        <w:spacing w:before="4"/>
        <w:rPr>
          <w:rFonts w:ascii="Trebuchet MS"/>
          <w:b/>
          <w:sz w:val="30"/>
        </w:rPr>
      </w:pPr>
    </w:p>
    <w:p>
      <w:pPr>
        <w:spacing w:before="0"/>
        <w:ind w:left="1224" w:right="0" w:firstLine="0"/>
        <w:jc w:val="left"/>
        <w:rPr>
          <w:rFonts w:ascii="Trebuchet MS"/>
          <w:b/>
          <w:sz w:val="18"/>
        </w:rPr>
      </w:pPr>
      <w:r>
        <w:rPr>
          <w:rFonts w:ascii="Trebuchet MS"/>
          <w:b/>
          <w:w w:val="118"/>
          <w:sz w:val="18"/>
        </w:rPr>
        <w:t>2</w:t>
      </w:r>
    </w:p>
    <w:p>
      <w:pPr>
        <w:pStyle w:val="BodyText"/>
        <w:spacing w:before="4"/>
        <w:rPr>
          <w:rFonts w:ascii="Trebuchet MS"/>
          <w:b/>
          <w:sz w:val="30"/>
        </w:rPr>
      </w:pPr>
    </w:p>
    <w:p>
      <w:pPr>
        <w:spacing w:before="0"/>
        <w:ind w:left="1224" w:right="0" w:firstLine="0"/>
        <w:jc w:val="left"/>
        <w:rPr>
          <w:rFonts w:ascii="Trebuchet MS"/>
          <w:b/>
          <w:sz w:val="18"/>
        </w:rPr>
      </w:pPr>
      <w:r>
        <w:rPr>
          <w:rFonts w:ascii="Trebuchet MS"/>
          <w:b/>
          <w:w w:val="118"/>
          <w:sz w:val="18"/>
        </w:rPr>
        <w:t>1</w:t>
      </w:r>
    </w:p>
    <w:p>
      <w:pPr>
        <w:pStyle w:val="BodyText"/>
        <w:spacing w:before="4"/>
        <w:rPr>
          <w:rFonts w:ascii="Trebuchet MS"/>
          <w:b/>
          <w:sz w:val="30"/>
        </w:rPr>
      </w:pPr>
    </w:p>
    <w:p>
      <w:pPr>
        <w:spacing w:before="0"/>
        <w:ind w:left="1224" w:right="0" w:firstLine="0"/>
        <w:jc w:val="left"/>
        <w:rPr>
          <w:rFonts w:ascii="Trebuchet MS"/>
          <w:b/>
          <w:sz w:val="18"/>
        </w:rPr>
      </w:pPr>
      <w:r>
        <w:rPr>
          <w:rFonts w:ascii="Trebuchet MS"/>
          <w:b/>
          <w:w w:val="118"/>
          <w:sz w:val="18"/>
        </w:rPr>
        <w:t>0</w:t>
      </w:r>
    </w:p>
    <w:p>
      <w:pPr>
        <w:tabs>
          <w:tab w:pos="3389" w:val="left" w:leader="none"/>
          <w:tab w:pos="4960" w:val="left" w:leader="none"/>
        </w:tabs>
        <w:spacing w:before="138"/>
        <w:ind w:left="1620" w:right="0" w:firstLine="0"/>
        <w:jc w:val="left"/>
        <w:rPr>
          <w:rFonts w:ascii="Trebuchet MS"/>
          <w:b/>
          <w:sz w:val="15"/>
        </w:rPr>
      </w:pPr>
      <w:r>
        <w:rPr>
          <w:rFonts w:ascii="Trebuchet MS"/>
          <w:b/>
          <w:w w:val="115"/>
          <w:sz w:val="15"/>
        </w:rPr>
        <w:t>TOTAL</w:t>
      </w:r>
      <w:r>
        <w:rPr>
          <w:rFonts w:ascii="Trebuchet MS"/>
          <w:b/>
          <w:spacing w:val="17"/>
          <w:w w:val="115"/>
          <w:sz w:val="15"/>
        </w:rPr>
        <w:t> </w:t>
      </w:r>
      <w:r>
        <w:rPr>
          <w:rFonts w:ascii="Trebuchet MS"/>
          <w:b/>
          <w:w w:val="115"/>
          <w:sz w:val="15"/>
        </w:rPr>
        <w:t>CALCIUM</w:t>
        <w:tab/>
        <w:t>GLUCOSE</w:t>
        <w:tab/>
        <w:t>TOTAL</w:t>
      </w:r>
    </w:p>
    <w:p>
      <w:pPr>
        <w:spacing w:before="58"/>
        <w:ind w:left="4648" w:right="0" w:firstLine="0"/>
        <w:jc w:val="left"/>
        <w:rPr>
          <w:rFonts w:ascii="Trebuchet MS"/>
          <w:b/>
          <w:sz w:val="15"/>
        </w:rPr>
      </w:pPr>
      <w:r>
        <w:rPr>
          <w:rFonts w:ascii="Trebuchet MS"/>
          <w:b/>
          <w:w w:val="115"/>
          <w:sz w:val="15"/>
        </w:rPr>
        <w:t>CHOLESTEROL</w:t>
      </w:r>
    </w:p>
    <w:p>
      <w:pPr>
        <w:pStyle w:val="BodyText"/>
        <w:rPr>
          <w:rFonts w:ascii="Trebuchet MS"/>
          <w:b/>
        </w:rPr>
      </w:pPr>
      <w:r>
        <w:rPr/>
        <w:br w:type="column"/>
      </w:r>
      <w:r>
        <w:rPr>
          <w:rFonts w:ascii="Trebuchet MS"/>
          <w:b/>
        </w:rPr>
      </w:r>
    </w:p>
    <w:p>
      <w:pPr>
        <w:pStyle w:val="BodyText"/>
        <w:rPr>
          <w:rFonts w:ascii="Trebuchet MS"/>
          <w:b/>
        </w:r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spacing w:before="10"/>
        <w:rPr>
          <w:rFonts w:ascii="Trebuchet MS"/>
          <w:b/>
          <w:sz w:val="32"/>
        </w:rPr>
      </w:pPr>
    </w:p>
    <w:p>
      <w:pPr>
        <w:spacing w:before="0"/>
        <w:ind w:left="613" w:right="0" w:firstLine="0"/>
        <w:jc w:val="left"/>
        <w:rPr>
          <w:rFonts w:ascii="Trebuchet MS"/>
          <w:b/>
          <w:sz w:val="15"/>
        </w:rPr>
      </w:pPr>
      <w:r>
        <w:rPr>
          <w:rFonts w:ascii="Trebuchet MS"/>
          <w:b/>
          <w:w w:val="115"/>
          <w:sz w:val="15"/>
        </w:rPr>
        <w:t>UREA</w:t>
      </w:r>
    </w:p>
    <w:p>
      <w:pPr>
        <w:pStyle w:val="BodyText"/>
        <w:rPr>
          <w:rFonts w:ascii="Trebuchet MS"/>
          <w:b/>
          <w:sz w:val="28"/>
        </w:rPr>
      </w:pPr>
      <w:r>
        <w:rPr/>
        <w:br w:type="column"/>
      </w:r>
      <w:r>
        <w:rPr>
          <w:rFonts w:ascii="Trebuchet MS"/>
          <w:b/>
          <w:sz w:val="28"/>
        </w:rPr>
      </w:r>
    </w:p>
    <w:p>
      <w:pPr>
        <w:pStyle w:val="BodyText"/>
        <w:rPr>
          <w:rFonts w:ascii="Trebuchet MS"/>
          <w:b/>
          <w:sz w:val="28"/>
        </w:rPr>
      </w:pPr>
    </w:p>
    <w:p>
      <w:pPr>
        <w:pStyle w:val="BodyText"/>
        <w:rPr>
          <w:rFonts w:ascii="Trebuchet MS"/>
          <w:b/>
          <w:sz w:val="28"/>
        </w:rPr>
      </w:pPr>
    </w:p>
    <w:p>
      <w:pPr>
        <w:pStyle w:val="BodyText"/>
        <w:rPr>
          <w:rFonts w:ascii="Trebuchet MS"/>
          <w:b/>
          <w:sz w:val="28"/>
        </w:rPr>
      </w:pPr>
    </w:p>
    <w:p>
      <w:pPr>
        <w:pStyle w:val="BodyText"/>
        <w:rPr>
          <w:rFonts w:ascii="Trebuchet MS"/>
          <w:b/>
          <w:sz w:val="28"/>
        </w:rPr>
      </w:pPr>
    </w:p>
    <w:p>
      <w:pPr>
        <w:pStyle w:val="BodyText"/>
        <w:rPr>
          <w:rFonts w:ascii="Trebuchet MS"/>
          <w:b/>
          <w:sz w:val="28"/>
        </w:rPr>
      </w:pPr>
    </w:p>
    <w:p>
      <w:pPr>
        <w:spacing w:line="403" w:lineRule="auto" w:before="231"/>
        <w:ind w:left="958" w:right="812" w:firstLine="0"/>
        <w:jc w:val="left"/>
        <w:rPr>
          <w:rFonts w:ascii="Trebuchet MS"/>
          <w:b/>
          <w:sz w:val="18"/>
        </w:rPr>
      </w:pPr>
      <w:r>
        <w:rPr>
          <w:rFonts w:ascii="Trebuchet MS"/>
          <w:b/>
          <w:w w:val="110"/>
          <w:sz w:val="18"/>
        </w:rPr>
        <w:t>Distilled Water</w:t>
      </w:r>
      <w:r>
        <w:rPr>
          <w:rFonts w:ascii="Trebuchet MS"/>
          <w:b/>
          <w:spacing w:val="-57"/>
          <w:w w:val="110"/>
          <w:sz w:val="18"/>
        </w:rPr>
        <w:t> </w:t>
      </w:r>
      <w:r>
        <w:rPr>
          <w:rFonts w:ascii="Trebuchet MS"/>
          <w:b/>
          <w:w w:val="120"/>
          <w:sz w:val="18"/>
        </w:rPr>
        <w:t>DM</w:t>
      </w:r>
      <w:r>
        <w:rPr>
          <w:rFonts w:ascii="Trebuchet MS"/>
          <w:b/>
          <w:spacing w:val="8"/>
          <w:w w:val="120"/>
          <w:sz w:val="18"/>
        </w:rPr>
        <w:t> </w:t>
      </w:r>
      <w:r>
        <w:rPr>
          <w:rFonts w:ascii="Trebuchet MS"/>
          <w:b/>
          <w:w w:val="120"/>
          <w:sz w:val="18"/>
        </w:rPr>
        <w:t>50</w:t>
      </w:r>
      <w:r>
        <w:rPr>
          <w:rFonts w:ascii="Trebuchet MS"/>
          <w:b/>
          <w:spacing w:val="16"/>
          <w:w w:val="120"/>
          <w:sz w:val="18"/>
        </w:rPr>
        <w:t> </w:t>
      </w:r>
      <w:r>
        <w:rPr>
          <w:rFonts w:ascii="Trebuchet MS"/>
          <w:b/>
          <w:w w:val="120"/>
          <w:sz w:val="18"/>
        </w:rPr>
        <w:t>mg/kg</w:t>
      </w:r>
    </w:p>
    <w:p>
      <w:pPr>
        <w:spacing w:before="1"/>
        <w:ind w:left="958" w:right="0" w:firstLine="0"/>
        <w:jc w:val="left"/>
        <w:rPr>
          <w:rFonts w:ascii="Trebuchet MS"/>
          <w:b/>
          <w:sz w:val="18"/>
        </w:rPr>
      </w:pPr>
      <w:r>
        <w:rPr/>
        <w:pict>
          <v:rect style="position:absolute;margin-left:440.548004pt;margin-top:-31.360748pt;width:6.749478pt;height:6.268534pt;mso-position-horizontal-relative:page;mso-position-vertical-relative:paragraph;z-index:15760384" filled="true" fillcolor="#2ca1be" stroked="false">
            <v:fill type="solid"/>
            <w10:wrap type="none"/>
          </v:rect>
        </w:pict>
      </w:r>
      <w:r>
        <w:rPr/>
        <w:pict>
          <v:rect style="position:absolute;margin-left:440.548004pt;margin-top:-14.001733pt;width:6.749478pt;height:6.268534pt;mso-position-horizontal-relative:page;mso-position-vertical-relative:paragraph;z-index:15760896" filled="true" fillcolor="#da1f28" stroked="false">
            <v:fill type="solid"/>
            <w10:wrap type="none"/>
          </v:rect>
        </w:pict>
      </w:r>
      <w:r>
        <w:rPr/>
        <w:pict>
          <v:rect style="position:absolute;margin-left:440.548004pt;margin-top:3.839478pt;width:6.749478pt;height:5.786339pt;mso-position-horizontal-relative:page;mso-position-vertical-relative:paragraph;z-index:15761408" filled="true" fillcolor="#eb631b" stroked="false">
            <v:fill type="solid"/>
            <w10:wrap type="none"/>
          </v:rect>
        </w:pict>
      </w:r>
      <w:r>
        <w:rPr>
          <w:rFonts w:ascii="Trebuchet MS"/>
          <w:b/>
          <w:w w:val="125"/>
          <w:sz w:val="18"/>
        </w:rPr>
        <w:t>DM</w:t>
      </w:r>
      <w:r>
        <w:rPr>
          <w:rFonts w:ascii="Trebuchet MS"/>
          <w:b/>
          <w:spacing w:val="3"/>
          <w:w w:val="125"/>
          <w:sz w:val="18"/>
        </w:rPr>
        <w:t> </w:t>
      </w:r>
      <w:r>
        <w:rPr>
          <w:rFonts w:ascii="Trebuchet MS"/>
          <w:b/>
          <w:w w:val="125"/>
          <w:sz w:val="18"/>
        </w:rPr>
        <w:t>250</w:t>
      </w:r>
      <w:r>
        <w:rPr>
          <w:rFonts w:ascii="Trebuchet MS"/>
          <w:b/>
          <w:spacing w:val="-6"/>
          <w:w w:val="125"/>
          <w:sz w:val="18"/>
        </w:rPr>
        <w:t> </w:t>
      </w:r>
      <w:r>
        <w:rPr>
          <w:rFonts w:ascii="Trebuchet MS"/>
          <w:b/>
          <w:w w:val="125"/>
          <w:sz w:val="18"/>
        </w:rPr>
        <w:t>mg/kg</w:t>
      </w:r>
    </w:p>
    <w:p>
      <w:pPr>
        <w:spacing w:before="143"/>
        <w:ind w:left="958" w:right="0" w:firstLine="0"/>
        <w:jc w:val="left"/>
        <w:rPr>
          <w:rFonts w:ascii="Trebuchet MS"/>
          <w:b/>
          <w:sz w:val="18"/>
        </w:rPr>
      </w:pPr>
      <w:r>
        <w:rPr/>
        <w:pict>
          <v:rect style="position:absolute;margin-left:440.548004pt;margin-top:10.714448pt;width:6.749478pt;height:6.268534pt;mso-position-horizontal-relative:page;mso-position-vertical-relative:paragraph;z-index:15761920" filled="true" fillcolor="#39629d" stroked="false">
            <v:fill type="solid"/>
            <w10:wrap type="none"/>
          </v:rect>
        </w:pict>
      </w:r>
      <w:r>
        <w:rPr>
          <w:rFonts w:ascii="Trebuchet MS"/>
          <w:b/>
          <w:w w:val="125"/>
          <w:sz w:val="18"/>
        </w:rPr>
        <w:t>DM</w:t>
      </w:r>
      <w:r>
        <w:rPr>
          <w:rFonts w:ascii="Trebuchet MS"/>
          <w:b/>
          <w:spacing w:val="3"/>
          <w:w w:val="125"/>
          <w:sz w:val="18"/>
        </w:rPr>
        <w:t> </w:t>
      </w:r>
      <w:r>
        <w:rPr>
          <w:rFonts w:ascii="Trebuchet MS"/>
          <w:b/>
          <w:w w:val="125"/>
          <w:sz w:val="18"/>
        </w:rPr>
        <w:t>500</w:t>
      </w:r>
      <w:r>
        <w:rPr>
          <w:rFonts w:ascii="Trebuchet MS"/>
          <w:b/>
          <w:spacing w:val="-6"/>
          <w:w w:val="125"/>
          <w:sz w:val="18"/>
        </w:rPr>
        <w:t> </w:t>
      </w:r>
      <w:r>
        <w:rPr>
          <w:rFonts w:ascii="Trebuchet MS"/>
          <w:b/>
          <w:w w:val="125"/>
          <w:sz w:val="18"/>
        </w:rPr>
        <w:t>mg/kg</w:t>
      </w:r>
    </w:p>
    <w:p>
      <w:pPr>
        <w:spacing w:before="142"/>
        <w:ind w:left="958" w:right="0" w:firstLine="0"/>
        <w:jc w:val="left"/>
        <w:rPr>
          <w:rFonts w:ascii="Trebuchet MS"/>
          <w:b/>
          <w:sz w:val="18"/>
        </w:rPr>
      </w:pPr>
      <w:r>
        <w:rPr/>
        <w:pict>
          <v:rect style="position:absolute;margin-left:440.548004pt;margin-top:10.439419pt;width:6.749478pt;height:6.268534pt;mso-position-horizontal-relative:page;mso-position-vertical-relative:paragraph;z-index:15762432" filled="true" fillcolor="#464a78" stroked="false">
            <v:fill type="solid"/>
            <w10:wrap type="none"/>
          </v:rect>
        </w:pict>
      </w:r>
      <w:r>
        <w:rPr>
          <w:rFonts w:ascii="Trebuchet MS"/>
          <w:b/>
          <w:w w:val="125"/>
          <w:sz w:val="18"/>
        </w:rPr>
        <w:t>DM</w:t>
      </w:r>
      <w:r>
        <w:rPr>
          <w:rFonts w:ascii="Trebuchet MS"/>
          <w:b/>
          <w:spacing w:val="-9"/>
          <w:w w:val="125"/>
          <w:sz w:val="18"/>
        </w:rPr>
        <w:t> </w:t>
      </w:r>
      <w:r>
        <w:rPr>
          <w:rFonts w:ascii="Trebuchet MS"/>
          <w:b/>
          <w:w w:val="125"/>
          <w:sz w:val="18"/>
        </w:rPr>
        <w:t>1000</w:t>
      </w:r>
      <w:r>
        <w:rPr>
          <w:rFonts w:ascii="Trebuchet MS"/>
          <w:b/>
          <w:spacing w:val="-17"/>
          <w:w w:val="125"/>
          <w:sz w:val="18"/>
        </w:rPr>
        <w:t> </w:t>
      </w:r>
      <w:r>
        <w:rPr>
          <w:rFonts w:ascii="Trebuchet MS"/>
          <w:b/>
          <w:w w:val="125"/>
          <w:sz w:val="18"/>
        </w:rPr>
        <w:t>mg/kg</w:t>
      </w:r>
    </w:p>
    <w:p>
      <w:pPr>
        <w:spacing w:after="0"/>
        <w:jc w:val="left"/>
        <w:rPr>
          <w:rFonts w:ascii="Trebuchet MS"/>
          <w:sz w:val="18"/>
        </w:rPr>
        <w:sectPr>
          <w:type w:val="continuous"/>
          <w:pgSz w:w="12240" w:h="15840"/>
          <w:pgMar w:top="1360" w:bottom="980" w:left="1080" w:right="760"/>
          <w:cols w:num="3" w:equalWidth="0">
            <w:col w:w="5827" w:space="40"/>
            <w:col w:w="1072" w:space="39"/>
            <w:col w:w="3422"/>
          </w:cols>
        </w:sect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spacing w:before="10"/>
        <w:rPr>
          <w:rFonts w:ascii="Trebuchet MS"/>
          <w:b/>
          <w:sz w:val="21"/>
        </w:rPr>
      </w:pPr>
    </w:p>
    <w:p>
      <w:pPr>
        <w:spacing w:before="1"/>
        <w:ind w:left="1368" w:right="673" w:hanging="720"/>
        <w:jc w:val="both"/>
        <w:rPr>
          <w:b/>
          <w:sz w:val="22"/>
        </w:rPr>
      </w:pPr>
      <w:r>
        <w:rPr>
          <w:b/>
          <w:sz w:val="22"/>
        </w:rPr>
        <w:t>Fig.4.7: Effect of 28 days administration of DM on total calcium, glucose. Total cholesterol and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urea.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No statistically significant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increase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in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the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level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of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total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calcium,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glucose, total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cholesterol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and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urea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when compared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with control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at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p‹ 0.05</w:t>
      </w:r>
    </w:p>
    <w:p>
      <w:pPr>
        <w:spacing w:after="0"/>
        <w:jc w:val="both"/>
        <w:rPr>
          <w:sz w:val="22"/>
        </w:rPr>
        <w:sectPr>
          <w:type w:val="continuous"/>
          <w:pgSz w:w="12240" w:h="15840"/>
          <w:pgMar w:top="1360" w:bottom="980" w:left="1080" w:right="76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28"/>
        </w:rPr>
      </w:pPr>
    </w:p>
    <w:p>
      <w:pPr>
        <w:spacing w:before="99"/>
        <w:ind w:left="1756" w:right="0" w:firstLine="0"/>
        <w:jc w:val="left"/>
        <w:rPr>
          <w:rFonts w:ascii="Lucida Sans Unicode"/>
          <w:sz w:val="14"/>
        </w:rPr>
      </w:pPr>
      <w:r>
        <w:rPr/>
        <w:pict>
          <v:shape style="position:absolute;margin-left:155.076767pt;margin-top:10.799335pt;width:2.5pt;height:193.4pt;mso-position-horizontal-relative:page;mso-position-vertical-relative:paragraph;z-index:15766016" coordorigin="3102,216" coordsize="50,3868" path="m3151,4083l3151,216m3102,4083l3151,4083m3102,3658l3151,3658m3102,3223l3151,3223m3102,2798l3151,2798m3102,2362l3151,2362m3102,1937l3151,1937m3102,1502l3151,1502m3102,1077l3151,1077m3102,641l3151,641m3102,216l3151,216e" filled="false" stroked="true" strokeweight=".514816pt" strokecolor="#888888">
            <v:path arrowok="t"/>
            <v:stroke dashstyle="solid"/>
            <w10:wrap type="none"/>
          </v:shape>
        </w:pict>
      </w:r>
      <w:r>
        <w:rPr>
          <w:rFonts w:ascii="Lucida Sans Unicode"/>
          <w:sz w:val="14"/>
        </w:rPr>
        <w:t>45</w:t>
      </w:r>
    </w:p>
    <w:p>
      <w:pPr>
        <w:pStyle w:val="BodyText"/>
        <w:spacing w:before="9"/>
        <w:rPr>
          <w:rFonts w:ascii="Lucida Sans Unicode"/>
          <w:sz w:val="7"/>
        </w:rPr>
      </w:pPr>
    </w:p>
    <w:p>
      <w:pPr>
        <w:spacing w:after="0"/>
        <w:rPr>
          <w:rFonts w:ascii="Lucida Sans Unicode"/>
          <w:sz w:val="7"/>
        </w:rPr>
        <w:sectPr>
          <w:pgSz w:w="12240" w:h="15840"/>
          <w:pgMar w:header="0" w:footer="792" w:top="1500" w:bottom="980" w:left="1080" w:right="760"/>
        </w:sectPr>
      </w:pPr>
    </w:p>
    <w:p>
      <w:pPr>
        <w:spacing w:before="98"/>
        <w:ind w:left="1756" w:right="0" w:firstLine="0"/>
        <w:jc w:val="left"/>
        <w:rPr>
          <w:rFonts w:ascii="Lucida Sans Unicode"/>
          <w:sz w:val="14"/>
        </w:rPr>
      </w:pPr>
      <w:r>
        <w:rPr/>
        <w:pict>
          <v:group style="position:absolute;margin-left:162.303635pt;margin-top:14.471188pt;width:49.35pt;height:168.4pt;mso-position-horizontal-relative:page;mso-position-vertical-relative:paragraph;z-index:15763968" coordorigin="3246,289" coordsize="987,3368">
            <v:rect style="position:absolute;left:3246;top:342;width:987;height:3315" filled="true" fillcolor="#c00000" stroked="false">
              <v:fill type="solid"/>
            </v:rect>
            <v:line style="position:absolute" from="3745,321" to="3755,321" stroked="true" strokeweight="2.656142pt" strokecolor="#000000">
              <v:stroke dashstyle="solid"/>
            </v:line>
            <v:line style="position:absolute" from="3720,295" to="3779,295" stroked="true" strokeweight=".53176pt" strokecolor="#000000">
              <v:stroke dashstyle="solid"/>
            </v:line>
            <w10:wrap type="none"/>
          </v:group>
        </w:pict>
      </w:r>
      <w:r>
        <w:rPr>
          <w:rFonts w:ascii="Lucida Sans Unicode"/>
          <w:sz w:val="14"/>
        </w:rPr>
        <w:t>40</w:t>
      </w:r>
    </w:p>
    <w:p>
      <w:pPr>
        <w:pStyle w:val="BodyText"/>
        <w:spacing w:before="12"/>
        <w:rPr>
          <w:rFonts w:ascii="Lucida Sans Unicode"/>
          <w:sz w:val="20"/>
        </w:rPr>
      </w:pPr>
    </w:p>
    <w:p>
      <w:pPr>
        <w:pStyle w:val="Heading1"/>
        <w:tabs>
          <w:tab w:pos="6162" w:val="left" w:leader="none"/>
          <w:tab w:pos="7199" w:val="left" w:leader="none"/>
        </w:tabs>
        <w:spacing w:line="220" w:lineRule="auto"/>
        <w:ind w:left="4933"/>
      </w:pPr>
      <w:r>
        <w:rPr/>
        <w:pict>
          <v:group style="position:absolute;margin-left:221.613754pt;margin-top:-2.256695pt;width:49.35pt;height:153.550pt;mso-position-horizontal-relative:page;mso-position-vertical-relative:paragraph;z-index:15764480" coordorigin="4432,-45" coordsize="987,3071">
            <v:rect style="position:absolute;left:4432;top:146;width:987;height:2880" filled="true" fillcolor="#ffc000" stroked="false">
              <v:fill type="solid"/>
            </v:rect>
            <v:shape style="position:absolute;left:4905;top:-40;width:60;height:192" coordorigin="4906,-40" coordsize="60,192" path="m4936,151l4936,151,4936,-40m4906,-40l4966,-40e" filled="false" stroked="true" strokeweight=".515331pt" strokecolor="#000000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275.399994pt;margin-top:15.273842pt;width:114.2pt;height:164.15pt;mso-position-horizontal-relative:page;mso-position-vertical-relative:paragraph;z-index:15764992" coordorigin="5508,305" coordsize="2284,3283">
            <v:rect style="position:absolute;left:5618;top:464;width:987;height:2561" filled="true" fillcolor="#00af50" stroked="false">
              <v:fill type="solid"/>
            </v:rect>
            <v:shape style="position:absolute;left:6092;top:310;width:60;height:160" coordorigin="6092,311" coordsize="60,160" path="m6122,470l6122,470,6122,311m6092,311l6152,311e" filled="false" stroked="true" strokeweight=".515331pt" strokecolor="#000000">
              <v:path arrowok="t"/>
              <v:stroke dashstyle="solid"/>
            </v:shape>
            <v:rect style="position:absolute;left:6804;top:411;width:987;height:2614" filled="true" fillcolor="#001f5f" stroked="false">
              <v:fill type="solid"/>
            </v:rect>
            <v:shape style="position:absolute;left:7278;top:310;width:60;height:107" coordorigin="7278,311" coordsize="60,107" path="m7308,417l7308,417,7308,311m7278,311l7338,311e" filled="false" stroked="true" strokeweight=".515331pt" strokecolor="#000000">
              <v:path arrowok="t"/>
              <v:stroke dashstyle="solid"/>
            </v:shape>
            <v:rect style="position:absolute;left:5508;top:3047;width:1440;height:540" filled="true" fillcolor="#ffffff" stroked="false">
              <v:fill type="solid"/>
            </v:rect>
            <v:shape style="position:absolute;left:5508;top:305;width:2284;height:3283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b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6"/>
                      </w:rPr>
                    </w:pPr>
                  </w:p>
                  <w:p>
                    <w:pPr>
                      <w:spacing w:line="240" w:lineRule="auto" w:before="4"/>
                      <w:rPr>
                        <w:b/>
                        <w:sz w:val="37"/>
                      </w:rPr>
                    </w:pPr>
                  </w:p>
                  <w:p>
                    <w:pPr>
                      <w:spacing w:before="0"/>
                      <w:ind w:left="145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Creatinine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399.544098pt;margin-top:10.492786pt;width:49.35pt;height:140.8pt;mso-position-horizontal-relative:page;mso-position-vertical-relative:paragraph;z-index:-18374144" coordorigin="7991,210" coordsize="987,2816">
            <v:rect style="position:absolute;left:7990;top:401;width:987;height:2625" filled="true" fillcolor="#6f2f9f" stroked="false">
              <v:fill type="solid"/>
            </v:rect>
            <v:shape style="position:absolute;left:8464;top:215;width:60;height:192" coordorigin="8464,215" coordsize="60,192" path="m8494,406l8494,406,8494,215m8464,215l8524,215e" filled="false" stroked="true" strokeweight=".515331pt" strokecolor="#000000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120.864639pt;margin-top:8.219136pt;width:16.6pt;height:92.65pt;mso-position-horizontal-relative:page;mso-position-vertical-relative:paragraph;z-index:15769600" type="#_x0000_t202" filled="false" stroked="false">
            <v:textbox inset="0,0,0,0" style="layout-flow:vertical;mso-layout-flow-alt:bottom-to-top">
              <w:txbxContent>
                <w:p>
                  <w:pPr>
                    <w:spacing w:before="49"/>
                    <w:ind w:left="20" w:right="0" w:firstLine="0"/>
                    <w:jc w:val="left"/>
                    <w:rPr>
                      <w:rFonts w:ascii="Trebuchet MS"/>
                      <w:b/>
                      <w:sz w:val="19"/>
                    </w:rPr>
                  </w:pPr>
                  <w:r>
                    <w:rPr>
                      <w:rFonts w:ascii="Trebuchet MS"/>
                      <w:b/>
                      <w:w w:val="110"/>
                      <w:sz w:val="19"/>
                    </w:rPr>
                    <w:t>Creatinine</w:t>
                  </w:r>
                  <w:r>
                    <w:rPr>
                      <w:rFonts w:ascii="Trebuchet MS"/>
                      <w:b/>
                      <w:spacing w:val="5"/>
                      <w:w w:val="110"/>
                      <w:sz w:val="19"/>
                    </w:rPr>
                    <w:t> </w:t>
                  </w:r>
                  <w:r>
                    <w:rPr>
                      <w:rFonts w:ascii="Trebuchet MS"/>
                      <w:b/>
                      <w:w w:val="110"/>
                      <w:sz w:val="19"/>
                    </w:rPr>
                    <w:t>(mg/dl)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41.802597pt;margin-top:-5.100306pt;width:8pt;height:10.65pt;mso-position-horizontal-relative:page;mso-position-vertical-relative:paragraph;z-index:15770112" type="#_x0000_t202" filled="false" stroked="false">
            <v:textbox inset="0,0,0,0">
              <w:txbxContent>
                <w:p>
                  <w:pPr>
                    <w:spacing w:line="213" w:lineRule="exact" w:before="0"/>
                    <w:ind w:left="0" w:right="0" w:firstLine="0"/>
                    <w:jc w:val="left"/>
                    <w:rPr>
                      <w:rFonts w:ascii="Lucida Sans Unicode"/>
                      <w:sz w:val="14"/>
                    </w:rPr>
                  </w:pPr>
                  <w:r>
                    <w:rPr>
                      <w:rFonts w:ascii="Lucida Sans Unicode"/>
                      <w:w w:val="90"/>
                      <w:sz w:val="14"/>
                    </w:rPr>
                    <w:t>35</w:t>
                  </w:r>
                </w:p>
              </w:txbxContent>
            </v:textbox>
            <w10:wrap type="none"/>
          </v:shape>
        </w:pict>
      </w:r>
      <w:r>
        <w:rPr>
          <w:position w:val="-7"/>
        </w:rPr>
        <w:t>*</w:t>
        <w:tab/>
        <w:t>*</w:t>
        <w:tab/>
      </w:r>
      <w:r>
        <w:rPr>
          <w:spacing w:val="-3"/>
        </w:rPr>
        <w:t>***</w:t>
      </w:r>
    </w:p>
    <w:p>
      <w:pPr>
        <w:spacing w:line="205" w:lineRule="exact" w:before="0"/>
        <w:ind w:left="1756" w:right="0" w:firstLine="0"/>
        <w:jc w:val="left"/>
        <w:rPr>
          <w:rFonts w:ascii="Lucida Sans Unicode"/>
          <w:sz w:val="14"/>
        </w:rPr>
      </w:pPr>
      <w:r>
        <w:rPr>
          <w:rFonts w:ascii="Lucida Sans Unicode"/>
          <w:sz w:val="14"/>
        </w:rPr>
        <w:t>30</w:t>
      </w:r>
    </w:p>
    <w:p>
      <w:pPr>
        <w:pStyle w:val="BodyText"/>
        <w:rPr>
          <w:rFonts w:ascii="Lucida Sans Unicode"/>
          <w:sz w:val="14"/>
        </w:rPr>
      </w:pPr>
    </w:p>
    <w:p>
      <w:pPr>
        <w:spacing w:before="0"/>
        <w:ind w:left="1756" w:right="0" w:firstLine="0"/>
        <w:jc w:val="left"/>
        <w:rPr>
          <w:rFonts w:ascii="Lucida Sans Unicode"/>
          <w:sz w:val="14"/>
        </w:rPr>
      </w:pPr>
      <w:r>
        <w:rPr/>
        <w:pict>
          <v:rect style="position:absolute;margin-left:122.400002pt;margin-top:8.133398pt;width:18pt;height:108pt;mso-position-horizontal-relative:page;mso-position-vertical-relative:paragraph;z-index:15769088" filled="true" fillcolor="#ffffff" stroked="false">
            <v:fill type="solid"/>
            <w10:wrap type="none"/>
          </v:rect>
        </w:pict>
      </w:r>
      <w:r>
        <w:rPr>
          <w:rFonts w:ascii="Lucida Sans Unicode"/>
          <w:sz w:val="14"/>
        </w:rPr>
        <w:t>25</w:t>
      </w:r>
    </w:p>
    <w:p>
      <w:pPr>
        <w:pStyle w:val="BodyText"/>
        <w:rPr>
          <w:rFonts w:ascii="Lucida Sans Unicode"/>
          <w:sz w:val="14"/>
        </w:rPr>
      </w:pPr>
    </w:p>
    <w:p>
      <w:pPr>
        <w:spacing w:before="0"/>
        <w:ind w:left="1756" w:right="0" w:firstLine="0"/>
        <w:jc w:val="left"/>
        <w:rPr>
          <w:rFonts w:ascii="Lucida Sans Unicode"/>
          <w:sz w:val="14"/>
        </w:rPr>
      </w:pPr>
      <w:r>
        <w:rPr>
          <w:rFonts w:ascii="Lucida Sans Unicode"/>
          <w:sz w:val="14"/>
        </w:rPr>
        <w:t>20</w:t>
      </w:r>
    </w:p>
    <w:p>
      <w:pPr>
        <w:pStyle w:val="BodyText"/>
        <w:rPr>
          <w:rFonts w:ascii="Lucida Sans Unicode"/>
          <w:sz w:val="14"/>
        </w:rPr>
      </w:pPr>
    </w:p>
    <w:p>
      <w:pPr>
        <w:spacing w:before="0"/>
        <w:ind w:left="1756" w:right="0" w:firstLine="0"/>
        <w:jc w:val="left"/>
        <w:rPr>
          <w:rFonts w:ascii="Lucida Sans Unicode"/>
          <w:sz w:val="14"/>
        </w:rPr>
      </w:pPr>
      <w:r>
        <w:rPr>
          <w:rFonts w:ascii="Lucida Sans Unicode"/>
          <w:sz w:val="14"/>
        </w:rPr>
        <w:t>15</w:t>
      </w:r>
    </w:p>
    <w:p>
      <w:pPr>
        <w:pStyle w:val="BodyText"/>
        <w:rPr>
          <w:rFonts w:ascii="Lucida Sans Unicode"/>
          <w:sz w:val="14"/>
        </w:rPr>
      </w:pPr>
    </w:p>
    <w:p>
      <w:pPr>
        <w:spacing w:before="0"/>
        <w:ind w:left="1756" w:right="0" w:firstLine="0"/>
        <w:jc w:val="left"/>
        <w:rPr>
          <w:rFonts w:ascii="Lucida Sans Unicode"/>
          <w:sz w:val="14"/>
        </w:rPr>
      </w:pPr>
      <w:r>
        <w:rPr>
          <w:rFonts w:ascii="Lucida Sans Unicode"/>
          <w:sz w:val="14"/>
        </w:rPr>
        <w:t>10</w:t>
      </w:r>
    </w:p>
    <w:p>
      <w:pPr>
        <w:pStyle w:val="BodyText"/>
        <w:rPr>
          <w:rFonts w:ascii="Lucida Sans Unicode"/>
          <w:sz w:val="26"/>
        </w:rPr>
      </w:pPr>
      <w:r>
        <w:rPr/>
        <w:br w:type="column"/>
      </w:r>
      <w:r>
        <w:rPr>
          <w:rFonts w:ascii="Lucida Sans Unicode"/>
          <w:sz w:val="26"/>
        </w:rPr>
      </w:r>
    </w:p>
    <w:p>
      <w:pPr>
        <w:pStyle w:val="BodyText"/>
        <w:rPr>
          <w:rFonts w:ascii="Lucida Sans Unicode"/>
          <w:sz w:val="26"/>
        </w:rPr>
      </w:pPr>
    </w:p>
    <w:p>
      <w:pPr>
        <w:pStyle w:val="BodyText"/>
        <w:spacing w:before="8"/>
        <w:rPr>
          <w:rFonts w:ascii="Lucida Sans Unicode"/>
          <w:sz w:val="19"/>
        </w:rPr>
      </w:pPr>
    </w:p>
    <w:p>
      <w:pPr>
        <w:spacing w:before="1"/>
        <w:ind w:left="798" w:right="0" w:firstLine="0"/>
        <w:jc w:val="left"/>
        <w:rPr>
          <w:rFonts w:ascii="Trebuchet MS"/>
          <w:b/>
          <w:sz w:val="17"/>
        </w:rPr>
      </w:pPr>
      <w:r>
        <w:rPr>
          <w:rFonts w:ascii="Trebuchet MS"/>
          <w:b/>
          <w:w w:val="95"/>
          <w:sz w:val="17"/>
        </w:rPr>
        <w:t>Distilled</w:t>
      </w:r>
      <w:r>
        <w:rPr>
          <w:rFonts w:ascii="Trebuchet MS"/>
          <w:b/>
          <w:spacing w:val="25"/>
          <w:w w:val="95"/>
          <w:sz w:val="17"/>
        </w:rPr>
        <w:t> </w:t>
      </w:r>
      <w:r>
        <w:rPr>
          <w:rFonts w:ascii="Trebuchet MS"/>
          <w:b/>
          <w:w w:val="95"/>
          <w:sz w:val="17"/>
        </w:rPr>
        <w:t>Water</w:t>
      </w:r>
    </w:p>
    <w:p>
      <w:pPr>
        <w:spacing w:before="147"/>
        <w:ind w:left="798" w:right="0" w:firstLine="0"/>
        <w:jc w:val="left"/>
        <w:rPr>
          <w:rFonts w:ascii="Trebuchet MS"/>
          <w:b/>
          <w:sz w:val="17"/>
        </w:rPr>
      </w:pPr>
      <w:r>
        <w:rPr/>
        <w:pict>
          <v:rect style="position:absolute;margin-left:465.333496pt;margin-top:-6.803339pt;width:5.482448pt;height:5.843512pt;mso-position-horizontal-relative:page;mso-position-vertical-relative:paragraph;z-index:15766528" filled="true" fillcolor="#c00000" stroked="false">
            <v:fill type="solid"/>
            <w10:wrap type="none"/>
          </v:rect>
        </w:pict>
      </w:r>
      <w:r>
        <w:rPr/>
        <w:pict>
          <v:rect style="position:absolute;margin-left:465.333496pt;margin-top:10.195970pt;width:5.482448pt;height:5.843512pt;mso-position-horizontal-relative:page;mso-position-vertical-relative:paragraph;z-index:15767040" filled="true" fillcolor="#ffc000" stroked="false">
            <v:fill type="solid"/>
            <w10:wrap type="none"/>
          </v:rect>
        </w:pict>
      </w:r>
      <w:r>
        <w:rPr>
          <w:rFonts w:ascii="Trebuchet MS"/>
          <w:b/>
          <w:w w:val="105"/>
          <w:sz w:val="17"/>
        </w:rPr>
        <w:t>DM</w:t>
      </w:r>
      <w:r>
        <w:rPr>
          <w:rFonts w:ascii="Trebuchet MS"/>
          <w:b/>
          <w:spacing w:val="27"/>
          <w:w w:val="105"/>
          <w:sz w:val="17"/>
        </w:rPr>
        <w:t> </w:t>
      </w:r>
      <w:r>
        <w:rPr>
          <w:rFonts w:ascii="Trebuchet MS"/>
          <w:b/>
          <w:w w:val="105"/>
          <w:sz w:val="17"/>
        </w:rPr>
        <w:t>50</w:t>
      </w:r>
      <w:r>
        <w:rPr>
          <w:rFonts w:ascii="Trebuchet MS"/>
          <w:b/>
          <w:spacing w:val="21"/>
          <w:w w:val="105"/>
          <w:sz w:val="17"/>
        </w:rPr>
        <w:t> </w:t>
      </w:r>
      <w:r>
        <w:rPr>
          <w:rFonts w:ascii="Trebuchet MS"/>
          <w:b/>
          <w:w w:val="105"/>
          <w:sz w:val="17"/>
        </w:rPr>
        <w:t>mg/kg</w:t>
      </w:r>
    </w:p>
    <w:p>
      <w:pPr>
        <w:spacing w:before="147"/>
        <w:ind w:left="798" w:right="0" w:firstLine="0"/>
        <w:jc w:val="left"/>
        <w:rPr>
          <w:rFonts w:ascii="Trebuchet MS"/>
          <w:b/>
          <w:sz w:val="17"/>
        </w:rPr>
      </w:pPr>
      <w:r>
        <w:rPr/>
        <w:pict>
          <v:rect style="position:absolute;margin-left:465.333496pt;margin-top:9.983486pt;width:5.482448pt;height:6.374741pt;mso-position-horizontal-relative:page;mso-position-vertical-relative:paragraph;z-index:15767552" filled="true" fillcolor="#00af50" stroked="false">
            <v:fill type="solid"/>
            <w10:wrap type="none"/>
          </v:rect>
        </w:pict>
      </w:r>
      <w:r>
        <w:rPr>
          <w:rFonts w:ascii="Trebuchet MS"/>
          <w:b/>
          <w:w w:val="105"/>
          <w:sz w:val="17"/>
        </w:rPr>
        <w:t>DM</w:t>
      </w:r>
      <w:r>
        <w:rPr>
          <w:rFonts w:ascii="Trebuchet MS"/>
          <w:b/>
          <w:spacing w:val="32"/>
          <w:w w:val="105"/>
          <w:sz w:val="17"/>
        </w:rPr>
        <w:t> </w:t>
      </w:r>
      <w:r>
        <w:rPr>
          <w:rFonts w:ascii="Trebuchet MS"/>
          <w:b/>
          <w:w w:val="105"/>
          <w:sz w:val="17"/>
        </w:rPr>
        <w:t>250</w:t>
      </w:r>
      <w:r>
        <w:rPr>
          <w:rFonts w:ascii="Trebuchet MS"/>
          <w:b/>
          <w:spacing w:val="10"/>
          <w:w w:val="105"/>
          <w:sz w:val="17"/>
        </w:rPr>
        <w:t> </w:t>
      </w:r>
      <w:r>
        <w:rPr>
          <w:rFonts w:ascii="Trebuchet MS"/>
          <w:b/>
          <w:w w:val="105"/>
          <w:sz w:val="17"/>
        </w:rPr>
        <w:t>mg/kg</w:t>
      </w:r>
    </w:p>
    <w:p>
      <w:pPr>
        <w:spacing w:before="147"/>
        <w:ind w:left="798" w:right="0" w:firstLine="0"/>
        <w:jc w:val="left"/>
        <w:rPr>
          <w:rFonts w:ascii="Trebuchet MS"/>
          <w:b/>
          <w:sz w:val="17"/>
        </w:rPr>
      </w:pPr>
      <w:r>
        <w:rPr/>
        <w:pict>
          <v:rect style="position:absolute;margin-left:465.333496pt;margin-top:10.288071pt;width:5.482448pt;height:5.843512pt;mso-position-horizontal-relative:page;mso-position-vertical-relative:paragraph;z-index:15768064" filled="true" fillcolor="#001f5f" stroked="false">
            <v:fill type="solid"/>
            <w10:wrap type="none"/>
          </v:rect>
        </w:pict>
      </w:r>
      <w:r>
        <w:rPr>
          <w:rFonts w:ascii="Trebuchet MS"/>
          <w:b/>
          <w:w w:val="105"/>
          <w:sz w:val="17"/>
        </w:rPr>
        <w:t>DM</w:t>
      </w:r>
      <w:r>
        <w:rPr>
          <w:rFonts w:ascii="Trebuchet MS"/>
          <w:b/>
          <w:spacing w:val="32"/>
          <w:w w:val="105"/>
          <w:sz w:val="17"/>
        </w:rPr>
        <w:t> </w:t>
      </w:r>
      <w:r>
        <w:rPr>
          <w:rFonts w:ascii="Trebuchet MS"/>
          <w:b/>
          <w:w w:val="105"/>
          <w:sz w:val="17"/>
        </w:rPr>
        <w:t>500</w:t>
      </w:r>
      <w:r>
        <w:rPr>
          <w:rFonts w:ascii="Trebuchet MS"/>
          <w:b/>
          <w:spacing w:val="11"/>
          <w:w w:val="105"/>
          <w:sz w:val="17"/>
        </w:rPr>
        <w:t> </w:t>
      </w:r>
      <w:r>
        <w:rPr>
          <w:rFonts w:ascii="Trebuchet MS"/>
          <w:b/>
          <w:w w:val="105"/>
          <w:sz w:val="17"/>
        </w:rPr>
        <w:t>mg/kg</w:t>
      </w:r>
    </w:p>
    <w:p>
      <w:pPr>
        <w:spacing w:before="147"/>
        <w:ind w:left="798" w:right="0" w:firstLine="0"/>
        <w:jc w:val="left"/>
        <w:rPr>
          <w:rFonts w:ascii="Trebuchet MS"/>
          <w:b/>
          <w:sz w:val="17"/>
        </w:rPr>
      </w:pPr>
      <w:r>
        <w:rPr/>
        <w:pict>
          <v:rect style="position:absolute;margin-left:465.333496pt;margin-top:10.075587pt;width:5.482448pt;height:5.843512pt;mso-position-horizontal-relative:page;mso-position-vertical-relative:paragraph;z-index:15768576" filled="true" fillcolor="#6f2f9f" stroked="false">
            <v:fill type="solid"/>
            <w10:wrap type="none"/>
          </v:rect>
        </w:pict>
      </w:r>
      <w:r>
        <w:rPr>
          <w:rFonts w:ascii="Trebuchet MS"/>
          <w:b/>
          <w:w w:val="105"/>
          <w:sz w:val="17"/>
        </w:rPr>
        <w:t>DM</w:t>
      </w:r>
      <w:r>
        <w:rPr>
          <w:rFonts w:ascii="Trebuchet MS"/>
          <w:b/>
          <w:spacing w:val="16"/>
          <w:w w:val="105"/>
          <w:sz w:val="17"/>
        </w:rPr>
        <w:t> </w:t>
      </w:r>
      <w:r>
        <w:rPr>
          <w:rFonts w:ascii="Trebuchet MS"/>
          <w:b/>
          <w:w w:val="105"/>
          <w:sz w:val="17"/>
        </w:rPr>
        <w:t>1000</w:t>
      </w:r>
      <w:r>
        <w:rPr>
          <w:rFonts w:ascii="Trebuchet MS"/>
          <w:b/>
          <w:spacing w:val="-1"/>
          <w:w w:val="105"/>
          <w:sz w:val="17"/>
        </w:rPr>
        <w:t> </w:t>
      </w:r>
      <w:r>
        <w:rPr>
          <w:rFonts w:ascii="Trebuchet MS"/>
          <w:b/>
          <w:w w:val="105"/>
          <w:sz w:val="17"/>
        </w:rPr>
        <w:t>mg/kg</w:t>
      </w:r>
    </w:p>
    <w:p>
      <w:pPr>
        <w:spacing w:after="0"/>
        <w:jc w:val="left"/>
        <w:rPr>
          <w:rFonts w:ascii="Trebuchet MS"/>
          <w:sz w:val="17"/>
        </w:rPr>
        <w:sectPr>
          <w:type w:val="continuous"/>
          <w:pgSz w:w="12240" w:h="15840"/>
          <w:pgMar w:top="1360" w:bottom="980" w:left="1080" w:right="760"/>
          <w:cols w:num="2" w:equalWidth="0">
            <w:col w:w="7560" w:space="40"/>
            <w:col w:w="2800"/>
          </w:cols>
        </w:sectPr>
      </w:pPr>
    </w:p>
    <w:p>
      <w:pPr>
        <w:pStyle w:val="BodyText"/>
        <w:spacing w:before="1"/>
        <w:rPr>
          <w:rFonts w:ascii="Trebuchet MS"/>
          <w:b/>
          <w:sz w:val="10"/>
        </w:rPr>
      </w:pPr>
    </w:p>
    <w:p>
      <w:pPr>
        <w:spacing w:before="98"/>
        <w:ind w:left="1837" w:right="0" w:firstLine="0"/>
        <w:jc w:val="left"/>
        <w:rPr>
          <w:rFonts w:ascii="Lucida Sans Unicode"/>
          <w:sz w:val="14"/>
        </w:rPr>
      </w:pPr>
      <w:r>
        <w:rPr>
          <w:rFonts w:ascii="Lucida Sans Unicode"/>
          <w:w w:val="92"/>
          <w:sz w:val="14"/>
        </w:rPr>
        <w:t>5</w:t>
      </w:r>
    </w:p>
    <w:p>
      <w:pPr>
        <w:pStyle w:val="BodyText"/>
        <w:spacing w:before="9"/>
        <w:rPr>
          <w:rFonts w:ascii="Lucida Sans Unicode"/>
          <w:sz w:val="7"/>
        </w:rPr>
      </w:pPr>
    </w:p>
    <w:p>
      <w:pPr>
        <w:spacing w:before="99"/>
        <w:ind w:left="1837" w:right="0" w:firstLine="0"/>
        <w:jc w:val="left"/>
        <w:rPr>
          <w:rFonts w:ascii="Lucida Sans Unicode"/>
          <w:sz w:val="14"/>
        </w:rPr>
      </w:pPr>
      <w:r>
        <w:rPr/>
        <w:pict>
          <v:shape style="position:absolute;margin-left:276.690765pt;margin-top:12.093729pt;width:60.7pt;height:17.2pt;mso-position-horizontal-relative:page;mso-position-vertical-relative:paragraph;z-index:-18376192" type="#_x0000_t202" filled="false" stroked="false">
            <v:textbox inset="0,0,0,0">
              <w:txbxContent>
                <w:p>
                  <w:pPr>
                    <w:spacing w:before="39"/>
                    <w:ind w:left="0" w:right="0" w:firstLine="0"/>
                    <w:jc w:val="left"/>
                    <w:rPr>
                      <w:rFonts w:ascii="Trebuchet MS"/>
                      <w:b/>
                      <w:sz w:val="22"/>
                    </w:rPr>
                  </w:pPr>
                  <w:r>
                    <w:rPr>
                      <w:rFonts w:ascii="Trebuchet MS"/>
                      <w:b/>
                      <w:w w:val="95"/>
                      <w:sz w:val="22"/>
                    </w:rPr>
                    <w:t>Treatments</w:t>
                  </w:r>
                </w:p>
              </w:txbxContent>
            </v:textbox>
            <w10:wrap type="none"/>
          </v:shape>
        </w:pict>
      </w:r>
      <w:r>
        <w:rPr>
          <w:rFonts w:ascii="Lucida Sans Unicode"/>
          <w:w w:val="92"/>
          <w:sz w:val="14"/>
        </w:rPr>
        <w:t>0</w:t>
      </w:r>
    </w:p>
    <w:p>
      <w:pPr>
        <w:pStyle w:val="BodyText"/>
        <w:spacing w:before="3"/>
        <w:rPr>
          <w:rFonts w:ascii="Lucida Sans Unicode"/>
          <w:sz w:val="27"/>
        </w:rPr>
      </w:pPr>
    </w:p>
    <w:p>
      <w:pPr>
        <w:spacing w:before="92"/>
        <w:ind w:left="1188" w:right="0" w:hanging="540"/>
        <w:jc w:val="left"/>
        <w:rPr>
          <w:b/>
          <w:sz w:val="22"/>
        </w:rPr>
      </w:pPr>
      <w:r>
        <w:rPr>
          <w:b/>
          <w:sz w:val="22"/>
        </w:rPr>
        <w:t>Fig</w:t>
      </w:r>
      <w:r>
        <w:rPr>
          <w:b/>
          <w:spacing w:val="46"/>
          <w:sz w:val="22"/>
        </w:rPr>
        <w:t> </w:t>
      </w:r>
      <w:r>
        <w:rPr>
          <w:b/>
          <w:sz w:val="22"/>
        </w:rPr>
        <w:t>4.8:</w:t>
      </w:r>
      <w:r>
        <w:rPr>
          <w:b/>
          <w:spacing w:val="48"/>
          <w:sz w:val="22"/>
        </w:rPr>
        <w:t> </w:t>
      </w:r>
      <w:r>
        <w:rPr>
          <w:b/>
          <w:sz w:val="22"/>
        </w:rPr>
        <w:t>Effect</w:t>
      </w:r>
      <w:r>
        <w:rPr>
          <w:b/>
          <w:spacing w:val="47"/>
          <w:sz w:val="22"/>
        </w:rPr>
        <w:t> </w:t>
      </w:r>
      <w:r>
        <w:rPr>
          <w:b/>
          <w:sz w:val="22"/>
        </w:rPr>
        <w:t>of</w:t>
      </w:r>
      <w:r>
        <w:rPr>
          <w:b/>
          <w:spacing w:val="49"/>
          <w:sz w:val="22"/>
        </w:rPr>
        <w:t> </w:t>
      </w:r>
      <w:r>
        <w:rPr>
          <w:b/>
          <w:sz w:val="22"/>
        </w:rPr>
        <w:t>28</w:t>
      </w:r>
      <w:r>
        <w:rPr>
          <w:b/>
          <w:spacing w:val="45"/>
          <w:sz w:val="22"/>
        </w:rPr>
        <w:t> </w:t>
      </w:r>
      <w:r>
        <w:rPr>
          <w:b/>
          <w:sz w:val="22"/>
        </w:rPr>
        <w:t>days</w:t>
      </w:r>
      <w:r>
        <w:rPr>
          <w:b/>
          <w:spacing w:val="47"/>
          <w:sz w:val="22"/>
        </w:rPr>
        <w:t> </w:t>
      </w:r>
      <w:r>
        <w:rPr>
          <w:b/>
          <w:sz w:val="22"/>
        </w:rPr>
        <w:t>administration</w:t>
      </w:r>
      <w:r>
        <w:rPr>
          <w:b/>
          <w:spacing w:val="46"/>
          <w:sz w:val="22"/>
        </w:rPr>
        <w:t> </w:t>
      </w:r>
      <w:r>
        <w:rPr>
          <w:b/>
          <w:sz w:val="22"/>
        </w:rPr>
        <w:t>of</w:t>
      </w:r>
      <w:r>
        <w:rPr>
          <w:b/>
          <w:spacing w:val="49"/>
          <w:sz w:val="22"/>
        </w:rPr>
        <w:t> </w:t>
      </w:r>
      <w:r>
        <w:rPr>
          <w:b/>
          <w:sz w:val="22"/>
        </w:rPr>
        <w:t>DM</w:t>
      </w:r>
      <w:r>
        <w:rPr>
          <w:b/>
          <w:spacing w:val="43"/>
          <w:sz w:val="22"/>
        </w:rPr>
        <w:t> </w:t>
      </w:r>
      <w:r>
        <w:rPr>
          <w:b/>
          <w:sz w:val="22"/>
        </w:rPr>
        <w:t>on</w:t>
      </w:r>
      <w:r>
        <w:rPr>
          <w:b/>
          <w:spacing w:val="49"/>
          <w:sz w:val="22"/>
        </w:rPr>
        <w:t> </w:t>
      </w:r>
      <w:r>
        <w:rPr>
          <w:b/>
          <w:sz w:val="22"/>
        </w:rPr>
        <w:t>creatinine</w:t>
      </w:r>
      <w:r>
        <w:rPr>
          <w:b/>
          <w:spacing w:val="46"/>
          <w:sz w:val="22"/>
        </w:rPr>
        <w:t> </w:t>
      </w:r>
      <w:r>
        <w:rPr>
          <w:b/>
          <w:sz w:val="22"/>
        </w:rPr>
        <w:t>levels</w:t>
      </w:r>
      <w:r>
        <w:rPr>
          <w:b/>
          <w:spacing w:val="47"/>
          <w:sz w:val="22"/>
        </w:rPr>
        <w:t> </w:t>
      </w:r>
      <w:r>
        <w:rPr>
          <w:b/>
          <w:sz w:val="22"/>
        </w:rPr>
        <w:t>statistically</w:t>
      </w:r>
      <w:r>
        <w:rPr>
          <w:b/>
          <w:spacing w:val="45"/>
          <w:sz w:val="22"/>
        </w:rPr>
        <w:t> </w:t>
      </w:r>
      <w:r>
        <w:rPr>
          <w:b/>
          <w:sz w:val="22"/>
        </w:rPr>
        <w:t>significant</w:t>
      </w:r>
      <w:r>
        <w:rPr>
          <w:b/>
          <w:spacing w:val="-52"/>
          <w:sz w:val="22"/>
        </w:rPr>
        <w:t> </w:t>
      </w:r>
      <w:r>
        <w:rPr>
          <w:b/>
          <w:sz w:val="22"/>
        </w:rPr>
        <w:t>decrease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in the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level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of creatinine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when compared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with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control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at</w:t>
      </w:r>
      <w:r>
        <w:rPr>
          <w:b/>
          <w:spacing w:val="2"/>
          <w:sz w:val="22"/>
        </w:rPr>
        <w:t> </w:t>
      </w:r>
      <w:r>
        <w:rPr>
          <w:b/>
          <w:sz w:val="22"/>
        </w:rPr>
        <w:t>*p&lt;0.05,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***p‹ 0.001</w:t>
      </w:r>
    </w:p>
    <w:p>
      <w:pPr>
        <w:spacing w:after="0"/>
        <w:jc w:val="left"/>
        <w:rPr>
          <w:sz w:val="22"/>
        </w:rPr>
        <w:sectPr>
          <w:type w:val="continuous"/>
          <w:pgSz w:w="12240" w:h="15840"/>
          <w:pgMar w:top="1360" w:bottom="980" w:left="1080" w:right="76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18"/>
        </w:rPr>
      </w:pPr>
    </w:p>
    <w:p>
      <w:pPr>
        <w:spacing w:before="133"/>
        <w:ind w:left="807" w:right="0" w:firstLine="0"/>
        <w:jc w:val="left"/>
        <w:rPr>
          <w:rFonts w:ascii="Trebuchet MS"/>
          <w:b/>
          <w:sz w:val="22"/>
        </w:rPr>
      </w:pPr>
      <w:r>
        <w:rPr/>
        <w:pict>
          <v:group style="position:absolute;margin-left:117.355309pt;margin-top:14.969533pt;width:310.8pt;height:252.7pt;mso-position-horizontal-relative:page;mso-position-vertical-relative:paragraph;z-index:-18368000" coordorigin="2347,299" coordsize="6216,5054">
            <v:rect style="position:absolute;left:2778;top:1087;width:478;height:3455" filled="true" fillcolor="#2ca1be" stroked="false">
              <v:fill type="solid"/>
            </v:rect>
            <v:rect style="position:absolute;left:3255;top:1450;width:468;height:3092" filled="true" fillcolor="#da1f28" stroked="false">
              <v:fill type="solid"/>
            </v:rect>
            <v:rect style="position:absolute;left:3723;top:1533;width:468;height:3009" filled="true" fillcolor="#eb631b" stroked="false">
              <v:fill type="solid"/>
            </v:rect>
            <v:rect style="position:absolute;left:4190;top:1326;width:478;height:3216" filled="true" fillcolor="#39629d" stroked="false">
              <v:fill type="solid"/>
            </v:rect>
            <v:rect style="position:absolute;left:4668;top:1450;width:468;height:3092" filled="true" fillcolor="#464a78" stroked="false">
              <v:fill type="solid"/>
            </v:rect>
            <v:shape style="position:absolute;left:2990;top:927;width:1953;height:613" coordorigin="2991,927" coordsize="1953,613" path="m3022,1093l3022,1093,3022,927m2991,927l3053,927m3490,1456l3490,1456,3490,1186m3458,1186l3521,1186m3967,1539l3967,1539,3967,1415m3936,1415l3998,1415m4435,1332l4435,1332,4435,1145m4403,1145l4466,1145m4912,1456l4912,1456,4912,1238m4881,1238l4943,1238e" filled="false" stroked="true" strokeweight=".519488pt" strokecolor="#000000">
              <v:path arrowok="t"/>
              <v:stroke dashstyle="solid"/>
            </v:shape>
            <v:rect style="position:absolute;left:5852;top:3069;width:468;height:1474" filled="true" fillcolor="#2ca1be" stroked="false">
              <v:fill type="solid"/>
            </v:rect>
            <v:rect style="position:absolute;left:6319;top:3224;width:478;height:1318" filled="true" fillcolor="#da1f28" stroked="false">
              <v:fill type="solid"/>
            </v:rect>
            <v:rect style="position:absolute;left:6797;top:3255;width:468;height:1287" filled="true" fillcolor="#eb631b" stroked="false">
              <v:fill type="solid"/>
            </v:rect>
            <v:rect style="position:absolute;left:7264;top:3173;width:468;height:1370" filled="true" fillcolor="#39629d" stroked="false">
              <v:fill type="solid"/>
            </v:rect>
            <v:rect style="position:absolute;left:7731;top:3224;width:478;height:1318" filled="true" fillcolor="#464a78" stroked="false">
              <v:fill type="solid"/>
            </v:rect>
            <v:line style="position:absolute" from="6081,3043" to="6091,3043" stroked="true" strokeweight="3.112132pt" strokecolor="#000000">
              <v:stroke dashstyle="solid"/>
            </v:line>
            <v:shape style="position:absolute;left:6054;top:3012;width:541;height:218" coordorigin="6055,3012" coordsize="541,218" path="m6055,3012l6117,3012m6563,3230l6563,3230,6563,3116m6532,3116l6595,3116e" filled="false" stroked="true" strokeweight=".519488pt" strokecolor="#000000">
              <v:path arrowok="t"/>
              <v:stroke dashstyle="solid"/>
            </v:shape>
            <v:line style="position:absolute" from="7026,3240" to="7036,3240" stroked="true" strokeweight="3.112132pt" strokecolor="#000000">
              <v:stroke dashstyle="solid"/>
            </v:line>
            <v:line style="position:absolute" from="7000,3209" to="7062,3209" stroked="true" strokeweight=".519207pt" strokecolor="#000000">
              <v:stroke dashstyle="solid"/>
            </v:line>
            <v:line style="position:absolute" from="7503,3142" to="7514,3142" stroked="true" strokeweight="3.63082pt" strokecolor="#000000">
              <v:stroke dashstyle="solid"/>
            </v:line>
            <v:shape style="position:absolute;left:7477;top:3105;width:530;height:125" coordorigin="7477,3105" coordsize="530,125" path="m7477,3105l7540,3105m7976,3230l7976,3230,7976,3126m7945,3126l8007,3126e" filled="false" stroked="true" strokeweight=".519488pt" strokecolor="#000000">
              <v:path arrowok="t"/>
              <v:stroke dashstyle="solid"/>
            </v:shape>
            <v:shape style="position:absolute;left:2347;top:304;width:6211;height:4326" coordorigin="2347,305" coordsize="6211,4326" path="m2420,4547l2420,305m2347,4547l2420,4547m2347,4081l2420,4081m2347,3603l2420,3603m2347,3137l2420,3137m2347,2659l2420,2659m2347,2193l2420,2193m2347,1715l2420,1715m2347,1249l2420,1249m2347,771l2420,771m2347,305l2420,305m2420,4547l8557,4547m2420,4547l2420,4630m5494,4547l5494,4630m8557,4547l8557,4630e" filled="false" stroked="true" strokeweight=".518969pt" strokecolor="#888888">
              <v:path arrowok="t"/>
              <v:stroke dashstyle="solid"/>
            </v:shape>
            <v:shape style="position:absolute;left:2628;top:4633;width:5544;height:720" coordorigin="2628,4633" coordsize="5544,720" path="m5148,4633l2628,4633,2628,5353,5148,5353,5148,4633xm8172,4633l5652,4633,5652,5353,8172,5353,8172,4633xe" filled="true" fillcolor="#ffffff" stroked="false">
              <v:path arrowok="t"/>
              <v:fill type="solid"/>
            </v:shape>
            <v:shape style="position:absolute;left:2974;top:4718;width:1849;height:245" type="#_x0000_t202" filled="false" stroked="false">
              <v:textbox inset="0,0,0,0">
                <w:txbxContent>
                  <w:p>
                    <w:pPr>
                      <w:spacing w:line="244" w:lineRule="exact" w:before="0"/>
                      <w:ind w:left="0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z w:val="22"/>
                      </w:rPr>
                      <w:t>TOTAL</w:t>
                    </w:r>
                    <w:r>
                      <w:rPr>
                        <w:b/>
                        <w:spacing w:val="-3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PROTEIN</w:t>
                    </w:r>
                  </w:p>
                </w:txbxContent>
              </v:textbox>
              <w10:wrap type="none"/>
            </v:shape>
            <v:shape style="position:absolute;left:6380;top:4718;width:1087;height:245" type="#_x0000_t202" filled="false" stroked="false">
              <v:textbox inset="0,0,0,0">
                <w:txbxContent>
                  <w:p>
                    <w:pPr>
                      <w:spacing w:line="244" w:lineRule="exact" w:before="0"/>
                      <w:ind w:left="0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z w:val="22"/>
                      </w:rPr>
                      <w:t>ALBUMIN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Trebuchet MS"/>
          <w:b/>
          <w:w w:val="105"/>
          <w:sz w:val="22"/>
        </w:rPr>
        <w:t>90</w:t>
      </w:r>
    </w:p>
    <w:p>
      <w:pPr>
        <w:spacing w:before="218"/>
        <w:ind w:left="807" w:right="0" w:firstLine="0"/>
        <w:jc w:val="left"/>
        <w:rPr>
          <w:rFonts w:ascii="Trebuchet MS"/>
          <w:b/>
          <w:sz w:val="22"/>
        </w:rPr>
      </w:pPr>
      <w:r>
        <w:rPr>
          <w:rFonts w:ascii="Trebuchet MS"/>
          <w:b/>
          <w:w w:val="105"/>
          <w:sz w:val="22"/>
        </w:rPr>
        <w:t>80</w:t>
      </w:r>
    </w:p>
    <w:p>
      <w:pPr>
        <w:spacing w:before="217"/>
        <w:ind w:left="807" w:right="0" w:firstLine="0"/>
        <w:jc w:val="left"/>
        <w:rPr>
          <w:rFonts w:ascii="Trebuchet MS"/>
          <w:b/>
          <w:sz w:val="22"/>
        </w:rPr>
      </w:pPr>
      <w:r>
        <w:rPr>
          <w:rFonts w:ascii="Trebuchet MS"/>
          <w:b/>
          <w:w w:val="105"/>
          <w:sz w:val="22"/>
        </w:rPr>
        <w:t>70</w:t>
      </w:r>
    </w:p>
    <w:p>
      <w:pPr>
        <w:tabs>
          <w:tab w:pos="7936" w:val="left" w:leader="none"/>
        </w:tabs>
        <w:spacing w:before="216"/>
        <w:ind w:left="807" w:right="0" w:firstLine="0"/>
        <w:jc w:val="left"/>
        <w:rPr>
          <w:rFonts w:ascii="Trebuchet MS"/>
          <w:b/>
          <w:sz w:val="19"/>
        </w:rPr>
      </w:pPr>
      <w:r>
        <w:rPr/>
        <w:pict>
          <v:rect style="position:absolute;margin-left:440.587708pt;margin-top:26.08003pt;width:6.750235pt;height:6.742952pt;mso-position-horizontal-relative:page;mso-position-vertical-relative:paragraph;z-index:-18367488" filled="true" fillcolor="#2ca1be" stroked="false">
            <v:fill type="solid"/>
            <w10:wrap type="none"/>
          </v:rect>
        </w:pict>
      </w:r>
      <w:r>
        <w:rPr>
          <w:rFonts w:ascii="Trebuchet MS"/>
          <w:b/>
          <w:w w:val="105"/>
          <w:position w:val="20"/>
          <w:sz w:val="22"/>
        </w:rPr>
        <w:t>60</w:t>
        <w:tab/>
      </w:r>
      <w:r>
        <w:rPr>
          <w:rFonts w:ascii="Trebuchet MS"/>
          <w:b/>
          <w:w w:val="105"/>
          <w:sz w:val="19"/>
        </w:rPr>
        <w:t>Distilled</w:t>
      </w:r>
      <w:r>
        <w:rPr>
          <w:rFonts w:ascii="Trebuchet MS"/>
          <w:b/>
          <w:spacing w:val="-16"/>
          <w:w w:val="105"/>
          <w:sz w:val="19"/>
        </w:rPr>
        <w:t> </w:t>
      </w:r>
      <w:r>
        <w:rPr>
          <w:rFonts w:ascii="Trebuchet MS"/>
          <w:b/>
          <w:w w:val="105"/>
          <w:sz w:val="19"/>
        </w:rPr>
        <w:t>Water</w:t>
      </w:r>
    </w:p>
    <w:p>
      <w:pPr>
        <w:tabs>
          <w:tab w:pos="7936" w:val="left" w:leader="none"/>
        </w:tabs>
        <w:spacing w:before="30"/>
        <w:ind w:left="807" w:right="0" w:firstLine="0"/>
        <w:jc w:val="left"/>
        <w:rPr>
          <w:rFonts w:ascii="Trebuchet MS"/>
          <w:b/>
          <w:sz w:val="19"/>
        </w:rPr>
      </w:pPr>
      <w:r>
        <w:rPr/>
        <w:pict>
          <v:rect style="position:absolute;margin-left:440.587708pt;margin-top:11.537966pt;width:6.750235pt;height:6.742952pt;mso-position-horizontal-relative:page;mso-position-vertical-relative:paragraph;z-index:-18366976" filled="true" fillcolor="#da1f28" stroked="false">
            <v:fill type="solid"/>
            <w10:wrap type="none"/>
          </v:rect>
        </w:pict>
      </w:r>
      <w:r>
        <w:rPr>
          <w:rFonts w:ascii="Trebuchet MS"/>
          <w:b/>
          <w:w w:val="120"/>
          <w:position w:val="10"/>
          <w:sz w:val="22"/>
        </w:rPr>
        <w:t>50</w:t>
        <w:tab/>
      </w:r>
      <w:r>
        <w:rPr>
          <w:rFonts w:ascii="Trebuchet MS"/>
          <w:b/>
          <w:w w:val="115"/>
          <w:sz w:val="19"/>
        </w:rPr>
        <w:t>DM</w:t>
      </w:r>
      <w:r>
        <w:rPr>
          <w:rFonts w:ascii="Trebuchet MS"/>
          <w:b/>
          <w:spacing w:val="2"/>
          <w:w w:val="115"/>
          <w:sz w:val="19"/>
        </w:rPr>
        <w:t> </w:t>
      </w:r>
      <w:r>
        <w:rPr>
          <w:rFonts w:ascii="Trebuchet MS"/>
          <w:b/>
          <w:w w:val="115"/>
          <w:sz w:val="19"/>
        </w:rPr>
        <w:t>50</w:t>
      </w:r>
      <w:r>
        <w:rPr>
          <w:rFonts w:ascii="Trebuchet MS"/>
          <w:b/>
          <w:spacing w:val="8"/>
          <w:w w:val="115"/>
          <w:sz w:val="19"/>
        </w:rPr>
        <w:t> </w:t>
      </w:r>
      <w:r>
        <w:rPr>
          <w:rFonts w:ascii="Trebuchet MS"/>
          <w:b/>
          <w:w w:val="115"/>
          <w:sz w:val="19"/>
        </w:rPr>
        <w:t>mg/kg</w:t>
      </w:r>
    </w:p>
    <w:p>
      <w:pPr>
        <w:tabs>
          <w:tab w:pos="7936" w:val="left" w:leader="none"/>
        </w:tabs>
        <w:spacing w:before="119"/>
        <w:ind w:left="807" w:right="0" w:firstLine="0"/>
        <w:jc w:val="left"/>
        <w:rPr>
          <w:rFonts w:ascii="Trebuchet MS"/>
          <w:b/>
          <w:sz w:val="19"/>
        </w:rPr>
      </w:pPr>
      <w:r>
        <w:rPr/>
        <w:pict>
          <v:rect style="position:absolute;margin-left:440.587708pt;margin-top:11.764649pt;width:6.750235pt;height:6.224263pt;mso-position-horizontal-relative:page;mso-position-vertical-relative:paragraph;z-index:-18366464" filled="true" fillcolor="#eb631b" stroked="false">
            <v:fill type="solid"/>
            <w10:wrap type="none"/>
          </v:rect>
        </w:pict>
      </w:r>
      <w:r>
        <w:rPr/>
        <w:pict>
          <v:shape style="position:absolute;margin-left:77.026108pt;margin-top:6.989394pt;width:14.25pt;height:13.7pt;mso-position-horizontal-relative:page;mso-position-vertical-relative:paragraph;z-index:15774720" type="#_x0000_t202" filled="false" stroked="false">
            <v:textbox inset="0,0,0,0" style="layout-flow:vertical;mso-layout-flow-alt:bottom-to-top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b/>
                      <w:sz w:val="22"/>
                    </w:rPr>
                  </w:pPr>
                  <w:r>
                    <w:rPr>
                      <w:b/>
                      <w:sz w:val="22"/>
                    </w:rPr>
                    <w:t>g/l</w:t>
                  </w:r>
                </w:p>
              </w:txbxContent>
            </v:textbox>
            <w10:wrap type="none"/>
          </v:shape>
        </w:pict>
      </w:r>
      <w:r>
        <w:rPr>
          <w:rFonts w:ascii="Trebuchet MS"/>
          <w:b/>
          <w:w w:val="120"/>
          <w:position w:val="1"/>
          <w:sz w:val="22"/>
        </w:rPr>
        <w:t>40</w:t>
        <w:tab/>
      </w:r>
      <w:r>
        <w:rPr>
          <w:rFonts w:ascii="Trebuchet MS"/>
          <w:b/>
          <w:w w:val="115"/>
          <w:sz w:val="19"/>
        </w:rPr>
        <w:t>DM</w:t>
      </w:r>
      <w:r>
        <w:rPr>
          <w:rFonts w:ascii="Trebuchet MS"/>
          <w:b/>
          <w:spacing w:val="25"/>
          <w:w w:val="115"/>
          <w:sz w:val="19"/>
        </w:rPr>
        <w:t> </w:t>
      </w:r>
      <w:r>
        <w:rPr>
          <w:rFonts w:ascii="Trebuchet MS"/>
          <w:b/>
          <w:w w:val="115"/>
          <w:sz w:val="19"/>
        </w:rPr>
        <w:t>250</w:t>
      </w:r>
      <w:r>
        <w:rPr>
          <w:rFonts w:ascii="Trebuchet MS"/>
          <w:b/>
          <w:spacing w:val="14"/>
          <w:w w:val="115"/>
          <w:sz w:val="19"/>
        </w:rPr>
        <w:t> </w:t>
      </w:r>
      <w:r>
        <w:rPr>
          <w:rFonts w:ascii="Trebuchet MS"/>
          <w:b/>
          <w:w w:val="115"/>
          <w:sz w:val="19"/>
        </w:rPr>
        <w:t>mg/kg</w:t>
      </w:r>
    </w:p>
    <w:p>
      <w:pPr>
        <w:tabs>
          <w:tab w:pos="7936" w:val="left" w:leader="none"/>
        </w:tabs>
        <w:spacing w:before="158"/>
        <w:ind w:left="807" w:right="0" w:firstLine="0"/>
        <w:jc w:val="left"/>
        <w:rPr>
          <w:rFonts w:ascii="Trebuchet MS"/>
          <w:b/>
          <w:sz w:val="19"/>
        </w:rPr>
      </w:pPr>
      <w:r>
        <w:rPr/>
        <w:pict>
          <v:rect style="position:absolute;margin-left:440.587708pt;margin-top:11.564137pt;width:6.750235pt;height:6.742952pt;mso-position-horizontal-relative:page;mso-position-vertical-relative:paragraph;z-index:-18365952" filled="true" fillcolor="#39629d" stroked="false">
            <v:fill type="solid"/>
            <w10:wrap type="none"/>
          </v:rect>
        </w:pict>
      </w:r>
      <w:r>
        <w:rPr>
          <w:rFonts w:ascii="Trebuchet MS"/>
          <w:b/>
          <w:w w:val="120"/>
          <w:position w:val="-7"/>
          <w:sz w:val="22"/>
        </w:rPr>
        <w:t>30</w:t>
        <w:tab/>
      </w:r>
      <w:r>
        <w:rPr>
          <w:rFonts w:ascii="Trebuchet MS"/>
          <w:b/>
          <w:w w:val="115"/>
          <w:sz w:val="19"/>
        </w:rPr>
        <w:t>DM</w:t>
      </w:r>
      <w:r>
        <w:rPr>
          <w:rFonts w:ascii="Trebuchet MS"/>
          <w:b/>
          <w:spacing w:val="25"/>
          <w:w w:val="115"/>
          <w:sz w:val="19"/>
        </w:rPr>
        <w:t> </w:t>
      </w:r>
      <w:r>
        <w:rPr>
          <w:rFonts w:ascii="Trebuchet MS"/>
          <w:b/>
          <w:w w:val="115"/>
          <w:sz w:val="19"/>
        </w:rPr>
        <w:t>500</w:t>
      </w:r>
      <w:r>
        <w:rPr>
          <w:rFonts w:ascii="Trebuchet MS"/>
          <w:b/>
          <w:spacing w:val="14"/>
          <w:w w:val="115"/>
          <w:sz w:val="19"/>
        </w:rPr>
        <w:t> </w:t>
      </w:r>
      <w:r>
        <w:rPr>
          <w:rFonts w:ascii="Trebuchet MS"/>
          <w:b/>
          <w:w w:val="115"/>
          <w:sz w:val="19"/>
        </w:rPr>
        <w:t>mg/kg</w:t>
      </w:r>
    </w:p>
    <w:p>
      <w:pPr>
        <w:tabs>
          <w:tab w:pos="7936" w:val="left" w:leader="none"/>
        </w:tabs>
        <w:spacing w:before="71"/>
        <w:ind w:left="807" w:right="0" w:firstLine="0"/>
        <w:jc w:val="left"/>
        <w:rPr>
          <w:rFonts w:ascii="Trebuchet MS"/>
          <w:b/>
          <w:sz w:val="19"/>
        </w:rPr>
      </w:pPr>
      <w:r>
        <w:rPr/>
        <w:pict>
          <v:rect style="position:absolute;margin-left:440.587708pt;margin-top:6.972071pt;width:6.750235pt;height:6.742952pt;mso-position-horizontal-relative:page;mso-position-vertical-relative:paragraph;z-index:-18365440" filled="true" fillcolor="#464a78" stroked="false">
            <v:fill type="solid"/>
            <w10:wrap type="none"/>
          </v:rect>
        </w:pict>
      </w:r>
      <w:r>
        <w:rPr>
          <w:rFonts w:ascii="Trebuchet MS"/>
          <w:b/>
          <w:w w:val="120"/>
          <w:position w:val="-17"/>
          <w:sz w:val="22"/>
        </w:rPr>
        <w:t>20</w:t>
        <w:tab/>
      </w:r>
      <w:r>
        <w:rPr>
          <w:rFonts w:ascii="Trebuchet MS"/>
          <w:b/>
          <w:w w:val="115"/>
          <w:sz w:val="19"/>
        </w:rPr>
        <w:t>DM</w:t>
      </w:r>
      <w:r>
        <w:rPr>
          <w:rFonts w:ascii="Trebuchet MS"/>
          <w:b/>
          <w:spacing w:val="4"/>
          <w:w w:val="115"/>
          <w:sz w:val="19"/>
        </w:rPr>
        <w:t> </w:t>
      </w:r>
      <w:r>
        <w:rPr>
          <w:rFonts w:ascii="Trebuchet MS"/>
          <w:b/>
          <w:w w:val="115"/>
          <w:sz w:val="19"/>
        </w:rPr>
        <w:t>1000</w:t>
      </w:r>
      <w:r>
        <w:rPr>
          <w:rFonts w:ascii="Trebuchet MS"/>
          <w:b/>
          <w:spacing w:val="-4"/>
          <w:w w:val="115"/>
          <w:sz w:val="19"/>
        </w:rPr>
        <w:t> </w:t>
      </w:r>
      <w:r>
        <w:rPr>
          <w:rFonts w:ascii="Trebuchet MS"/>
          <w:b/>
          <w:w w:val="115"/>
          <w:sz w:val="19"/>
        </w:rPr>
        <w:t>mg/kg</w:t>
      </w:r>
    </w:p>
    <w:p>
      <w:pPr>
        <w:spacing w:before="216"/>
        <w:ind w:left="807" w:right="0" w:firstLine="0"/>
        <w:jc w:val="left"/>
        <w:rPr>
          <w:rFonts w:ascii="Trebuchet MS"/>
          <w:b/>
          <w:sz w:val="22"/>
        </w:rPr>
      </w:pPr>
      <w:r>
        <w:rPr>
          <w:rFonts w:ascii="Trebuchet MS"/>
          <w:b/>
          <w:w w:val="105"/>
          <w:sz w:val="22"/>
        </w:rPr>
        <w:t>10</w:t>
      </w:r>
    </w:p>
    <w:p>
      <w:pPr>
        <w:spacing w:before="217"/>
        <w:ind w:left="950" w:right="0" w:firstLine="0"/>
        <w:jc w:val="left"/>
        <w:rPr>
          <w:rFonts w:ascii="Trebuchet MS"/>
          <w:b/>
          <w:sz w:val="22"/>
        </w:rPr>
      </w:pPr>
      <w:r>
        <w:rPr/>
        <w:pict>
          <v:shape style="position:absolute;margin-left:312.298615pt;margin-top:31.777067pt;width:77.9pt;height:16.8pt;mso-position-horizontal-relative:page;mso-position-vertical-relative:paragraph;z-index:-18369024" type="#_x0000_t202" filled="false" stroked="false">
            <v:textbox inset="0,0,0,0">
              <w:txbxContent>
                <w:p>
                  <w:pPr>
                    <w:spacing w:before="32"/>
                    <w:ind w:left="0" w:right="0" w:firstLine="0"/>
                    <w:jc w:val="left"/>
                    <w:rPr>
                      <w:rFonts w:ascii="Trebuchet MS"/>
                      <w:b/>
                      <w:sz w:val="22"/>
                    </w:rPr>
                  </w:pPr>
                  <w:r>
                    <w:rPr>
                      <w:rFonts w:ascii="Trebuchet MS"/>
                      <w:b/>
                      <w:w w:val="105"/>
                      <w:sz w:val="22"/>
                    </w:rPr>
                    <w:t>ABUMIN</w:t>
                  </w:r>
                  <w:r>
                    <w:rPr>
                      <w:rFonts w:ascii="Trebuchet MS"/>
                      <w:b/>
                      <w:spacing w:val="39"/>
                      <w:w w:val="105"/>
                      <w:sz w:val="22"/>
                    </w:rPr>
                    <w:t> </w:t>
                  </w:r>
                  <w:r>
                    <w:rPr>
                      <w:rFonts w:ascii="Trebuchet MS"/>
                      <w:b/>
                      <w:w w:val="105"/>
                      <w:sz w:val="22"/>
                    </w:rPr>
                    <w:t>(g/dl)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53.97966pt;margin-top:31.777067pt;width:87.65pt;height:16.8pt;mso-position-horizontal-relative:page;mso-position-vertical-relative:paragraph;z-index:-18368512" type="#_x0000_t202" filled="false" stroked="false">
            <v:textbox inset="0,0,0,0">
              <w:txbxContent>
                <w:p>
                  <w:pPr>
                    <w:spacing w:before="32"/>
                    <w:ind w:left="0" w:right="0" w:firstLine="0"/>
                    <w:jc w:val="left"/>
                    <w:rPr>
                      <w:rFonts w:ascii="Trebuchet MS"/>
                      <w:b/>
                      <w:sz w:val="22"/>
                    </w:rPr>
                  </w:pPr>
                  <w:r>
                    <w:rPr>
                      <w:rFonts w:ascii="Trebuchet MS"/>
                      <w:b/>
                      <w:sz w:val="22"/>
                    </w:rPr>
                    <w:t>TOT_PROT</w:t>
                  </w:r>
                  <w:r>
                    <w:rPr>
                      <w:rFonts w:ascii="Trebuchet MS"/>
                      <w:b/>
                      <w:spacing w:val="61"/>
                      <w:sz w:val="22"/>
                    </w:rPr>
                    <w:t> </w:t>
                  </w:r>
                  <w:r>
                    <w:rPr>
                      <w:rFonts w:ascii="Trebuchet MS"/>
                      <w:b/>
                      <w:sz w:val="22"/>
                    </w:rPr>
                    <w:t>(g/L)</w:t>
                  </w:r>
                </w:p>
              </w:txbxContent>
            </v:textbox>
            <w10:wrap type="none"/>
          </v:shape>
        </w:pict>
      </w:r>
      <w:r>
        <w:rPr>
          <w:rFonts w:ascii="Trebuchet MS"/>
          <w:b/>
          <w:w w:val="107"/>
          <w:sz w:val="22"/>
        </w:rPr>
        <w:t>0</w:t>
      </w: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Heading1"/>
        <w:spacing w:before="232"/>
        <w:ind w:left="1188" w:right="675" w:hanging="540"/>
        <w:jc w:val="both"/>
      </w:pPr>
      <w:r>
        <w:rPr/>
        <w:t>Fig.4.9; Effect of 28 days administration of DM on Total protein and Albumin. No</w:t>
      </w:r>
      <w:r>
        <w:rPr>
          <w:spacing w:val="1"/>
        </w:rPr>
        <w:t> </w:t>
      </w:r>
      <w:r>
        <w:rPr/>
        <w:t>statistically significant decrease in the level of total protein and Albumin when</w:t>
      </w:r>
      <w:r>
        <w:rPr>
          <w:spacing w:val="1"/>
        </w:rPr>
        <w:t> </w:t>
      </w:r>
      <w:r>
        <w:rPr/>
        <w:t>compared</w:t>
      </w:r>
      <w:r>
        <w:rPr>
          <w:spacing w:val="-1"/>
        </w:rPr>
        <w:t> </w:t>
      </w:r>
      <w:r>
        <w:rPr/>
        <w:t>with control a p‹ 0.05</w:t>
      </w:r>
    </w:p>
    <w:p>
      <w:pPr>
        <w:spacing w:after="0"/>
        <w:jc w:val="both"/>
        <w:sectPr>
          <w:pgSz w:w="12240" w:h="15840"/>
          <w:pgMar w:header="0" w:footer="792" w:top="1500" w:bottom="980" w:left="1080" w:right="760"/>
        </w:sectPr>
      </w:pPr>
    </w:p>
    <w:p>
      <w:pPr>
        <w:pStyle w:val="Heading1"/>
        <w:spacing w:before="76"/>
        <w:ind w:left="1428"/>
      </w:pPr>
      <w:bookmarkStart w:name="_TOC_250008" w:id="53"/>
      <w:r>
        <w:rPr/>
        <w:t>4.5.</w:t>
      </w:r>
      <w:r>
        <w:rPr>
          <w:spacing w:val="-2"/>
        </w:rPr>
        <w:t> </w:t>
      </w:r>
      <w:bookmarkEnd w:id="53"/>
      <w:r>
        <w:rPr/>
        <w:t>Histopathological Studies</w:t>
      </w:r>
    </w:p>
    <w:p>
      <w:pPr>
        <w:pStyle w:val="BodyText"/>
        <w:spacing w:before="1"/>
        <w:rPr>
          <w:b/>
        </w:rPr>
      </w:pPr>
    </w:p>
    <w:p>
      <w:pPr>
        <w:pStyle w:val="Heading1"/>
        <w:ind w:left="828"/>
        <w:jc w:val="both"/>
      </w:pPr>
      <w:bookmarkStart w:name="_TOC_250007" w:id="54"/>
      <w:bookmarkEnd w:id="54"/>
      <w:r>
        <w:rPr/>
        <w:t>4.5.1. Liver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1368" w:right="675"/>
        <w:jc w:val="both"/>
      </w:pPr>
      <w:r>
        <w:rPr/>
        <w:t>The methanol leaf extracts of </w:t>
      </w:r>
      <w:r>
        <w:rPr>
          <w:i/>
        </w:rPr>
        <w:t>Diospyros mespiliformis </w:t>
      </w:r>
      <w:r>
        <w:rPr/>
        <w:t>when administred orally for 28</w:t>
      </w:r>
      <w:r>
        <w:rPr>
          <w:spacing w:val="1"/>
        </w:rPr>
        <w:t> </w:t>
      </w:r>
      <w:r>
        <w:rPr/>
        <w:t>days at doses of 50 and 250mg/kg does not cause any significant histopathological</w:t>
      </w:r>
      <w:r>
        <w:rPr>
          <w:spacing w:val="1"/>
        </w:rPr>
        <w:t> </w:t>
      </w:r>
      <w:r>
        <w:rPr/>
        <w:t>changes on the liver similar to the control (A).The central vein (CV), Hepatocytes (H)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Sinusoidal</w:t>
      </w:r>
      <w:r>
        <w:rPr>
          <w:spacing w:val="1"/>
        </w:rPr>
        <w:t> </w:t>
      </w:r>
      <w:r>
        <w:rPr/>
        <w:t>Spaces</w:t>
      </w:r>
      <w:r>
        <w:rPr>
          <w:spacing w:val="1"/>
        </w:rPr>
        <w:t> </w:t>
      </w:r>
      <w:r>
        <w:rPr/>
        <w:t>(SS)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evident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intact</w:t>
      </w:r>
      <w:r>
        <w:rPr>
          <w:spacing w:val="1"/>
        </w:rPr>
        <w:t> </w:t>
      </w:r>
      <w:r>
        <w:rPr/>
        <w:t>signifying</w:t>
      </w:r>
      <w:r>
        <w:rPr>
          <w:spacing w:val="1"/>
        </w:rPr>
        <w:t> </w:t>
      </w:r>
      <w:r>
        <w:rPr/>
        <w:t>normal</w:t>
      </w:r>
      <w:r>
        <w:rPr>
          <w:spacing w:val="1"/>
        </w:rPr>
        <w:t> </w:t>
      </w:r>
      <w:r>
        <w:rPr/>
        <w:t>hepatic</w:t>
      </w:r>
      <w:r>
        <w:rPr>
          <w:spacing w:val="1"/>
        </w:rPr>
        <w:t> </w:t>
      </w:r>
      <w:r>
        <w:rPr/>
        <w:t>architecture</w:t>
      </w:r>
      <w:r>
        <w:rPr>
          <w:spacing w:val="1"/>
        </w:rPr>
        <w:t> </w:t>
      </w:r>
      <w:r>
        <w:rPr/>
        <w:t>(Plate</w:t>
      </w:r>
      <w:r>
        <w:rPr>
          <w:spacing w:val="1"/>
        </w:rPr>
        <w:t> </w:t>
      </w:r>
      <w:r>
        <w:rPr/>
        <w:t>4.1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4.2).At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dose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500mg/kg</w:t>
      </w:r>
      <w:r>
        <w:rPr>
          <w:spacing w:val="1"/>
        </w:rPr>
        <w:t> </w:t>
      </w:r>
      <w:r>
        <w:rPr/>
        <w:t>however,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degeneration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hepatocytes,</w:t>
      </w:r>
      <w:r>
        <w:rPr>
          <w:spacing w:val="1"/>
        </w:rPr>
        <w:t> </w:t>
      </w:r>
      <w:r>
        <w:rPr/>
        <w:t>moderate</w:t>
      </w:r>
      <w:r>
        <w:rPr>
          <w:spacing w:val="1"/>
        </w:rPr>
        <w:t> </w:t>
      </w:r>
      <w:r>
        <w:rPr/>
        <w:t>hepatocellular necrosis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loss</w:t>
      </w:r>
      <w:r>
        <w:rPr>
          <w:spacing w:val="1"/>
        </w:rPr>
        <w:t> </w:t>
      </w:r>
      <w:r>
        <w:rPr/>
        <w:t>of hepatic</w:t>
      </w:r>
      <w:r>
        <w:rPr>
          <w:spacing w:val="1"/>
        </w:rPr>
        <w:t> </w:t>
      </w:r>
      <w:r>
        <w:rPr/>
        <w:t>architecture (Plate 4.3). While with a dose of 1000mg/kg there was degeneration of</w:t>
      </w:r>
      <w:r>
        <w:rPr>
          <w:spacing w:val="1"/>
        </w:rPr>
        <w:t> </w:t>
      </w:r>
      <w:r>
        <w:rPr/>
        <w:t>hepatocytes,</w:t>
      </w:r>
      <w:r>
        <w:rPr>
          <w:spacing w:val="-1"/>
        </w:rPr>
        <w:t> </w:t>
      </w:r>
      <w:r>
        <w:rPr/>
        <w:t>loss of hepatic</w:t>
      </w:r>
      <w:r>
        <w:rPr>
          <w:spacing w:val="-2"/>
        </w:rPr>
        <w:t> </w:t>
      </w:r>
      <w:r>
        <w:rPr/>
        <w:t>architecture</w:t>
      </w:r>
      <w:r>
        <w:rPr>
          <w:spacing w:val="-1"/>
        </w:rPr>
        <w:t> </w:t>
      </w:r>
      <w:r>
        <w:rPr/>
        <w:t>and necrosis of</w:t>
      </w:r>
      <w:r>
        <w:rPr>
          <w:spacing w:val="-1"/>
        </w:rPr>
        <w:t> </w:t>
      </w:r>
      <w:r>
        <w:rPr/>
        <w:t>hepatocytes (Plate</w:t>
      </w:r>
      <w:r>
        <w:rPr>
          <w:spacing w:val="1"/>
        </w:rPr>
        <w:t> </w:t>
      </w:r>
      <w:r>
        <w:rPr/>
        <w:t>4.4)</w:t>
      </w:r>
    </w:p>
    <w:p>
      <w:pPr>
        <w:spacing w:after="0" w:line="480" w:lineRule="auto"/>
        <w:jc w:val="both"/>
        <w:sectPr>
          <w:pgSz w:w="12240" w:h="15840"/>
          <w:pgMar w:header="0" w:footer="792" w:top="1360" w:bottom="980" w:left="1080" w:right="760"/>
        </w:sectPr>
      </w:pPr>
    </w:p>
    <w:p>
      <w:pPr>
        <w:pStyle w:val="BodyText"/>
        <w:ind w:left="1428"/>
        <w:rPr>
          <w:sz w:val="20"/>
        </w:rPr>
      </w:pPr>
      <w:r>
        <w:rPr>
          <w:sz w:val="20"/>
        </w:rPr>
        <w:pict>
          <v:group style="width:315pt;height:296.75pt;mso-position-horizontal-relative:char;mso-position-vertical-relative:line" coordorigin="0,0" coordsize="6300,5935">
            <v:shape style="position:absolute;left:0;top:0;width:6300;height:5935" type="#_x0000_t75" stroked="false">
              <v:imagedata r:id="rId12" o:title=""/>
            </v:shape>
            <v:shape style="position:absolute;left:286;top:111;width:504;height:1077" type="#_x0000_t202" filled="false" stroked="false">
              <v:textbox inset="0,0,0,0">
                <w:txbxContent>
                  <w:p>
                    <w:pPr>
                      <w:spacing w:before="111"/>
                      <w:ind w:left="0" w:right="0" w:firstLine="0"/>
                      <w:jc w:val="left"/>
                      <w:rPr>
                        <w:rFonts w:ascii="Trebuchet MS"/>
                        <w:b/>
                        <w:sz w:val="70"/>
                      </w:rPr>
                    </w:pPr>
                    <w:r>
                      <w:rPr>
                        <w:rFonts w:ascii="Trebuchet MS"/>
                        <w:b/>
                        <w:w w:val="109"/>
                        <w:sz w:val="70"/>
                      </w:rPr>
                      <w:t>A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11"/>
        <w:rPr>
          <w:sz w:val="8"/>
        </w:rPr>
      </w:pPr>
      <w:r>
        <w:rPr/>
        <w:pict>
          <v:group style="position:absolute;margin-left:135pt;margin-top:7.099609pt;width:311.4pt;height:293.7pt;mso-position-horizontal-relative:page;mso-position-vertical-relative:paragraph;z-index:-15681536;mso-wrap-distance-left:0;mso-wrap-distance-right:0" coordorigin="2700,142" coordsize="6228,5874">
            <v:shape style="position:absolute;left:2700;top:142;width:6228;height:5874" type="#_x0000_t75" stroked="false">
              <v:imagedata r:id="rId13" o:title=""/>
            </v:shape>
            <v:shape style="position:absolute;left:2880;top:527;width:424;height:1077" type="#_x0000_t202" filled="false" stroked="false">
              <v:textbox inset="0,0,0,0">
                <w:txbxContent>
                  <w:p>
                    <w:pPr>
                      <w:spacing w:before="111"/>
                      <w:ind w:left="0" w:right="0" w:firstLine="0"/>
                      <w:jc w:val="left"/>
                      <w:rPr>
                        <w:rFonts w:ascii="Trebuchet MS"/>
                        <w:b/>
                        <w:sz w:val="70"/>
                      </w:rPr>
                    </w:pPr>
                    <w:r>
                      <w:rPr>
                        <w:rFonts w:ascii="Trebuchet MS"/>
                        <w:b/>
                        <w:w w:val="96"/>
                        <w:sz w:val="70"/>
                      </w:rPr>
                      <w:t>B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line="201" w:lineRule="exact" w:before="0"/>
        <w:ind w:left="492" w:right="0" w:firstLine="0"/>
        <w:jc w:val="both"/>
        <w:rPr>
          <w:b/>
          <w:sz w:val="20"/>
        </w:rPr>
      </w:pPr>
      <w:r>
        <w:rPr>
          <w:b/>
          <w:sz w:val="20"/>
        </w:rPr>
        <w:t>Plate</w:t>
      </w:r>
      <w:r>
        <w:rPr>
          <w:b/>
          <w:spacing w:val="5"/>
          <w:sz w:val="20"/>
        </w:rPr>
        <w:t> </w:t>
      </w:r>
      <w:r>
        <w:rPr>
          <w:b/>
          <w:sz w:val="20"/>
        </w:rPr>
        <w:t>4.1:</w:t>
      </w:r>
      <w:r>
        <w:rPr>
          <w:b/>
          <w:spacing w:val="6"/>
          <w:sz w:val="20"/>
        </w:rPr>
        <w:t> </w:t>
      </w:r>
      <w:r>
        <w:rPr>
          <w:b/>
          <w:sz w:val="20"/>
        </w:rPr>
        <w:t>Photomicrograph</w:t>
      </w:r>
      <w:r>
        <w:rPr>
          <w:b/>
          <w:spacing w:val="7"/>
          <w:sz w:val="20"/>
        </w:rPr>
        <w:t> </w:t>
      </w:r>
      <w:r>
        <w:rPr>
          <w:b/>
          <w:sz w:val="20"/>
        </w:rPr>
        <w:t>of</w:t>
      </w:r>
      <w:r>
        <w:rPr>
          <w:b/>
          <w:spacing w:val="6"/>
          <w:sz w:val="20"/>
        </w:rPr>
        <w:t> </w:t>
      </w:r>
      <w:r>
        <w:rPr>
          <w:b/>
          <w:sz w:val="20"/>
        </w:rPr>
        <w:t>a</w:t>
      </w:r>
      <w:r>
        <w:rPr>
          <w:b/>
          <w:spacing w:val="7"/>
          <w:sz w:val="20"/>
        </w:rPr>
        <w:t> </w:t>
      </w:r>
      <w:r>
        <w:rPr>
          <w:b/>
          <w:sz w:val="20"/>
        </w:rPr>
        <w:t>section</w:t>
      </w:r>
      <w:r>
        <w:rPr>
          <w:b/>
          <w:spacing w:val="12"/>
          <w:sz w:val="20"/>
        </w:rPr>
        <w:t> </w:t>
      </w:r>
      <w:r>
        <w:rPr>
          <w:b/>
          <w:sz w:val="20"/>
        </w:rPr>
        <w:t>of</w:t>
      </w:r>
      <w:r>
        <w:rPr>
          <w:b/>
          <w:spacing w:val="6"/>
          <w:sz w:val="20"/>
        </w:rPr>
        <w:t> </w:t>
      </w:r>
      <w:r>
        <w:rPr>
          <w:b/>
          <w:sz w:val="20"/>
        </w:rPr>
        <w:t>the</w:t>
      </w:r>
      <w:r>
        <w:rPr>
          <w:b/>
          <w:spacing w:val="6"/>
          <w:sz w:val="20"/>
        </w:rPr>
        <w:t> </w:t>
      </w:r>
      <w:r>
        <w:rPr>
          <w:b/>
          <w:sz w:val="20"/>
        </w:rPr>
        <w:t>rat</w:t>
      </w:r>
      <w:r>
        <w:rPr>
          <w:b/>
          <w:spacing w:val="6"/>
          <w:sz w:val="20"/>
        </w:rPr>
        <w:t> </w:t>
      </w:r>
      <w:r>
        <w:rPr>
          <w:b/>
          <w:sz w:val="20"/>
        </w:rPr>
        <w:t>liver</w:t>
      </w:r>
      <w:r>
        <w:rPr>
          <w:b/>
          <w:spacing w:val="6"/>
          <w:sz w:val="20"/>
        </w:rPr>
        <w:t> </w:t>
      </w:r>
      <w:r>
        <w:rPr>
          <w:b/>
          <w:sz w:val="20"/>
        </w:rPr>
        <w:t>given</w:t>
      </w:r>
      <w:r>
        <w:rPr>
          <w:b/>
          <w:spacing w:val="6"/>
          <w:sz w:val="20"/>
        </w:rPr>
        <w:t> </w:t>
      </w:r>
      <w:r>
        <w:rPr>
          <w:b/>
          <w:sz w:val="20"/>
        </w:rPr>
        <w:t>distilled</w:t>
      </w:r>
      <w:r>
        <w:rPr>
          <w:b/>
          <w:spacing w:val="6"/>
          <w:sz w:val="20"/>
        </w:rPr>
        <w:t> </w:t>
      </w:r>
      <w:r>
        <w:rPr>
          <w:b/>
          <w:sz w:val="20"/>
        </w:rPr>
        <w:t>water</w:t>
      </w:r>
      <w:r>
        <w:rPr>
          <w:b/>
          <w:spacing w:val="6"/>
          <w:sz w:val="20"/>
        </w:rPr>
        <w:t> </w:t>
      </w:r>
      <w:r>
        <w:rPr>
          <w:b/>
          <w:sz w:val="20"/>
        </w:rPr>
        <w:t>only</w:t>
      </w:r>
      <w:r>
        <w:rPr>
          <w:b/>
          <w:spacing w:val="6"/>
          <w:sz w:val="20"/>
        </w:rPr>
        <w:t> </w:t>
      </w:r>
      <w:r>
        <w:rPr>
          <w:b/>
          <w:sz w:val="20"/>
        </w:rPr>
        <w:t>(control)</w:t>
      </w:r>
      <w:r>
        <w:rPr>
          <w:b/>
          <w:spacing w:val="14"/>
          <w:sz w:val="20"/>
        </w:rPr>
        <w:t> </w:t>
      </w:r>
      <w:r>
        <w:rPr>
          <w:b/>
          <w:sz w:val="20"/>
        </w:rPr>
        <w:t>(A)</w:t>
      </w:r>
      <w:r>
        <w:rPr>
          <w:b/>
          <w:spacing w:val="7"/>
          <w:sz w:val="20"/>
        </w:rPr>
        <w:t> </w:t>
      </w:r>
      <w:r>
        <w:rPr>
          <w:b/>
          <w:sz w:val="20"/>
        </w:rPr>
        <w:t>and</w:t>
      </w:r>
      <w:r>
        <w:rPr>
          <w:b/>
          <w:spacing w:val="61"/>
          <w:sz w:val="20"/>
        </w:rPr>
        <w:t> </w:t>
      </w:r>
      <w:r>
        <w:rPr>
          <w:b/>
          <w:sz w:val="20"/>
        </w:rPr>
        <w:t>rat</w:t>
      </w:r>
    </w:p>
    <w:p>
      <w:pPr>
        <w:spacing w:before="0"/>
        <w:ind w:left="1392" w:right="290" w:firstLine="0"/>
        <w:jc w:val="both"/>
        <w:rPr>
          <w:b/>
          <w:sz w:val="20"/>
        </w:rPr>
      </w:pPr>
      <w:r>
        <w:rPr>
          <w:b/>
          <w:sz w:val="20"/>
        </w:rPr>
        <w:t>liver administered with 50mg/kg of DM   (B) for 28 days (magnification x 400) showing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normal hepatic architecture i.e. central vein (CV), Hepatocytes (H) and Sinusoidal spaces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(SS).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No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significant histopathological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changes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23"/>
        </w:rPr>
      </w:pPr>
    </w:p>
    <w:p>
      <w:pPr>
        <w:pStyle w:val="BodyText"/>
        <w:spacing w:before="90"/>
        <w:ind w:left="4619" w:right="4053"/>
        <w:jc w:val="center"/>
      </w:pPr>
      <w:r>
        <w:rPr/>
        <w:pict>
          <v:shape style="position:absolute;margin-left:298.970001pt;margin-top:46.049763pt;width:12pt;height:13.3pt;mso-position-horizontal-relative:page;mso-position-vertical-relative:paragraph;z-index:-18363392" type="#_x0000_t202" filled="false" stroked="false">
            <v:textbox inset="0,0,0,0">
              <w:txbxContent>
                <w:p>
                  <w:pPr>
                    <w:pStyle w:val="BodyText"/>
                    <w:spacing w:line="266" w:lineRule="exact"/>
                  </w:pPr>
                  <w:r>
                    <w:rPr/>
                    <w:t>94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0.890015pt;margin-top:5.009763pt;width:12pt;height:13.3pt;mso-position-horizontal-relative:page;mso-position-vertical-relative:paragraph;z-index:-18362880" type="#_x0000_t202" filled="false" stroked="false">
            <v:textbox inset="0,0,0,0">
              <w:txbxContent>
                <w:p>
                  <w:pPr>
                    <w:pStyle w:val="BodyText"/>
                    <w:spacing w:line="266" w:lineRule="exact"/>
                  </w:pPr>
                  <w:r>
                    <w:rPr/>
                    <w:t>94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0.890015pt;margin-top:5.009763pt;width:12pt;height:13.3pt;mso-position-horizontal-relative:page;mso-position-vertical-relative:paragraph;z-index:-18362368" type="#_x0000_t202" filled="false" stroked="false">
            <v:textbox inset="0,0,0,0">
              <w:txbxContent>
                <w:p>
                  <w:pPr>
                    <w:pStyle w:val="BodyText"/>
                    <w:spacing w:line="266" w:lineRule="exact"/>
                  </w:pPr>
                  <w:r>
                    <w:rPr/>
                    <w:t>94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5.400024pt;margin-top:.847118pt;width:72pt;height:63pt;mso-position-horizontal-relative:page;mso-position-vertical-relative:paragraph;z-index:-18361856" coordorigin="5508,17" coordsize="1440,1260" path="m6948,17l6768,17,5688,17,5508,17,5508,1277,5688,1277,6768,1277,6948,1277,6948,17xe" filled="true" fillcolor="#ffffff" stroked="false">
            <v:path arrowok="t"/>
            <v:fill type="solid"/>
            <w10:wrap type="none"/>
          </v:shape>
        </w:pict>
      </w:r>
      <w:r>
        <w:rPr/>
        <w:t>94</w:t>
      </w:r>
    </w:p>
    <w:p>
      <w:pPr>
        <w:spacing w:after="0"/>
        <w:jc w:val="center"/>
        <w:sectPr>
          <w:footerReference w:type="default" r:id="rId11"/>
          <w:pgSz w:w="11910" w:h="16840"/>
          <w:pgMar w:footer="0" w:header="0" w:top="1300" w:bottom="280" w:left="1200" w:right="1040"/>
        </w:sectPr>
      </w:pPr>
    </w:p>
    <w:p>
      <w:pPr>
        <w:pStyle w:val="BodyText"/>
        <w:ind w:left="925"/>
        <w:rPr>
          <w:sz w:val="20"/>
        </w:rPr>
      </w:pPr>
      <w:r>
        <w:rPr>
          <w:sz w:val="20"/>
        </w:rPr>
        <w:pict>
          <v:group style="width:363.2pt;height:326.25pt;mso-position-horizontal-relative:char;mso-position-vertical-relative:line" coordorigin="0,0" coordsize="7264,6525">
            <v:shape style="position:absolute;left:0;top:0;width:7264;height:6525" type="#_x0000_t75" stroked="false">
              <v:imagedata r:id="rId15" o:title=""/>
            </v:shape>
            <v:shape style="position:absolute;left:322;top:1257;width:80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.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6"/>
      </w:pPr>
      <w:r>
        <w:rPr/>
        <w:pict>
          <v:group style="position:absolute;margin-left:122.782135pt;margin-top:16.059969pt;width:349.95pt;height:312pt;mso-position-horizontal-relative:page;mso-position-vertical-relative:paragraph;z-index:-15678464;mso-wrap-distance-left:0;mso-wrap-distance-right:0" coordorigin="2456,321" coordsize="6999,6240">
            <v:shape style="position:absolute;left:2455;top:321;width:6999;height:6240" type="#_x0000_t75" stroked="false">
              <v:imagedata r:id="rId16" o:title=""/>
            </v:shape>
            <v:shape style="position:absolute;left:2711;top:362;width:392;height:1013" type="#_x0000_t202" filled="false" stroked="false">
              <v:textbox inset="0,0,0,0">
                <w:txbxContent>
                  <w:p>
                    <w:pPr>
                      <w:spacing w:before="103"/>
                      <w:ind w:left="0" w:right="0" w:firstLine="0"/>
                      <w:jc w:val="left"/>
                      <w:rPr>
                        <w:rFonts w:ascii="Trebuchet MS"/>
                        <w:b/>
                        <w:sz w:val="66"/>
                      </w:rPr>
                    </w:pPr>
                    <w:r>
                      <w:rPr>
                        <w:rFonts w:ascii="Trebuchet MS"/>
                        <w:b/>
                        <w:w w:val="94"/>
                        <w:sz w:val="66"/>
                      </w:rPr>
                      <w:t>B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before="74"/>
        <w:ind w:left="1032" w:right="104" w:hanging="900"/>
        <w:jc w:val="both"/>
        <w:rPr>
          <w:b/>
          <w:sz w:val="20"/>
        </w:rPr>
      </w:pPr>
      <w:r>
        <w:rPr>
          <w:b/>
          <w:sz w:val="20"/>
        </w:rPr>
        <w:t>Plate 4.2: Photomicrograph of a section of the rat liver given distilled water only (control)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(A) and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rat liver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administered with 250 mg/kg of DM (B) for 28 days (magnification x 400) showing normal hepatic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architecture i.e. central vein (CV), Hepatocytes (H) and Sinusoidal spaces (SS).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No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significant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histopathological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changes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17"/>
        </w:rPr>
      </w:pPr>
    </w:p>
    <w:p>
      <w:pPr>
        <w:pStyle w:val="BodyText"/>
        <w:spacing w:before="90"/>
        <w:ind w:left="4261" w:right="4412"/>
        <w:jc w:val="center"/>
      </w:pPr>
      <w:r>
        <w:rPr/>
        <w:pict>
          <v:shape style="position:absolute;margin-left:298.970001pt;margin-top:28.049767pt;width:12pt;height:13.3pt;mso-position-horizontal-relative:page;mso-position-vertical-relative:paragraph;z-index:-18360320" type="#_x0000_t202" filled="false" stroked="false">
            <v:textbox inset="0,0,0,0">
              <w:txbxContent>
                <w:p>
                  <w:pPr>
                    <w:pStyle w:val="BodyText"/>
                    <w:spacing w:line="266" w:lineRule="exact"/>
                  </w:pPr>
                  <w:r>
                    <w:rPr/>
                    <w:t>95</w:t>
                  </w:r>
                </w:p>
              </w:txbxContent>
            </v:textbox>
            <w10:wrap type="none"/>
          </v:shape>
        </w:pict>
      </w:r>
      <w:r>
        <w:rPr/>
        <w:pict>
          <v:rect style="position:absolute;margin-left:266.399994pt;margin-top:.847126pt;width:63pt;height:63.0pt;mso-position-horizontal-relative:page;mso-position-vertical-relative:paragraph;z-index:-18359808" filled="true" fillcolor="#ffffff" stroked="false">
            <v:fill type="solid"/>
            <w10:wrap type="none"/>
          </v:rect>
        </w:pict>
      </w:r>
      <w:r>
        <w:rPr/>
        <w:t>95</w:t>
      </w:r>
    </w:p>
    <w:p>
      <w:pPr>
        <w:spacing w:after="0"/>
        <w:jc w:val="center"/>
        <w:sectPr>
          <w:footerReference w:type="default" r:id="rId14"/>
          <w:pgSz w:w="11910" w:h="16840"/>
          <w:pgMar w:footer="0" w:header="0" w:top="720" w:bottom="0" w:left="1200" w:right="1040"/>
        </w:sectPr>
      </w:pPr>
    </w:p>
    <w:p>
      <w:pPr>
        <w:pStyle w:val="BodyText"/>
        <w:ind w:left="1609"/>
        <w:rPr>
          <w:sz w:val="20"/>
        </w:rPr>
      </w:pPr>
      <w:r>
        <w:rPr>
          <w:sz w:val="20"/>
        </w:rPr>
        <w:drawing>
          <wp:inline distT="0" distB="0" distL="0" distR="0">
            <wp:extent cx="4233060" cy="4091940"/>
            <wp:effectExtent l="0" t="0" r="0" b="0"/>
            <wp:docPr id="11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9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3060" cy="4091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1"/>
        </w:rPr>
      </w:pPr>
      <w:r>
        <w:rPr/>
        <w:pict>
          <v:group style="position:absolute;margin-left:140.399994pt;margin-top:14.121953pt;width:333pt;height:317.5pt;mso-position-horizontal-relative:page;mso-position-vertical-relative:paragraph;z-index:-15676928;mso-wrap-distance-left:0;mso-wrap-distance-right:0" coordorigin="2808,282" coordsize="6660,6350">
            <v:shape style="position:absolute;left:2808;top:282;width:6660;height:6350" type="#_x0000_t75" stroked="false">
              <v:imagedata r:id="rId19" o:title=""/>
            </v:shape>
            <v:shape style="position:absolute;left:2988;top:484;width:355;height:893" type="#_x0000_t202" filled="false" stroked="false">
              <v:textbox inset="0,0,0,0">
                <w:txbxContent>
                  <w:p>
                    <w:pPr>
                      <w:spacing w:before="92"/>
                      <w:ind w:left="0" w:right="0" w:firstLine="0"/>
                      <w:jc w:val="left"/>
                      <w:rPr>
                        <w:rFonts w:ascii="Trebuchet MS"/>
                        <w:b/>
                        <w:sz w:val="58"/>
                      </w:rPr>
                    </w:pPr>
                    <w:r>
                      <w:rPr>
                        <w:rFonts w:ascii="Trebuchet MS"/>
                        <w:b/>
                        <w:w w:val="96"/>
                        <w:sz w:val="58"/>
                      </w:rPr>
                      <w:t>B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before="58"/>
        <w:ind w:left="1658" w:right="102" w:hanging="900"/>
        <w:jc w:val="both"/>
        <w:rPr>
          <w:b/>
          <w:sz w:val="20"/>
        </w:rPr>
      </w:pPr>
      <w:r>
        <w:rPr>
          <w:b/>
          <w:sz w:val="20"/>
        </w:rPr>
        <w:t>Plate 4.3: Photomicrograph of a section of the rat liver given distilled water only (control)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(A) and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rat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liver administered with 500 mg/kg of DM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(B) for 28 days (magnification x 400). Showing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normal hepatic architecture i.e. central vein (CV), Hepatocytes (H) and Sinusoidal spaces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(SS) in (A) and degeneration of hepatocytes (D), moderate hepatocellular necrosis, (N) and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loss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of hepatic architecture in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(B)</w:t>
      </w:r>
    </w:p>
    <w:p>
      <w:pPr>
        <w:pStyle w:val="BodyText"/>
        <w:spacing w:before="1"/>
        <w:rPr>
          <w:b/>
          <w:sz w:val="17"/>
        </w:rPr>
      </w:pPr>
    </w:p>
    <w:p>
      <w:pPr>
        <w:pStyle w:val="BodyText"/>
        <w:spacing w:before="90"/>
        <w:ind w:left="4620" w:right="4629"/>
        <w:jc w:val="center"/>
      </w:pPr>
      <w:r>
        <w:rPr>
          <w:position w:val="-8"/>
        </w:rPr>
        <w:t>9</w:t>
      </w:r>
      <w:r>
        <w:rPr>
          <w:spacing w:val="-99"/>
          <w:position w:val="-8"/>
        </w:rPr>
        <w:t>6</w:t>
      </w:r>
      <w:r>
        <w:rPr/>
        <w:t>96</w:t>
      </w:r>
    </w:p>
    <w:p>
      <w:pPr>
        <w:spacing w:after="0"/>
        <w:jc w:val="center"/>
        <w:sectPr>
          <w:footerReference w:type="default" r:id="rId17"/>
          <w:pgSz w:w="11910" w:h="16840"/>
          <w:pgMar w:footer="0" w:header="0" w:top="760" w:bottom="280" w:left="1200" w:right="104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41.400002pt;margin-top:17.999992pt;width:513pt;height:810pt;mso-position-horizontal-relative:page;mso-position-vertical-relative:page;z-index:-18358272" coordorigin="828,360" coordsize="10260,16200">
            <v:rect style="position:absolute;left:828;top:360;width:10260;height:16200" filled="true" fillcolor="#ffffff" stroked="false">
              <v:fill type="solid"/>
            </v:rect>
            <v:shape style="position:absolute;left:2448;top:7380;width:6699;height:5940" type="#_x0000_t75" stroked="false">
              <v:imagedata r:id="rId21" o:title=""/>
            </v:shape>
            <v:shape style="position:absolute;left:2284;top:721;width:6825;height:6462" type="#_x0000_t75" stroked="false">
              <v:imagedata r:id="rId22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5"/>
        </w:rPr>
      </w:pPr>
    </w:p>
    <w:p>
      <w:pPr>
        <w:spacing w:before="193"/>
        <w:ind w:left="1428" w:right="0" w:firstLine="0"/>
        <w:jc w:val="left"/>
        <w:rPr>
          <w:rFonts w:ascii="Trebuchet MS"/>
          <w:b/>
          <w:sz w:val="58"/>
        </w:rPr>
      </w:pPr>
      <w:r>
        <w:rPr>
          <w:rFonts w:ascii="Trebuchet MS"/>
          <w:b/>
          <w:w w:val="96"/>
          <w:sz w:val="58"/>
        </w:rPr>
        <w:t>B</w:t>
      </w: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spacing w:before="8"/>
        <w:rPr>
          <w:rFonts w:ascii="Trebuchet MS"/>
          <w:b/>
          <w:sz w:val="22"/>
        </w:rPr>
      </w:pPr>
    </w:p>
    <w:p>
      <w:pPr>
        <w:spacing w:before="0"/>
        <w:ind w:left="830" w:right="489" w:hanging="720"/>
        <w:jc w:val="both"/>
        <w:rPr>
          <w:b/>
          <w:sz w:val="20"/>
        </w:rPr>
      </w:pPr>
      <w:r>
        <w:rPr>
          <w:b/>
          <w:sz w:val="20"/>
        </w:rPr>
        <w:t>Plate 4.4: Photomicrograph of a section of the rat liver given distilled water only (control)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(A) and</w:t>
      </w:r>
      <w:r>
        <w:rPr>
          <w:b/>
          <w:spacing w:val="50"/>
          <w:sz w:val="20"/>
        </w:rPr>
        <w:t> </w:t>
      </w:r>
      <w:r>
        <w:rPr>
          <w:b/>
          <w:sz w:val="20"/>
        </w:rPr>
        <w:t>rat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liver administered with 1000 mg/kg of DM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(B) for 28 days (magnification x 400). Showing normal</w:t>
      </w:r>
      <w:r>
        <w:rPr>
          <w:b/>
          <w:spacing w:val="-48"/>
          <w:sz w:val="20"/>
        </w:rPr>
        <w:t> </w:t>
      </w:r>
      <w:r>
        <w:rPr>
          <w:b/>
          <w:sz w:val="20"/>
        </w:rPr>
        <w:t>hepatic architecture i.e. central vein (CV), Hepatocytes (H) and Sinusoidal spaces (SS) in (A) and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degeneration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of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hepatocytes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(D) loss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of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hepatic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architecture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and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necrosis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of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hepatocytes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(N)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1"/>
        <w:rPr>
          <w:b/>
          <w:sz w:val="26"/>
        </w:rPr>
      </w:pPr>
    </w:p>
    <w:p>
      <w:pPr>
        <w:pStyle w:val="BodyText"/>
        <w:spacing w:before="90"/>
        <w:ind w:left="4618" w:right="4412"/>
        <w:jc w:val="center"/>
      </w:pPr>
      <w:r>
        <w:rPr/>
        <w:pict>
          <v:shape style="position:absolute;margin-left:298.970001pt;margin-top:37.049763pt;width:12pt;height:13.3pt;mso-position-horizontal-relative:page;mso-position-vertical-relative:paragraph;z-index:-18358784" type="#_x0000_t202" filled="false" stroked="false">
            <v:textbox inset="0,0,0,0">
              <w:txbxContent>
                <w:p>
                  <w:pPr>
                    <w:pStyle w:val="BodyText"/>
                    <w:spacing w:line="266" w:lineRule="exact"/>
                  </w:pPr>
                  <w:r>
                    <w:rPr/>
                    <w:t>97</w:t>
                  </w:r>
                </w:p>
              </w:txbxContent>
            </v:textbox>
            <w10:wrap type="none"/>
          </v:shape>
        </w:pict>
      </w:r>
      <w:r>
        <w:rPr/>
        <w:t>97</w:t>
      </w:r>
    </w:p>
    <w:p>
      <w:pPr>
        <w:spacing w:after="0"/>
        <w:jc w:val="center"/>
        <w:sectPr>
          <w:footerReference w:type="default" r:id="rId20"/>
          <w:pgSz w:w="11910" w:h="16840"/>
          <w:pgMar w:footer="0" w:header="0" w:top="1580" w:bottom="280" w:left="1200" w:right="1040"/>
        </w:sectPr>
      </w:pPr>
    </w:p>
    <w:p>
      <w:pPr>
        <w:pStyle w:val="Heading1"/>
        <w:tabs>
          <w:tab w:pos="1248" w:val="left" w:leader="none"/>
        </w:tabs>
        <w:spacing w:before="63"/>
        <w:ind w:left="528"/>
      </w:pPr>
      <w:bookmarkStart w:name="_TOC_250006" w:id="55"/>
      <w:bookmarkEnd w:id="55"/>
      <w:r>
        <w:rPr/>
        <w:t>4.5.2</w:t>
        <w:tab/>
        <w:t>Kidney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7"/>
        <w:rPr>
          <w:b/>
          <w:sz w:val="21"/>
        </w:rPr>
      </w:pPr>
    </w:p>
    <w:p>
      <w:pPr>
        <w:pStyle w:val="BodyText"/>
        <w:spacing w:line="480" w:lineRule="auto"/>
        <w:ind w:left="528" w:right="401"/>
        <w:jc w:val="both"/>
      </w:pPr>
      <w:r>
        <w:rPr/>
        <w:t>The methanol leaf extracts of </w:t>
      </w:r>
      <w:r>
        <w:rPr>
          <w:i/>
        </w:rPr>
        <w:t>Diospyros mespiliformis </w:t>
      </w:r>
      <w:r>
        <w:rPr/>
        <w:t>when administered orally for 28</w:t>
      </w:r>
      <w:r>
        <w:rPr>
          <w:spacing w:val="1"/>
        </w:rPr>
        <w:t> </w:t>
      </w:r>
      <w:r>
        <w:rPr/>
        <w:t>days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doses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50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250mg/kg</w:t>
      </w:r>
      <w:r>
        <w:rPr>
          <w:spacing w:val="1"/>
        </w:rPr>
        <w:t> </w:t>
      </w:r>
      <w:r>
        <w:rPr/>
        <w:t>does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cause</w:t>
      </w:r>
      <w:r>
        <w:rPr>
          <w:spacing w:val="1"/>
        </w:rPr>
        <w:t> </w:t>
      </w:r>
      <w:r>
        <w:rPr/>
        <w:t>any</w:t>
      </w:r>
      <w:r>
        <w:rPr>
          <w:spacing w:val="1"/>
        </w:rPr>
        <w:t> </w:t>
      </w:r>
      <w:r>
        <w:rPr/>
        <w:t>significant</w:t>
      </w:r>
      <w:r>
        <w:rPr>
          <w:spacing w:val="60"/>
        </w:rPr>
        <w:t> </w:t>
      </w:r>
      <w:r>
        <w:rPr/>
        <w:t>histopathological</w:t>
      </w:r>
      <w:r>
        <w:rPr>
          <w:spacing w:val="1"/>
        </w:rPr>
        <w:t> </w:t>
      </w:r>
      <w:r>
        <w:rPr/>
        <w:t>changes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kidney</w:t>
      </w:r>
      <w:r>
        <w:rPr>
          <w:spacing w:val="1"/>
        </w:rPr>
        <w:t> </w:t>
      </w:r>
      <w:r>
        <w:rPr/>
        <w:t>similar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control</w:t>
      </w:r>
      <w:r>
        <w:rPr>
          <w:spacing w:val="1"/>
        </w:rPr>
        <w:t> </w:t>
      </w:r>
      <w:r>
        <w:rPr/>
        <w:t>(A).The</w:t>
      </w:r>
      <w:r>
        <w:rPr>
          <w:spacing w:val="1"/>
        </w:rPr>
        <w:t> </w:t>
      </w:r>
      <w:r>
        <w:rPr/>
        <w:t>glomeruli,</w:t>
      </w:r>
      <w:r>
        <w:rPr>
          <w:spacing w:val="1"/>
        </w:rPr>
        <w:t> </w:t>
      </w:r>
      <w:r>
        <w:rPr/>
        <w:t>renal</w:t>
      </w:r>
      <w:r>
        <w:rPr>
          <w:spacing w:val="1"/>
        </w:rPr>
        <w:t> </w:t>
      </w:r>
      <w:r>
        <w:rPr/>
        <w:t>tubules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Bowman‟s spaces are clear and intact (Plate 4.5 and 4.6).At doses of 500mg/kg however,</w:t>
      </w:r>
      <w:r>
        <w:rPr>
          <w:spacing w:val="1"/>
        </w:rPr>
        <w:t> </w:t>
      </w:r>
      <w:r>
        <w:rPr/>
        <w:t>there was moderate degeneration of renal tubules with intact glomeruli (Plate 4.7). While</w:t>
      </w:r>
      <w:r>
        <w:rPr>
          <w:spacing w:val="1"/>
        </w:rPr>
        <w:t> </w:t>
      </w:r>
      <w:r>
        <w:rPr/>
        <w:t>with a dose of 1000mg/kg there was loss of renal tubular architecture and degeneration of</w:t>
      </w:r>
      <w:r>
        <w:rPr>
          <w:spacing w:val="1"/>
        </w:rPr>
        <w:t> </w:t>
      </w:r>
      <w:r>
        <w:rPr/>
        <w:t>renal</w:t>
      </w:r>
      <w:r>
        <w:rPr>
          <w:spacing w:val="-1"/>
        </w:rPr>
        <w:t> </w:t>
      </w:r>
      <w:r>
        <w:rPr/>
        <w:t>tubules but with intact</w:t>
      </w:r>
      <w:r>
        <w:rPr>
          <w:spacing w:val="2"/>
        </w:rPr>
        <w:t> </w:t>
      </w:r>
      <w:r>
        <w:rPr/>
        <w:t>glomeruli (Plate 4.8)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6"/>
        </w:rPr>
      </w:pPr>
    </w:p>
    <w:p>
      <w:pPr>
        <w:pStyle w:val="BodyText"/>
        <w:spacing w:before="90"/>
        <w:ind w:left="4541" w:right="4412"/>
        <w:jc w:val="center"/>
      </w:pPr>
      <w:r>
        <w:rPr/>
        <w:t>98</w:t>
      </w:r>
    </w:p>
    <w:p>
      <w:pPr>
        <w:spacing w:after="0"/>
        <w:jc w:val="center"/>
        <w:sectPr>
          <w:footerReference w:type="default" r:id="rId23"/>
          <w:pgSz w:w="11910" w:h="16840"/>
          <w:pgMar w:footer="0" w:header="0" w:top="1360" w:bottom="280" w:left="1200" w:right="1040"/>
        </w:sectPr>
      </w:pPr>
    </w:p>
    <w:p>
      <w:pPr>
        <w:pStyle w:val="BodyText"/>
        <w:ind w:left="1834"/>
        <w:rPr>
          <w:sz w:val="20"/>
        </w:rPr>
      </w:pPr>
      <w:r>
        <w:rPr>
          <w:sz w:val="20"/>
        </w:rPr>
        <w:pict>
          <v:group style="width:303.25pt;height:310.5pt;mso-position-horizontal-relative:char;mso-position-vertical-relative:line" coordorigin="0,0" coordsize="6065,6210">
            <v:shape style="position:absolute;left:0;top:114;width:6065;height:6095" type="#_x0000_t75" stroked="false">
              <v:imagedata r:id="rId25" o:title=""/>
            </v:shape>
            <v:shape style="position:absolute;left:144;top:0;width:406;height:860" type="#_x0000_t202" filled="false" stroked="false">
              <v:textbox inset="0,0,0,0">
                <w:txbxContent>
                  <w:p>
                    <w:pPr>
                      <w:spacing w:before="87"/>
                      <w:ind w:left="0" w:right="0" w:firstLine="0"/>
                      <w:jc w:val="left"/>
                      <w:rPr>
                        <w:rFonts w:ascii="Trebuchet MS"/>
                        <w:b/>
                        <w:sz w:val="56"/>
                      </w:rPr>
                    </w:pPr>
                    <w:r>
                      <w:rPr>
                        <w:rFonts w:ascii="Trebuchet MS"/>
                        <w:b/>
                        <w:w w:val="108"/>
                        <w:sz w:val="56"/>
                      </w:rPr>
                      <w:t>A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2"/>
        <w:rPr>
          <w:sz w:val="9"/>
        </w:rPr>
      </w:pPr>
    </w:p>
    <w:p>
      <w:pPr>
        <w:pStyle w:val="BodyText"/>
        <w:ind w:left="1765"/>
        <w:rPr>
          <w:sz w:val="20"/>
        </w:rPr>
      </w:pPr>
      <w:r>
        <w:rPr>
          <w:sz w:val="20"/>
        </w:rPr>
        <w:pict>
          <v:group style="width:310pt;height:304.75pt;mso-position-horizontal-relative:char;mso-position-vertical-relative:line" coordorigin="0,0" coordsize="6200,6095">
            <v:shape style="position:absolute;left:0;top:0;width:6200;height:6095" type="#_x0000_t75" stroked="false">
              <v:imagedata r:id="rId26" o:title=""/>
            </v:shape>
            <v:shape style="position:absolute;left:181;top:50;width:338;height:862" type="#_x0000_t202" filled="false" stroked="false">
              <v:textbox inset="0,0,0,0">
                <w:txbxContent>
                  <w:p>
                    <w:pPr>
                      <w:spacing w:before="88"/>
                      <w:ind w:left="0" w:right="0" w:firstLine="0"/>
                      <w:jc w:val="left"/>
                      <w:rPr>
                        <w:rFonts w:ascii="Trebuchet MS"/>
                        <w:b/>
                        <w:sz w:val="56"/>
                      </w:rPr>
                    </w:pPr>
                    <w:r>
                      <w:rPr>
                        <w:rFonts w:ascii="Trebuchet MS"/>
                        <w:b/>
                        <w:w w:val="95"/>
                        <w:sz w:val="56"/>
                      </w:rPr>
                      <w:t>B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spacing w:before="107"/>
        <w:ind w:left="1212" w:right="290" w:hanging="900"/>
        <w:jc w:val="both"/>
        <w:rPr>
          <w:b/>
          <w:sz w:val="20"/>
        </w:rPr>
      </w:pPr>
      <w:r>
        <w:rPr>
          <w:b/>
          <w:sz w:val="20"/>
        </w:rPr>
        <w:t>Plate 4.5: Photomicrograph of a section of the rat kidney given normal feed and distilled water only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(control)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(A)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and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50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mgkg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DM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(B)for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28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days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(magnification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x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400)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showing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normal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glomeruli(G),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Renal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tubules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(RT)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and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Bowman’s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spaces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(BS).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No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any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significant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histopathological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changes</w:t>
      </w:r>
    </w:p>
    <w:p>
      <w:pPr>
        <w:spacing w:after="0"/>
        <w:jc w:val="both"/>
        <w:rPr>
          <w:sz w:val="20"/>
        </w:rPr>
        <w:sectPr>
          <w:footerReference w:type="default" r:id="rId24"/>
          <w:pgSz w:w="11910" w:h="16840"/>
          <w:pgMar w:footer="1514" w:header="0" w:top="1040" w:bottom="1700" w:left="1200" w:right="1040"/>
          <w:pgNumType w:start="99"/>
        </w:sectPr>
      </w:pPr>
    </w:p>
    <w:p>
      <w:pPr>
        <w:pStyle w:val="BodyText"/>
        <w:ind w:left="1932"/>
        <w:rPr>
          <w:sz w:val="20"/>
        </w:rPr>
      </w:pPr>
      <w:r>
        <w:rPr>
          <w:sz w:val="20"/>
        </w:rPr>
        <w:pict>
          <v:group style="width:329.4pt;height:299.850pt;mso-position-horizontal-relative:char;mso-position-vertical-relative:line" coordorigin="0,0" coordsize="6588,5997">
            <v:shape style="position:absolute;left:0;top:0;width:6588;height:5997" type="#_x0000_t75" stroked="false">
              <v:imagedata r:id="rId25" o:title=""/>
            </v:shape>
            <v:shape style="position:absolute;left:288;top:312;width:393;height:830" type="#_x0000_t202" filled="false" stroked="false">
              <v:textbox inset="0,0,0,0">
                <w:txbxContent>
                  <w:p>
                    <w:pPr>
                      <w:spacing w:before="85"/>
                      <w:ind w:left="0" w:right="0" w:firstLine="0"/>
                      <w:jc w:val="left"/>
                      <w:rPr>
                        <w:rFonts w:ascii="Trebuchet MS"/>
                        <w:b/>
                        <w:sz w:val="54"/>
                      </w:rPr>
                    </w:pPr>
                    <w:r>
                      <w:rPr>
                        <w:rFonts w:ascii="Trebuchet MS"/>
                        <w:b/>
                        <w:w w:val="108"/>
                        <w:sz w:val="54"/>
                      </w:rPr>
                      <w:t>A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1"/>
        <w:rPr>
          <w:b/>
          <w:sz w:val="9"/>
        </w:rPr>
      </w:pPr>
      <w:r>
        <w:rPr/>
        <w:pict>
          <v:group style="position:absolute;margin-left:156.600006pt;margin-top:7.22pt;width:331pt;height:299.850pt;mso-position-horizontal-relative:page;mso-position-vertical-relative:paragraph;z-index:-15673856;mso-wrap-distance-left:0;mso-wrap-distance-right:0" coordorigin="3132,144" coordsize="6620,5997">
            <v:shape style="position:absolute;left:3132;top:144;width:6620;height:5997" type="#_x0000_t75" stroked="false">
              <v:imagedata r:id="rId27" o:title=""/>
            </v:shape>
            <v:shape style="position:absolute;left:3437;top:695;width:305;height:763" type="#_x0000_t202" filled="false" stroked="false">
              <v:textbox inset="0,0,0,0">
                <w:txbxContent>
                  <w:p>
                    <w:pPr>
                      <w:spacing w:before="84"/>
                      <w:ind w:left="0" w:right="0" w:firstLine="0"/>
                      <w:jc w:val="left"/>
                      <w:rPr>
                        <w:rFonts w:ascii="Trebuchet MS"/>
                        <w:b/>
                        <w:sz w:val="49"/>
                      </w:rPr>
                    </w:pPr>
                    <w:r>
                      <w:rPr>
                        <w:rFonts w:ascii="Trebuchet MS"/>
                        <w:b/>
                        <w:w w:val="97"/>
                        <w:sz w:val="49"/>
                      </w:rPr>
                      <w:t>B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3"/>
        <w:rPr>
          <w:b/>
          <w:sz w:val="11"/>
        </w:rPr>
      </w:pPr>
    </w:p>
    <w:p>
      <w:pPr>
        <w:spacing w:before="90"/>
        <w:ind w:left="1716" w:right="209" w:hanging="900"/>
        <w:jc w:val="both"/>
        <w:rPr>
          <w:b/>
          <w:sz w:val="20"/>
        </w:rPr>
      </w:pPr>
      <w:r>
        <w:rPr>
          <w:b/>
          <w:sz w:val="20"/>
        </w:rPr>
        <w:t>Plate 4.6: Photomicrograph of a section of the rat kidney given normal feed and distilled water only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(control)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(A) and 250 mgkg DM (B)for 28 days (magnification x 400) showing normal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glomeruli(G),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Renal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tubules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(RT)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and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Bowman’s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spaces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(BS).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No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any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significant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histopathological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changes</w:t>
      </w:r>
    </w:p>
    <w:p>
      <w:pPr>
        <w:spacing w:after="0"/>
        <w:jc w:val="both"/>
        <w:rPr>
          <w:sz w:val="20"/>
        </w:rPr>
        <w:sectPr>
          <w:pgSz w:w="11910" w:h="16840"/>
          <w:pgMar w:header="0" w:footer="1514" w:top="880" w:bottom="1700" w:left="1200" w:right="1040"/>
        </w:sectPr>
      </w:pPr>
    </w:p>
    <w:p>
      <w:pPr>
        <w:pStyle w:val="BodyText"/>
        <w:ind w:left="1500"/>
        <w:rPr>
          <w:sz w:val="20"/>
        </w:rPr>
      </w:pPr>
      <w:r>
        <w:rPr>
          <w:sz w:val="20"/>
        </w:rPr>
        <w:pict>
          <v:group style="width:342pt;height:297pt;mso-position-horizontal-relative:char;mso-position-vertical-relative:line" coordorigin="0,0" coordsize="6840,5940">
            <v:shape style="position:absolute;left:0;top:0;width:6840;height:5940" type="#_x0000_t75" stroked="false">
              <v:imagedata r:id="rId25" o:title=""/>
            </v:shape>
            <v:shape style="position:absolute;left:180;top:128;width:406;height:860" type="#_x0000_t202" filled="false" stroked="false">
              <v:textbox inset="0,0,0,0">
                <w:txbxContent>
                  <w:p>
                    <w:pPr>
                      <w:spacing w:before="87"/>
                      <w:ind w:left="0" w:right="0" w:firstLine="0"/>
                      <w:jc w:val="left"/>
                      <w:rPr>
                        <w:rFonts w:ascii="Trebuchet MS"/>
                        <w:b/>
                        <w:sz w:val="56"/>
                      </w:rPr>
                    </w:pPr>
                    <w:r>
                      <w:rPr>
                        <w:rFonts w:ascii="Trebuchet MS"/>
                        <w:b/>
                        <w:w w:val="108"/>
                        <w:sz w:val="56"/>
                      </w:rPr>
                      <w:t>A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10"/>
        <w:rPr>
          <w:b/>
          <w:sz w:val="11"/>
        </w:rPr>
      </w:pPr>
      <w:r>
        <w:rPr/>
        <w:pict>
          <v:group style="position:absolute;margin-left:135pt;margin-top:8.82pt;width:346.3pt;height:304.2pt;mso-position-horizontal-relative:page;mso-position-vertical-relative:paragraph;z-index:-15672832;mso-wrap-distance-left:0;mso-wrap-distance-right:0" coordorigin="2700,176" coordsize="6926,6084">
            <v:shape style="position:absolute;left:2700;top:176;width:6926;height:6084" type="#_x0000_t75" stroked="false">
              <v:imagedata r:id="rId29" o:title=""/>
            </v:shape>
            <v:shape style="position:absolute;left:3218;top:406;width:338;height:862" type="#_x0000_t202" filled="false" stroked="false">
              <v:textbox inset="0,0,0,0">
                <w:txbxContent>
                  <w:p>
                    <w:pPr>
                      <w:spacing w:before="88"/>
                      <w:ind w:left="0" w:right="0" w:firstLine="0"/>
                      <w:jc w:val="left"/>
                      <w:rPr>
                        <w:rFonts w:ascii="Trebuchet MS"/>
                        <w:b/>
                        <w:sz w:val="56"/>
                      </w:rPr>
                    </w:pPr>
                    <w:r>
                      <w:rPr>
                        <w:rFonts w:ascii="Trebuchet MS"/>
                        <w:b/>
                        <w:w w:val="95"/>
                        <w:sz w:val="56"/>
                      </w:rPr>
                      <w:t>B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7"/>
        <w:rPr>
          <w:b/>
          <w:sz w:val="14"/>
        </w:rPr>
      </w:pPr>
    </w:p>
    <w:p>
      <w:pPr>
        <w:spacing w:before="91"/>
        <w:ind w:left="1176" w:right="320" w:hanging="850"/>
        <w:jc w:val="both"/>
        <w:rPr>
          <w:b/>
          <w:sz w:val="20"/>
        </w:rPr>
      </w:pPr>
      <w:r>
        <w:rPr>
          <w:b/>
          <w:sz w:val="20"/>
        </w:rPr>
        <w:t>Plate 4.7: Photomicrograph of a section of the rat kidney given normal feed and distilled water only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(control)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(A) and 500 mgkg DM (B)for 28 days (magnification x 400) A is showing normal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glomeruli(G),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Renal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tubules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(RT)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and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Bowman’s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spaces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(BS).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B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is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showing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moderate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degeneration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of renal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tubules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(D) with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intact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glomeruli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(G).</w:t>
      </w:r>
    </w:p>
    <w:p>
      <w:pPr>
        <w:spacing w:after="0"/>
        <w:jc w:val="both"/>
        <w:rPr>
          <w:sz w:val="20"/>
        </w:rPr>
        <w:sectPr>
          <w:footerReference w:type="default" r:id="rId28"/>
          <w:pgSz w:w="11910" w:h="16840"/>
          <w:pgMar w:footer="1514" w:header="0" w:top="880" w:bottom="1700" w:left="1200" w:right="1040"/>
        </w:sectPr>
      </w:pPr>
    </w:p>
    <w:p>
      <w:pPr>
        <w:pStyle w:val="BodyText"/>
        <w:ind w:left="1680"/>
        <w:rPr>
          <w:sz w:val="20"/>
        </w:rPr>
      </w:pPr>
      <w:r>
        <w:rPr>
          <w:sz w:val="20"/>
        </w:rPr>
        <w:pict>
          <v:group style="width:333pt;height:311.3pt;mso-position-horizontal-relative:char;mso-position-vertical-relative:line" coordorigin="0,0" coordsize="6660,6226">
            <v:shape style="position:absolute;left:0;top:0;width:6660;height:6226" type="#_x0000_t75" stroked="false">
              <v:imagedata r:id="rId25" o:title=""/>
            </v:shape>
            <v:shape style="position:absolute;left:180;top:9;width:406;height:860" type="#_x0000_t202" filled="false" stroked="false">
              <v:textbox inset="0,0,0,0">
                <w:txbxContent>
                  <w:p>
                    <w:pPr>
                      <w:spacing w:before="87"/>
                      <w:ind w:left="0" w:right="0" w:firstLine="0"/>
                      <w:jc w:val="left"/>
                      <w:rPr>
                        <w:rFonts w:ascii="Trebuchet MS"/>
                        <w:b/>
                        <w:sz w:val="56"/>
                      </w:rPr>
                    </w:pPr>
                    <w:r>
                      <w:rPr>
                        <w:rFonts w:ascii="Trebuchet MS"/>
                        <w:b/>
                        <w:w w:val="108"/>
                        <w:sz w:val="56"/>
                      </w:rPr>
                      <w:t>A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4"/>
        <w:rPr>
          <w:b/>
          <w:sz w:val="11"/>
        </w:rPr>
      </w:pPr>
      <w:r>
        <w:rPr/>
        <w:pict>
          <v:group style="position:absolute;margin-left:144pt;margin-top:8.5pt;width:333pt;height:300.1pt;mso-position-horizontal-relative:page;mso-position-vertical-relative:paragraph;z-index:-15671808;mso-wrap-distance-left:0;mso-wrap-distance-right:0" coordorigin="2880,170" coordsize="6660,6002">
            <v:shape style="position:absolute;left:2880;top:170;width:6660;height:6002" type="#_x0000_t75" stroked="false">
              <v:imagedata r:id="rId30" o:title=""/>
            </v:shape>
            <v:shape style="position:absolute;left:3034;top:335;width:342;height:860" type="#_x0000_t202" filled="false" stroked="false">
              <v:textbox inset="0,0,0,0">
                <w:txbxContent>
                  <w:p>
                    <w:pPr>
                      <w:spacing w:before="87"/>
                      <w:ind w:left="0" w:right="0" w:firstLine="0"/>
                      <w:jc w:val="left"/>
                      <w:rPr>
                        <w:rFonts w:ascii="Trebuchet MS"/>
                        <w:b/>
                        <w:sz w:val="56"/>
                      </w:rPr>
                    </w:pPr>
                    <w:r>
                      <w:rPr>
                        <w:rFonts w:ascii="Trebuchet MS"/>
                        <w:b/>
                        <w:w w:val="96"/>
                        <w:sz w:val="56"/>
                      </w:rPr>
                      <w:t>B</w:t>
                    </w:r>
                  </w:p>
                </w:txbxContent>
              </v:textbox>
              <w10:wrap type="none"/>
            </v:shape>
            <v:shape style="position:absolute;left:6659;top:2074;width:317;height:464" type="#_x0000_t202" filled="false" stroked="false">
              <v:textbox inset="0,0,0,0">
                <w:txbxContent>
                  <w:p>
                    <w:pPr>
                      <w:spacing w:line="460" w:lineRule="exact" w:before="4"/>
                      <w:ind w:left="0" w:right="0" w:firstLine="0"/>
                      <w:jc w:val="left"/>
                      <w:rPr>
                        <w:rFonts w:ascii="Arial"/>
                        <w:b/>
                        <w:sz w:val="40"/>
                      </w:rPr>
                    </w:pPr>
                    <w:r>
                      <w:rPr>
                        <w:rFonts w:ascii="Arial"/>
                        <w:b/>
                        <w:color w:val="000080"/>
                        <w:w w:val="102"/>
                        <w:sz w:val="40"/>
                      </w:rPr>
                      <w:t>D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line="211" w:lineRule="exact" w:before="0"/>
        <w:ind w:left="384" w:right="0" w:firstLine="0"/>
        <w:jc w:val="both"/>
        <w:rPr>
          <w:b/>
          <w:sz w:val="20"/>
        </w:rPr>
      </w:pPr>
      <w:r>
        <w:rPr>
          <w:b/>
          <w:sz w:val="20"/>
        </w:rPr>
        <w:t>Plate</w:t>
      </w:r>
      <w:r>
        <w:rPr>
          <w:b/>
          <w:spacing w:val="13"/>
          <w:sz w:val="20"/>
        </w:rPr>
        <w:t> </w:t>
      </w:r>
      <w:r>
        <w:rPr>
          <w:b/>
          <w:sz w:val="20"/>
        </w:rPr>
        <w:t>4.8:</w:t>
      </w:r>
      <w:r>
        <w:rPr>
          <w:b/>
          <w:spacing w:val="14"/>
          <w:sz w:val="20"/>
        </w:rPr>
        <w:t> </w:t>
      </w:r>
      <w:r>
        <w:rPr>
          <w:b/>
          <w:sz w:val="20"/>
        </w:rPr>
        <w:t>Photomicrograph</w:t>
      </w:r>
      <w:r>
        <w:rPr>
          <w:b/>
          <w:spacing w:val="11"/>
          <w:sz w:val="20"/>
        </w:rPr>
        <w:t> </w:t>
      </w:r>
      <w:r>
        <w:rPr>
          <w:b/>
          <w:sz w:val="20"/>
        </w:rPr>
        <w:t>of</w:t>
      </w:r>
      <w:r>
        <w:rPr>
          <w:b/>
          <w:spacing w:val="14"/>
          <w:sz w:val="20"/>
        </w:rPr>
        <w:t> </w:t>
      </w:r>
      <w:r>
        <w:rPr>
          <w:b/>
          <w:sz w:val="20"/>
        </w:rPr>
        <w:t>a</w:t>
      </w:r>
      <w:r>
        <w:rPr>
          <w:b/>
          <w:spacing w:val="13"/>
          <w:sz w:val="20"/>
        </w:rPr>
        <w:t> </w:t>
      </w:r>
      <w:r>
        <w:rPr>
          <w:b/>
          <w:sz w:val="20"/>
        </w:rPr>
        <w:t>section</w:t>
      </w:r>
      <w:r>
        <w:rPr>
          <w:b/>
          <w:spacing w:val="13"/>
          <w:sz w:val="20"/>
        </w:rPr>
        <w:t> </w:t>
      </w:r>
      <w:r>
        <w:rPr>
          <w:b/>
          <w:sz w:val="20"/>
        </w:rPr>
        <w:t>of</w:t>
      </w:r>
      <w:r>
        <w:rPr>
          <w:b/>
          <w:spacing w:val="14"/>
          <w:sz w:val="20"/>
        </w:rPr>
        <w:t> </w:t>
      </w:r>
      <w:r>
        <w:rPr>
          <w:b/>
          <w:sz w:val="20"/>
        </w:rPr>
        <w:t>the</w:t>
      </w:r>
      <w:r>
        <w:rPr>
          <w:b/>
          <w:spacing w:val="12"/>
          <w:sz w:val="20"/>
        </w:rPr>
        <w:t> </w:t>
      </w:r>
      <w:r>
        <w:rPr>
          <w:b/>
          <w:sz w:val="20"/>
        </w:rPr>
        <w:t>rat</w:t>
      </w:r>
      <w:r>
        <w:rPr>
          <w:b/>
          <w:spacing w:val="14"/>
          <w:sz w:val="20"/>
        </w:rPr>
        <w:t> </w:t>
      </w:r>
      <w:r>
        <w:rPr>
          <w:b/>
          <w:sz w:val="20"/>
        </w:rPr>
        <w:t>kidney</w:t>
      </w:r>
      <w:r>
        <w:rPr>
          <w:b/>
          <w:spacing w:val="13"/>
          <w:sz w:val="20"/>
        </w:rPr>
        <w:t> </w:t>
      </w:r>
      <w:r>
        <w:rPr>
          <w:b/>
          <w:sz w:val="20"/>
        </w:rPr>
        <w:t>given</w:t>
      </w:r>
      <w:r>
        <w:rPr>
          <w:b/>
          <w:spacing w:val="13"/>
          <w:sz w:val="20"/>
        </w:rPr>
        <w:t> </w:t>
      </w:r>
      <w:r>
        <w:rPr>
          <w:b/>
          <w:sz w:val="20"/>
        </w:rPr>
        <w:t>normal</w:t>
      </w:r>
      <w:r>
        <w:rPr>
          <w:b/>
          <w:spacing w:val="12"/>
          <w:sz w:val="20"/>
        </w:rPr>
        <w:t> </w:t>
      </w:r>
      <w:r>
        <w:rPr>
          <w:b/>
          <w:sz w:val="20"/>
        </w:rPr>
        <w:t>feed</w:t>
      </w:r>
      <w:r>
        <w:rPr>
          <w:b/>
          <w:spacing w:val="13"/>
          <w:sz w:val="20"/>
        </w:rPr>
        <w:t> </w:t>
      </w:r>
      <w:r>
        <w:rPr>
          <w:b/>
          <w:sz w:val="20"/>
        </w:rPr>
        <w:t>and</w:t>
      </w:r>
      <w:r>
        <w:rPr>
          <w:b/>
          <w:spacing w:val="13"/>
          <w:sz w:val="20"/>
        </w:rPr>
        <w:t> </w:t>
      </w:r>
      <w:r>
        <w:rPr>
          <w:b/>
          <w:sz w:val="20"/>
        </w:rPr>
        <w:t>distilled</w:t>
      </w:r>
      <w:r>
        <w:rPr>
          <w:b/>
          <w:spacing w:val="12"/>
          <w:sz w:val="20"/>
        </w:rPr>
        <w:t> </w:t>
      </w:r>
      <w:r>
        <w:rPr>
          <w:b/>
          <w:sz w:val="20"/>
        </w:rPr>
        <w:t>water</w:t>
      </w:r>
      <w:r>
        <w:rPr>
          <w:b/>
          <w:spacing w:val="14"/>
          <w:sz w:val="20"/>
        </w:rPr>
        <w:t> </w:t>
      </w:r>
      <w:r>
        <w:rPr>
          <w:b/>
          <w:sz w:val="20"/>
        </w:rPr>
        <w:t>only</w:t>
      </w:r>
    </w:p>
    <w:p>
      <w:pPr>
        <w:spacing w:before="0"/>
        <w:ind w:left="1284" w:right="571" w:firstLine="0"/>
        <w:jc w:val="both"/>
        <w:rPr>
          <w:b/>
          <w:sz w:val="20"/>
        </w:rPr>
      </w:pPr>
      <w:r>
        <w:rPr>
          <w:b/>
          <w:sz w:val="20"/>
        </w:rPr>
        <w:t>(control)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(A) and 1000 mgkg DM (B)for 28 days (magnification x 400) A is showing normal</w:t>
      </w:r>
      <w:r>
        <w:rPr>
          <w:b/>
          <w:spacing w:val="-47"/>
          <w:sz w:val="20"/>
        </w:rPr>
        <w:t> </w:t>
      </w:r>
      <w:r>
        <w:rPr>
          <w:b/>
          <w:sz w:val="20"/>
        </w:rPr>
        <w:t>glomeruli(G), Renal tubules (RT) and Bowman’s spaces (BS).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B is showing loss of renal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tubular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architecture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(L);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degeneration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of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renal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tubules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(D) with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intact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glomeruli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(G).</w:t>
      </w:r>
    </w:p>
    <w:p>
      <w:pPr>
        <w:spacing w:after="0"/>
        <w:jc w:val="both"/>
        <w:rPr>
          <w:sz w:val="20"/>
        </w:rPr>
        <w:sectPr>
          <w:pgSz w:w="11910" w:h="16840"/>
          <w:pgMar w:header="0" w:footer="1514" w:top="1320" w:bottom="1700" w:left="1200" w:right="1040"/>
        </w:sectPr>
      </w:pPr>
    </w:p>
    <w:p>
      <w:pPr>
        <w:pStyle w:val="Heading1"/>
        <w:spacing w:before="76"/>
        <w:ind w:left="204" w:right="104"/>
        <w:jc w:val="center"/>
      </w:pPr>
      <w:r>
        <w:rPr/>
        <w:t>CHAPTER</w:t>
      </w:r>
      <w:r>
        <w:rPr>
          <w:spacing w:val="-5"/>
        </w:rPr>
        <w:t> </w:t>
      </w:r>
      <w:r>
        <w:rPr/>
        <w:t>5</w:t>
      </w:r>
    </w:p>
    <w:p>
      <w:pPr>
        <w:pStyle w:val="BodyText"/>
        <w:spacing w:before="1"/>
        <w:rPr>
          <w:b/>
        </w:rPr>
      </w:pPr>
    </w:p>
    <w:p>
      <w:pPr>
        <w:pStyle w:val="Heading1"/>
        <w:tabs>
          <w:tab w:pos="3940" w:val="left" w:leader="none"/>
        </w:tabs>
        <w:ind w:left="2621"/>
      </w:pPr>
      <w:bookmarkStart w:name="_TOC_250005" w:id="56"/>
      <w:bookmarkEnd w:id="56"/>
      <w:r>
        <w:rPr/>
        <w:t>5.0</w:t>
        <w:tab/>
        <w:t>DISCUSSION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311" w:right="114"/>
        <w:jc w:val="both"/>
      </w:pPr>
      <w:r>
        <w:rPr/>
        <w:t>The</w:t>
      </w:r>
      <w:r>
        <w:rPr>
          <w:spacing w:val="1"/>
        </w:rPr>
        <w:t> </w:t>
      </w:r>
      <w:r>
        <w:rPr/>
        <w:t>preliminary</w:t>
      </w:r>
      <w:r>
        <w:rPr>
          <w:spacing w:val="1"/>
        </w:rPr>
        <w:t> </w:t>
      </w:r>
      <w:r>
        <w:rPr/>
        <w:t>phytochemical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methanol</w:t>
      </w:r>
      <w:r>
        <w:rPr>
          <w:spacing w:val="1"/>
        </w:rPr>
        <w:t> </w:t>
      </w:r>
      <w:r>
        <w:rPr/>
        <w:t>leaf</w:t>
      </w:r>
      <w:r>
        <w:rPr>
          <w:spacing w:val="1"/>
        </w:rPr>
        <w:t> </w:t>
      </w:r>
      <w:r>
        <w:rPr/>
        <w:t>extract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>
          <w:i/>
        </w:rPr>
        <w:t>Diospyros</w:t>
      </w:r>
      <w:r>
        <w:rPr>
          <w:i/>
          <w:spacing w:val="1"/>
        </w:rPr>
        <w:t> </w:t>
      </w:r>
      <w:r>
        <w:rPr>
          <w:i/>
        </w:rPr>
        <w:t>mespiliformis</w:t>
      </w:r>
      <w:r>
        <w:rPr>
          <w:i/>
          <w:spacing w:val="1"/>
        </w:rPr>
        <w:t> </w:t>
      </w:r>
      <w:r>
        <w:rPr/>
        <w:t>showed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presence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alkaloids,</w:t>
      </w:r>
      <w:r>
        <w:rPr>
          <w:spacing w:val="1"/>
        </w:rPr>
        <w:t> </w:t>
      </w:r>
      <w:r>
        <w:rPr/>
        <w:t>saponins,</w:t>
      </w:r>
      <w:r>
        <w:rPr>
          <w:spacing w:val="1"/>
        </w:rPr>
        <w:t> </w:t>
      </w:r>
      <w:r>
        <w:rPr/>
        <w:t>flavonoids,</w:t>
      </w:r>
      <w:r>
        <w:rPr>
          <w:spacing w:val="61"/>
        </w:rPr>
        <w:t> </w:t>
      </w:r>
      <w:r>
        <w:rPr/>
        <w:t>tannins,</w:t>
      </w:r>
      <w:r>
        <w:rPr>
          <w:spacing w:val="1"/>
        </w:rPr>
        <w:t> </w:t>
      </w:r>
      <w:r>
        <w:rPr/>
        <w:t>carbohydrates, cardiac glycosides and the combined anthracene type of anthraquinones.</w:t>
      </w:r>
      <w:r>
        <w:rPr>
          <w:spacing w:val="1"/>
        </w:rPr>
        <w:t> </w:t>
      </w:r>
      <w:r>
        <w:rPr/>
        <w:t>Flavonoids, tannins and saponins are phytoconstituents that have been reported to modulate</w:t>
      </w:r>
      <w:r>
        <w:rPr>
          <w:spacing w:val="1"/>
        </w:rPr>
        <w:t> </w:t>
      </w:r>
      <w:r>
        <w:rPr/>
        <w:t>central</w:t>
      </w:r>
      <w:r>
        <w:rPr>
          <w:spacing w:val="19"/>
        </w:rPr>
        <w:t> </w:t>
      </w:r>
      <w:r>
        <w:rPr/>
        <w:t>nervous</w:t>
      </w:r>
      <w:r>
        <w:rPr>
          <w:spacing w:val="18"/>
        </w:rPr>
        <w:t> </w:t>
      </w:r>
      <w:r>
        <w:rPr/>
        <w:t>system</w:t>
      </w:r>
      <w:r>
        <w:rPr>
          <w:spacing w:val="20"/>
        </w:rPr>
        <w:t> </w:t>
      </w:r>
      <w:r>
        <w:rPr/>
        <w:t>activities</w:t>
      </w:r>
      <w:r>
        <w:rPr>
          <w:spacing w:val="19"/>
        </w:rPr>
        <w:t> </w:t>
      </w:r>
      <w:r>
        <w:rPr/>
        <w:t>(Danjuma</w:t>
      </w:r>
      <w:r>
        <w:rPr>
          <w:spacing w:val="22"/>
        </w:rPr>
        <w:t> </w:t>
      </w:r>
      <w:r>
        <w:rPr>
          <w:i/>
        </w:rPr>
        <w:t>et</w:t>
      </w:r>
      <w:r>
        <w:rPr>
          <w:i/>
          <w:spacing w:val="19"/>
        </w:rPr>
        <w:t> </w:t>
      </w:r>
      <w:r>
        <w:rPr>
          <w:i/>
        </w:rPr>
        <w:t>al</w:t>
      </w:r>
      <w:r>
        <w:rPr/>
        <w:t>.,</w:t>
      </w:r>
      <w:r>
        <w:rPr>
          <w:spacing w:val="17"/>
        </w:rPr>
        <w:t> </w:t>
      </w:r>
      <w:r>
        <w:rPr/>
        <w:t>2010).</w:t>
      </w:r>
      <w:r>
        <w:rPr>
          <w:spacing w:val="19"/>
        </w:rPr>
        <w:t> </w:t>
      </w:r>
      <w:r>
        <w:rPr/>
        <w:t>For</w:t>
      </w:r>
      <w:r>
        <w:rPr>
          <w:spacing w:val="19"/>
        </w:rPr>
        <w:t> </w:t>
      </w:r>
      <w:r>
        <w:rPr/>
        <w:t>example,</w:t>
      </w:r>
      <w:r>
        <w:rPr>
          <w:spacing w:val="19"/>
        </w:rPr>
        <w:t> </w:t>
      </w:r>
      <w:r>
        <w:rPr/>
        <w:t>the</w:t>
      </w:r>
      <w:r>
        <w:rPr>
          <w:spacing w:val="16"/>
        </w:rPr>
        <w:t> </w:t>
      </w:r>
      <w:r>
        <w:rPr/>
        <w:t>saponin</w:t>
      </w:r>
      <w:r>
        <w:rPr>
          <w:spacing w:val="20"/>
        </w:rPr>
        <w:t> </w:t>
      </w:r>
      <w:r>
        <w:rPr/>
        <w:t>present</w:t>
      </w:r>
      <w:r>
        <w:rPr>
          <w:spacing w:val="-58"/>
        </w:rPr>
        <w:t> </w:t>
      </w:r>
      <w:r>
        <w:rPr/>
        <w:t>in the plant, </w:t>
      </w:r>
      <w:r>
        <w:rPr>
          <w:i/>
        </w:rPr>
        <w:t>Baccopa moniera </w:t>
      </w:r>
      <w:r>
        <w:rPr/>
        <w:t>has been shown to posses‟ anticonvulsant activity (Ray,</w:t>
      </w:r>
      <w:r>
        <w:rPr>
          <w:spacing w:val="1"/>
        </w:rPr>
        <w:t> </w:t>
      </w:r>
      <w:r>
        <w:rPr/>
        <w:t>2004).</w:t>
      </w:r>
      <w:r>
        <w:rPr>
          <w:spacing w:val="1"/>
        </w:rPr>
        <w:t> </w:t>
      </w:r>
      <w:r>
        <w:rPr/>
        <w:t>Similarly, some alkaloids (nantenine derivatives) have been found to be effective in</w:t>
      </w:r>
      <w:r>
        <w:rPr>
          <w:spacing w:val="1"/>
        </w:rPr>
        <w:t> </w:t>
      </w:r>
      <w:r>
        <w:rPr/>
        <w:t>inhibiting pentylenetetrazole induced seizure and maximal electroshock-induced seizures</w:t>
      </w:r>
      <w:r>
        <w:rPr>
          <w:spacing w:val="1"/>
        </w:rPr>
        <w:t> </w:t>
      </w:r>
      <w:r>
        <w:rPr/>
        <w:t>(Ribeiro, 2003) hence, it can be inferred that the observed pharmacological activity shown</w:t>
      </w:r>
      <w:r>
        <w:rPr>
          <w:spacing w:val="1"/>
        </w:rPr>
        <w:t> </w:t>
      </w:r>
      <w:r>
        <w:rPr/>
        <w:t>by the</w:t>
      </w:r>
      <w:r>
        <w:rPr>
          <w:spacing w:val="1"/>
        </w:rPr>
        <w:t> </w:t>
      </w:r>
      <w:r>
        <w:rPr/>
        <w:t>leaf extract of </w:t>
      </w:r>
      <w:r>
        <w:rPr>
          <w:i/>
        </w:rPr>
        <w:t>Diospyros mespiliformis </w:t>
      </w:r>
      <w:r>
        <w:rPr/>
        <w:t>may be due to the presence of the afore</w:t>
      </w:r>
      <w:r>
        <w:rPr>
          <w:spacing w:val="1"/>
        </w:rPr>
        <w:t> </w:t>
      </w:r>
      <w:r>
        <w:rPr/>
        <w:t>mentioned</w:t>
      </w:r>
      <w:r>
        <w:rPr>
          <w:spacing w:val="58"/>
        </w:rPr>
        <w:t> </w:t>
      </w:r>
      <w:r>
        <w:rPr/>
        <w:t>phytoconstituents.</w:t>
      </w:r>
    </w:p>
    <w:p>
      <w:pPr>
        <w:pStyle w:val="BodyText"/>
        <w:spacing w:before="1"/>
      </w:pPr>
    </w:p>
    <w:p>
      <w:pPr>
        <w:pStyle w:val="BodyText"/>
        <w:spacing w:line="480" w:lineRule="auto"/>
        <w:ind w:left="311" w:right="113"/>
        <w:jc w:val="both"/>
      </w:pPr>
      <w:r>
        <w:rPr/>
        <w:t>The LD</w:t>
      </w:r>
      <w:r>
        <w:rPr>
          <w:vertAlign w:val="subscript"/>
        </w:rPr>
        <w:t>50</w:t>
      </w:r>
      <w:r>
        <w:rPr>
          <w:vertAlign w:val="baseline"/>
        </w:rPr>
        <w:t> values of the extract in mice and rats when administered via oral route were above</w:t>
      </w:r>
      <w:r>
        <w:rPr>
          <w:spacing w:val="-57"/>
          <w:vertAlign w:val="baseline"/>
        </w:rPr>
        <w:t> </w:t>
      </w:r>
      <w:r>
        <w:rPr>
          <w:vertAlign w:val="baseline"/>
        </w:rPr>
        <w:t>5000</w:t>
      </w:r>
      <w:r>
        <w:rPr>
          <w:spacing w:val="18"/>
          <w:vertAlign w:val="baseline"/>
        </w:rPr>
        <w:t> </w:t>
      </w:r>
      <w:r>
        <w:rPr>
          <w:vertAlign w:val="baseline"/>
        </w:rPr>
        <w:t>mg/kg</w:t>
      </w:r>
      <w:r>
        <w:rPr>
          <w:spacing w:val="18"/>
          <w:vertAlign w:val="baseline"/>
        </w:rPr>
        <w:t> </w:t>
      </w:r>
      <w:r>
        <w:rPr>
          <w:vertAlign w:val="baseline"/>
        </w:rPr>
        <w:t>each</w:t>
      </w:r>
      <w:r>
        <w:rPr>
          <w:spacing w:val="18"/>
          <w:vertAlign w:val="baseline"/>
        </w:rPr>
        <w:t> </w:t>
      </w:r>
      <w:r>
        <w:rPr>
          <w:vertAlign w:val="baseline"/>
        </w:rPr>
        <w:t>while</w:t>
      </w:r>
      <w:r>
        <w:rPr>
          <w:spacing w:val="17"/>
          <w:vertAlign w:val="baseline"/>
        </w:rPr>
        <w:t> </w:t>
      </w:r>
      <w:r>
        <w:rPr>
          <w:vertAlign w:val="baseline"/>
        </w:rPr>
        <w:t>for</w:t>
      </w:r>
      <w:r>
        <w:rPr>
          <w:spacing w:val="17"/>
          <w:vertAlign w:val="baseline"/>
        </w:rPr>
        <w:t> </w:t>
      </w:r>
      <w:r>
        <w:rPr>
          <w:vertAlign w:val="baseline"/>
        </w:rPr>
        <w:t>the</w:t>
      </w:r>
      <w:r>
        <w:rPr>
          <w:spacing w:val="18"/>
          <w:vertAlign w:val="baseline"/>
        </w:rPr>
        <w:t> </w:t>
      </w:r>
      <w:r>
        <w:rPr>
          <w:vertAlign w:val="baseline"/>
        </w:rPr>
        <w:t>intraperitoneal</w:t>
      </w:r>
      <w:r>
        <w:rPr>
          <w:spacing w:val="18"/>
          <w:vertAlign w:val="baseline"/>
        </w:rPr>
        <w:t> </w:t>
      </w:r>
      <w:r>
        <w:rPr>
          <w:vertAlign w:val="baseline"/>
        </w:rPr>
        <w:t>route</w:t>
      </w:r>
      <w:r>
        <w:rPr>
          <w:spacing w:val="17"/>
          <w:vertAlign w:val="baseline"/>
        </w:rPr>
        <w:t> </w:t>
      </w:r>
      <w:r>
        <w:rPr>
          <w:vertAlign w:val="baseline"/>
        </w:rPr>
        <w:t>of</w:t>
      </w:r>
      <w:r>
        <w:rPr>
          <w:spacing w:val="18"/>
          <w:vertAlign w:val="baseline"/>
        </w:rPr>
        <w:t> </w:t>
      </w:r>
      <w:r>
        <w:rPr>
          <w:vertAlign w:val="baseline"/>
        </w:rPr>
        <w:t>administration,</w:t>
      </w:r>
      <w:r>
        <w:rPr>
          <w:spacing w:val="17"/>
          <w:vertAlign w:val="baseline"/>
        </w:rPr>
        <w:t> </w:t>
      </w:r>
      <w:r>
        <w:rPr>
          <w:vertAlign w:val="baseline"/>
        </w:rPr>
        <w:t>the</w:t>
      </w:r>
      <w:r>
        <w:rPr>
          <w:spacing w:val="20"/>
          <w:vertAlign w:val="baseline"/>
        </w:rPr>
        <w:t> </w:t>
      </w:r>
      <w:r>
        <w:rPr>
          <w:vertAlign w:val="baseline"/>
        </w:rPr>
        <w:t>LD</w:t>
      </w:r>
      <w:r>
        <w:rPr>
          <w:vertAlign w:val="subscript"/>
        </w:rPr>
        <w:t>50</w:t>
      </w:r>
      <w:r>
        <w:rPr>
          <w:spacing w:val="19"/>
          <w:vertAlign w:val="baseline"/>
        </w:rPr>
        <w:t> </w:t>
      </w:r>
      <w:r>
        <w:rPr>
          <w:vertAlign w:val="baseline"/>
        </w:rPr>
        <w:t>was</w:t>
      </w:r>
      <w:r>
        <w:rPr>
          <w:spacing w:val="19"/>
          <w:vertAlign w:val="baseline"/>
        </w:rPr>
        <w:t> </w:t>
      </w:r>
      <w:r>
        <w:rPr>
          <w:vertAlign w:val="baseline"/>
        </w:rPr>
        <w:t>found</w:t>
      </w:r>
      <w:r>
        <w:rPr>
          <w:spacing w:val="-58"/>
          <w:vertAlign w:val="baseline"/>
        </w:rPr>
        <w:t> </w:t>
      </w:r>
      <w:r>
        <w:rPr>
          <w:vertAlign w:val="baseline"/>
        </w:rPr>
        <w:t>to be 774.6 mg/kg for both mice and rats. The result showed that the route of administration</w:t>
      </w:r>
      <w:r>
        <w:rPr>
          <w:spacing w:val="1"/>
          <w:vertAlign w:val="baseline"/>
        </w:rPr>
        <w:t> </w:t>
      </w:r>
      <w:r>
        <w:rPr>
          <w:vertAlign w:val="baseline"/>
        </w:rPr>
        <w:t>determines the extent of toxicity of extracts as the oral route is relatively safer than the</w:t>
      </w:r>
      <w:r>
        <w:rPr>
          <w:spacing w:val="1"/>
          <w:vertAlign w:val="baseline"/>
        </w:rPr>
        <w:t> </w:t>
      </w:r>
      <w:r>
        <w:rPr>
          <w:vertAlign w:val="baseline"/>
        </w:rPr>
        <w:t>intraperitoneal route. When drugs are administered intraperitoneally, the bioavailability is</w:t>
      </w:r>
      <w:r>
        <w:rPr>
          <w:spacing w:val="1"/>
          <w:vertAlign w:val="baseline"/>
        </w:rPr>
        <w:t> </w:t>
      </w:r>
      <w:r>
        <w:rPr>
          <w:vertAlign w:val="baseline"/>
        </w:rPr>
        <w:t>higher and hence the onset of action will be faster.The magnitude of action and the duration</w:t>
      </w:r>
      <w:r>
        <w:rPr>
          <w:spacing w:val="1"/>
          <w:vertAlign w:val="baseline"/>
        </w:rPr>
        <w:t> </w:t>
      </w:r>
      <w:r>
        <w:rPr>
          <w:vertAlign w:val="baseline"/>
        </w:rPr>
        <w:t>will also be higher depending on the affinity of the drug to the site of action leading to</w:t>
      </w:r>
      <w:r>
        <w:rPr>
          <w:spacing w:val="1"/>
          <w:vertAlign w:val="baseline"/>
        </w:rPr>
        <w:t> </w:t>
      </w:r>
      <w:r>
        <w:rPr>
          <w:vertAlign w:val="baseline"/>
        </w:rPr>
        <w:t>enhanced pharmacological effect. It is on the basis of this therefore that</w:t>
      </w:r>
      <w:r>
        <w:rPr>
          <w:spacing w:val="1"/>
          <w:vertAlign w:val="baseline"/>
        </w:rPr>
        <w:t> </w:t>
      </w:r>
      <w:r>
        <w:rPr>
          <w:vertAlign w:val="baseline"/>
        </w:rPr>
        <w:t>the toxicity of the</w:t>
      </w:r>
      <w:r>
        <w:rPr>
          <w:spacing w:val="1"/>
          <w:vertAlign w:val="baseline"/>
        </w:rPr>
        <w:t> </w:t>
      </w:r>
      <w:r>
        <w:rPr>
          <w:vertAlign w:val="baseline"/>
        </w:rPr>
        <w:t>extract is more pronounced when administered intraperitoneally than orally.</w:t>
      </w:r>
      <w:r>
        <w:rPr>
          <w:spacing w:val="60"/>
          <w:vertAlign w:val="baseline"/>
        </w:rPr>
        <w:t> </w:t>
      </w:r>
      <w:r>
        <w:rPr>
          <w:vertAlign w:val="baseline"/>
        </w:rPr>
        <w:t>Also the LD</w:t>
      </w:r>
      <w:r>
        <w:rPr>
          <w:vertAlign w:val="subscript"/>
        </w:rPr>
        <w:t>50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52"/>
          <w:vertAlign w:val="baseline"/>
        </w:rPr>
        <w:t> </w:t>
      </w:r>
      <w:r>
        <w:rPr>
          <w:vertAlign w:val="baseline"/>
        </w:rPr>
        <w:t>chicks</w:t>
      </w:r>
      <w:r>
        <w:rPr>
          <w:spacing w:val="52"/>
          <w:vertAlign w:val="baseline"/>
        </w:rPr>
        <w:t> </w:t>
      </w:r>
      <w:r>
        <w:rPr>
          <w:vertAlign w:val="baseline"/>
        </w:rPr>
        <w:t>was</w:t>
      </w:r>
      <w:r>
        <w:rPr>
          <w:spacing w:val="51"/>
          <w:vertAlign w:val="baseline"/>
        </w:rPr>
        <w:t> </w:t>
      </w:r>
      <w:r>
        <w:rPr>
          <w:vertAlign w:val="baseline"/>
        </w:rPr>
        <w:t>found</w:t>
      </w:r>
      <w:r>
        <w:rPr>
          <w:spacing w:val="54"/>
          <w:vertAlign w:val="baseline"/>
        </w:rPr>
        <w:t> </w:t>
      </w:r>
      <w:r>
        <w:rPr>
          <w:vertAlign w:val="baseline"/>
        </w:rPr>
        <w:t>to</w:t>
      </w:r>
      <w:r>
        <w:rPr>
          <w:spacing w:val="53"/>
          <w:vertAlign w:val="baseline"/>
        </w:rPr>
        <w:t> </w:t>
      </w:r>
      <w:r>
        <w:rPr>
          <w:vertAlign w:val="baseline"/>
        </w:rPr>
        <w:t>be</w:t>
      </w:r>
      <w:r>
        <w:rPr>
          <w:spacing w:val="53"/>
          <w:vertAlign w:val="baseline"/>
        </w:rPr>
        <w:t> </w:t>
      </w:r>
      <w:r>
        <w:rPr>
          <w:vertAlign w:val="baseline"/>
        </w:rPr>
        <w:t>above</w:t>
      </w:r>
      <w:r>
        <w:rPr>
          <w:spacing w:val="51"/>
          <w:vertAlign w:val="baseline"/>
        </w:rPr>
        <w:t> </w:t>
      </w:r>
      <w:r>
        <w:rPr>
          <w:vertAlign w:val="baseline"/>
        </w:rPr>
        <w:t>5000</w:t>
      </w:r>
      <w:r>
        <w:rPr>
          <w:spacing w:val="57"/>
          <w:vertAlign w:val="baseline"/>
        </w:rPr>
        <w:t> </w:t>
      </w:r>
      <w:r>
        <w:rPr>
          <w:vertAlign w:val="baseline"/>
        </w:rPr>
        <w:t>mg/kg</w:t>
      </w:r>
      <w:r>
        <w:rPr>
          <w:spacing w:val="53"/>
          <w:vertAlign w:val="baseline"/>
        </w:rPr>
        <w:t> </w:t>
      </w:r>
      <w:r>
        <w:rPr>
          <w:vertAlign w:val="baseline"/>
        </w:rPr>
        <w:t>intraperitoneally,</w:t>
      </w:r>
      <w:r>
        <w:rPr>
          <w:spacing w:val="54"/>
          <w:vertAlign w:val="baseline"/>
        </w:rPr>
        <w:t> </w:t>
      </w:r>
      <w:r>
        <w:rPr>
          <w:vertAlign w:val="baseline"/>
        </w:rPr>
        <w:t>this</w:t>
      </w:r>
      <w:r>
        <w:rPr>
          <w:spacing w:val="51"/>
          <w:vertAlign w:val="baseline"/>
        </w:rPr>
        <w:t> </w:t>
      </w:r>
      <w:r>
        <w:rPr>
          <w:vertAlign w:val="baseline"/>
        </w:rPr>
        <w:t>result</w:t>
      </w:r>
      <w:r>
        <w:rPr>
          <w:spacing w:val="53"/>
          <w:vertAlign w:val="baseline"/>
        </w:rPr>
        <w:t> </w:t>
      </w:r>
      <w:r>
        <w:rPr>
          <w:vertAlign w:val="baseline"/>
        </w:rPr>
        <w:t>showed</w:t>
      </w:r>
      <w:r>
        <w:rPr>
          <w:spacing w:val="51"/>
          <w:vertAlign w:val="baseline"/>
        </w:rPr>
        <w:t> </w:t>
      </w:r>
      <w:r>
        <w:rPr>
          <w:vertAlign w:val="baseline"/>
        </w:rPr>
        <w:t>that</w:t>
      </w:r>
    </w:p>
    <w:p>
      <w:pPr>
        <w:spacing w:after="0" w:line="480" w:lineRule="auto"/>
        <w:jc w:val="both"/>
        <w:sectPr>
          <w:footerReference w:type="default" r:id="rId31"/>
          <w:pgSz w:w="12240" w:h="15840"/>
          <w:pgMar w:footer="792" w:header="0" w:top="1360" w:bottom="980" w:left="1580" w:right="1320"/>
        </w:sectPr>
      </w:pPr>
    </w:p>
    <w:p>
      <w:pPr>
        <w:pStyle w:val="BodyText"/>
        <w:spacing w:line="480" w:lineRule="auto" w:before="72"/>
        <w:ind w:left="311" w:right="116"/>
        <w:jc w:val="both"/>
      </w:pPr>
      <w:r>
        <w:rPr/>
        <w:t>species differences could play a key role in assessing toxicity of extracts as doses that were</w:t>
      </w:r>
      <w:r>
        <w:rPr>
          <w:spacing w:val="1"/>
        </w:rPr>
        <w:t> </w:t>
      </w:r>
      <w:r>
        <w:rPr/>
        <w:t>found to be toxic in mice and rats were subsequently found to be practically non-toxic when</w:t>
      </w:r>
      <w:r>
        <w:rPr>
          <w:spacing w:val="1"/>
        </w:rPr>
        <w:t> </w:t>
      </w:r>
      <w:r>
        <w:rPr/>
        <w:t>administered to chicks. This can be explained by the fact that</w:t>
      </w:r>
      <w:r>
        <w:rPr>
          <w:spacing w:val="1"/>
        </w:rPr>
        <w:t> </w:t>
      </w:r>
      <w:r>
        <w:rPr/>
        <w:t>drug metabolism to a very</w:t>
      </w:r>
      <w:r>
        <w:rPr>
          <w:spacing w:val="1"/>
        </w:rPr>
        <w:t> </w:t>
      </w:r>
      <w:r>
        <w:rPr/>
        <w:t>large extent is affected by specie differences as some of the toxic effects elicited by some</w:t>
      </w:r>
      <w:r>
        <w:rPr>
          <w:spacing w:val="1"/>
        </w:rPr>
        <w:t> </w:t>
      </w:r>
      <w:r>
        <w:rPr/>
        <w:t>compounds might be due to their metabolites or the inability of the animal to detoxify and</w:t>
      </w:r>
      <w:r>
        <w:rPr>
          <w:spacing w:val="1"/>
        </w:rPr>
        <w:t> </w:t>
      </w:r>
      <w:r>
        <w:rPr/>
        <w:t>excrete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toxic compound</w:t>
      </w:r>
    </w:p>
    <w:p>
      <w:pPr>
        <w:pStyle w:val="BodyText"/>
        <w:spacing w:before="1"/>
      </w:pPr>
    </w:p>
    <w:p>
      <w:pPr>
        <w:pStyle w:val="BodyText"/>
        <w:spacing w:line="480" w:lineRule="auto"/>
        <w:ind w:left="311" w:right="115"/>
        <w:jc w:val="both"/>
      </w:pPr>
      <w:r>
        <w:rPr/>
        <w:t>Studies have shown that pentylenetetrazole is a chemoconvulsant agent that induces seizure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non-competitive</w:t>
      </w:r>
      <w:r>
        <w:rPr>
          <w:spacing w:val="1"/>
        </w:rPr>
        <w:t> </w:t>
      </w:r>
      <w:r>
        <w:rPr/>
        <w:t>blockage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major</w:t>
      </w:r>
      <w:r>
        <w:rPr>
          <w:spacing w:val="1"/>
        </w:rPr>
        <w:t> </w:t>
      </w:r>
      <w:r>
        <w:rPr/>
        <w:t>inhibitory</w:t>
      </w:r>
      <w:r>
        <w:rPr>
          <w:spacing w:val="1"/>
        </w:rPr>
        <w:t> </w:t>
      </w:r>
      <w:r>
        <w:rPr/>
        <w:t>pathways</w:t>
      </w:r>
      <w:r>
        <w:rPr>
          <w:spacing w:val="1"/>
        </w:rPr>
        <w:t> </w:t>
      </w:r>
      <w:r>
        <w:rPr/>
        <w:t>mediated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predominant inhibitory-neurotransmitter GABA, at all levels of the central nervous system</w:t>
      </w:r>
      <w:r>
        <w:rPr>
          <w:spacing w:val="1"/>
        </w:rPr>
        <w:t> </w:t>
      </w:r>
      <w:r>
        <w:rPr/>
        <w:t>(Desarro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</w:t>
      </w:r>
      <w:r>
        <w:rPr>
          <w:spacing w:val="1"/>
        </w:rPr>
        <w:t> </w:t>
      </w:r>
      <w:r>
        <w:rPr/>
        <w:t>1999)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widely accepted</w:t>
      </w:r>
      <w:r>
        <w:rPr>
          <w:spacing w:val="1"/>
        </w:rPr>
        <w:t> </w:t>
      </w:r>
      <w:r>
        <w:rPr/>
        <w:t>experimental</w:t>
      </w:r>
      <w:r>
        <w:rPr>
          <w:spacing w:val="1"/>
        </w:rPr>
        <w:t> </w:t>
      </w:r>
      <w:r>
        <w:rPr/>
        <w:t>model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absence</w:t>
      </w:r>
      <w:r>
        <w:rPr>
          <w:spacing w:val="1"/>
        </w:rPr>
        <w:t> </w:t>
      </w:r>
      <w:r>
        <w:rPr/>
        <w:t>seizure</w:t>
      </w:r>
      <w:r>
        <w:rPr>
          <w:spacing w:val="1"/>
        </w:rPr>
        <w:t> </w:t>
      </w:r>
      <w:r>
        <w:rPr/>
        <w:t>(Loscher </w:t>
      </w:r>
      <w:r>
        <w:rPr>
          <w:i/>
        </w:rPr>
        <w:t>et al</w:t>
      </w:r>
      <w:r>
        <w:rPr/>
        <w:t>., 1991).</w:t>
      </w:r>
      <w:r>
        <w:rPr>
          <w:spacing w:val="1"/>
        </w:rPr>
        <w:t> </w:t>
      </w:r>
      <w:r>
        <w:rPr/>
        <w:t>This GABA system represents the most successful target for the</w:t>
      </w:r>
      <w:r>
        <w:rPr>
          <w:spacing w:val="1"/>
        </w:rPr>
        <w:t> </w:t>
      </w:r>
      <w:r>
        <w:rPr/>
        <w:t>rational design of novel antiepileptic compounds (Loscher, 1998).</w:t>
      </w:r>
      <w:r>
        <w:rPr>
          <w:spacing w:val="1"/>
        </w:rPr>
        <w:t> </w:t>
      </w:r>
      <w:r>
        <w:rPr/>
        <w:t>It has been shown that</w:t>
      </w:r>
      <w:r>
        <w:rPr>
          <w:spacing w:val="1"/>
        </w:rPr>
        <w:t> </w:t>
      </w:r>
      <w:r>
        <w:rPr/>
        <w:t>seizures induced by pentylenetetrazole, can be blocked by drugs such as ethosuximide that</w:t>
      </w:r>
      <w:r>
        <w:rPr>
          <w:spacing w:val="1"/>
        </w:rPr>
        <w:t> </w:t>
      </w:r>
      <w:r>
        <w:rPr/>
        <w:t>reduces T-type Ca</w:t>
      </w:r>
      <w:r>
        <w:rPr>
          <w:vertAlign w:val="superscript"/>
        </w:rPr>
        <w:t>2+</w:t>
      </w:r>
      <w:r>
        <w:rPr>
          <w:vertAlign w:val="baseline"/>
        </w:rPr>
        <w:t> currents (Rho and Sankar, 1999) while drugs such as phenytoin and</w:t>
      </w:r>
      <w:r>
        <w:rPr>
          <w:spacing w:val="1"/>
          <w:vertAlign w:val="baseline"/>
        </w:rPr>
        <w:t> </w:t>
      </w:r>
      <w:r>
        <w:rPr>
          <w:vertAlign w:val="baseline"/>
        </w:rPr>
        <w:t>carbamazepine that were found to be effective against maximal electroshock seizure are</w:t>
      </w:r>
      <w:r>
        <w:rPr>
          <w:spacing w:val="1"/>
          <w:vertAlign w:val="baseline"/>
        </w:rPr>
        <w:t> </w:t>
      </w:r>
      <w:r>
        <w:rPr>
          <w:vertAlign w:val="baseline"/>
        </w:rPr>
        <w:t>ineffective</w:t>
      </w:r>
      <w:r>
        <w:rPr>
          <w:spacing w:val="-2"/>
          <w:vertAlign w:val="baseline"/>
        </w:rPr>
        <w:t> </w:t>
      </w:r>
      <w:r>
        <w:rPr>
          <w:vertAlign w:val="baseline"/>
        </w:rPr>
        <w:t>against pentylenetetrazole induce</w:t>
      </w:r>
      <w:r>
        <w:rPr>
          <w:spacing w:val="-2"/>
          <w:vertAlign w:val="baseline"/>
        </w:rPr>
        <w:t> </w:t>
      </w:r>
      <w:r>
        <w:rPr>
          <w:vertAlign w:val="baseline"/>
        </w:rPr>
        <w:t>seizure</w:t>
      </w:r>
      <w:r>
        <w:rPr>
          <w:spacing w:val="-1"/>
          <w:vertAlign w:val="baseline"/>
        </w:rPr>
        <w:t> </w:t>
      </w:r>
      <w:r>
        <w:rPr>
          <w:vertAlign w:val="baseline"/>
        </w:rPr>
        <w:t>(De</w:t>
      </w:r>
      <w:r>
        <w:rPr>
          <w:spacing w:val="-1"/>
          <w:vertAlign w:val="baseline"/>
        </w:rPr>
        <w:t> </w:t>
      </w:r>
      <w:r>
        <w:rPr>
          <w:vertAlign w:val="baseline"/>
        </w:rPr>
        <w:t>Deyn</w:t>
      </w:r>
      <w:r>
        <w:rPr>
          <w:spacing w:val="7"/>
          <w:vertAlign w:val="baseline"/>
        </w:rPr>
        <w:t> </w:t>
      </w:r>
      <w:r>
        <w:rPr>
          <w:i/>
          <w:vertAlign w:val="baseline"/>
        </w:rPr>
        <w:t>et</w:t>
      </w:r>
      <w:r>
        <w:rPr>
          <w:i/>
          <w:spacing w:val="-1"/>
          <w:vertAlign w:val="baseline"/>
        </w:rPr>
        <w:t> </w:t>
      </w:r>
      <w:r>
        <w:rPr>
          <w:i/>
          <w:vertAlign w:val="baseline"/>
        </w:rPr>
        <w:t>al</w:t>
      </w:r>
      <w:r>
        <w:rPr>
          <w:vertAlign w:val="baseline"/>
        </w:rPr>
        <w:t>., 1992).</w:t>
      </w:r>
    </w:p>
    <w:p>
      <w:pPr>
        <w:pStyle w:val="BodyText"/>
        <w:spacing w:before="1"/>
      </w:pPr>
    </w:p>
    <w:p>
      <w:pPr>
        <w:pStyle w:val="BodyText"/>
        <w:spacing w:line="480" w:lineRule="auto"/>
        <w:ind w:left="311" w:right="115" w:firstLine="28"/>
        <w:jc w:val="both"/>
      </w:pPr>
      <w:r>
        <w:rPr/>
        <w:t>Activation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NMDA</w:t>
      </w:r>
      <w:r>
        <w:rPr>
          <w:spacing w:val="1"/>
        </w:rPr>
        <w:t> </w:t>
      </w:r>
      <w:r>
        <w:rPr/>
        <w:t>receptor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appears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involved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initiation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propagation of pentylenetetrazole-induced seizures (Velisek </w:t>
      </w:r>
      <w:r>
        <w:rPr>
          <w:i/>
        </w:rPr>
        <w:t>et al</w:t>
      </w:r>
      <w:r>
        <w:rPr/>
        <w:t>., 1999).</w:t>
      </w:r>
      <w:r>
        <w:rPr>
          <w:spacing w:val="1"/>
        </w:rPr>
        <w:t> </w:t>
      </w:r>
      <w:r>
        <w:rPr/>
        <w:t>It has also been</w:t>
      </w:r>
      <w:r>
        <w:rPr>
          <w:spacing w:val="1"/>
        </w:rPr>
        <w:t> </w:t>
      </w:r>
      <w:r>
        <w:rPr/>
        <w:t>reported that agents that block glutamatergic excitation mediated by NMDA receptors such</w:t>
      </w:r>
      <w:r>
        <w:rPr>
          <w:spacing w:val="1"/>
        </w:rPr>
        <w:t> </w:t>
      </w:r>
      <w:r>
        <w:rPr/>
        <w:t>as felbamate also showed anticonculsant activity against pentylenetetrazole-induced seizure</w:t>
      </w:r>
      <w:r>
        <w:rPr>
          <w:spacing w:val="1"/>
        </w:rPr>
        <w:t> </w:t>
      </w:r>
      <w:r>
        <w:rPr/>
        <w:t>(White,</w:t>
      </w:r>
      <w:r>
        <w:rPr>
          <w:spacing w:val="-1"/>
        </w:rPr>
        <w:t> </w:t>
      </w:r>
      <w:r>
        <w:rPr/>
        <w:t>1997).</w:t>
      </w:r>
    </w:p>
    <w:p>
      <w:pPr>
        <w:spacing w:after="0" w:line="480" w:lineRule="auto"/>
        <w:jc w:val="both"/>
        <w:sectPr>
          <w:pgSz w:w="12240" w:h="15840"/>
          <w:pgMar w:header="0" w:footer="792" w:top="1360" w:bottom="980" w:left="1580" w:right="1320"/>
        </w:sectPr>
      </w:pPr>
    </w:p>
    <w:p>
      <w:pPr>
        <w:pStyle w:val="BodyText"/>
        <w:spacing w:line="480" w:lineRule="auto" w:before="72"/>
        <w:ind w:left="311" w:right="111" w:firstLine="28"/>
        <w:jc w:val="both"/>
      </w:pPr>
      <w:r>
        <w:rPr/>
        <w:t>Based on the foregoing, therefore it is possible that the observed anticonvulsant activity</w:t>
      </w:r>
      <w:r>
        <w:rPr>
          <w:spacing w:val="1"/>
        </w:rPr>
        <w:t> </w:t>
      </w:r>
      <w:r>
        <w:rPr/>
        <w:t>shown by the crude extract of </w:t>
      </w:r>
      <w:r>
        <w:rPr>
          <w:i/>
        </w:rPr>
        <w:t>Diospyrus mespiliformis </w:t>
      </w:r>
      <w:r>
        <w:rPr/>
        <w:t>leaves against pentylenetetrazole</w:t>
      </w:r>
      <w:r>
        <w:rPr>
          <w:spacing w:val="1"/>
        </w:rPr>
        <w:t> </w:t>
      </w:r>
      <w:r>
        <w:rPr/>
        <w:t>induced</w:t>
      </w:r>
      <w:r>
        <w:rPr>
          <w:spacing w:val="17"/>
        </w:rPr>
        <w:t> </w:t>
      </w:r>
      <w:r>
        <w:rPr/>
        <w:t>seizure</w:t>
      </w:r>
      <w:r>
        <w:rPr>
          <w:spacing w:val="18"/>
        </w:rPr>
        <w:t> </w:t>
      </w:r>
      <w:r>
        <w:rPr/>
        <w:t>might</w:t>
      </w:r>
      <w:r>
        <w:rPr>
          <w:spacing w:val="18"/>
        </w:rPr>
        <w:t> </w:t>
      </w:r>
      <w:r>
        <w:rPr/>
        <w:t>be</w:t>
      </w:r>
      <w:r>
        <w:rPr>
          <w:spacing w:val="17"/>
        </w:rPr>
        <w:t> </w:t>
      </w:r>
      <w:r>
        <w:rPr/>
        <w:t>due</w:t>
      </w:r>
      <w:r>
        <w:rPr>
          <w:spacing w:val="18"/>
        </w:rPr>
        <w:t> </w:t>
      </w:r>
      <w:r>
        <w:rPr/>
        <w:t>to</w:t>
      </w:r>
      <w:r>
        <w:rPr>
          <w:spacing w:val="18"/>
        </w:rPr>
        <w:t> </w:t>
      </w:r>
      <w:r>
        <w:rPr/>
        <w:t>either</w:t>
      </w:r>
      <w:r>
        <w:rPr>
          <w:spacing w:val="20"/>
        </w:rPr>
        <w:t> </w:t>
      </w:r>
      <w:r>
        <w:rPr/>
        <w:t>activation</w:t>
      </w:r>
      <w:r>
        <w:rPr>
          <w:spacing w:val="20"/>
        </w:rPr>
        <w:t> </w:t>
      </w:r>
      <w:r>
        <w:rPr/>
        <w:t>of</w:t>
      </w:r>
      <w:r>
        <w:rPr>
          <w:spacing w:val="18"/>
        </w:rPr>
        <w:t> </w:t>
      </w:r>
      <w:r>
        <w:rPr/>
        <w:t>GABA</w:t>
      </w:r>
      <w:r>
        <w:rPr>
          <w:spacing w:val="17"/>
        </w:rPr>
        <w:t> </w:t>
      </w:r>
      <w:r>
        <w:rPr/>
        <w:t>neurotransmission</w:t>
      </w:r>
      <w:r>
        <w:rPr>
          <w:spacing w:val="18"/>
        </w:rPr>
        <w:t> </w:t>
      </w:r>
      <w:r>
        <w:rPr/>
        <w:t>or</w:t>
      </w:r>
      <w:r>
        <w:rPr>
          <w:spacing w:val="20"/>
        </w:rPr>
        <w:t> </w:t>
      </w:r>
      <w:r>
        <w:rPr/>
        <w:t>blockade</w:t>
      </w:r>
      <w:r>
        <w:rPr>
          <w:spacing w:val="-57"/>
        </w:rPr>
        <w:t> </w:t>
      </w:r>
      <w:r>
        <w:rPr/>
        <w:t>of</w:t>
      </w:r>
      <w:r>
        <w:rPr>
          <w:spacing w:val="1"/>
        </w:rPr>
        <w:t> </w:t>
      </w:r>
      <w:r>
        <w:rPr/>
        <w:t>NMDA</w:t>
      </w:r>
      <w:r>
        <w:rPr>
          <w:spacing w:val="1"/>
        </w:rPr>
        <w:t> </w:t>
      </w:r>
      <w:r>
        <w:rPr/>
        <w:t>mediated</w:t>
      </w:r>
      <w:r>
        <w:rPr>
          <w:spacing w:val="1"/>
        </w:rPr>
        <w:t> </w:t>
      </w:r>
      <w:r>
        <w:rPr/>
        <w:t>glutamatergic</w:t>
      </w:r>
      <w:r>
        <w:rPr>
          <w:spacing w:val="1"/>
        </w:rPr>
        <w:t> </w:t>
      </w:r>
      <w:r>
        <w:rPr/>
        <w:t>neurotransmission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central</w:t>
      </w:r>
      <w:r>
        <w:rPr>
          <w:spacing w:val="1"/>
        </w:rPr>
        <w:t> </w:t>
      </w:r>
      <w:r>
        <w:rPr/>
        <w:t>nervous</w:t>
      </w:r>
      <w:r>
        <w:rPr>
          <w:spacing w:val="1"/>
        </w:rPr>
        <w:t> </w:t>
      </w:r>
      <w:r>
        <w:rPr/>
        <w:t>system.</w:t>
      </w:r>
      <w:r>
        <w:rPr>
          <w:spacing w:val="1"/>
        </w:rPr>
        <w:t> </w:t>
      </w:r>
      <w:r>
        <w:rPr/>
        <w:t>Anticonvulsant activity in the subcutaneous PTZ test identifies compounds that can raise</w:t>
      </w:r>
      <w:r>
        <w:rPr>
          <w:spacing w:val="1"/>
        </w:rPr>
        <w:t> </w:t>
      </w:r>
      <w:r>
        <w:rPr/>
        <w:t>seizure threshold in the brain (White</w:t>
      </w:r>
      <w:r>
        <w:rPr>
          <w:spacing w:val="60"/>
        </w:rPr>
        <w:t> </w:t>
      </w:r>
      <w:r>
        <w:rPr>
          <w:i/>
        </w:rPr>
        <w:t>et al</w:t>
      </w:r>
      <w:r>
        <w:rPr/>
        <w:t>., 1998) and that agents such as phenorbabitone</w:t>
      </w:r>
      <w:r>
        <w:rPr>
          <w:spacing w:val="1"/>
        </w:rPr>
        <w:t> </w:t>
      </w:r>
      <w:r>
        <w:rPr/>
        <w:t>and benzodiazepines that were found to be effective in the management of generalized</w:t>
      </w:r>
      <w:r>
        <w:rPr>
          <w:spacing w:val="1"/>
        </w:rPr>
        <w:t> </w:t>
      </w:r>
      <w:r>
        <w:rPr/>
        <w:t>seizures of (absence or myoclonic) petil mal type are capable of raising seizure threshold</w:t>
      </w:r>
      <w:r>
        <w:rPr>
          <w:spacing w:val="1"/>
        </w:rPr>
        <w:t> </w:t>
      </w:r>
      <w:r>
        <w:rPr/>
        <w:t>induced by PTZ (Loscher </w:t>
      </w:r>
      <w:r>
        <w:rPr>
          <w:i/>
        </w:rPr>
        <w:t>et al</w:t>
      </w:r>
      <w:r>
        <w:rPr/>
        <w:t>., 1991). The extract therefore can be said to posses some</w:t>
      </w:r>
      <w:r>
        <w:rPr>
          <w:spacing w:val="1"/>
        </w:rPr>
        <w:t> </w:t>
      </w:r>
      <w:r>
        <w:rPr/>
        <w:t>bioactive</w:t>
      </w:r>
      <w:r>
        <w:rPr>
          <w:spacing w:val="1"/>
        </w:rPr>
        <w:t> </w:t>
      </w:r>
      <w:r>
        <w:rPr/>
        <w:t>phytoconstituents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effective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management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absence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myoclonic seizures.   This finding agrees with the work of Adzu </w:t>
      </w:r>
      <w:r>
        <w:rPr>
          <w:i/>
        </w:rPr>
        <w:t>et al</w:t>
      </w:r>
      <w:r>
        <w:rPr/>
        <w:t>., (2002) where the</w:t>
      </w:r>
      <w:r>
        <w:rPr>
          <w:spacing w:val="1"/>
        </w:rPr>
        <w:t> </w:t>
      </w:r>
      <w:r>
        <w:rPr/>
        <w:t>stem bark of the same plant </w:t>
      </w:r>
      <w:r>
        <w:rPr>
          <w:i/>
        </w:rPr>
        <w:t>Diospyros mespiliformis </w:t>
      </w:r>
      <w:r>
        <w:rPr/>
        <w:t>was found to significantly prolonged</w:t>
      </w:r>
      <w:r>
        <w:rPr>
          <w:spacing w:val="1"/>
        </w:rPr>
        <w:t> </w:t>
      </w:r>
      <w:r>
        <w:rPr/>
        <w:t>onset of the phases of seizure activity induced by PTZ even though the stem bark extract</w:t>
      </w:r>
      <w:r>
        <w:rPr>
          <w:spacing w:val="1"/>
        </w:rPr>
        <w:t> </w:t>
      </w:r>
      <w:r>
        <w:rPr/>
        <w:t>could</w:t>
      </w:r>
      <w:r>
        <w:rPr>
          <w:spacing w:val="-1"/>
        </w:rPr>
        <w:t> </w:t>
      </w:r>
      <w:r>
        <w:rPr/>
        <w:t>not protect the animals against lethality</w:t>
      </w:r>
      <w:r>
        <w:rPr>
          <w:spacing w:val="-5"/>
        </w:rPr>
        <w:t> </w:t>
      </w:r>
      <w:r>
        <w:rPr/>
        <w:t>induced by</w:t>
      </w:r>
      <w:r>
        <w:rPr>
          <w:spacing w:val="-5"/>
        </w:rPr>
        <w:t> </w:t>
      </w:r>
      <w:r>
        <w:rPr/>
        <w:t>PTZ</w:t>
      </w:r>
      <w:r>
        <w:rPr>
          <w:spacing w:val="-3"/>
        </w:rPr>
        <w:t> </w:t>
      </w:r>
      <w:r>
        <w:rPr/>
        <w:t>(Adzu</w:t>
      </w:r>
      <w:r>
        <w:rPr>
          <w:spacing w:val="3"/>
        </w:rPr>
        <w:t> </w:t>
      </w:r>
      <w:r>
        <w:rPr>
          <w:i/>
        </w:rPr>
        <w:t>et al., </w:t>
      </w:r>
      <w:r>
        <w:rPr/>
        <w:t>2002).</w:t>
      </w: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22"/>
        </w:rPr>
      </w:pPr>
    </w:p>
    <w:p>
      <w:pPr>
        <w:pStyle w:val="BodyText"/>
        <w:spacing w:line="480" w:lineRule="auto"/>
        <w:ind w:left="311" w:right="116" w:firstLine="60"/>
        <w:jc w:val="both"/>
      </w:pPr>
      <w:r>
        <w:rPr/>
        <w:t>The maximal electroshock test, is probably the best validated preclinical test that predicts</w:t>
      </w:r>
      <w:r>
        <w:rPr>
          <w:spacing w:val="1"/>
        </w:rPr>
        <w:t> </w:t>
      </w:r>
      <w:r>
        <w:rPr/>
        <w:t>drugs</w:t>
      </w:r>
      <w:r>
        <w:rPr>
          <w:spacing w:val="1"/>
        </w:rPr>
        <w:t> </w:t>
      </w:r>
      <w:r>
        <w:rPr/>
        <w:t>effective against generalized seizure of the tonic</w:t>
      </w:r>
      <w:r>
        <w:rPr>
          <w:spacing w:val="1"/>
        </w:rPr>
        <w:t> </w:t>
      </w:r>
      <w:r>
        <w:rPr/>
        <w:t>clonic (grand</w:t>
      </w:r>
      <w:r>
        <w:rPr>
          <w:spacing w:val="1"/>
        </w:rPr>
        <w:t> </w:t>
      </w:r>
      <w:r>
        <w:rPr/>
        <w:t>mal) type</w:t>
      </w:r>
      <w:r>
        <w:rPr>
          <w:spacing w:val="60"/>
        </w:rPr>
        <w:t> </w:t>
      </w:r>
      <w:r>
        <w:rPr/>
        <w:t>(White,</w:t>
      </w:r>
      <w:r>
        <w:rPr>
          <w:spacing w:val="1"/>
        </w:rPr>
        <w:t> </w:t>
      </w:r>
      <w:r>
        <w:rPr/>
        <w:t>2003; Mares and Kupova, 2006; Holmes, 2007).</w:t>
      </w:r>
      <w:r>
        <w:rPr>
          <w:spacing w:val="1"/>
        </w:rPr>
        <w:t> </w:t>
      </w:r>
      <w:r>
        <w:rPr/>
        <w:t>It permits evaluation of the ability of a</w:t>
      </w:r>
      <w:r>
        <w:rPr>
          <w:spacing w:val="1"/>
        </w:rPr>
        <w:t> </w:t>
      </w:r>
      <w:r>
        <w:rPr/>
        <w:t>substance to prevent seizure spread through neural tissue of the central nervous system</w:t>
      </w:r>
      <w:r>
        <w:rPr>
          <w:spacing w:val="1"/>
        </w:rPr>
        <w:t> </w:t>
      </w:r>
      <w:r>
        <w:rPr/>
        <w:t>(Swinyard and Kupferberg, 1985; Loscher </w:t>
      </w:r>
      <w:r>
        <w:rPr>
          <w:i/>
        </w:rPr>
        <w:t>et al</w:t>
      </w:r>
      <w:r>
        <w:rPr/>
        <w:t>., 1991; Holmes, 2007). Antiepileptic agents</w:t>
      </w:r>
      <w:r>
        <w:rPr>
          <w:spacing w:val="1"/>
        </w:rPr>
        <w:t> </w:t>
      </w:r>
      <w:r>
        <w:rPr/>
        <w:t>that act via this pathway are able to limit the repetitive firing of action potentials by slowing</w:t>
      </w:r>
      <w:r>
        <w:rPr>
          <w:spacing w:val="1"/>
        </w:rPr>
        <w:t> </w:t>
      </w:r>
      <w:r>
        <w:rPr/>
        <w:t>the rate of recovery of voltage-activated sodium channels from inactivation and suppress</w:t>
      </w:r>
      <w:r>
        <w:rPr>
          <w:spacing w:val="1"/>
        </w:rPr>
        <w:t> </w:t>
      </w:r>
      <w:r>
        <w:rPr/>
        <w:t>hind</w:t>
      </w:r>
      <w:r>
        <w:rPr>
          <w:spacing w:val="43"/>
        </w:rPr>
        <w:t> </w:t>
      </w:r>
      <w:r>
        <w:rPr/>
        <w:t>limb</w:t>
      </w:r>
      <w:r>
        <w:rPr>
          <w:spacing w:val="42"/>
        </w:rPr>
        <w:t> </w:t>
      </w:r>
      <w:r>
        <w:rPr/>
        <w:t>tonic</w:t>
      </w:r>
      <w:r>
        <w:rPr>
          <w:spacing w:val="42"/>
        </w:rPr>
        <w:t> </w:t>
      </w:r>
      <w:r>
        <w:rPr/>
        <w:t>extension</w:t>
      </w:r>
      <w:r>
        <w:rPr>
          <w:spacing w:val="44"/>
        </w:rPr>
        <w:t> </w:t>
      </w:r>
      <w:r>
        <w:rPr/>
        <w:t>in</w:t>
      </w:r>
      <w:r>
        <w:rPr>
          <w:spacing w:val="44"/>
        </w:rPr>
        <w:t> </w:t>
      </w:r>
      <w:r>
        <w:rPr/>
        <w:t>maximal</w:t>
      </w:r>
      <w:r>
        <w:rPr>
          <w:spacing w:val="43"/>
        </w:rPr>
        <w:t> </w:t>
      </w:r>
      <w:r>
        <w:rPr/>
        <w:t>electroshock</w:t>
      </w:r>
      <w:r>
        <w:rPr>
          <w:spacing w:val="44"/>
        </w:rPr>
        <w:t> </w:t>
      </w:r>
      <w:r>
        <w:rPr/>
        <w:t>seizures</w:t>
      </w:r>
      <w:r>
        <w:rPr>
          <w:spacing w:val="43"/>
        </w:rPr>
        <w:t> </w:t>
      </w:r>
      <w:r>
        <w:rPr/>
        <w:t>(Rho</w:t>
      </w:r>
      <w:r>
        <w:rPr>
          <w:spacing w:val="44"/>
        </w:rPr>
        <w:t> </w:t>
      </w:r>
      <w:r>
        <w:rPr/>
        <w:t>and</w:t>
      </w:r>
      <w:r>
        <w:rPr>
          <w:spacing w:val="43"/>
        </w:rPr>
        <w:t> </w:t>
      </w:r>
      <w:r>
        <w:rPr/>
        <w:t>Sankar,</w:t>
      </w:r>
      <w:r>
        <w:rPr>
          <w:spacing w:val="43"/>
        </w:rPr>
        <w:t> </w:t>
      </w:r>
      <w:r>
        <w:rPr/>
        <w:t>1999).</w:t>
      </w:r>
      <w:r>
        <w:rPr>
          <w:spacing w:val="46"/>
        </w:rPr>
        <w:t> </w:t>
      </w:r>
      <w:r>
        <w:rPr/>
        <w:t>In</w:t>
      </w:r>
    </w:p>
    <w:p>
      <w:pPr>
        <w:spacing w:after="0" w:line="480" w:lineRule="auto"/>
        <w:jc w:val="both"/>
        <w:sectPr>
          <w:pgSz w:w="12240" w:h="15840"/>
          <w:pgMar w:header="0" w:footer="792" w:top="1360" w:bottom="980" w:left="1580" w:right="1320"/>
        </w:sectPr>
      </w:pPr>
    </w:p>
    <w:p>
      <w:pPr>
        <w:pStyle w:val="BodyText"/>
        <w:spacing w:line="480" w:lineRule="auto" w:before="72"/>
        <w:ind w:left="311" w:right="112"/>
        <w:jc w:val="both"/>
      </w:pPr>
      <w:r>
        <w:rPr/>
        <w:t>other words, the maximal electroshock tests predict drugs acting on sodium channels e.g.</w:t>
      </w:r>
      <w:r>
        <w:rPr>
          <w:spacing w:val="1"/>
        </w:rPr>
        <w:t> </w:t>
      </w:r>
      <w:r>
        <w:rPr/>
        <w:t>carbamazepine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phenytoin</w:t>
      </w:r>
      <w:r>
        <w:rPr>
          <w:spacing w:val="1"/>
        </w:rPr>
        <w:t> </w:t>
      </w:r>
      <w:r>
        <w:rPr/>
        <w:t>(Meldrum,</w:t>
      </w:r>
      <w:r>
        <w:rPr>
          <w:spacing w:val="1"/>
        </w:rPr>
        <w:t> </w:t>
      </w:r>
      <w:r>
        <w:rPr/>
        <w:t>1996,</w:t>
      </w:r>
      <w:r>
        <w:rPr>
          <w:spacing w:val="1"/>
        </w:rPr>
        <w:t> </w:t>
      </w:r>
      <w:r>
        <w:rPr/>
        <w:t>2002)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agents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ineffective</w:t>
      </w:r>
      <w:r>
        <w:rPr>
          <w:spacing w:val="1"/>
        </w:rPr>
        <w:t> </w:t>
      </w:r>
      <w:r>
        <w:rPr/>
        <w:t>against PTZ induced seizure, (De Deyn </w:t>
      </w:r>
      <w:r>
        <w:rPr>
          <w:i/>
        </w:rPr>
        <w:t>et al</w:t>
      </w:r>
      <w:r>
        <w:rPr/>
        <w:t>., 1992).</w:t>
      </w:r>
      <w:r>
        <w:rPr>
          <w:spacing w:val="1"/>
        </w:rPr>
        <w:t> </w:t>
      </w:r>
      <w:r>
        <w:rPr/>
        <w:t>The findings that the extract showed</w:t>
      </w:r>
      <w:r>
        <w:rPr>
          <w:spacing w:val="1"/>
        </w:rPr>
        <w:t> </w:t>
      </w:r>
      <w:r>
        <w:rPr/>
        <w:t>activity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pentylenetetrazole</w:t>
      </w:r>
      <w:r>
        <w:rPr>
          <w:spacing w:val="1"/>
        </w:rPr>
        <w:t> </w:t>
      </w:r>
      <w:r>
        <w:rPr/>
        <w:t>induced</w:t>
      </w:r>
      <w:r>
        <w:rPr>
          <w:spacing w:val="1"/>
        </w:rPr>
        <w:t> </w:t>
      </w:r>
      <w:r>
        <w:rPr/>
        <w:t>seizure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did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show</w:t>
      </w:r>
      <w:r>
        <w:rPr>
          <w:spacing w:val="1"/>
        </w:rPr>
        <w:t> </w:t>
      </w:r>
      <w:r>
        <w:rPr/>
        <w:t>any</w:t>
      </w:r>
      <w:r>
        <w:rPr>
          <w:spacing w:val="1"/>
        </w:rPr>
        <w:t> </w:t>
      </w:r>
      <w:r>
        <w:rPr/>
        <w:t>activity</w:t>
      </w:r>
      <w:r>
        <w:rPr>
          <w:spacing w:val="60"/>
        </w:rPr>
        <w:t> </w:t>
      </w:r>
      <w:r>
        <w:rPr/>
        <w:t>against</w:t>
      </w:r>
      <w:r>
        <w:rPr>
          <w:spacing w:val="1"/>
        </w:rPr>
        <w:t> </w:t>
      </w:r>
      <w:r>
        <w:rPr/>
        <w:t>maximal electroshock-induced seizures agrees with the work of De-Deyn </w:t>
      </w:r>
      <w:r>
        <w:rPr>
          <w:i/>
        </w:rPr>
        <w:t>et al</w:t>
      </w:r>
      <w:r>
        <w:rPr/>
        <w:t>., (1992)who</w:t>
      </w:r>
      <w:r>
        <w:rPr>
          <w:spacing w:val="1"/>
        </w:rPr>
        <w:t> </w:t>
      </w:r>
      <w:r>
        <w:rPr/>
        <w:t>showed that agents that are effective against pentylenetetrazole induced seizure fails to alter</w:t>
      </w:r>
      <w:r>
        <w:rPr>
          <w:spacing w:val="1"/>
        </w:rPr>
        <w:t> </w:t>
      </w:r>
      <w:r>
        <w:rPr/>
        <w:t>maximal electroshock (MES) thresholds (De Deyn</w:t>
      </w:r>
      <w:r>
        <w:rPr>
          <w:spacing w:val="60"/>
        </w:rPr>
        <w:t> </w:t>
      </w:r>
      <w:r>
        <w:rPr>
          <w:i/>
        </w:rPr>
        <w:t>et al</w:t>
      </w:r>
      <w:r>
        <w:rPr/>
        <w:t>., 1992). The extract was found not</w:t>
      </w:r>
      <w:r>
        <w:rPr>
          <w:spacing w:val="1"/>
        </w:rPr>
        <w:t> </w:t>
      </w:r>
      <w:r>
        <w:rPr/>
        <w:t>to alter maximal electroshock seizure thresholds as it fails to protect the chicks against</w:t>
      </w:r>
      <w:r>
        <w:rPr>
          <w:spacing w:val="1"/>
        </w:rPr>
        <w:t> </w:t>
      </w:r>
      <w:r>
        <w:rPr/>
        <w:t>maximal electroshock seizure possibly signifying that the extract does not act on sodium</w:t>
      </w:r>
      <w:r>
        <w:rPr>
          <w:spacing w:val="1"/>
        </w:rPr>
        <w:t> </w:t>
      </w:r>
      <w:r>
        <w:rPr/>
        <w:t>channels</w:t>
      </w:r>
      <w:r>
        <w:rPr>
          <w:spacing w:val="-1"/>
        </w:rPr>
        <w:t> </w:t>
      </w:r>
      <w:r>
        <w:rPr/>
        <w:t>and hence</w:t>
      </w:r>
      <w:r>
        <w:rPr>
          <w:spacing w:val="-2"/>
        </w:rPr>
        <w:t> </w:t>
      </w:r>
      <w:r>
        <w:rPr/>
        <w:t>may</w:t>
      </w:r>
      <w:r>
        <w:rPr>
          <w:spacing w:val="-3"/>
        </w:rPr>
        <w:t> </w:t>
      </w:r>
      <w:r>
        <w:rPr/>
        <w:t>not</w:t>
      </w:r>
      <w:r>
        <w:rPr>
          <w:spacing w:val="-1"/>
        </w:rPr>
        <w:t> </w:t>
      </w:r>
      <w:r>
        <w:rPr/>
        <w:t>be effective</w:t>
      </w:r>
      <w:r>
        <w:rPr>
          <w:spacing w:val="-2"/>
        </w:rPr>
        <w:t> </w:t>
      </w:r>
      <w:r>
        <w:rPr/>
        <w:t>in</w:t>
      </w:r>
      <w:r>
        <w:rPr>
          <w:spacing w:val="2"/>
        </w:rPr>
        <w:t> </w:t>
      </w:r>
      <w:r>
        <w:rPr/>
        <w:t>generalized</w:t>
      </w:r>
      <w:r>
        <w:rPr>
          <w:spacing w:val="-1"/>
        </w:rPr>
        <w:t> </w:t>
      </w:r>
      <w:r>
        <w:rPr/>
        <w:t>tonic</w:t>
      </w:r>
      <w:r>
        <w:rPr>
          <w:spacing w:val="-1"/>
        </w:rPr>
        <w:t> </w:t>
      </w:r>
      <w:r>
        <w:rPr/>
        <w:t>clonic</w:t>
      </w:r>
      <w:r>
        <w:rPr>
          <w:spacing w:val="-2"/>
        </w:rPr>
        <w:t> </w:t>
      </w:r>
      <w:r>
        <w:rPr/>
        <w:t>and partial</w:t>
      </w:r>
      <w:r>
        <w:rPr>
          <w:spacing w:val="-1"/>
        </w:rPr>
        <w:t> </w:t>
      </w:r>
      <w:r>
        <w:rPr/>
        <w:t>seizures</w:t>
      </w:r>
    </w:p>
    <w:p>
      <w:pPr>
        <w:pStyle w:val="BodyText"/>
        <w:spacing w:before="1"/>
        <w:ind w:left="220"/>
      </w:pPr>
      <w:r>
        <w:rPr/>
        <w:t>.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line="480" w:lineRule="auto" w:before="90"/>
        <w:ind w:left="311" w:right="112" w:firstLine="60"/>
        <w:jc w:val="both"/>
      </w:pPr>
      <w:r>
        <w:rPr/>
        <w:t>The</w:t>
      </w:r>
      <w:r>
        <w:rPr>
          <w:spacing w:val="1"/>
        </w:rPr>
        <w:t> </w:t>
      </w:r>
      <w:r>
        <w:rPr/>
        <w:t>ability 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extract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>
          <w:i/>
        </w:rPr>
        <w:t>Diospyros</w:t>
      </w:r>
      <w:r>
        <w:rPr>
          <w:i/>
          <w:spacing w:val="1"/>
        </w:rPr>
        <w:t> </w:t>
      </w:r>
      <w:r>
        <w:rPr>
          <w:i/>
        </w:rPr>
        <w:t>mespiliformis</w:t>
      </w:r>
      <w:r>
        <w:rPr>
          <w:i/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delay onset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seizure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strychnine</w:t>
      </w:r>
      <w:r>
        <w:rPr>
          <w:spacing w:val="7"/>
        </w:rPr>
        <w:t> </w:t>
      </w:r>
      <w:r>
        <w:rPr/>
        <w:t>test</w:t>
      </w:r>
      <w:r>
        <w:rPr>
          <w:spacing w:val="9"/>
        </w:rPr>
        <w:t> </w:t>
      </w:r>
      <w:r>
        <w:rPr/>
        <w:t>showed</w:t>
      </w:r>
      <w:r>
        <w:rPr>
          <w:spacing w:val="8"/>
        </w:rPr>
        <w:t> </w:t>
      </w:r>
      <w:r>
        <w:rPr/>
        <w:t>that</w:t>
      </w:r>
      <w:r>
        <w:rPr>
          <w:spacing w:val="9"/>
        </w:rPr>
        <w:t> </w:t>
      </w:r>
      <w:r>
        <w:rPr/>
        <w:t>the</w:t>
      </w:r>
      <w:r>
        <w:rPr>
          <w:spacing w:val="7"/>
        </w:rPr>
        <w:t> </w:t>
      </w:r>
      <w:r>
        <w:rPr/>
        <w:t>extract</w:t>
      </w:r>
      <w:r>
        <w:rPr>
          <w:spacing w:val="9"/>
        </w:rPr>
        <w:t> </w:t>
      </w:r>
      <w:r>
        <w:rPr/>
        <w:t>has</w:t>
      </w:r>
      <w:r>
        <w:rPr>
          <w:spacing w:val="8"/>
        </w:rPr>
        <w:t> </w:t>
      </w:r>
      <w:r>
        <w:rPr/>
        <w:t>the</w:t>
      </w:r>
      <w:r>
        <w:rPr>
          <w:spacing w:val="11"/>
        </w:rPr>
        <w:t> </w:t>
      </w:r>
      <w:r>
        <w:rPr/>
        <w:t>ability</w:t>
      </w:r>
      <w:r>
        <w:rPr>
          <w:spacing w:val="2"/>
        </w:rPr>
        <w:t> </w:t>
      </w:r>
      <w:r>
        <w:rPr/>
        <w:t>to</w:t>
      </w:r>
      <w:r>
        <w:rPr>
          <w:spacing w:val="11"/>
        </w:rPr>
        <w:t> </w:t>
      </w:r>
      <w:r>
        <w:rPr/>
        <w:t>raise</w:t>
      </w:r>
      <w:r>
        <w:rPr>
          <w:spacing w:val="9"/>
        </w:rPr>
        <w:t> </w:t>
      </w:r>
      <w:r>
        <w:rPr/>
        <w:t>seizure</w:t>
      </w:r>
      <w:r>
        <w:rPr>
          <w:spacing w:val="7"/>
        </w:rPr>
        <w:t> </w:t>
      </w:r>
      <w:r>
        <w:rPr/>
        <w:t>threshold</w:t>
      </w:r>
      <w:r>
        <w:rPr>
          <w:spacing w:val="9"/>
        </w:rPr>
        <w:t> </w:t>
      </w:r>
      <w:r>
        <w:rPr/>
        <w:t>even</w:t>
      </w:r>
      <w:r>
        <w:rPr>
          <w:spacing w:val="8"/>
        </w:rPr>
        <w:t> </w:t>
      </w:r>
      <w:r>
        <w:rPr/>
        <w:t>though</w:t>
      </w:r>
      <w:r>
        <w:rPr>
          <w:spacing w:val="-57"/>
        </w:rPr>
        <w:t> </w:t>
      </w:r>
      <w:r>
        <w:rPr/>
        <w:t>it could not protect the animals against seizure and lethality induced by strychnine. 100%</w:t>
      </w:r>
      <w:r>
        <w:rPr>
          <w:spacing w:val="1"/>
        </w:rPr>
        <w:t> </w:t>
      </w:r>
      <w:r>
        <w:rPr/>
        <w:t>mortality was recorded for the control group and all the tested doses, however, the standard</w:t>
      </w:r>
      <w:r>
        <w:rPr>
          <w:spacing w:val="1"/>
        </w:rPr>
        <w:t> </w:t>
      </w:r>
      <w:r>
        <w:rPr/>
        <w:t>drug phenobarbitone afforded 83.33% protection and only 16.67% mortality. Strychnine and</w:t>
      </w:r>
      <w:r>
        <w:rPr>
          <w:spacing w:val="-57"/>
        </w:rPr>
        <w:t> </w:t>
      </w:r>
      <w:r>
        <w:rPr/>
        <w:t>related alkaloids such as brucine and thebain induces generalized convulsion by selectively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competitively</w:t>
      </w:r>
      <w:r>
        <w:rPr>
          <w:spacing w:val="1"/>
        </w:rPr>
        <w:t> </w:t>
      </w:r>
      <w:r>
        <w:rPr/>
        <w:t>blocking</w:t>
      </w:r>
      <w:r>
        <w:rPr>
          <w:spacing w:val="1"/>
        </w:rPr>
        <w:t> </w:t>
      </w:r>
      <w:r>
        <w:rPr/>
        <w:t>postsynaptic</w:t>
      </w:r>
      <w:r>
        <w:rPr>
          <w:spacing w:val="1"/>
        </w:rPr>
        <w:t> </w:t>
      </w:r>
      <w:r>
        <w:rPr/>
        <w:t>neurotransmission</w:t>
      </w:r>
      <w:r>
        <w:rPr>
          <w:spacing w:val="1"/>
        </w:rPr>
        <w:t> </w:t>
      </w:r>
      <w:r>
        <w:rPr/>
        <w:t>mediated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glycine,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important inhibitory neurotransmitter to motor neurones and interneurones in the spinal cord</w:t>
      </w:r>
      <w:r>
        <w:rPr>
          <w:spacing w:val="-57"/>
        </w:rPr>
        <w:t> </w:t>
      </w:r>
      <w:r>
        <w:rPr/>
        <w:t>(Vogel and Vogel, 2002). Agents that reverse the action of strychnine (an antagonist of</w:t>
      </w:r>
      <w:r>
        <w:rPr>
          <w:spacing w:val="1"/>
        </w:rPr>
        <w:t> </w:t>
      </w:r>
      <w:r>
        <w:rPr/>
        <w:t>glycine) have been shown to have antiepileptic effects (Raza </w:t>
      </w:r>
      <w:r>
        <w:rPr>
          <w:i/>
        </w:rPr>
        <w:t>et al</w:t>
      </w:r>
      <w:r>
        <w:rPr/>
        <w:t>., 2001). The ability of the</w:t>
      </w:r>
      <w:r>
        <w:rPr>
          <w:spacing w:val="1"/>
        </w:rPr>
        <w:t> </w:t>
      </w:r>
      <w:r>
        <w:rPr/>
        <w:t>extract to exert activity by delaying the onset of strychnine induced convulsion and death</w:t>
      </w:r>
      <w:r>
        <w:rPr>
          <w:spacing w:val="1"/>
        </w:rPr>
        <w:t> </w:t>
      </w:r>
      <w:r>
        <w:rPr/>
        <w:t>may</w:t>
      </w:r>
      <w:r>
        <w:rPr>
          <w:spacing w:val="-6"/>
        </w:rPr>
        <w:t> </w:t>
      </w:r>
      <w:r>
        <w:rPr/>
        <w:t>be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strong</w:t>
      </w:r>
      <w:r>
        <w:rPr>
          <w:spacing w:val="-3"/>
        </w:rPr>
        <w:t> </w:t>
      </w:r>
      <w:r>
        <w:rPr/>
        <w:t>indication of</w:t>
      </w:r>
      <w:r>
        <w:rPr>
          <w:spacing w:val="-1"/>
        </w:rPr>
        <w:t> </w:t>
      </w:r>
      <w:r>
        <w:rPr/>
        <w:t>glycine</w:t>
      </w:r>
      <w:r>
        <w:rPr>
          <w:spacing w:val="-1"/>
        </w:rPr>
        <w:t> </w:t>
      </w:r>
      <w:r>
        <w:rPr/>
        <w:t>activation in</w:t>
      </w:r>
      <w:r>
        <w:rPr>
          <w:spacing w:val="2"/>
        </w:rPr>
        <w:t> </w:t>
      </w:r>
      <w:r>
        <w:rPr/>
        <w:t>the central nervous</w:t>
      </w:r>
      <w:r>
        <w:rPr>
          <w:spacing w:val="-1"/>
        </w:rPr>
        <w:t> </w:t>
      </w:r>
      <w:r>
        <w:rPr/>
        <w:t>system.</w:t>
      </w:r>
    </w:p>
    <w:p>
      <w:pPr>
        <w:spacing w:after="0" w:line="480" w:lineRule="auto"/>
        <w:jc w:val="both"/>
        <w:sectPr>
          <w:pgSz w:w="12240" w:h="15840"/>
          <w:pgMar w:header="0" w:footer="792" w:top="1360" w:bottom="980" w:left="1580" w:right="1320"/>
        </w:sectPr>
      </w:pPr>
    </w:p>
    <w:p>
      <w:pPr>
        <w:pStyle w:val="BodyText"/>
        <w:spacing w:line="480" w:lineRule="auto" w:before="72"/>
        <w:ind w:left="311" w:right="116" w:hanging="32"/>
        <w:jc w:val="both"/>
      </w:pPr>
      <w:r>
        <w:rPr/>
        <w:t>4-aminopyridine</w:t>
      </w:r>
      <w:r>
        <w:rPr>
          <w:spacing w:val="1"/>
        </w:rPr>
        <w:t> </w:t>
      </w:r>
      <w:r>
        <w:rPr/>
        <w:t>induces</w:t>
      </w:r>
      <w:r>
        <w:rPr>
          <w:spacing w:val="1"/>
        </w:rPr>
        <w:t> </w:t>
      </w:r>
      <w:r>
        <w:rPr/>
        <w:t>tonic-clonic</w:t>
      </w:r>
      <w:r>
        <w:rPr>
          <w:spacing w:val="1"/>
        </w:rPr>
        <w:t> </w:t>
      </w:r>
      <w:r>
        <w:rPr/>
        <w:t>convulsions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blocking</w:t>
      </w:r>
      <w:r>
        <w:rPr>
          <w:spacing w:val="1"/>
        </w:rPr>
        <w:t> </w:t>
      </w:r>
      <w:r>
        <w:rPr/>
        <w:t>potassium</w:t>
      </w:r>
      <w:r>
        <w:rPr>
          <w:spacing w:val="1"/>
        </w:rPr>
        <w:t> </w:t>
      </w:r>
      <w:r>
        <w:rPr/>
        <w:t>channels</w:t>
      </w:r>
      <w:r>
        <w:rPr>
          <w:spacing w:val="1"/>
        </w:rPr>
        <w:t> </w:t>
      </w:r>
      <w:r>
        <w:rPr/>
        <w:t>(Yamaguchi and Rogawski, 1992); conversely agents that activate potassium channels have</w:t>
      </w:r>
      <w:r>
        <w:rPr>
          <w:spacing w:val="1"/>
        </w:rPr>
        <w:t> </w:t>
      </w:r>
      <w:r>
        <w:rPr/>
        <w:t>anticonvulsant</w:t>
      </w:r>
      <w:r>
        <w:rPr>
          <w:spacing w:val="1"/>
        </w:rPr>
        <w:t> </w:t>
      </w:r>
      <w:r>
        <w:rPr/>
        <w:t>effects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experimental</w:t>
      </w:r>
      <w:r>
        <w:rPr>
          <w:spacing w:val="1"/>
        </w:rPr>
        <w:t> </w:t>
      </w:r>
      <w:r>
        <w:rPr/>
        <w:t>seizure</w:t>
      </w:r>
      <w:r>
        <w:rPr>
          <w:spacing w:val="1"/>
        </w:rPr>
        <w:t> </w:t>
      </w:r>
      <w:r>
        <w:rPr/>
        <w:t>models</w:t>
      </w:r>
      <w:r>
        <w:rPr>
          <w:spacing w:val="1"/>
        </w:rPr>
        <w:t> </w:t>
      </w:r>
      <w:r>
        <w:rPr/>
        <w:t>(Rostock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</w:t>
      </w:r>
      <w:r>
        <w:rPr>
          <w:spacing w:val="1"/>
        </w:rPr>
        <w:t> </w:t>
      </w:r>
      <w:r>
        <w:rPr/>
        <w:t>1996).</w:t>
      </w:r>
      <w:r>
        <w:rPr>
          <w:spacing w:val="1"/>
        </w:rPr>
        <w:t> </w:t>
      </w:r>
      <w:r>
        <w:rPr/>
        <w:t>Potassium channels play a vital role in the control of neuronal excitability and seizure</w:t>
      </w:r>
      <w:r>
        <w:rPr>
          <w:spacing w:val="1"/>
        </w:rPr>
        <w:t> </w:t>
      </w:r>
      <w:r>
        <w:rPr/>
        <w:t>susceptibility, and would be of importance for the suppression of seizure initiation and</w:t>
      </w:r>
      <w:r>
        <w:rPr>
          <w:spacing w:val="1"/>
        </w:rPr>
        <w:t> </w:t>
      </w:r>
      <w:r>
        <w:rPr/>
        <w:t>spread</w:t>
      </w:r>
      <w:r>
        <w:rPr>
          <w:spacing w:val="32"/>
        </w:rPr>
        <w:t> </w:t>
      </w:r>
      <w:r>
        <w:rPr/>
        <w:t>(Wickenden,</w:t>
      </w:r>
      <w:r>
        <w:rPr>
          <w:spacing w:val="30"/>
        </w:rPr>
        <w:t> </w:t>
      </w:r>
      <w:r>
        <w:rPr/>
        <w:t>2002).</w:t>
      </w:r>
      <w:r>
        <w:rPr>
          <w:spacing w:val="30"/>
        </w:rPr>
        <w:t> </w:t>
      </w:r>
      <w:r>
        <w:rPr/>
        <w:t>The</w:t>
      </w:r>
      <w:r>
        <w:rPr>
          <w:spacing w:val="31"/>
        </w:rPr>
        <w:t> </w:t>
      </w:r>
      <w:r>
        <w:rPr/>
        <w:t>extract</w:t>
      </w:r>
      <w:r>
        <w:rPr>
          <w:spacing w:val="32"/>
        </w:rPr>
        <w:t> </w:t>
      </w:r>
      <w:r>
        <w:rPr/>
        <w:t>at</w:t>
      </w:r>
      <w:r>
        <w:rPr>
          <w:spacing w:val="31"/>
        </w:rPr>
        <w:t> </w:t>
      </w:r>
      <w:r>
        <w:rPr/>
        <w:t>doses</w:t>
      </w:r>
      <w:r>
        <w:rPr>
          <w:spacing w:val="33"/>
        </w:rPr>
        <w:t> </w:t>
      </w:r>
      <w:r>
        <w:rPr/>
        <w:t>of</w:t>
      </w:r>
      <w:r>
        <w:rPr>
          <w:spacing w:val="29"/>
        </w:rPr>
        <w:t> </w:t>
      </w:r>
      <w:r>
        <w:rPr/>
        <w:t>50,</w:t>
      </w:r>
      <w:r>
        <w:rPr>
          <w:spacing w:val="30"/>
        </w:rPr>
        <w:t> </w:t>
      </w:r>
      <w:r>
        <w:rPr/>
        <w:t>100,</w:t>
      </w:r>
      <w:r>
        <w:rPr>
          <w:spacing w:val="33"/>
        </w:rPr>
        <w:t> </w:t>
      </w:r>
      <w:r>
        <w:rPr/>
        <w:t>and</w:t>
      </w:r>
      <w:r>
        <w:rPr>
          <w:spacing w:val="31"/>
        </w:rPr>
        <w:t> </w:t>
      </w:r>
      <w:r>
        <w:rPr/>
        <w:t>200</w:t>
      </w:r>
      <w:r>
        <w:rPr>
          <w:spacing w:val="31"/>
        </w:rPr>
        <w:t> </w:t>
      </w:r>
      <w:r>
        <w:rPr/>
        <w:t>mg/kg</w:t>
      </w:r>
      <w:r>
        <w:rPr>
          <w:spacing w:val="29"/>
        </w:rPr>
        <w:t> </w:t>
      </w:r>
      <w:r>
        <w:rPr/>
        <w:t>seems</w:t>
      </w:r>
      <w:r>
        <w:rPr>
          <w:spacing w:val="31"/>
        </w:rPr>
        <w:t> </w:t>
      </w:r>
      <w:r>
        <w:rPr/>
        <w:t>not</w:t>
      </w:r>
      <w:r>
        <w:rPr>
          <w:spacing w:val="30"/>
        </w:rPr>
        <w:t> </w:t>
      </w:r>
      <w:r>
        <w:rPr/>
        <w:t>to</w:t>
      </w:r>
      <w:r>
        <w:rPr>
          <w:spacing w:val="-57"/>
        </w:rPr>
        <w:t> </w:t>
      </w:r>
      <w:r>
        <w:rPr/>
        <w:t>have any activity on 4-aminopyridine induced seizure as it failed to significantly delay the</w:t>
      </w:r>
      <w:r>
        <w:rPr>
          <w:spacing w:val="1"/>
        </w:rPr>
        <w:t> </w:t>
      </w:r>
      <w:r>
        <w:rPr/>
        <w:t>onset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seizure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significantly</w:t>
      </w:r>
      <w:r>
        <w:rPr>
          <w:spacing w:val="1"/>
        </w:rPr>
        <w:t> </w:t>
      </w:r>
      <w:r>
        <w:rPr/>
        <w:t>protect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animals</w:t>
      </w:r>
      <w:r>
        <w:rPr>
          <w:spacing w:val="1"/>
        </w:rPr>
        <w:t> </w:t>
      </w:r>
      <w:r>
        <w:rPr/>
        <w:t>against</w:t>
      </w:r>
      <w:r>
        <w:rPr>
          <w:spacing w:val="1"/>
        </w:rPr>
        <w:t> </w:t>
      </w:r>
      <w:r>
        <w:rPr/>
        <w:t>4-aminopyridine</w:t>
      </w:r>
      <w:r>
        <w:rPr>
          <w:spacing w:val="1"/>
        </w:rPr>
        <w:t> </w:t>
      </w:r>
      <w:r>
        <w:rPr/>
        <w:t>induced</w:t>
      </w:r>
      <w:r>
        <w:rPr>
          <w:spacing w:val="1"/>
        </w:rPr>
        <w:t> </w:t>
      </w:r>
      <w:r>
        <w:rPr/>
        <w:t>lethality.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480" w:lineRule="auto"/>
        <w:ind w:left="311" w:right="116"/>
        <w:jc w:val="both"/>
        <w:rPr>
          <w:i/>
        </w:rPr>
      </w:pPr>
      <w:r>
        <w:rPr/>
        <w:t>The</w:t>
      </w:r>
      <w:r>
        <w:rPr>
          <w:spacing w:val="35"/>
        </w:rPr>
        <w:t> </w:t>
      </w:r>
      <w:r>
        <w:rPr/>
        <w:t>methanol</w:t>
      </w:r>
      <w:r>
        <w:rPr>
          <w:spacing w:val="36"/>
        </w:rPr>
        <w:t> </w:t>
      </w:r>
      <w:r>
        <w:rPr/>
        <w:t>leaf</w:t>
      </w:r>
      <w:r>
        <w:rPr>
          <w:spacing w:val="36"/>
        </w:rPr>
        <w:t> </w:t>
      </w:r>
      <w:r>
        <w:rPr/>
        <w:t>extract</w:t>
      </w:r>
      <w:r>
        <w:rPr>
          <w:spacing w:val="36"/>
        </w:rPr>
        <w:t> </w:t>
      </w:r>
      <w:r>
        <w:rPr/>
        <w:t>of</w:t>
      </w:r>
      <w:r>
        <w:rPr>
          <w:spacing w:val="38"/>
        </w:rPr>
        <w:t> </w:t>
      </w:r>
      <w:r>
        <w:rPr>
          <w:i/>
        </w:rPr>
        <w:t>Diospyros</w:t>
      </w:r>
      <w:r>
        <w:rPr>
          <w:i/>
          <w:spacing w:val="36"/>
        </w:rPr>
        <w:t> </w:t>
      </w:r>
      <w:r>
        <w:rPr>
          <w:i/>
        </w:rPr>
        <w:t>mespiliformis</w:t>
      </w:r>
      <w:r>
        <w:rPr>
          <w:i/>
          <w:spacing w:val="39"/>
        </w:rPr>
        <w:t> </w:t>
      </w:r>
      <w:r>
        <w:rPr/>
        <w:t>when</w:t>
      </w:r>
      <w:r>
        <w:rPr>
          <w:spacing w:val="36"/>
        </w:rPr>
        <w:t> </w:t>
      </w:r>
      <w:r>
        <w:rPr/>
        <w:t>administered</w:t>
      </w:r>
      <w:r>
        <w:rPr>
          <w:spacing w:val="37"/>
        </w:rPr>
        <w:t> </w:t>
      </w:r>
      <w:r>
        <w:rPr/>
        <w:t>at</w:t>
      </w:r>
      <w:r>
        <w:rPr>
          <w:spacing w:val="36"/>
        </w:rPr>
        <w:t> </w:t>
      </w:r>
      <w:r>
        <w:rPr/>
        <w:t>doses</w:t>
      </w:r>
      <w:r>
        <w:rPr>
          <w:spacing w:val="36"/>
        </w:rPr>
        <w:t> </w:t>
      </w:r>
      <w:r>
        <w:rPr/>
        <w:t>of</w:t>
      </w:r>
      <w:r>
        <w:rPr>
          <w:spacing w:val="35"/>
        </w:rPr>
        <w:t> </w:t>
      </w:r>
      <w:r>
        <w:rPr/>
        <w:t>50,</w:t>
      </w:r>
      <w:r>
        <w:rPr>
          <w:spacing w:val="-57"/>
        </w:rPr>
        <w:t> </w:t>
      </w:r>
      <w:r>
        <w:rPr/>
        <w:t>250, 500 and 1000 mg/kg for twenty eight days causes increases in serum AST values</w:t>
      </w:r>
      <w:r>
        <w:rPr>
          <w:spacing w:val="1"/>
        </w:rPr>
        <w:t> </w:t>
      </w:r>
      <w:r>
        <w:rPr/>
        <w:t>especially at 250 mg/kg and 500 mg/kg and then a decrease AST value at 1000mg/kg,</w:t>
      </w:r>
      <w:r>
        <w:rPr>
          <w:spacing w:val="1"/>
        </w:rPr>
        <w:t> </w:t>
      </w:r>
      <w:r>
        <w:rPr/>
        <w:t>likewise, increase in ALT values was seen at 50, 500 and 1000 mg/kg, there is however a</w:t>
      </w:r>
      <w:r>
        <w:rPr>
          <w:spacing w:val="1"/>
        </w:rPr>
        <w:t> </w:t>
      </w:r>
      <w:r>
        <w:rPr/>
        <w:t>slight decrease in ALT value at 250mg/kg when compared with the control, but all these</w:t>
      </w:r>
      <w:r>
        <w:rPr>
          <w:spacing w:val="1"/>
        </w:rPr>
        <w:t> </w:t>
      </w:r>
      <w:r>
        <w:rPr/>
        <w:t>increases in both AST and ALT values were found not to be statistically significant when</w:t>
      </w:r>
      <w:r>
        <w:rPr>
          <w:spacing w:val="1"/>
        </w:rPr>
        <w:t> </w:t>
      </w:r>
      <w:r>
        <w:rPr/>
        <w:t>compared to the control at P&lt;0.05 (ANOVA post hoc dunnet).This findings disagrees with</w:t>
      </w:r>
      <w:r>
        <w:rPr>
          <w:spacing w:val="1"/>
        </w:rPr>
        <w:t> </w:t>
      </w:r>
      <w:r>
        <w:rPr/>
        <w:t>the work of Jigam </w:t>
      </w:r>
      <w:r>
        <w:rPr>
          <w:i/>
        </w:rPr>
        <w:t>et al </w:t>
      </w:r>
      <w:r>
        <w:rPr/>
        <w:t>2012 who showed significant elevation of serum AST and ALT</w:t>
      </w:r>
      <w:r>
        <w:rPr>
          <w:spacing w:val="1"/>
        </w:rPr>
        <w:t> </w:t>
      </w:r>
      <w:r>
        <w:rPr/>
        <w:t>values</w:t>
      </w:r>
      <w:r>
        <w:rPr>
          <w:spacing w:val="-2"/>
        </w:rPr>
        <w:t> </w:t>
      </w:r>
      <w:r>
        <w:rPr/>
        <w:t>with the</w:t>
      </w:r>
      <w:r>
        <w:rPr>
          <w:spacing w:val="-1"/>
        </w:rPr>
        <w:t> </w:t>
      </w:r>
      <w:r>
        <w:rPr/>
        <w:t>methanolic root extract of</w:t>
      </w:r>
      <w:r>
        <w:rPr>
          <w:spacing w:val="1"/>
        </w:rPr>
        <w:t> </w:t>
      </w:r>
      <w:r>
        <w:rPr>
          <w:i/>
        </w:rPr>
        <w:t>Diospyros mespiliformis</w:t>
      </w:r>
    </w:p>
    <w:p>
      <w:pPr>
        <w:pStyle w:val="BodyText"/>
        <w:rPr>
          <w:i/>
          <w:sz w:val="26"/>
        </w:rPr>
      </w:pPr>
    </w:p>
    <w:p>
      <w:pPr>
        <w:pStyle w:val="BodyText"/>
        <w:spacing w:before="1"/>
        <w:rPr>
          <w:i/>
          <w:sz w:val="22"/>
        </w:rPr>
      </w:pPr>
    </w:p>
    <w:p>
      <w:pPr>
        <w:pStyle w:val="BodyText"/>
        <w:spacing w:line="480" w:lineRule="auto" w:before="1"/>
        <w:ind w:left="311" w:right="121"/>
        <w:jc w:val="both"/>
      </w:pPr>
      <w:r>
        <w:rPr/>
        <w:t>The enzyme, AST formerly referred to as serum glutamic oxaloacetic transaminase (SGOT)</w:t>
      </w:r>
      <w:r>
        <w:rPr>
          <w:spacing w:val="1"/>
        </w:rPr>
        <w:t> </w:t>
      </w:r>
      <w:r>
        <w:rPr/>
        <w:t>is found in the heart and liver and moderately present in skeletal muscle, kidney and the</w:t>
      </w:r>
      <w:r>
        <w:rPr>
          <w:spacing w:val="1"/>
        </w:rPr>
        <w:t> </w:t>
      </w:r>
      <w:r>
        <w:rPr/>
        <w:t>pancrease</w:t>
      </w:r>
      <w:r>
        <w:rPr>
          <w:spacing w:val="7"/>
        </w:rPr>
        <w:t> </w:t>
      </w:r>
      <w:r>
        <w:rPr/>
        <w:t>(Schwartz</w:t>
      </w:r>
      <w:r>
        <w:rPr>
          <w:spacing w:val="9"/>
        </w:rPr>
        <w:t> </w:t>
      </w:r>
      <w:r>
        <w:rPr/>
        <w:t>and</w:t>
      </w:r>
      <w:r>
        <w:rPr>
          <w:spacing w:val="8"/>
        </w:rPr>
        <w:t> </w:t>
      </w:r>
      <w:r>
        <w:rPr/>
        <w:t>Garrison,</w:t>
      </w:r>
      <w:r>
        <w:rPr>
          <w:spacing w:val="9"/>
        </w:rPr>
        <w:t> </w:t>
      </w:r>
      <w:r>
        <w:rPr/>
        <w:t>2008)</w:t>
      </w:r>
      <w:r>
        <w:rPr>
          <w:spacing w:val="7"/>
        </w:rPr>
        <w:t> </w:t>
      </w:r>
      <w:r>
        <w:rPr/>
        <w:t>while</w:t>
      </w:r>
      <w:r>
        <w:rPr>
          <w:spacing w:val="7"/>
        </w:rPr>
        <w:t> </w:t>
      </w:r>
      <w:r>
        <w:rPr/>
        <w:t>ALT,</w:t>
      </w:r>
      <w:r>
        <w:rPr>
          <w:spacing w:val="8"/>
        </w:rPr>
        <w:t> </w:t>
      </w:r>
      <w:r>
        <w:rPr/>
        <w:t>formerly</w:t>
      </w:r>
      <w:r>
        <w:rPr>
          <w:spacing w:val="3"/>
        </w:rPr>
        <w:t> </w:t>
      </w:r>
      <w:r>
        <w:rPr/>
        <w:t>called</w:t>
      </w:r>
      <w:r>
        <w:rPr>
          <w:spacing w:val="10"/>
        </w:rPr>
        <w:t> </w:t>
      </w:r>
      <w:r>
        <w:rPr/>
        <w:t>serum</w:t>
      </w:r>
      <w:r>
        <w:rPr>
          <w:spacing w:val="8"/>
        </w:rPr>
        <w:t> </w:t>
      </w:r>
      <w:r>
        <w:rPr/>
        <w:t>glutamic</w:t>
      </w:r>
    </w:p>
    <w:p>
      <w:pPr>
        <w:spacing w:after="0" w:line="480" w:lineRule="auto"/>
        <w:jc w:val="both"/>
        <w:sectPr>
          <w:pgSz w:w="12240" w:h="15840"/>
          <w:pgMar w:header="0" w:footer="792" w:top="1360" w:bottom="980" w:left="1580" w:right="1320"/>
        </w:sectPr>
      </w:pPr>
    </w:p>
    <w:p>
      <w:pPr>
        <w:pStyle w:val="BodyText"/>
        <w:spacing w:line="480" w:lineRule="auto" w:before="72"/>
        <w:ind w:left="311" w:right="115"/>
        <w:jc w:val="both"/>
      </w:pPr>
      <w:r>
        <w:rPr/>
        <w:t>pyruvic</w:t>
      </w:r>
      <w:r>
        <w:rPr>
          <w:spacing w:val="1"/>
        </w:rPr>
        <w:t> </w:t>
      </w:r>
      <w:r>
        <w:rPr/>
        <w:t>transaminase</w:t>
      </w:r>
      <w:r>
        <w:rPr>
          <w:spacing w:val="1"/>
        </w:rPr>
        <w:t> </w:t>
      </w:r>
      <w:r>
        <w:rPr/>
        <w:t>(SGPT)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predominantly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primarily</w:t>
      </w:r>
      <w:r>
        <w:rPr>
          <w:spacing w:val="1"/>
        </w:rPr>
        <w:t> </w:t>
      </w:r>
      <w:r>
        <w:rPr/>
        <w:t>found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liver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clinically</w:t>
      </w:r>
      <w:r>
        <w:rPr>
          <w:spacing w:val="1"/>
        </w:rPr>
        <w:t> </w:t>
      </w:r>
      <w:r>
        <w:rPr/>
        <w:t>negligible</w:t>
      </w:r>
      <w:r>
        <w:rPr>
          <w:spacing w:val="1"/>
        </w:rPr>
        <w:t> </w:t>
      </w:r>
      <w:r>
        <w:rPr/>
        <w:t>quantities</w:t>
      </w:r>
      <w:r>
        <w:rPr>
          <w:spacing w:val="1"/>
        </w:rPr>
        <w:t> </w:t>
      </w:r>
      <w:r>
        <w:rPr/>
        <w:t>found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kidneys,</w:t>
      </w:r>
      <w:r>
        <w:rPr>
          <w:spacing w:val="1"/>
        </w:rPr>
        <w:t> </w:t>
      </w:r>
      <w:r>
        <w:rPr/>
        <w:t>heart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skeletal</w:t>
      </w:r>
      <w:r>
        <w:rPr>
          <w:spacing w:val="1"/>
        </w:rPr>
        <w:t> </w:t>
      </w:r>
      <w:r>
        <w:rPr/>
        <w:t>muscle,</w:t>
      </w:r>
      <w:r>
        <w:rPr>
          <w:spacing w:val="1"/>
        </w:rPr>
        <w:t> </w:t>
      </w:r>
      <w:r>
        <w:rPr/>
        <w:t>hence</w:t>
      </w:r>
      <w:r>
        <w:rPr>
          <w:spacing w:val="1"/>
        </w:rPr>
        <w:t> </w:t>
      </w:r>
      <w:r>
        <w:rPr/>
        <w:t>elevation in serum ALT are more specific for liver related injuries or diseases (Schwartz and</w:t>
      </w:r>
      <w:r>
        <w:rPr>
          <w:spacing w:val="-57"/>
        </w:rPr>
        <w:t> </w:t>
      </w:r>
      <w:r>
        <w:rPr/>
        <w:t>Garrison, 2008). Both AST and ALT are commonly measured in (diagnostic enzymology)</w:t>
      </w:r>
      <w:r>
        <w:rPr>
          <w:spacing w:val="1"/>
        </w:rPr>
        <w:t> </w:t>
      </w:r>
      <w:r>
        <w:rPr/>
        <w:t>serum and are sensitive indicators of necrotic lesions within the liver because of their high</w:t>
      </w:r>
      <w:r>
        <w:rPr>
          <w:spacing w:val="1"/>
        </w:rPr>
        <w:t> </w:t>
      </w:r>
      <w:r>
        <w:rPr/>
        <w:t>concentrations and easy liberations from the hepatocyte cytoplasm (Sease et al, 2008) where</w:t>
      </w:r>
      <w:r>
        <w:rPr>
          <w:spacing w:val="-57"/>
        </w:rPr>
        <w:t> </w:t>
      </w:r>
      <w:r>
        <w:rPr/>
        <w:t>they are located and then released into the blood from the damaged cells (Schwartz and</w:t>
      </w:r>
      <w:r>
        <w:rPr>
          <w:spacing w:val="1"/>
        </w:rPr>
        <w:t> </w:t>
      </w:r>
      <w:r>
        <w:rPr/>
        <w:t>Garrison,</w:t>
      </w:r>
      <w:r>
        <w:rPr>
          <w:spacing w:val="-1"/>
        </w:rPr>
        <w:t> </w:t>
      </w:r>
      <w:r>
        <w:rPr/>
        <w:t>2008).</w:t>
      </w:r>
    </w:p>
    <w:p>
      <w:pPr>
        <w:pStyle w:val="BodyText"/>
        <w:spacing w:line="480" w:lineRule="auto" w:before="1"/>
        <w:ind w:left="311" w:right="113" w:firstLine="28"/>
        <w:jc w:val="both"/>
      </w:pPr>
      <w:r>
        <w:rPr/>
        <w:t>ALT</w:t>
      </w:r>
      <w:r>
        <w:rPr>
          <w:spacing w:val="1"/>
        </w:rPr>
        <w:t> </w:t>
      </w:r>
      <w:r>
        <w:rPr/>
        <w:t>catalyses the transfer of amino groups between</w:t>
      </w:r>
      <w:r>
        <w:rPr>
          <w:spacing w:val="1"/>
        </w:rPr>
        <w:t> </w:t>
      </w:r>
      <w:r>
        <w:rPr/>
        <w:t>L-alanine and</w:t>
      </w:r>
      <w:r>
        <w:rPr>
          <w:spacing w:val="1"/>
        </w:rPr>
        <w:t> </w:t>
      </w:r>
      <w:r>
        <w:rPr/>
        <w:t>glutamate to</w:t>
      </w:r>
      <w:r>
        <w:rPr>
          <w:spacing w:val="1"/>
        </w:rPr>
        <w:t> </w:t>
      </w:r>
      <w:r>
        <w:rPr/>
        <w:t>meet</w:t>
      </w:r>
      <w:r>
        <w:rPr>
          <w:spacing w:val="1"/>
        </w:rPr>
        <w:t> </w:t>
      </w:r>
      <w:r>
        <w:rPr/>
        <w:t>physiological needs. AST catalyses the transfer of amino acid and keto groups between</w:t>
      </w:r>
      <w:r>
        <w:rPr>
          <w:spacing w:val="1"/>
        </w:rPr>
        <w:t> </w:t>
      </w:r>
      <w:r>
        <w:rPr/>
        <w:t>alpha-amino acids and alpha-keto acids thereby acquiring the term transferase (Tolman and</w:t>
      </w:r>
      <w:r>
        <w:rPr>
          <w:spacing w:val="1"/>
        </w:rPr>
        <w:t> </w:t>
      </w:r>
      <w:r>
        <w:rPr/>
        <w:t>Rej,</w:t>
      </w:r>
      <w:r>
        <w:rPr>
          <w:spacing w:val="1"/>
        </w:rPr>
        <w:t> </w:t>
      </w:r>
      <w:r>
        <w:rPr/>
        <w:t>1999)</w:t>
      </w:r>
      <w:r>
        <w:rPr>
          <w:spacing w:val="1"/>
        </w:rPr>
        <w:t> </w:t>
      </w:r>
      <w:r>
        <w:rPr/>
        <w:t>although</w:t>
      </w:r>
      <w:r>
        <w:rPr>
          <w:spacing w:val="1"/>
        </w:rPr>
        <w:t> </w:t>
      </w:r>
      <w:r>
        <w:rPr/>
        <w:t>serum</w:t>
      </w:r>
      <w:r>
        <w:rPr>
          <w:spacing w:val="1"/>
        </w:rPr>
        <w:t> </w:t>
      </w:r>
      <w:r>
        <w:rPr/>
        <w:t>levels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both</w:t>
      </w:r>
      <w:r>
        <w:rPr>
          <w:spacing w:val="1"/>
        </w:rPr>
        <w:t> </w:t>
      </w:r>
      <w:r>
        <w:rPr/>
        <w:t>ALT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AST</w:t>
      </w:r>
      <w:r>
        <w:rPr>
          <w:spacing w:val="1"/>
        </w:rPr>
        <w:t> </w:t>
      </w:r>
      <w:r>
        <w:rPr/>
        <w:t>rise</w:t>
      </w:r>
      <w:r>
        <w:rPr>
          <w:spacing w:val="1"/>
        </w:rPr>
        <w:t> </w:t>
      </w:r>
      <w:r>
        <w:rPr/>
        <w:t>whenever</w:t>
      </w:r>
      <w:r>
        <w:rPr>
          <w:spacing w:val="1"/>
        </w:rPr>
        <w:t> </w:t>
      </w:r>
      <w:r>
        <w:rPr/>
        <w:t>there</w:t>
      </w:r>
      <w:r>
        <w:rPr>
          <w:spacing w:val="60"/>
        </w:rPr>
        <w:t> </w:t>
      </w:r>
      <w:r>
        <w:rPr/>
        <w:t>is</w:t>
      </w:r>
      <w:r>
        <w:rPr>
          <w:spacing w:val="1"/>
        </w:rPr>
        <w:t> </w:t>
      </w:r>
      <w:r>
        <w:rPr/>
        <w:t>hepatocellular necrosis, elevations of ALT persist longer than do those of AST activity</w:t>
      </w:r>
      <w:r>
        <w:rPr>
          <w:spacing w:val="1"/>
        </w:rPr>
        <w:t> </w:t>
      </w:r>
      <w:r>
        <w:rPr/>
        <w:t>(Johnston, 1999) and AST/ALT ratio may sometimes determine if liver damage is related to</w:t>
      </w:r>
      <w:r>
        <w:rPr>
          <w:spacing w:val="1"/>
        </w:rPr>
        <w:t> </w:t>
      </w:r>
      <w:r>
        <w:rPr/>
        <w:t>alcohol dependence (Pratt and Kaplan, 2000; Rochling, 2001). Decrease AST and ALT</w:t>
      </w:r>
      <w:r>
        <w:rPr>
          <w:spacing w:val="1"/>
        </w:rPr>
        <w:t> </w:t>
      </w:r>
      <w:r>
        <w:rPr/>
        <w:t>levels; however have</w:t>
      </w:r>
      <w:r>
        <w:rPr>
          <w:spacing w:val="-1"/>
        </w:rPr>
        <w:t> </w:t>
      </w:r>
      <w:r>
        <w:rPr/>
        <w:t>been observed in end stage</w:t>
      </w:r>
      <w:r>
        <w:rPr>
          <w:spacing w:val="-1"/>
        </w:rPr>
        <w:t> </w:t>
      </w:r>
      <w:r>
        <w:rPr/>
        <w:t>liver</w:t>
      </w:r>
      <w:r>
        <w:rPr>
          <w:spacing w:val="-1"/>
        </w:rPr>
        <w:t> </w:t>
      </w:r>
      <w:r>
        <w:rPr/>
        <w:t>disease.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480" w:lineRule="auto"/>
        <w:ind w:left="311" w:right="115"/>
        <w:jc w:val="both"/>
      </w:pPr>
      <w:r>
        <w:rPr/>
        <w:t>The</w:t>
      </w:r>
      <w:r>
        <w:rPr>
          <w:spacing w:val="1"/>
        </w:rPr>
        <w:t> </w:t>
      </w:r>
      <w:r>
        <w:rPr/>
        <w:t>alkaline</w:t>
      </w:r>
      <w:r>
        <w:rPr>
          <w:spacing w:val="1"/>
        </w:rPr>
        <w:t> </w:t>
      </w:r>
      <w:r>
        <w:rPr/>
        <w:t>phosphatases</w:t>
      </w:r>
      <w:r>
        <w:rPr>
          <w:spacing w:val="1"/>
        </w:rPr>
        <w:t> </w:t>
      </w:r>
      <w:r>
        <w:rPr/>
        <w:t>(ALPs)</w:t>
      </w:r>
      <w:r>
        <w:rPr>
          <w:spacing w:val="1"/>
        </w:rPr>
        <w:t> </w:t>
      </w:r>
      <w:r>
        <w:rPr/>
        <w:t>constitutes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large</w:t>
      </w:r>
      <w:r>
        <w:rPr>
          <w:spacing w:val="1"/>
        </w:rPr>
        <w:t> </w:t>
      </w:r>
      <w:r>
        <w:rPr/>
        <w:t>group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isoenzymes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play</w:t>
      </w:r>
      <w:r>
        <w:rPr>
          <w:spacing w:val="1"/>
        </w:rPr>
        <w:t> </w:t>
      </w:r>
      <w:r>
        <w:rPr/>
        <w:t>important roles in the transport of sugar and phosphates and are derived primarily from liver</w:t>
      </w:r>
      <w:r>
        <w:rPr>
          <w:spacing w:val="-57"/>
        </w:rPr>
        <w:t> </w:t>
      </w:r>
      <w:r>
        <w:rPr/>
        <w:t>and bones (Schwartz and Garrison, 2008). Though ALP is present in the liver only in small</w:t>
      </w:r>
      <w:r>
        <w:rPr>
          <w:spacing w:val="1"/>
        </w:rPr>
        <w:t> </w:t>
      </w:r>
      <w:r>
        <w:rPr/>
        <w:t>quantities, the enzyme is secreted into the bile and substantial elevation of serum ALP is</w:t>
      </w:r>
      <w:r>
        <w:rPr>
          <w:spacing w:val="1"/>
        </w:rPr>
        <w:t> </w:t>
      </w:r>
      <w:r>
        <w:rPr/>
        <w:t>seen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mild</w:t>
      </w:r>
      <w:r>
        <w:rPr>
          <w:spacing w:val="1"/>
        </w:rPr>
        <w:t> </w:t>
      </w:r>
      <w:r>
        <w:rPr/>
        <w:t>intrahepatic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extrahepatic</w:t>
      </w:r>
      <w:r>
        <w:rPr>
          <w:spacing w:val="1"/>
        </w:rPr>
        <w:t> </w:t>
      </w:r>
      <w:r>
        <w:rPr/>
        <w:t>biliary obstruction</w:t>
      </w:r>
      <w:r>
        <w:rPr>
          <w:spacing w:val="1"/>
        </w:rPr>
        <w:t> </w:t>
      </w:r>
      <w:r>
        <w:rPr/>
        <w:t>(Schwartz</w:t>
      </w:r>
      <w:r>
        <w:rPr>
          <w:spacing w:val="1"/>
        </w:rPr>
        <w:t> </w:t>
      </w:r>
      <w:r>
        <w:rPr/>
        <w:t>and</w:t>
      </w:r>
      <w:r>
        <w:rPr>
          <w:spacing w:val="60"/>
        </w:rPr>
        <w:t> </w:t>
      </w:r>
      <w:r>
        <w:rPr/>
        <w:t>Garrison,</w:t>
      </w:r>
      <w:r>
        <w:rPr>
          <w:spacing w:val="-57"/>
        </w:rPr>
        <w:t> </w:t>
      </w:r>
      <w:r>
        <w:rPr/>
        <w:t>2008)</w:t>
      </w:r>
      <w:r>
        <w:rPr>
          <w:spacing w:val="43"/>
        </w:rPr>
        <w:t> </w:t>
      </w:r>
      <w:r>
        <w:rPr/>
        <w:t>and</w:t>
      </w:r>
      <w:r>
        <w:rPr>
          <w:spacing w:val="46"/>
        </w:rPr>
        <w:t> </w:t>
      </w:r>
      <w:r>
        <w:rPr/>
        <w:t>early</w:t>
      </w:r>
      <w:r>
        <w:rPr>
          <w:spacing w:val="40"/>
        </w:rPr>
        <w:t> </w:t>
      </w:r>
      <w:r>
        <w:rPr/>
        <w:t>bile</w:t>
      </w:r>
      <w:r>
        <w:rPr>
          <w:spacing w:val="43"/>
        </w:rPr>
        <w:t> </w:t>
      </w:r>
      <w:r>
        <w:rPr/>
        <w:t>duct</w:t>
      </w:r>
      <w:r>
        <w:rPr>
          <w:spacing w:val="45"/>
        </w:rPr>
        <w:t> </w:t>
      </w:r>
      <w:r>
        <w:rPr/>
        <w:t>abnormalities</w:t>
      </w:r>
      <w:r>
        <w:rPr>
          <w:spacing w:val="44"/>
        </w:rPr>
        <w:t> </w:t>
      </w:r>
      <w:r>
        <w:rPr/>
        <w:t>leads</w:t>
      </w:r>
      <w:r>
        <w:rPr>
          <w:spacing w:val="45"/>
        </w:rPr>
        <w:t> </w:t>
      </w:r>
      <w:r>
        <w:rPr/>
        <w:t>to</w:t>
      </w:r>
      <w:r>
        <w:rPr>
          <w:spacing w:val="44"/>
        </w:rPr>
        <w:t> </w:t>
      </w:r>
      <w:r>
        <w:rPr/>
        <w:t>elevated</w:t>
      </w:r>
      <w:r>
        <w:rPr>
          <w:spacing w:val="47"/>
        </w:rPr>
        <w:t> </w:t>
      </w:r>
      <w:r>
        <w:rPr/>
        <w:t>ALP</w:t>
      </w:r>
      <w:r>
        <w:rPr>
          <w:spacing w:val="45"/>
        </w:rPr>
        <w:t> </w:t>
      </w:r>
      <w:r>
        <w:rPr/>
        <w:t>even</w:t>
      </w:r>
      <w:r>
        <w:rPr>
          <w:spacing w:val="44"/>
        </w:rPr>
        <w:t> </w:t>
      </w:r>
      <w:r>
        <w:rPr/>
        <w:t>before</w:t>
      </w:r>
      <w:r>
        <w:rPr>
          <w:spacing w:val="46"/>
        </w:rPr>
        <w:t> </w:t>
      </w:r>
      <w:r>
        <w:rPr/>
        <w:t>increases</w:t>
      </w:r>
      <w:r>
        <w:rPr>
          <w:spacing w:val="44"/>
        </w:rPr>
        <w:t> </w:t>
      </w:r>
      <w:r>
        <w:rPr/>
        <w:t>in</w:t>
      </w:r>
    </w:p>
    <w:p>
      <w:pPr>
        <w:spacing w:after="0" w:line="480" w:lineRule="auto"/>
        <w:jc w:val="both"/>
        <w:sectPr>
          <w:pgSz w:w="12240" w:h="15840"/>
          <w:pgMar w:header="0" w:footer="792" w:top="1360" w:bottom="980" w:left="1580" w:right="1320"/>
        </w:sectPr>
      </w:pPr>
    </w:p>
    <w:p>
      <w:pPr>
        <w:pStyle w:val="BodyText"/>
        <w:spacing w:line="480" w:lineRule="auto" w:before="72"/>
        <w:ind w:left="311" w:right="112"/>
        <w:jc w:val="both"/>
      </w:pPr>
      <w:r>
        <w:rPr/>
        <w:t>serum bilirubin is observed, while bilirubin is a breakdown product of haemoglobin derived</w:t>
      </w:r>
      <w:r>
        <w:rPr>
          <w:spacing w:val="1"/>
        </w:rPr>
        <w:t> </w:t>
      </w:r>
      <w:r>
        <w:rPr/>
        <w:t>from senescent red blood cells (Sease </w:t>
      </w:r>
      <w:r>
        <w:rPr>
          <w:i/>
        </w:rPr>
        <w:t>et al</w:t>
      </w:r>
      <w:r>
        <w:rPr/>
        <w:t>., 2008) and because some bilirubin are also</w:t>
      </w:r>
      <w:r>
        <w:rPr>
          <w:spacing w:val="1"/>
        </w:rPr>
        <w:t> </w:t>
      </w:r>
      <w:r>
        <w:rPr/>
        <w:t>excreted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bile</w:t>
      </w:r>
      <w:r>
        <w:rPr>
          <w:spacing w:val="1"/>
        </w:rPr>
        <w:t> </w:t>
      </w:r>
      <w:r>
        <w:rPr/>
        <w:t>(Schwartz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Garrison,</w:t>
      </w:r>
      <w:r>
        <w:rPr>
          <w:spacing w:val="1"/>
        </w:rPr>
        <w:t> </w:t>
      </w:r>
      <w:r>
        <w:rPr/>
        <w:t>2008)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level</w:t>
      </w:r>
      <w:r>
        <w:rPr>
          <w:spacing w:val="1"/>
        </w:rPr>
        <w:t> </w:t>
      </w:r>
      <w:r>
        <w:rPr/>
        <w:t>rises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hepatobiliary</w:t>
      </w:r>
      <w:r>
        <w:rPr>
          <w:spacing w:val="1"/>
        </w:rPr>
        <w:t> </w:t>
      </w:r>
      <w:r>
        <w:rPr/>
        <w:t>obstruction secondary to gallstone or malignancy (Sease</w:t>
      </w:r>
      <w:r>
        <w:rPr>
          <w:spacing w:val="1"/>
        </w:rPr>
        <w:t> </w:t>
      </w:r>
      <w:r>
        <w:rPr>
          <w:i/>
        </w:rPr>
        <w:t>et al</w:t>
      </w:r>
      <w:r>
        <w:rPr/>
        <w:t>., 2008). Hepatic damage</w:t>
      </w:r>
      <w:r>
        <w:rPr>
          <w:spacing w:val="1"/>
        </w:rPr>
        <w:t> </w:t>
      </w:r>
      <w:r>
        <w:rPr/>
        <w:t>involving the bile canalicular systems is referred to as cholestatic injury and is described as</w:t>
      </w:r>
      <w:r>
        <w:rPr>
          <w:spacing w:val="1"/>
        </w:rPr>
        <w:t> </w:t>
      </w:r>
      <w:r>
        <w:rPr/>
        <w:t>disturbance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subcellular</w:t>
      </w:r>
      <w:r>
        <w:rPr>
          <w:spacing w:val="1"/>
        </w:rPr>
        <w:t> </w:t>
      </w:r>
      <w:r>
        <w:rPr/>
        <w:t>actin</w:t>
      </w:r>
      <w:r>
        <w:rPr>
          <w:spacing w:val="1"/>
        </w:rPr>
        <w:t> </w:t>
      </w:r>
      <w:r>
        <w:rPr/>
        <w:t>filaments</w:t>
      </w:r>
      <w:r>
        <w:rPr>
          <w:spacing w:val="1"/>
        </w:rPr>
        <w:t> </w:t>
      </w:r>
      <w:r>
        <w:rPr/>
        <w:t>around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canaliculi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prevent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movement of bile through the canaliculi system (Leonard </w:t>
      </w:r>
      <w:r>
        <w:rPr>
          <w:i/>
        </w:rPr>
        <w:t>et al</w:t>
      </w:r>
      <w:r>
        <w:rPr/>
        <w:t>., 1987). The inability of the</w:t>
      </w:r>
      <w:r>
        <w:rPr>
          <w:spacing w:val="1"/>
        </w:rPr>
        <w:t> </w:t>
      </w:r>
      <w:r>
        <w:rPr/>
        <w:t>liver to remove bile causes intrahepatic accumulation of toxic bile acids and excretion</w:t>
      </w:r>
      <w:r>
        <w:rPr>
          <w:spacing w:val="1"/>
        </w:rPr>
        <w:t> </w:t>
      </w:r>
      <w:r>
        <w:rPr/>
        <w:t>products (Cullen, 2005). Drug induced cholestasis can occur either as an acute disorder (e.g.</w:t>
      </w:r>
      <w:r>
        <w:rPr>
          <w:spacing w:val="-57"/>
        </w:rPr>
        <w:t> </w:t>
      </w:r>
      <w:r>
        <w:rPr/>
        <w:t>cholestasis with or without hepatitis and cholestasis</w:t>
      </w:r>
      <w:r>
        <w:rPr>
          <w:spacing w:val="1"/>
        </w:rPr>
        <w:t> </w:t>
      </w:r>
      <w:r>
        <w:rPr/>
        <w:t>with bile duct injury) or as a chronic</w:t>
      </w:r>
      <w:r>
        <w:rPr>
          <w:spacing w:val="1"/>
        </w:rPr>
        <w:t> </w:t>
      </w:r>
      <w:r>
        <w:rPr/>
        <w:t>disorder</w:t>
      </w:r>
      <w:r>
        <w:rPr>
          <w:spacing w:val="1"/>
        </w:rPr>
        <w:t> </w:t>
      </w:r>
      <w:r>
        <w:rPr/>
        <w:t>(e.g.</w:t>
      </w:r>
      <w:r>
        <w:rPr>
          <w:spacing w:val="1"/>
        </w:rPr>
        <w:t> </w:t>
      </w:r>
      <w:r>
        <w:rPr/>
        <w:t>vanishing</w:t>
      </w:r>
      <w:r>
        <w:rPr>
          <w:spacing w:val="1"/>
        </w:rPr>
        <w:t> </w:t>
      </w:r>
      <w:r>
        <w:rPr/>
        <w:t>bile</w:t>
      </w:r>
      <w:r>
        <w:rPr>
          <w:spacing w:val="1"/>
        </w:rPr>
        <w:t> </w:t>
      </w:r>
      <w:r>
        <w:rPr/>
        <w:t>duct</w:t>
      </w:r>
      <w:r>
        <w:rPr>
          <w:spacing w:val="1"/>
        </w:rPr>
        <w:t> </w:t>
      </w:r>
      <w:r>
        <w:rPr/>
        <w:t>syndrome,</w:t>
      </w:r>
      <w:r>
        <w:rPr>
          <w:spacing w:val="1"/>
        </w:rPr>
        <w:t> </w:t>
      </w:r>
      <w:r>
        <w:rPr/>
        <w:t>sclerosing</w:t>
      </w:r>
      <w:r>
        <w:rPr>
          <w:spacing w:val="1"/>
        </w:rPr>
        <w:t> </w:t>
      </w:r>
      <w:r>
        <w:rPr/>
        <w:t>cholangitis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cholelithiasis,</w:t>
      </w:r>
      <w:r>
        <w:rPr>
          <w:spacing w:val="1"/>
        </w:rPr>
        <w:t> </w:t>
      </w:r>
      <w:r>
        <w:rPr/>
        <w:t>Jaeschke </w:t>
      </w:r>
      <w:r>
        <w:rPr>
          <w:i/>
        </w:rPr>
        <w:t>et al</w:t>
      </w:r>
      <w:r>
        <w:rPr/>
        <w:t>., 2002). However, the most common form of drug induced cholestasis is</w:t>
      </w:r>
      <w:r>
        <w:rPr>
          <w:spacing w:val="1"/>
        </w:rPr>
        <w:t> </w:t>
      </w:r>
      <w:r>
        <w:rPr/>
        <w:t>cholestasis with hepatitis (Kirchain and Allen, 2008).</w:t>
      </w:r>
      <w:r>
        <w:rPr>
          <w:spacing w:val="1"/>
        </w:rPr>
        <w:t> </w:t>
      </w:r>
      <w:r>
        <w:rPr/>
        <w:t>Elevations in serum ALP levels are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prominent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usually</w:t>
      </w:r>
      <w:r>
        <w:rPr>
          <w:spacing w:val="1"/>
        </w:rPr>
        <w:t> </w:t>
      </w:r>
      <w:r>
        <w:rPr/>
        <w:t>precede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elevations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liver</w:t>
      </w:r>
      <w:r>
        <w:rPr>
          <w:spacing w:val="1"/>
        </w:rPr>
        <w:t> </w:t>
      </w:r>
      <w:r>
        <w:rPr/>
        <w:t>enzymes</w:t>
      </w:r>
      <w:r>
        <w:rPr>
          <w:spacing w:val="1"/>
        </w:rPr>
        <w:t> </w:t>
      </w:r>
      <w:r>
        <w:rPr/>
        <w:t>in</w:t>
      </w:r>
      <w:r>
        <w:rPr>
          <w:spacing w:val="60"/>
        </w:rPr>
        <w:t> </w:t>
      </w:r>
      <w:r>
        <w:rPr/>
        <w:t>serum</w:t>
      </w:r>
      <w:r>
        <w:rPr>
          <w:spacing w:val="1"/>
        </w:rPr>
        <w:t> </w:t>
      </w:r>
      <w:r>
        <w:rPr/>
        <w:t>(Navarro and Senior, 2006), hence the significant elevation of serum ALP observed with the</w:t>
      </w:r>
      <w:r>
        <w:rPr>
          <w:spacing w:val="-57"/>
        </w:rPr>
        <w:t> </w:t>
      </w:r>
      <w:r>
        <w:rPr/>
        <w:t>extract might be due to extract-induced intrahepatic or extrahepatic cholestasis and this may</w:t>
      </w:r>
      <w:r>
        <w:rPr>
          <w:spacing w:val="1"/>
        </w:rPr>
        <w:t> </w:t>
      </w:r>
      <w:r>
        <w:rPr/>
        <w:t>probably</w:t>
      </w:r>
      <w:r>
        <w:rPr>
          <w:spacing w:val="16"/>
        </w:rPr>
        <w:t> </w:t>
      </w:r>
      <w:r>
        <w:rPr/>
        <w:t>preceeds</w:t>
      </w:r>
      <w:r>
        <w:rPr>
          <w:spacing w:val="19"/>
        </w:rPr>
        <w:t> </w:t>
      </w:r>
      <w:r>
        <w:rPr/>
        <w:t>elevations</w:t>
      </w:r>
      <w:r>
        <w:rPr>
          <w:spacing w:val="19"/>
        </w:rPr>
        <w:t> </w:t>
      </w:r>
      <w:r>
        <w:rPr/>
        <w:t>in</w:t>
      </w:r>
      <w:r>
        <w:rPr>
          <w:spacing w:val="19"/>
        </w:rPr>
        <w:t> </w:t>
      </w:r>
      <w:r>
        <w:rPr/>
        <w:t>serum</w:t>
      </w:r>
      <w:r>
        <w:rPr>
          <w:spacing w:val="18"/>
        </w:rPr>
        <w:t> </w:t>
      </w:r>
      <w:r>
        <w:rPr/>
        <w:t>total</w:t>
      </w:r>
      <w:r>
        <w:rPr>
          <w:spacing w:val="19"/>
        </w:rPr>
        <w:t> </w:t>
      </w:r>
      <w:r>
        <w:rPr/>
        <w:t>bilirubin</w:t>
      </w:r>
      <w:r>
        <w:rPr>
          <w:spacing w:val="19"/>
        </w:rPr>
        <w:t> </w:t>
      </w:r>
      <w:r>
        <w:rPr/>
        <w:t>levels</w:t>
      </w:r>
      <w:r>
        <w:rPr>
          <w:spacing w:val="19"/>
        </w:rPr>
        <w:t> </w:t>
      </w:r>
      <w:r>
        <w:rPr/>
        <w:t>(Schwartz</w:t>
      </w:r>
      <w:r>
        <w:rPr>
          <w:spacing w:val="19"/>
        </w:rPr>
        <w:t> </w:t>
      </w:r>
      <w:r>
        <w:rPr/>
        <w:t>and</w:t>
      </w:r>
      <w:r>
        <w:rPr>
          <w:spacing w:val="21"/>
        </w:rPr>
        <w:t> </w:t>
      </w:r>
      <w:r>
        <w:rPr/>
        <w:t>Garrison,</w:t>
      </w:r>
      <w:r>
        <w:rPr>
          <w:spacing w:val="18"/>
        </w:rPr>
        <w:t> </w:t>
      </w:r>
      <w:r>
        <w:rPr/>
        <w:t>2008)</w:t>
      </w:r>
      <w:r>
        <w:rPr>
          <w:spacing w:val="-57"/>
        </w:rPr>
        <w:t> </w:t>
      </w:r>
      <w:r>
        <w:rPr/>
        <w:t>or other liver enzymes such as AST and ALT in serum (Navarro and Senior, 2006).Drugs</w:t>
      </w:r>
      <w:r>
        <w:rPr>
          <w:spacing w:val="1"/>
        </w:rPr>
        <w:t> </w:t>
      </w:r>
      <w:r>
        <w:rPr/>
        <w:t>such as chlorpromazine or sulfonamide (Schwartz and Garrison, 2008) and others such as</w:t>
      </w:r>
      <w:r>
        <w:rPr>
          <w:spacing w:val="1"/>
        </w:rPr>
        <w:t> </w:t>
      </w:r>
      <w:r>
        <w:rPr/>
        <w:t>erythromycin estolate, amoxicillin/clavulanic acid and carbamazepine, (Watkins and Seeff,</w:t>
      </w:r>
      <w:r>
        <w:rPr>
          <w:spacing w:val="1"/>
        </w:rPr>
        <w:t> </w:t>
      </w:r>
      <w:r>
        <w:rPr/>
        <w:t>2006)</w:t>
      </w:r>
      <w:r>
        <w:rPr>
          <w:spacing w:val="-2"/>
        </w:rPr>
        <w:t> </w:t>
      </w:r>
      <w:r>
        <w:rPr/>
        <w:t>are</w:t>
      </w:r>
      <w:r>
        <w:rPr>
          <w:spacing w:val="-2"/>
        </w:rPr>
        <w:t> </w:t>
      </w:r>
      <w:r>
        <w:rPr/>
        <w:t>known to cause</w:t>
      </w:r>
      <w:r>
        <w:rPr>
          <w:spacing w:val="-1"/>
        </w:rPr>
        <w:t> </w:t>
      </w:r>
      <w:r>
        <w:rPr/>
        <w:t>cholestatic</w:t>
      </w:r>
      <w:r>
        <w:rPr>
          <w:spacing w:val="-1"/>
        </w:rPr>
        <w:t> </w:t>
      </w:r>
      <w:r>
        <w:rPr/>
        <w:t>injury.</w:t>
      </w:r>
    </w:p>
    <w:p>
      <w:pPr>
        <w:spacing w:after="0" w:line="480" w:lineRule="auto"/>
        <w:jc w:val="both"/>
        <w:sectPr>
          <w:pgSz w:w="12240" w:h="15840"/>
          <w:pgMar w:header="0" w:footer="792" w:top="1360" w:bottom="980" w:left="1580" w:right="1320"/>
        </w:sectPr>
      </w:pPr>
    </w:p>
    <w:p>
      <w:pPr>
        <w:pStyle w:val="BodyText"/>
        <w:spacing w:line="480" w:lineRule="auto" w:before="72"/>
        <w:ind w:left="311" w:right="112" w:hanging="92"/>
        <w:jc w:val="both"/>
      </w:pPr>
      <w:r>
        <w:rPr/>
        <w:t>Potassium is the major intracellular monovalent cation in the body and is filtered freely at the</w:t>
      </w:r>
      <w:r>
        <w:rPr>
          <w:spacing w:val="-57"/>
        </w:rPr>
        <w:t> </w:t>
      </w:r>
      <w:r>
        <w:rPr/>
        <w:t>glomerulus of the kidney, reabsorbed in the proximal tubule and secreted into the distal</w:t>
      </w:r>
      <w:r>
        <w:rPr>
          <w:spacing w:val="1"/>
        </w:rPr>
        <w:t> </w:t>
      </w:r>
      <w:r>
        <w:rPr/>
        <w:t>segment of the nephron (Schwartz and Garrison 2008). Because majority of potassium is</w:t>
      </w:r>
      <w:r>
        <w:rPr>
          <w:spacing w:val="1"/>
        </w:rPr>
        <w:t> </w:t>
      </w:r>
      <w:r>
        <w:rPr/>
        <w:t>sequestered within cells, a serum potassiuim concentration is not a good measure of total</w:t>
      </w:r>
      <w:r>
        <w:rPr>
          <w:spacing w:val="1"/>
        </w:rPr>
        <w:t> </w:t>
      </w:r>
      <w:r>
        <w:rPr/>
        <w:t>body</w:t>
      </w:r>
      <w:r>
        <w:rPr>
          <w:spacing w:val="1"/>
        </w:rPr>
        <w:t> </w:t>
      </w:r>
      <w:r>
        <w:rPr/>
        <w:t>potassium</w:t>
      </w:r>
      <w:r>
        <w:rPr>
          <w:spacing w:val="1"/>
        </w:rPr>
        <w:t> </w:t>
      </w:r>
      <w:r>
        <w:rPr/>
        <w:t>(Schwartz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Garrison,</w:t>
      </w:r>
      <w:r>
        <w:rPr>
          <w:spacing w:val="1"/>
        </w:rPr>
        <w:t> </w:t>
      </w:r>
      <w:r>
        <w:rPr/>
        <w:t>2008),</w:t>
      </w:r>
      <w:r>
        <w:rPr>
          <w:spacing w:val="1"/>
        </w:rPr>
        <w:t> </w:t>
      </w:r>
      <w:r>
        <w:rPr/>
        <w:t>even</w:t>
      </w:r>
      <w:r>
        <w:rPr>
          <w:spacing w:val="1"/>
        </w:rPr>
        <w:t> </w:t>
      </w:r>
      <w:r>
        <w:rPr/>
        <w:t>though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shown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specimen</w:t>
      </w:r>
      <w:r>
        <w:rPr>
          <w:spacing w:val="1"/>
        </w:rPr>
        <w:t> </w:t>
      </w:r>
      <w:r>
        <w:rPr/>
        <w:t>processing,</w:t>
      </w:r>
      <w:r>
        <w:rPr>
          <w:spacing w:val="1"/>
        </w:rPr>
        <w:t> </w:t>
      </w:r>
      <w:r>
        <w:rPr/>
        <w:t>handling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transport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known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affect</w:t>
      </w:r>
      <w:r>
        <w:rPr>
          <w:spacing w:val="1"/>
        </w:rPr>
        <w:t> </w:t>
      </w:r>
      <w:r>
        <w:rPr/>
        <w:t>specimen</w:t>
      </w:r>
      <w:r>
        <w:rPr>
          <w:spacing w:val="1"/>
        </w:rPr>
        <w:t> </w:t>
      </w:r>
      <w:r>
        <w:rPr/>
        <w:t>quality</w:t>
      </w:r>
      <w:r>
        <w:rPr>
          <w:spacing w:val="1"/>
        </w:rPr>
        <w:t> </w:t>
      </w:r>
      <w:r>
        <w:rPr/>
        <w:t>(Stankovic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Smith,</w:t>
      </w:r>
      <w:r>
        <w:rPr>
          <w:spacing w:val="1"/>
        </w:rPr>
        <w:t> </w:t>
      </w:r>
      <w:r>
        <w:rPr/>
        <w:t>2004)</w:t>
      </w:r>
      <w:r>
        <w:rPr>
          <w:spacing w:val="1"/>
        </w:rPr>
        <w:t> </w:t>
      </w:r>
      <w:r>
        <w:rPr/>
        <w:t>Delays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transport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processing,</w:t>
      </w:r>
      <w:r>
        <w:rPr>
          <w:spacing w:val="1"/>
        </w:rPr>
        <w:t> </w:t>
      </w:r>
      <w:r>
        <w:rPr/>
        <w:t>transport</w:t>
      </w:r>
      <w:r>
        <w:rPr>
          <w:spacing w:val="1"/>
        </w:rPr>
        <w:t> </w:t>
      </w:r>
      <w:r>
        <w:rPr/>
        <w:t>conditions,</w:t>
      </w:r>
      <w:r>
        <w:rPr>
          <w:spacing w:val="1"/>
        </w:rPr>
        <w:t> </w:t>
      </w:r>
      <w:r>
        <w:rPr/>
        <w:t>centrifugation and specimen storage temperature can cause haemolysis and influence the</w:t>
      </w:r>
      <w:r>
        <w:rPr>
          <w:spacing w:val="1"/>
        </w:rPr>
        <w:t> </w:t>
      </w:r>
      <w:r>
        <w:rPr/>
        <w:t>serum potassium level (Stankovic and Smith, 2004). It was reported that serum potassium</w:t>
      </w:r>
      <w:r>
        <w:rPr>
          <w:spacing w:val="1"/>
        </w:rPr>
        <w:t> </w:t>
      </w:r>
      <w:r>
        <w:rPr/>
        <w:t>level</w:t>
      </w:r>
      <w:r>
        <w:rPr>
          <w:spacing w:val="1"/>
        </w:rPr>
        <w:t> </w:t>
      </w:r>
      <w:r>
        <w:rPr/>
        <w:t>increases</w:t>
      </w:r>
      <w:r>
        <w:rPr>
          <w:spacing w:val="1"/>
        </w:rPr>
        <w:t> </w:t>
      </w:r>
      <w:r>
        <w:rPr/>
        <w:t>after</w:t>
      </w:r>
      <w:r>
        <w:rPr>
          <w:spacing w:val="1"/>
        </w:rPr>
        <w:t> </w:t>
      </w:r>
      <w:r>
        <w:rPr/>
        <w:t>2</w:t>
      </w:r>
      <w:r>
        <w:rPr>
          <w:spacing w:val="1"/>
        </w:rPr>
        <w:t> </w:t>
      </w:r>
      <w:r>
        <w:rPr/>
        <w:t>hours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collection</w:t>
      </w:r>
      <w:r>
        <w:rPr>
          <w:spacing w:val="1"/>
        </w:rPr>
        <w:t> </w:t>
      </w:r>
      <w:r>
        <w:rPr/>
        <w:t>(Laessig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</w:t>
      </w:r>
      <w:r>
        <w:rPr>
          <w:spacing w:val="1"/>
        </w:rPr>
        <w:t> </w:t>
      </w:r>
      <w:r>
        <w:rPr/>
        <w:t>1976)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excessive</w:t>
      </w:r>
      <w:r>
        <w:rPr>
          <w:spacing w:val="-57"/>
        </w:rPr>
        <w:t> </w:t>
      </w:r>
      <w:r>
        <w:rPr/>
        <w:t>agitation or mixing can also lead to increase potassium level in serum (Pragay, 1974). Also</w:t>
      </w:r>
      <w:r>
        <w:rPr>
          <w:spacing w:val="1"/>
        </w:rPr>
        <w:t> </w:t>
      </w:r>
      <w:r>
        <w:rPr/>
        <w:t>plant cells with their very high intra-cellular potassium content especially with the higher</w:t>
      </w:r>
      <w:r>
        <w:rPr>
          <w:spacing w:val="1"/>
        </w:rPr>
        <w:t> </w:t>
      </w:r>
      <w:r>
        <w:rPr/>
        <w:t>doses</w:t>
      </w:r>
      <w:r>
        <w:rPr>
          <w:spacing w:val="1"/>
        </w:rPr>
        <w:t> </w:t>
      </w:r>
      <w:r>
        <w:rPr/>
        <w:t>might</w:t>
      </w:r>
      <w:r>
        <w:rPr>
          <w:spacing w:val="1"/>
        </w:rPr>
        <w:t> </w:t>
      </w:r>
      <w:r>
        <w:rPr/>
        <w:t>possibly</w:t>
      </w:r>
      <w:r>
        <w:rPr>
          <w:spacing w:val="1"/>
        </w:rPr>
        <w:t> </w:t>
      </w:r>
      <w:r>
        <w:rPr/>
        <w:t>contribute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elevated</w:t>
      </w:r>
      <w:r>
        <w:rPr>
          <w:spacing w:val="1"/>
        </w:rPr>
        <w:t> </w:t>
      </w:r>
      <w:r>
        <w:rPr/>
        <w:t>potassium</w:t>
      </w:r>
      <w:r>
        <w:rPr>
          <w:spacing w:val="1"/>
        </w:rPr>
        <w:t> </w:t>
      </w:r>
      <w:r>
        <w:rPr/>
        <w:t>levels,</w:t>
      </w:r>
      <w:r>
        <w:rPr>
          <w:spacing w:val="1"/>
        </w:rPr>
        <w:t> </w:t>
      </w:r>
      <w:r>
        <w:rPr/>
        <w:t>However,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elevated</w:t>
      </w:r>
      <w:r>
        <w:rPr>
          <w:spacing w:val="1"/>
        </w:rPr>
        <w:t> </w:t>
      </w:r>
      <w:r>
        <w:rPr/>
        <w:t>potassium level observed with the extract might be as a result of extract induced distal</w:t>
      </w:r>
      <w:r>
        <w:rPr>
          <w:spacing w:val="1"/>
        </w:rPr>
        <w:t> </w:t>
      </w:r>
      <w:r>
        <w:rPr/>
        <w:t>tubular necrosis which leads to hyperkalaemia from impaired potassium excretion . Other</w:t>
      </w:r>
      <w:r>
        <w:rPr>
          <w:spacing w:val="1"/>
        </w:rPr>
        <w:t> </w:t>
      </w:r>
      <w:r>
        <w:rPr/>
        <w:t>manifestations of drug induced distal tubular necrosis are polyuria from failure to maximally</w:t>
      </w:r>
      <w:r>
        <w:rPr>
          <w:spacing w:val="-57"/>
        </w:rPr>
        <w:t> </w:t>
      </w:r>
      <w:r>
        <w:rPr/>
        <w:t>concentrate urine and metabolic acidosis from impaired urinary acidification.</w:t>
      </w:r>
      <w:r>
        <w:rPr>
          <w:spacing w:val="1"/>
        </w:rPr>
        <w:t> </w:t>
      </w:r>
      <w:r>
        <w:rPr/>
        <w:t>Studies has</w:t>
      </w:r>
      <w:r>
        <w:rPr>
          <w:spacing w:val="1"/>
        </w:rPr>
        <w:t> </w:t>
      </w:r>
      <w:r>
        <w:rPr/>
        <w:t>shown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acute</w:t>
      </w:r>
      <w:r>
        <w:rPr>
          <w:spacing w:val="1"/>
        </w:rPr>
        <w:t> </w:t>
      </w:r>
      <w:r>
        <w:rPr/>
        <w:t>tubular</w:t>
      </w:r>
      <w:r>
        <w:rPr>
          <w:spacing w:val="1"/>
        </w:rPr>
        <w:t> </w:t>
      </w:r>
      <w:r>
        <w:rPr/>
        <w:t>necrosis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common</w:t>
      </w:r>
      <w:r>
        <w:rPr>
          <w:spacing w:val="1"/>
        </w:rPr>
        <w:t> </w:t>
      </w:r>
      <w:r>
        <w:rPr/>
        <w:t>presentation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drug</w:t>
      </w:r>
      <w:r>
        <w:rPr>
          <w:spacing w:val="1"/>
        </w:rPr>
        <w:t> </w:t>
      </w:r>
      <w:r>
        <w:rPr/>
        <w:t>induced</w:t>
      </w:r>
      <w:r>
        <w:rPr>
          <w:spacing w:val="1"/>
        </w:rPr>
        <w:t> </w:t>
      </w:r>
      <w:r>
        <w:rPr/>
        <w:t>nephrotoxicity and that primary agents implicated are aminoglycosides, radiocontrast media,</w:t>
      </w:r>
      <w:r>
        <w:rPr>
          <w:spacing w:val="-57"/>
        </w:rPr>
        <w:t> </w:t>
      </w:r>
      <w:r>
        <w:rPr/>
        <w:t>cisplatin, amphotericin B, foscanet and Osmotically active agents (Nolin and Himmelfarb,</w:t>
      </w:r>
      <w:r>
        <w:rPr>
          <w:spacing w:val="1"/>
        </w:rPr>
        <w:t> </w:t>
      </w:r>
      <w:r>
        <w:rPr/>
        <w:t>2008).</w:t>
      </w:r>
    </w:p>
    <w:p>
      <w:pPr>
        <w:spacing w:after="0" w:line="480" w:lineRule="auto"/>
        <w:jc w:val="both"/>
        <w:sectPr>
          <w:pgSz w:w="12240" w:h="15840"/>
          <w:pgMar w:header="0" w:footer="792" w:top="1360" w:bottom="980" w:left="1580" w:right="1320"/>
        </w:sectPr>
      </w:pPr>
    </w:p>
    <w:p>
      <w:pPr>
        <w:pStyle w:val="BodyText"/>
        <w:spacing w:line="480" w:lineRule="auto" w:before="72"/>
        <w:ind w:left="311" w:right="111" w:hanging="92"/>
        <w:jc w:val="both"/>
      </w:pPr>
      <w:r>
        <w:rPr/>
        <w:t>Creatinine on the other hand is an</w:t>
      </w:r>
      <w:r>
        <w:rPr>
          <w:spacing w:val="1"/>
        </w:rPr>
        <w:t> </w:t>
      </w:r>
      <w:r>
        <w:rPr/>
        <w:t>amino acid</w:t>
      </w:r>
      <w:r>
        <w:rPr>
          <w:spacing w:val="1"/>
        </w:rPr>
        <w:t> </w:t>
      </w:r>
      <w:r>
        <w:rPr/>
        <w:t>that is freely filtered</w:t>
      </w:r>
      <w:r>
        <w:rPr>
          <w:spacing w:val="1"/>
        </w:rPr>
        <w:t> </w:t>
      </w:r>
      <w:r>
        <w:rPr/>
        <w:t>by the</w:t>
      </w:r>
      <w:r>
        <w:rPr>
          <w:spacing w:val="60"/>
        </w:rPr>
        <w:t> </w:t>
      </w:r>
      <w:r>
        <w:rPr/>
        <w:t>glomerulus</w:t>
      </w:r>
      <w:r>
        <w:rPr>
          <w:spacing w:val="1"/>
        </w:rPr>
        <w:t> </w:t>
      </w:r>
      <w:r>
        <w:rPr/>
        <w:t>(Stevens </w:t>
      </w:r>
      <w:r>
        <w:rPr>
          <w:i/>
        </w:rPr>
        <w:t>et al., </w:t>
      </w:r>
      <w:r>
        <w:rPr/>
        <w:t>2006), it is derived from creatine and phosphocreatine, major constituents of</w:t>
      </w:r>
      <w:r>
        <w:rPr>
          <w:spacing w:val="1"/>
        </w:rPr>
        <w:t> </w:t>
      </w:r>
      <w:r>
        <w:rPr/>
        <w:t>muscle</w:t>
      </w:r>
      <w:r>
        <w:rPr>
          <w:spacing w:val="1"/>
        </w:rPr>
        <w:t> </w:t>
      </w:r>
      <w:r>
        <w:rPr/>
        <w:t>(Schwartz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Garrison,</w:t>
      </w:r>
      <w:r>
        <w:rPr>
          <w:spacing w:val="1"/>
        </w:rPr>
        <w:t> </w:t>
      </w:r>
      <w:r>
        <w:rPr/>
        <w:t>2008).</w:t>
      </w:r>
      <w:r>
        <w:rPr>
          <w:spacing w:val="1"/>
        </w:rPr>
        <w:t> </w:t>
      </w:r>
      <w:r>
        <w:rPr/>
        <w:t>Each</w:t>
      </w:r>
      <w:r>
        <w:rPr>
          <w:spacing w:val="1"/>
        </w:rPr>
        <w:t> </w:t>
      </w:r>
      <w:r>
        <w:rPr/>
        <w:t>day</w:t>
      </w:r>
      <w:r>
        <w:rPr>
          <w:spacing w:val="1"/>
        </w:rPr>
        <w:t> </w:t>
      </w:r>
      <w:r>
        <w:rPr/>
        <w:t>about</w:t>
      </w:r>
      <w:r>
        <w:rPr>
          <w:spacing w:val="1"/>
        </w:rPr>
        <w:t> </w:t>
      </w:r>
      <w:r>
        <w:rPr/>
        <w:t>1-2%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muscle</w:t>
      </w:r>
      <w:r>
        <w:rPr>
          <w:spacing w:val="1"/>
        </w:rPr>
        <w:t> </w:t>
      </w:r>
      <w:r>
        <w:rPr/>
        <w:t>creatine</w:t>
      </w:r>
      <w:r>
        <w:rPr>
          <w:spacing w:val="60"/>
        </w:rPr>
        <w:t> </w:t>
      </w:r>
      <w:r>
        <w:rPr/>
        <w:t>is</w:t>
      </w:r>
      <w:r>
        <w:rPr>
          <w:spacing w:val="1"/>
        </w:rPr>
        <w:t> </w:t>
      </w:r>
      <w:r>
        <w:rPr/>
        <w:t>converted to creatinine and that men tend to have higher level of creatinine than women</w:t>
      </w:r>
      <w:r>
        <w:rPr>
          <w:spacing w:val="1"/>
        </w:rPr>
        <w:t> </w:t>
      </w:r>
      <w:r>
        <w:rPr/>
        <w:t>because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generally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higher</w:t>
      </w:r>
      <w:r>
        <w:rPr>
          <w:spacing w:val="1"/>
        </w:rPr>
        <w:t> </w:t>
      </w:r>
      <w:r>
        <w:rPr/>
        <w:t>mass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skeketal</w:t>
      </w:r>
      <w:r>
        <w:rPr>
          <w:spacing w:val="1"/>
        </w:rPr>
        <w:t> </w:t>
      </w:r>
      <w:r>
        <w:rPr/>
        <w:t>muscle</w:t>
      </w:r>
      <w:r>
        <w:rPr>
          <w:spacing w:val="1"/>
        </w:rPr>
        <w:t> </w:t>
      </w:r>
      <w:r>
        <w:rPr/>
        <w:t>(Howard,</w:t>
      </w:r>
      <w:r>
        <w:rPr>
          <w:spacing w:val="1"/>
        </w:rPr>
        <w:t> </w:t>
      </w:r>
      <w:r>
        <w:rPr/>
        <w:t>1989).</w:t>
      </w:r>
      <w:r>
        <w:rPr>
          <w:spacing w:val="1"/>
        </w:rPr>
        <w:t> </w:t>
      </w:r>
      <w:r>
        <w:rPr/>
        <w:t>Once</w:t>
      </w:r>
      <w:r>
        <w:rPr>
          <w:spacing w:val="-57"/>
        </w:rPr>
        <w:t> </w:t>
      </w:r>
      <w:r>
        <w:rPr/>
        <w:t>creatinine is released from muscle to plasma, it is excreted almost exclusively by glomerular</w:t>
      </w:r>
      <w:r>
        <w:rPr>
          <w:spacing w:val="-57"/>
        </w:rPr>
        <w:t> </w:t>
      </w:r>
      <w:r>
        <w:rPr/>
        <w:t>filteration and a decrease in glomeralar filteration rate (GFR) results in an increase in serum</w:t>
      </w:r>
      <w:r>
        <w:rPr>
          <w:spacing w:val="1"/>
        </w:rPr>
        <w:t> </w:t>
      </w:r>
      <w:r>
        <w:rPr/>
        <w:t>creatinine (Schwartz and Garrison, 2008), consequently, measuring serum creatinine is a</w:t>
      </w:r>
      <w:r>
        <w:rPr>
          <w:spacing w:val="1"/>
        </w:rPr>
        <w:t> </w:t>
      </w:r>
      <w:r>
        <w:rPr/>
        <w:t>simple kidney function test and it is the most commonly used indicator of renal function,</w:t>
      </w:r>
      <w:r>
        <w:rPr>
          <w:spacing w:val="1"/>
        </w:rPr>
        <w:t> </w:t>
      </w:r>
      <w:r>
        <w:rPr/>
        <w:t>though</w:t>
      </w:r>
      <w:r>
        <w:rPr>
          <w:spacing w:val="1"/>
        </w:rPr>
        <w:t> </w:t>
      </w:r>
      <w:r>
        <w:rPr/>
        <w:t>dietary intake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creatine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eating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lot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meat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increase</w:t>
      </w:r>
      <w:r>
        <w:rPr>
          <w:spacing w:val="1"/>
        </w:rPr>
        <w:t> </w:t>
      </w:r>
      <w:r>
        <w:rPr/>
        <w:t>daily creatinine</w:t>
      </w:r>
      <w:r>
        <w:rPr>
          <w:spacing w:val="1"/>
        </w:rPr>
        <w:t> </w:t>
      </w:r>
      <w:r>
        <w:rPr/>
        <w:t>excretion (Howard, 1989) and variations in creatinine level have been noted in different age,</w:t>
      </w:r>
      <w:r>
        <w:rPr>
          <w:spacing w:val="-57"/>
        </w:rPr>
        <w:t> </w:t>
      </w:r>
      <w:r>
        <w:rPr/>
        <w:t>geographic,</w:t>
      </w:r>
      <w:r>
        <w:rPr>
          <w:spacing w:val="57"/>
        </w:rPr>
        <w:t> </w:t>
      </w:r>
      <w:r>
        <w:rPr/>
        <w:t>ethnic</w:t>
      </w:r>
      <w:r>
        <w:rPr>
          <w:spacing w:val="57"/>
        </w:rPr>
        <w:t> </w:t>
      </w:r>
      <w:r>
        <w:rPr/>
        <w:t>and</w:t>
      </w:r>
      <w:r>
        <w:rPr>
          <w:spacing w:val="58"/>
        </w:rPr>
        <w:t> </w:t>
      </w:r>
      <w:r>
        <w:rPr/>
        <w:t>racial</w:t>
      </w:r>
      <w:r>
        <w:rPr>
          <w:spacing w:val="58"/>
        </w:rPr>
        <w:t> </w:t>
      </w:r>
      <w:r>
        <w:rPr/>
        <w:t>groups</w:t>
      </w:r>
      <w:r>
        <w:rPr>
          <w:spacing w:val="56"/>
        </w:rPr>
        <w:t> </w:t>
      </w:r>
      <w:r>
        <w:rPr/>
        <w:t>(Jafar</w:t>
      </w:r>
      <w:r>
        <w:rPr>
          <w:spacing w:val="59"/>
        </w:rPr>
        <w:t> </w:t>
      </w:r>
      <w:r>
        <w:rPr>
          <w:i/>
        </w:rPr>
        <w:t>et</w:t>
      </w:r>
      <w:r>
        <w:rPr>
          <w:i/>
          <w:spacing w:val="2"/>
        </w:rPr>
        <w:t> </w:t>
      </w:r>
      <w:r>
        <w:rPr>
          <w:i/>
        </w:rPr>
        <w:t>al</w:t>
      </w:r>
      <w:r>
        <w:rPr/>
        <w:t>.,</w:t>
      </w:r>
      <w:r>
        <w:rPr>
          <w:spacing w:val="56"/>
        </w:rPr>
        <w:t> </w:t>
      </w:r>
      <w:r>
        <w:rPr/>
        <w:t>2003).</w:t>
      </w:r>
      <w:r>
        <w:rPr>
          <w:spacing w:val="56"/>
        </w:rPr>
        <w:t> </w:t>
      </w:r>
      <w:r>
        <w:rPr/>
        <w:t>The</w:t>
      </w:r>
      <w:r>
        <w:rPr>
          <w:spacing w:val="57"/>
        </w:rPr>
        <w:t> </w:t>
      </w:r>
      <w:r>
        <w:rPr/>
        <w:t>methanol</w:t>
      </w:r>
      <w:r>
        <w:rPr>
          <w:spacing w:val="56"/>
        </w:rPr>
        <w:t> </w:t>
      </w:r>
      <w:r>
        <w:rPr/>
        <w:t>leaf</w:t>
      </w:r>
      <w:r>
        <w:rPr>
          <w:spacing w:val="58"/>
        </w:rPr>
        <w:t> </w:t>
      </w:r>
      <w:r>
        <w:rPr/>
        <w:t>extract</w:t>
      </w:r>
      <w:r>
        <w:rPr>
          <w:spacing w:val="56"/>
        </w:rPr>
        <w:t> </w:t>
      </w:r>
      <w:r>
        <w:rPr/>
        <w:t>of</w:t>
      </w:r>
      <w:r>
        <w:rPr>
          <w:spacing w:val="-58"/>
        </w:rPr>
        <w:t> </w:t>
      </w:r>
      <w:r>
        <w:rPr>
          <w:i/>
        </w:rPr>
        <w:t>Diospyros mespiliformis </w:t>
      </w:r>
      <w:r>
        <w:rPr/>
        <w:t>causes a significant decrease in the level of serum creatininc and</w:t>
      </w:r>
      <w:r>
        <w:rPr>
          <w:spacing w:val="1"/>
        </w:rPr>
        <w:t> </w:t>
      </w:r>
      <w:r>
        <w:rPr/>
        <w:t>this can only be seen in debilitation or decreased muscle mass like muscular dystrophy or</w:t>
      </w:r>
      <w:r>
        <w:rPr>
          <w:spacing w:val="1"/>
        </w:rPr>
        <w:t> </w:t>
      </w:r>
      <w:r>
        <w:rPr/>
        <w:t>myasthenia gravis and does not reflect drug induced decrease in glomerular filteration rate,</w:t>
      </w:r>
      <w:r>
        <w:rPr>
          <w:spacing w:val="1"/>
        </w:rPr>
        <w:t> </w:t>
      </w:r>
      <w:r>
        <w:rPr/>
        <w:t>even though studies have shown that extra renal elimination of creatinine may be increased</w:t>
      </w:r>
      <w:r>
        <w:rPr>
          <w:spacing w:val="1"/>
        </w:rPr>
        <w:t> </w:t>
      </w:r>
      <w:r>
        <w:rPr/>
        <w:t>at low levels of glomerular filteration rates (Stevens </w:t>
      </w:r>
      <w:r>
        <w:rPr>
          <w:i/>
        </w:rPr>
        <w:t>et al</w:t>
      </w:r>
      <w:r>
        <w:rPr/>
        <w:t>., 2006). This increase is mainly</w:t>
      </w:r>
      <w:r>
        <w:rPr>
          <w:spacing w:val="1"/>
        </w:rPr>
        <w:t> </w:t>
      </w:r>
      <w:r>
        <w:rPr/>
        <w:t>related to the degradation of creatinine by intestinal bacteria (Stevens and Levey, 2005)</w:t>
      </w:r>
      <w:r>
        <w:rPr>
          <w:spacing w:val="1"/>
        </w:rPr>
        <w:t> </w:t>
      </w:r>
      <w:r>
        <w:rPr/>
        <w:t>hence for these reasons, the relationship between the level of serum creatinine and GFR</w:t>
      </w:r>
      <w:r>
        <w:rPr>
          <w:spacing w:val="1"/>
        </w:rPr>
        <w:t> </w:t>
      </w:r>
      <w:r>
        <w:rPr/>
        <w:t>varies substantially among persons and over time (Stevens </w:t>
      </w:r>
      <w:r>
        <w:rPr>
          <w:i/>
        </w:rPr>
        <w:t>et al</w:t>
      </w:r>
      <w:r>
        <w:rPr/>
        <w:t>., 2006) and the use of a</w:t>
      </w:r>
      <w:r>
        <w:rPr>
          <w:spacing w:val="1"/>
        </w:rPr>
        <w:t> </w:t>
      </w:r>
      <w:r>
        <w:rPr/>
        <w:t>single range of serum creatinine to distinguish between a normal and abnormal GFR can be</w:t>
      </w:r>
      <w:r>
        <w:rPr>
          <w:spacing w:val="1"/>
        </w:rPr>
        <w:t> </w:t>
      </w:r>
      <w:r>
        <w:rPr/>
        <w:t>misleading</w:t>
      </w:r>
      <w:r>
        <w:rPr>
          <w:spacing w:val="-3"/>
        </w:rPr>
        <w:t> </w:t>
      </w:r>
      <w:r>
        <w:rPr/>
        <w:t>(Stevens</w:t>
      </w:r>
      <w:r>
        <w:rPr>
          <w:spacing w:val="2"/>
        </w:rPr>
        <w:t> </w:t>
      </w:r>
      <w:r>
        <w:rPr/>
        <w:t>and</w:t>
      </w:r>
      <w:r>
        <w:rPr>
          <w:spacing w:val="2"/>
        </w:rPr>
        <w:t> </w:t>
      </w:r>
      <w:r>
        <w:rPr/>
        <w:t>Levey, 2005).</w:t>
      </w:r>
    </w:p>
    <w:p>
      <w:pPr>
        <w:spacing w:after="0" w:line="480" w:lineRule="auto"/>
        <w:jc w:val="both"/>
        <w:sectPr>
          <w:pgSz w:w="12240" w:h="15840"/>
          <w:pgMar w:header="0" w:footer="792" w:top="1360" w:bottom="980" w:left="1580" w:right="1320"/>
        </w:sectPr>
      </w:pPr>
    </w:p>
    <w:p>
      <w:pPr>
        <w:pStyle w:val="BodyText"/>
        <w:spacing w:line="480" w:lineRule="auto" w:before="72"/>
        <w:ind w:left="311" w:right="116"/>
        <w:jc w:val="both"/>
      </w:pPr>
      <w:r>
        <w:rPr/>
        <w:t>A slight increase in sodium is observed with the extract especially at 500 and 1000mg/kg</w:t>
      </w:r>
      <w:r>
        <w:rPr>
          <w:spacing w:val="1"/>
        </w:rPr>
        <w:t> </w:t>
      </w:r>
      <w:r>
        <w:rPr/>
        <w:t>though not significant but it might possibly be due to dehydration as decrease serum sodium</w:t>
      </w:r>
      <w:r>
        <w:rPr>
          <w:spacing w:val="1"/>
        </w:rPr>
        <w:t> </w:t>
      </w:r>
      <w:r>
        <w:rPr/>
        <w:t>is</w:t>
      </w:r>
      <w:r>
        <w:rPr>
          <w:spacing w:val="32"/>
        </w:rPr>
        <w:t> </w:t>
      </w:r>
      <w:r>
        <w:rPr/>
        <w:t>probably</w:t>
      </w:r>
      <w:r>
        <w:rPr>
          <w:spacing w:val="26"/>
        </w:rPr>
        <w:t> </w:t>
      </w:r>
      <w:r>
        <w:rPr/>
        <w:t>the</w:t>
      </w:r>
      <w:r>
        <w:rPr>
          <w:spacing w:val="31"/>
        </w:rPr>
        <w:t> </w:t>
      </w:r>
      <w:r>
        <w:rPr/>
        <w:t>result</w:t>
      </w:r>
      <w:r>
        <w:rPr>
          <w:spacing w:val="33"/>
        </w:rPr>
        <w:t> </w:t>
      </w:r>
      <w:r>
        <w:rPr/>
        <w:t>of</w:t>
      </w:r>
      <w:r>
        <w:rPr>
          <w:spacing w:val="31"/>
        </w:rPr>
        <w:t> </w:t>
      </w:r>
      <w:r>
        <w:rPr/>
        <w:t>dilutional</w:t>
      </w:r>
      <w:r>
        <w:rPr>
          <w:spacing w:val="32"/>
        </w:rPr>
        <w:t> </w:t>
      </w:r>
      <w:r>
        <w:rPr/>
        <w:t>hyponatremia</w:t>
      </w:r>
      <w:r>
        <w:rPr>
          <w:spacing w:val="33"/>
        </w:rPr>
        <w:t> </w:t>
      </w:r>
      <w:r>
        <w:rPr/>
        <w:t>of</w:t>
      </w:r>
      <w:r>
        <w:rPr>
          <w:spacing w:val="31"/>
        </w:rPr>
        <w:t> </w:t>
      </w:r>
      <w:r>
        <w:rPr/>
        <w:t>cirrhosis</w:t>
      </w:r>
      <w:r>
        <w:rPr>
          <w:spacing w:val="32"/>
        </w:rPr>
        <w:t> </w:t>
      </w:r>
      <w:r>
        <w:rPr/>
        <w:t>or</w:t>
      </w:r>
      <w:r>
        <w:rPr>
          <w:spacing w:val="31"/>
        </w:rPr>
        <w:t> </w:t>
      </w:r>
      <w:r>
        <w:rPr/>
        <w:t>depletional</w:t>
      </w:r>
      <w:r>
        <w:rPr>
          <w:spacing w:val="32"/>
        </w:rPr>
        <w:t> </w:t>
      </w:r>
      <w:r>
        <w:rPr/>
        <w:t>hyponatremia</w:t>
      </w:r>
    </w:p>
    <w:p>
      <w:pPr>
        <w:pStyle w:val="BodyText"/>
        <w:ind w:left="311"/>
        <w:jc w:val="both"/>
      </w:pPr>
      <w:r>
        <w:rPr/>
        <w:t>e.g.</w:t>
      </w:r>
      <w:r>
        <w:rPr>
          <w:spacing w:val="-1"/>
        </w:rPr>
        <w:t> </w:t>
      </w:r>
      <w:r>
        <w:rPr/>
        <w:t>salt losing</w:t>
      </w:r>
      <w:r>
        <w:rPr>
          <w:spacing w:val="-3"/>
        </w:rPr>
        <w:t> </w:t>
      </w:r>
      <w:r>
        <w:rPr/>
        <w:t>nephritis</w:t>
      </w:r>
      <w:r>
        <w:rPr>
          <w:spacing w:val="2"/>
        </w:rPr>
        <w:t> </w:t>
      </w:r>
      <w:r>
        <w:rPr/>
        <w:t>or</w:t>
      </w:r>
      <w:r>
        <w:rPr>
          <w:spacing w:val="-2"/>
        </w:rPr>
        <w:t> </w:t>
      </w:r>
      <w:r>
        <w:rPr/>
        <w:t>may</w:t>
      </w:r>
      <w:r>
        <w:rPr>
          <w:spacing w:val="-5"/>
        </w:rPr>
        <w:t> </w:t>
      </w:r>
      <w:r>
        <w:rPr/>
        <w:t>be</w:t>
      </w:r>
      <w:r>
        <w:rPr>
          <w:spacing w:val="-1"/>
        </w:rPr>
        <w:t> </w:t>
      </w:r>
      <w:r>
        <w:rPr/>
        <w:t>tubular</w:t>
      </w:r>
      <w:r>
        <w:rPr>
          <w:spacing w:val="2"/>
        </w:rPr>
        <w:t> </w:t>
      </w:r>
      <w:r>
        <w:rPr/>
        <w:t>lesion.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line="480" w:lineRule="auto" w:before="230"/>
        <w:ind w:left="311" w:right="121"/>
        <w:jc w:val="both"/>
      </w:pPr>
      <w:r>
        <w:rPr/>
        <w:t>There is also a slight increase in total calcium especially at 50, 500 and 1000mg/kg of the</w:t>
      </w:r>
      <w:r>
        <w:rPr>
          <w:spacing w:val="1"/>
        </w:rPr>
        <w:t> </w:t>
      </w:r>
      <w:r>
        <w:rPr/>
        <w:t>extract, though not statistically significant but might reflect hyperparathyroidism or thiazide</w:t>
      </w:r>
      <w:r>
        <w:rPr>
          <w:spacing w:val="1"/>
        </w:rPr>
        <w:t> </w:t>
      </w:r>
      <w:r>
        <w:rPr/>
        <w:t>diuretic-like</w:t>
      </w:r>
      <w:r>
        <w:rPr>
          <w:spacing w:val="-2"/>
        </w:rPr>
        <w:t> </w:t>
      </w:r>
      <w:r>
        <w:rPr/>
        <w:t>effects (Schwartz and Garrison, 2008).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480" w:lineRule="auto"/>
        <w:ind w:left="311" w:right="115"/>
        <w:jc w:val="both"/>
      </w:pPr>
      <w:r>
        <w:rPr/>
        <w:t>The extract causes a slight decrease in glucose at all the tested doses, though not significant</w:t>
      </w:r>
      <w:r>
        <w:rPr>
          <w:spacing w:val="1"/>
        </w:rPr>
        <w:t> </w:t>
      </w:r>
      <w:r>
        <w:rPr/>
        <w:t>but can be suggestive of severe liver disease or insufficient carbohydrate intake (Schwartz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Garrison, 2008).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 w:before="1"/>
        <w:ind w:left="311" w:right="116"/>
        <w:jc w:val="both"/>
      </w:pPr>
      <w:r>
        <w:rPr/>
        <w:t>Urea nitrogen is an end product of protein metabolism, and it is produced solely by the liver,</w:t>
      </w:r>
      <w:r>
        <w:rPr>
          <w:spacing w:val="-57"/>
        </w:rPr>
        <w:t> </w:t>
      </w:r>
      <w:r>
        <w:rPr/>
        <w:t>transported in the blood and excreted by the kidneys (Schwartz and Garrison, 2008) hence</w:t>
      </w:r>
      <w:r>
        <w:rPr>
          <w:spacing w:val="1"/>
        </w:rPr>
        <w:t> </w:t>
      </w:r>
      <w:r>
        <w:rPr/>
        <w:t>measurement of serum urea nitrogen is reflective of renal function because urea nitrogen is</w:t>
      </w:r>
      <w:r>
        <w:rPr>
          <w:spacing w:val="1"/>
        </w:rPr>
        <w:t> </w:t>
      </w:r>
      <w:r>
        <w:rPr/>
        <w:t>also like creatinine, filtered completely at the glomerusus of the kidney, reabsorbed and</w:t>
      </w:r>
      <w:r>
        <w:rPr>
          <w:spacing w:val="1"/>
        </w:rPr>
        <w:t> </w:t>
      </w:r>
      <w:r>
        <w:rPr/>
        <w:t>tubularly secreted within nephrons (Schwartz and Garrison, 2008) hence it measures kidney</w:t>
      </w:r>
      <w:r>
        <w:rPr>
          <w:spacing w:val="1"/>
        </w:rPr>
        <w:t> </w:t>
      </w:r>
      <w:r>
        <w:rPr/>
        <w:t>function. The slight decrease in urea observed with the extract at doses of 250, 500 and</w:t>
      </w:r>
      <w:r>
        <w:rPr>
          <w:spacing w:val="1"/>
        </w:rPr>
        <w:t> </w:t>
      </w:r>
      <w:r>
        <w:rPr/>
        <w:t>1000mg/kg</w:t>
      </w:r>
      <w:r>
        <w:rPr>
          <w:spacing w:val="1"/>
        </w:rPr>
        <w:t> </w:t>
      </w:r>
      <w:r>
        <w:rPr/>
        <w:t>though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significant,</w:t>
      </w:r>
      <w:r>
        <w:rPr>
          <w:spacing w:val="1"/>
        </w:rPr>
        <w:t> </w:t>
      </w:r>
      <w:r>
        <w:rPr/>
        <w:t>might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related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renal</w:t>
      </w:r>
      <w:r>
        <w:rPr>
          <w:spacing w:val="1"/>
        </w:rPr>
        <w:t> </w:t>
      </w:r>
      <w:r>
        <w:rPr/>
        <w:t>failure,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malnourishment (decreased protein intake) or severe liver disease where the liver can no</w:t>
      </w:r>
      <w:r>
        <w:rPr>
          <w:spacing w:val="1"/>
        </w:rPr>
        <w:t> </w:t>
      </w:r>
      <w:r>
        <w:rPr/>
        <w:t>longer form urea</w:t>
      </w:r>
      <w:r>
        <w:rPr>
          <w:spacing w:val="-1"/>
        </w:rPr>
        <w:t> </w:t>
      </w:r>
      <w:r>
        <w:rPr/>
        <w:t>(Schwartz and Garrison, 2008).</w:t>
      </w:r>
    </w:p>
    <w:p>
      <w:pPr>
        <w:spacing w:after="0" w:line="480" w:lineRule="auto"/>
        <w:jc w:val="both"/>
        <w:sectPr>
          <w:pgSz w:w="12240" w:h="15840"/>
          <w:pgMar w:header="0" w:footer="792" w:top="1360" w:bottom="980" w:left="1580" w:right="1320"/>
        </w:sectPr>
      </w:pPr>
    </w:p>
    <w:p>
      <w:pPr>
        <w:pStyle w:val="BodyText"/>
        <w:spacing w:line="480" w:lineRule="auto" w:before="72"/>
        <w:ind w:left="311" w:right="120"/>
        <w:jc w:val="both"/>
      </w:pPr>
      <w:r>
        <w:rPr/>
        <w:t>The extract at all the tested doses causes a slight decrease in total protein, though not</w:t>
      </w:r>
      <w:r>
        <w:rPr>
          <w:spacing w:val="1"/>
        </w:rPr>
        <w:t> </w:t>
      </w:r>
      <w:r>
        <w:rPr/>
        <w:t>significant</w:t>
      </w:r>
      <w:r>
        <w:rPr>
          <w:spacing w:val="-1"/>
        </w:rPr>
        <w:t> </w:t>
      </w:r>
      <w:r>
        <w:rPr/>
        <w:t>but it can be</w:t>
      </w:r>
      <w:r>
        <w:rPr>
          <w:spacing w:val="-1"/>
        </w:rPr>
        <w:t> </w:t>
      </w:r>
      <w:r>
        <w:rPr/>
        <w:t>suggestive</w:t>
      </w:r>
      <w:r>
        <w:rPr>
          <w:spacing w:val="-1"/>
        </w:rPr>
        <w:t> </w:t>
      </w:r>
      <w:r>
        <w:rPr/>
        <w:t>of</w:t>
      </w:r>
      <w:r>
        <w:rPr>
          <w:spacing w:val="2"/>
        </w:rPr>
        <w:t> </w:t>
      </w:r>
      <w:r>
        <w:rPr/>
        <w:t>possible</w:t>
      </w:r>
      <w:r>
        <w:rPr>
          <w:spacing w:val="-1"/>
        </w:rPr>
        <w:t> </w:t>
      </w:r>
      <w:r>
        <w:rPr/>
        <w:t>hepatic</w:t>
      </w:r>
      <w:r>
        <w:rPr>
          <w:spacing w:val="-1"/>
        </w:rPr>
        <w:t> </w:t>
      </w:r>
      <w:r>
        <w:rPr/>
        <w:t>insufficiency</w:t>
      </w:r>
    </w:p>
    <w:p>
      <w:pPr>
        <w:pStyle w:val="BodyText"/>
        <w:spacing w:line="480" w:lineRule="auto"/>
        <w:ind w:left="311" w:right="120"/>
        <w:jc w:val="both"/>
      </w:pPr>
      <w:r>
        <w:rPr/>
        <w:t>There is also a slight decrease in the level of albumin at all the tested doses when compared</w:t>
      </w:r>
      <w:r>
        <w:rPr>
          <w:spacing w:val="1"/>
        </w:rPr>
        <w:t> </w:t>
      </w:r>
      <w:r>
        <w:rPr/>
        <w:t>with the control, though not significant but can be reflective of impaired albumin synthesis</w:t>
      </w:r>
      <w:r>
        <w:rPr>
          <w:spacing w:val="1"/>
        </w:rPr>
        <w:t> </w:t>
      </w:r>
      <w:r>
        <w:rPr/>
        <w:t>by the liver secondary to hepatic insufficiency (Schwartz and Garrison, 2008). Albumin can</w:t>
      </w:r>
      <w:r>
        <w:rPr>
          <w:spacing w:val="1"/>
        </w:rPr>
        <w:t> </w:t>
      </w:r>
      <w:r>
        <w:rPr/>
        <w:t>also be lost directly</w:t>
      </w:r>
      <w:r>
        <w:rPr>
          <w:spacing w:val="-5"/>
        </w:rPr>
        <w:t> </w:t>
      </w:r>
      <w:r>
        <w:rPr/>
        <w:t>into the</w:t>
      </w:r>
      <w:r>
        <w:rPr>
          <w:spacing w:val="-1"/>
        </w:rPr>
        <w:t> </w:t>
      </w:r>
      <w:r>
        <w:rPr/>
        <w:t>urine</w:t>
      </w:r>
      <w:r>
        <w:rPr>
          <w:spacing w:val="-2"/>
        </w:rPr>
        <w:t> </w:t>
      </w:r>
      <w:r>
        <w:rPr/>
        <w:t>secondary</w:t>
      </w:r>
      <w:r>
        <w:rPr>
          <w:spacing w:val="-5"/>
        </w:rPr>
        <w:t> </w:t>
      </w:r>
      <w:r>
        <w:rPr/>
        <w:t>to nephrosis.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480" w:lineRule="auto"/>
        <w:ind w:left="311" w:right="116"/>
        <w:jc w:val="both"/>
      </w:pPr>
      <w:r>
        <w:rPr/>
        <w:t>Total cholesterol levels are elevated in biliary obstruction and nephrotic syndrome and the</w:t>
      </w:r>
      <w:r>
        <w:rPr>
          <w:spacing w:val="1"/>
        </w:rPr>
        <w:t> </w:t>
      </w:r>
      <w:r>
        <w:rPr/>
        <w:t>values are decreased in severe liver insufficiency. The extract at all the tested doses causes a</w:t>
      </w:r>
      <w:r>
        <w:rPr>
          <w:spacing w:val="-57"/>
        </w:rPr>
        <w:t> </w:t>
      </w:r>
      <w:r>
        <w:rPr/>
        <w:t>slight decrease in total cholesterol when compared with the control, though not significant</w:t>
      </w:r>
      <w:r>
        <w:rPr>
          <w:spacing w:val="1"/>
        </w:rPr>
        <w:t> </w:t>
      </w:r>
      <w:r>
        <w:rPr/>
        <w:t>but</w:t>
      </w:r>
      <w:r>
        <w:rPr>
          <w:spacing w:val="-1"/>
        </w:rPr>
        <w:t> </w:t>
      </w:r>
      <w:r>
        <w:rPr/>
        <w:t>can be</w:t>
      </w:r>
      <w:r>
        <w:rPr>
          <w:spacing w:val="-1"/>
        </w:rPr>
        <w:t> </w:t>
      </w:r>
      <w:r>
        <w:rPr/>
        <w:t>indicative</w:t>
      </w:r>
      <w:r>
        <w:rPr>
          <w:spacing w:val="-1"/>
        </w:rPr>
        <w:t> </w:t>
      </w:r>
      <w:r>
        <w:rPr/>
        <w:t>of liver insufficiency.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/>
        <w:ind w:left="311" w:right="113"/>
        <w:jc w:val="both"/>
      </w:pPr>
      <w:r>
        <w:rPr/>
        <w:t>The histopathological studies of the rat liver revealed normal hepatic architecture devoid of</w:t>
      </w:r>
      <w:r>
        <w:rPr>
          <w:spacing w:val="1"/>
        </w:rPr>
        <w:t> </w:t>
      </w:r>
      <w:r>
        <w:rPr/>
        <w:t>any significant histopathological findings with the 50 and 250mg/kg of the extract similar to</w:t>
      </w:r>
      <w:r>
        <w:rPr>
          <w:spacing w:val="-57"/>
        </w:rPr>
        <w:t> </w:t>
      </w:r>
      <w:r>
        <w:rPr/>
        <w:t>the control group. The 50mg/kg dose of the extract is the lowest dose that does not produce</w:t>
      </w:r>
      <w:r>
        <w:rPr>
          <w:spacing w:val="1"/>
        </w:rPr>
        <w:t> </w:t>
      </w:r>
      <w:r>
        <w:rPr/>
        <w:t>any detectable toxic reaction (Leclair and Willard, 1970), i.e. the so called No observed</w:t>
      </w:r>
      <w:r>
        <w:rPr>
          <w:spacing w:val="1"/>
        </w:rPr>
        <w:t> </w:t>
      </w:r>
      <w:r>
        <w:rPr/>
        <w:t>Adverse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level</w:t>
      </w:r>
      <w:r>
        <w:rPr>
          <w:spacing w:val="1"/>
        </w:rPr>
        <w:t> </w:t>
      </w:r>
      <w:r>
        <w:rPr/>
        <w:t>(NOAEL)</w:t>
      </w:r>
      <w:r>
        <w:rPr>
          <w:spacing w:val="1"/>
        </w:rPr>
        <w:t> </w:t>
      </w:r>
      <w:r>
        <w:rPr/>
        <w:t>dose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250mg/kg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close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30%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LD</w:t>
      </w:r>
      <w:r>
        <w:rPr>
          <w:sz w:val="18"/>
        </w:rPr>
        <w:t>50</w:t>
      </w:r>
      <w:r>
        <w:rPr>
          <w:spacing w:val="1"/>
          <w:sz w:val="18"/>
        </w:rPr>
        <w:t> </w:t>
      </w:r>
      <w:r>
        <w:rPr/>
        <w:t>signifying that the methanol leaf extract of </w:t>
      </w:r>
      <w:r>
        <w:rPr>
          <w:i/>
        </w:rPr>
        <w:t>Diospyros mespiliformis </w:t>
      </w:r>
      <w:r>
        <w:rPr/>
        <w:t>at LD</w:t>
      </w:r>
      <w:r>
        <w:rPr>
          <w:vertAlign w:val="subscript"/>
        </w:rPr>
        <w:t>50</w:t>
      </w:r>
      <w:r>
        <w:rPr>
          <w:spacing w:val="60"/>
          <w:vertAlign w:val="baseline"/>
        </w:rPr>
        <w:t> </w:t>
      </w:r>
      <w:r>
        <w:rPr>
          <w:vertAlign w:val="baseline"/>
        </w:rPr>
        <w:t>dose used in</w:t>
      </w:r>
      <w:r>
        <w:rPr>
          <w:spacing w:val="1"/>
          <w:vertAlign w:val="baseline"/>
        </w:rPr>
        <w:t> </w:t>
      </w:r>
      <w:r>
        <w:rPr>
          <w:vertAlign w:val="baseline"/>
        </w:rPr>
        <w:t>this study and below is relatively non toxic to the liver, i.e. not hepatotoxic at the subchronic</w:t>
      </w:r>
      <w:r>
        <w:rPr>
          <w:spacing w:val="-57"/>
          <w:vertAlign w:val="baseline"/>
        </w:rPr>
        <w:t> </w:t>
      </w:r>
      <w:r>
        <w:rPr>
          <w:vertAlign w:val="baseline"/>
        </w:rPr>
        <w:t>duration, this is evident by the normal hepatic architecture, clear hepatic cord, sinusoid,</w:t>
      </w:r>
      <w:r>
        <w:rPr>
          <w:spacing w:val="1"/>
          <w:vertAlign w:val="baseline"/>
        </w:rPr>
        <w:t> </w:t>
      </w:r>
      <w:r>
        <w:rPr>
          <w:vertAlign w:val="baseline"/>
        </w:rPr>
        <w:t>central</w:t>
      </w:r>
      <w:r>
        <w:rPr>
          <w:spacing w:val="1"/>
          <w:vertAlign w:val="baseline"/>
        </w:rPr>
        <w:t> </w:t>
      </w:r>
      <w:r>
        <w:rPr>
          <w:vertAlign w:val="baseline"/>
        </w:rPr>
        <w:t>vein</w:t>
      </w:r>
      <w:r>
        <w:rPr>
          <w:spacing w:val="1"/>
          <w:vertAlign w:val="baseline"/>
        </w:rPr>
        <w:t> </w:t>
      </w:r>
      <w:r>
        <w:rPr>
          <w:vertAlign w:val="baseline"/>
        </w:rPr>
        <w:t>etc,</w:t>
      </w:r>
      <w:r>
        <w:rPr>
          <w:spacing w:val="1"/>
          <w:vertAlign w:val="baseline"/>
        </w:rPr>
        <w:t> </w:t>
      </w:r>
      <w:r>
        <w:rPr>
          <w:vertAlign w:val="baseline"/>
        </w:rPr>
        <w:t>However,</w:t>
      </w:r>
      <w:r>
        <w:rPr>
          <w:spacing w:val="1"/>
          <w:vertAlign w:val="baseline"/>
        </w:rPr>
        <w:t> </w:t>
      </w:r>
      <w:r>
        <w:rPr>
          <w:vertAlign w:val="baseline"/>
        </w:rPr>
        <w:t>at</w:t>
      </w:r>
      <w:r>
        <w:rPr>
          <w:spacing w:val="1"/>
          <w:vertAlign w:val="baseline"/>
        </w:rPr>
        <w:t> </w:t>
      </w:r>
      <w:r>
        <w:rPr>
          <w:vertAlign w:val="baseline"/>
        </w:rPr>
        <w:t>doses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500mg/kg,</w:t>
      </w:r>
      <w:r>
        <w:rPr>
          <w:spacing w:val="1"/>
          <w:vertAlign w:val="baseline"/>
        </w:rPr>
        <w:t> </w:t>
      </w:r>
      <w:r>
        <w:rPr>
          <w:vertAlign w:val="baseline"/>
        </w:rPr>
        <w:t>there</w:t>
      </w:r>
      <w:r>
        <w:rPr>
          <w:spacing w:val="1"/>
          <w:vertAlign w:val="baseline"/>
        </w:rPr>
        <w:t> </w:t>
      </w:r>
      <w:r>
        <w:rPr>
          <w:vertAlign w:val="baseline"/>
        </w:rPr>
        <w:t>is</w:t>
      </w:r>
      <w:r>
        <w:rPr>
          <w:spacing w:val="1"/>
          <w:vertAlign w:val="baseline"/>
        </w:rPr>
        <w:t> </w:t>
      </w:r>
      <w:r>
        <w:rPr>
          <w:vertAlign w:val="baseline"/>
        </w:rPr>
        <w:t>moderate</w:t>
      </w:r>
      <w:r>
        <w:rPr>
          <w:spacing w:val="1"/>
          <w:vertAlign w:val="baseline"/>
        </w:rPr>
        <w:t> </w:t>
      </w:r>
      <w:r>
        <w:rPr>
          <w:vertAlign w:val="baseline"/>
        </w:rPr>
        <w:t>degeneration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hepatocytes,</w:t>
      </w:r>
      <w:r>
        <w:rPr>
          <w:spacing w:val="1"/>
          <w:vertAlign w:val="baseline"/>
        </w:rPr>
        <w:t> </w:t>
      </w:r>
      <w:r>
        <w:rPr>
          <w:vertAlign w:val="baseline"/>
        </w:rPr>
        <w:t>necrosis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hepatocytes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overall</w:t>
      </w:r>
      <w:r>
        <w:rPr>
          <w:spacing w:val="1"/>
          <w:vertAlign w:val="baseline"/>
        </w:rPr>
        <w:t> </w:t>
      </w:r>
      <w:r>
        <w:rPr>
          <w:vertAlign w:val="baseline"/>
        </w:rPr>
        <w:t>loss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hepatic</w:t>
      </w:r>
      <w:r>
        <w:rPr>
          <w:spacing w:val="1"/>
          <w:vertAlign w:val="baseline"/>
        </w:rPr>
        <w:t> </w:t>
      </w:r>
      <w:r>
        <w:rPr>
          <w:vertAlign w:val="baseline"/>
        </w:rPr>
        <w:t>architecture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with</w:t>
      </w:r>
      <w:r>
        <w:rPr>
          <w:spacing w:val="1"/>
          <w:vertAlign w:val="baseline"/>
        </w:rPr>
        <w:t> </w:t>
      </w:r>
      <w:r>
        <w:rPr>
          <w:vertAlign w:val="baseline"/>
        </w:rPr>
        <w:t>1000mg/kg</w:t>
      </w:r>
      <w:r>
        <w:rPr>
          <w:spacing w:val="10"/>
          <w:vertAlign w:val="baseline"/>
        </w:rPr>
        <w:t> </w:t>
      </w:r>
      <w:r>
        <w:rPr>
          <w:vertAlign w:val="baseline"/>
        </w:rPr>
        <w:t>dose</w:t>
      </w:r>
      <w:r>
        <w:rPr>
          <w:spacing w:val="13"/>
          <w:vertAlign w:val="baseline"/>
        </w:rPr>
        <w:t> </w:t>
      </w:r>
      <w:r>
        <w:rPr>
          <w:vertAlign w:val="baseline"/>
        </w:rPr>
        <w:t>of</w:t>
      </w:r>
      <w:r>
        <w:rPr>
          <w:spacing w:val="12"/>
          <w:vertAlign w:val="baseline"/>
        </w:rPr>
        <w:t> </w:t>
      </w:r>
      <w:r>
        <w:rPr>
          <w:vertAlign w:val="baseline"/>
        </w:rPr>
        <w:t>the</w:t>
      </w:r>
      <w:r>
        <w:rPr>
          <w:spacing w:val="16"/>
          <w:vertAlign w:val="baseline"/>
        </w:rPr>
        <w:t> </w:t>
      </w:r>
      <w:r>
        <w:rPr>
          <w:vertAlign w:val="baseline"/>
        </w:rPr>
        <w:t>extract,</w:t>
      </w:r>
      <w:r>
        <w:rPr>
          <w:spacing w:val="13"/>
          <w:vertAlign w:val="baseline"/>
        </w:rPr>
        <w:t> </w:t>
      </w:r>
      <w:r>
        <w:rPr>
          <w:vertAlign w:val="baseline"/>
        </w:rPr>
        <w:t>there</w:t>
      </w:r>
      <w:r>
        <w:rPr>
          <w:spacing w:val="13"/>
          <w:vertAlign w:val="baseline"/>
        </w:rPr>
        <w:t> </w:t>
      </w:r>
      <w:r>
        <w:rPr>
          <w:vertAlign w:val="baseline"/>
        </w:rPr>
        <w:t>is</w:t>
      </w:r>
      <w:r>
        <w:rPr>
          <w:spacing w:val="14"/>
          <w:vertAlign w:val="baseline"/>
        </w:rPr>
        <w:t> </w:t>
      </w:r>
      <w:r>
        <w:rPr>
          <w:vertAlign w:val="baseline"/>
        </w:rPr>
        <w:t>significant</w:t>
      </w:r>
      <w:r>
        <w:rPr>
          <w:spacing w:val="13"/>
          <w:vertAlign w:val="baseline"/>
        </w:rPr>
        <w:t> </w:t>
      </w:r>
      <w:r>
        <w:rPr>
          <w:vertAlign w:val="baseline"/>
        </w:rPr>
        <w:t>degeneration</w:t>
      </w:r>
      <w:r>
        <w:rPr>
          <w:spacing w:val="14"/>
          <w:vertAlign w:val="baseline"/>
        </w:rPr>
        <w:t> </w:t>
      </w:r>
      <w:r>
        <w:rPr>
          <w:vertAlign w:val="baseline"/>
        </w:rPr>
        <w:t>of</w:t>
      </w:r>
      <w:r>
        <w:rPr>
          <w:spacing w:val="12"/>
          <w:vertAlign w:val="baseline"/>
        </w:rPr>
        <w:t> </w:t>
      </w:r>
      <w:r>
        <w:rPr>
          <w:vertAlign w:val="baseline"/>
        </w:rPr>
        <w:t>hepatocytes,</w:t>
      </w:r>
      <w:r>
        <w:rPr>
          <w:spacing w:val="14"/>
          <w:vertAlign w:val="baseline"/>
        </w:rPr>
        <w:t> </w:t>
      </w:r>
      <w:r>
        <w:rPr>
          <w:vertAlign w:val="baseline"/>
        </w:rPr>
        <w:t>necrosis</w:t>
      </w:r>
      <w:r>
        <w:rPr>
          <w:spacing w:val="13"/>
          <w:vertAlign w:val="baseline"/>
        </w:rPr>
        <w:t> </w:t>
      </w:r>
      <w:r>
        <w:rPr>
          <w:vertAlign w:val="baseline"/>
        </w:rPr>
        <w:t>of</w:t>
      </w:r>
    </w:p>
    <w:p>
      <w:pPr>
        <w:spacing w:after="0" w:line="480" w:lineRule="auto"/>
        <w:jc w:val="both"/>
        <w:sectPr>
          <w:pgSz w:w="12240" w:h="15840"/>
          <w:pgMar w:header="0" w:footer="792" w:top="1360" w:bottom="980" w:left="1580" w:right="1320"/>
        </w:sectPr>
      </w:pPr>
    </w:p>
    <w:p>
      <w:pPr>
        <w:pStyle w:val="BodyText"/>
        <w:spacing w:line="480" w:lineRule="auto" w:before="72"/>
        <w:ind w:left="311" w:right="114"/>
        <w:jc w:val="both"/>
      </w:pPr>
      <w:r>
        <w:rPr/>
        <w:t>hepatocytes</w:t>
      </w:r>
      <w:r>
        <w:rPr>
          <w:spacing w:val="60"/>
        </w:rPr>
        <w:t> </w:t>
      </w:r>
      <w:r>
        <w:rPr/>
        <w:t>and loss of hepatic architecture, meaning that there is dose dependent increase</w:t>
      </w:r>
      <w:r>
        <w:rPr>
          <w:spacing w:val="1"/>
        </w:rPr>
        <w:t> </w:t>
      </w:r>
      <w:r>
        <w:rPr/>
        <w:t>in hepatotoxicity with doses above 500mg/kg. The hepatocellular necrosis and degeneration</w:t>
      </w:r>
      <w:r>
        <w:rPr>
          <w:spacing w:val="1"/>
        </w:rPr>
        <w:t> </w:t>
      </w:r>
      <w:r>
        <w:rPr/>
        <w:t>observed with the extract especially at doses of 500 and 1000mg/kg might be responsible for</w:t>
      </w:r>
      <w:r>
        <w:rPr>
          <w:spacing w:val="-57"/>
        </w:rPr>
        <w:t> </w:t>
      </w:r>
      <w:r>
        <w:rPr/>
        <w:t>some of the results observed with the blood chemistry for both the liver and kidney function</w:t>
      </w:r>
      <w:r>
        <w:rPr>
          <w:spacing w:val="1"/>
        </w:rPr>
        <w:t> </w:t>
      </w:r>
      <w:r>
        <w:rPr/>
        <w:t>parameters.Significant</w:t>
      </w:r>
      <w:r>
        <w:rPr>
          <w:spacing w:val="1"/>
        </w:rPr>
        <w:t> </w:t>
      </w:r>
      <w:r>
        <w:rPr/>
        <w:t>elevation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alkaline</w:t>
      </w:r>
      <w:r>
        <w:rPr>
          <w:spacing w:val="1"/>
        </w:rPr>
        <w:t> </w:t>
      </w:r>
      <w:r>
        <w:rPr/>
        <w:t>phosphatase</w:t>
      </w:r>
      <w:r>
        <w:rPr>
          <w:spacing w:val="1"/>
        </w:rPr>
        <w:t> </w:t>
      </w:r>
      <w:r>
        <w:rPr/>
        <w:t>(ALP)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suggestive</w:t>
      </w:r>
      <w:r>
        <w:rPr>
          <w:spacing w:val="1"/>
        </w:rPr>
        <w:t> </w:t>
      </w:r>
      <w:r>
        <w:rPr/>
        <w:t>of</w:t>
      </w:r>
      <w:r>
        <w:rPr>
          <w:spacing w:val="60"/>
        </w:rPr>
        <w:t> </w:t>
      </w:r>
      <w:r>
        <w:rPr/>
        <w:t>drug</w:t>
      </w:r>
      <w:r>
        <w:rPr>
          <w:spacing w:val="1"/>
        </w:rPr>
        <w:t> </w:t>
      </w:r>
      <w:r>
        <w:rPr/>
        <w:t>induced cholestasis in which case elevation of ALP usually precedes elevation of aspartate</w:t>
      </w:r>
      <w:r>
        <w:rPr>
          <w:spacing w:val="1"/>
        </w:rPr>
        <w:t> </w:t>
      </w:r>
      <w:r>
        <w:rPr/>
        <w:t>Aminotransferase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alanine</w:t>
      </w:r>
      <w:r>
        <w:rPr>
          <w:spacing w:val="1"/>
        </w:rPr>
        <w:t> </w:t>
      </w:r>
      <w:r>
        <w:rPr/>
        <w:t>aminotransferase</w:t>
      </w:r>
      <w:r>
        <w:rPr>
          <w:spacing w:val="1"/>
        </w:rPr>
        <w:t> </w:t>
      </w:r>
      <w:r>
        <w:rPr/>
        <w:t>(Navarro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Senior,2006)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since</w:t>
      </w:r>
      <w:r>
        <w:rPr>
          <w:spacing w:val="1"/>
        </w:rPr>
        <w:t> </w:t>
      </w:r>
      <w:r>
        <w:rPr/>
        <w:t>cholestasis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hepatitis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reported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common</w:t>
      </w:r>
      <w:r>
        <w:rPr>
          <w:spacing w:val="1"/>
        </w:rPr>
        <w:t> </w:t>
      </w:r>
      <w:r>
        <w:rPr/>
        <w:t>form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drug</w:t>
      </w:r>
      <w:r>
        <w:rPr>
          <w:spacing w:val="1"/>
        </w:rPr>
        <w:t> </w:t>
      </w:r>
      <w:r>
        <w:rPr/>
        <w:t>induced</w:t>
      </w:r>
      <w:r>
        <w:rPr>
          <w:spacing w:val="-57"/>
        </w:rPr>
        <w:t> </w:t>
      </w:r>
      <w:r>
        <w:rPr/>
        <w:t>cholestasis.This probably explains the insignificant increase in TB, ALT and AST despite</w:t>
      </w:r>
      <w:r>
        <w:rPr>
          <w:spacing w:val="1"/>
        </w:rPr>
        <w:t> </w:t>
      </w:r>
      <w:r>
        <w:rPr/>
        <w:t>hepatocellular degeneration and necrosis observed with the histopathological findings.The</w:t>
      </w:r>
      <w:r>
        <w:rPr>
          <w:spacing w:val="1"/>
        </w:rPr>
        <w:t> </w:t>
      </w:r>
      <w:r>
        <w:rPr/>
        <w:t>extract therefore can be said to probably cause cholestasis with hepatitis which is the most</w:t>
      </w:r>
      <w:r>
        <w:rPr>
          <w:spacing w:val="1"/>
        </w:rPr>
        <w:t> </w:t>
      </w:r>
      <w:r>
        <w:rPr/>
        <w:t>common</w:t>
      </w:r>
      <w:r>
        <w:rPr>
          <w:spacing w:val="-1"/>
        </w:rPr>
        <w:t> </w:t>
      </w:r>
      <w:r>
        <w:rPr/>
        <w:t>form of</w:t>
      </w:r>
      <w:r>
        <w:rPr>
          <w:spacing w:val="-1"/>
        </w:rPr>
        <w:t> </w:t>
      </w:r>
      <w:r>
        <w:rPr/>
        <w:t>drug</w:t>
      </w:r>
      <w:r>
        <w:rPr>
          <w:spacing w:val="-3"/>
        </w:rPr>
        <w:t> </w:t>
      </w:r>
      <w:r>
        <w:rPr/>
        <w:t>induced cholestasis(Kirchain and Allen,2008).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480" w:lineRule="auto" w:before="1"/>
        <w:ind w:left="311" w:right="117"/>
        <w:jc w:val="both"/>
      </w:pPr>
      <w:r>
        <w:rPr/>
        <w:t>The histopathological studies of the rat kidney also revealed intact glomeruli and renal</w:t>
      </w:r>
      <w:r>
        <w:rPr>
          <w:spacing w:val="1"/>
        </w:rPr>
        <w:t> </w:t>
      </w:r>
      <w:r>
        <w:rPr/>
        <w:t>tubules with the 50 and 250 mg/kg of the extract similar to the control group, devoid of any</w:t>
      </w:r>
      <w:r>
        <w:rPr>
          <w:spacing w:val="1"/>
        </w:rPr>
        <w:t> </w:t>
      </w:r>
      <w:r>
        <w:rPr/>
        <w:t>significant histopathological findings.</w:t>
      </w:r>
      <w:r>
        <w:rPr>
          <w:spacing w:val="60"/>
        </w:rPr>
        <w:t> </w:t>
      </w:r>
      <w:r>
        <w:rPr/>
        <w:t>The 50mg/kg is the lowest dose that doesn‟t cause</w:t>
      </w:r>
      <w:r>
        <w:rPr>
          <w:spacing w:val="1"/>
        </w:rPr>
        <w:t> </w:t>
      </w:r>
      <w:r>
        <w:rPr/>
        <w:t>any adverse effect while the 250mg/kg almost equals the LD</w:t>
      </w:r>
      <w:r>
        <w:rPr>
          <w:vertAlign w:val="subscript"/>
        </w:rPr>
        <w:t>50</w:t>
      </w:r>
      <w:r>
        <w:rPr>
          <w:vertAlign w:val="baseline"/>
        </w:rPr>
        <w:t> dose used in this study. This</w:t>
      </w:r>
      <w:r>
        <w:rPr>
          <w:spacing w:val="1"/>
          <w:vertAlign w:val="baseline"/>
        </w:rPr>
        <w:t> </w:t>
      </w:r>
      <w:r>
        <w:rPr>
          <w:vertAlign w:val="baseline"/>
        </w:rPr>
        <w:t>shows that the LD</w:t>
      </w:r>
      <w:r>
        <w:rPr>
          <w:vertAlign w:val="subscript"/>
        </w:rPr>
        <w:t>50</w:t>
      </w:r>
      <w:r>
        <w:rPr>
          <w:vertAlign w:val="baseline"/>
        </w:rPr>
        <w:t> dose used in the study is relatively non toxic to the kidney, However, at</w:t>
      </w:r>
      <w:r>
        <w:rPr>
          <w:spacing w:val="1"/>
          <w:vertAlign w:val="baseline"/>
        </w:rPr>
        <w:t> </w:t>
      </w:r>
      <w:r>
        <w:rPr>
          <w:vertAlign w:val="baseline"/>
        </w:rPr>
        <w:t>doses of 500mg/kg dose of the extract, there is moderate degeneration of renal tubules with</w:t>
      </w:r>
      <w:r>
        <w:rPr>
          <w:spacing w:val="1"/>
          <w:vertAlign w:val="baseline"/>
        </w:rPr>
        <w:t> </w:t>
      </w:r>
      <w:r>
        <w:rPr>
          <w:vertAlign w:val="baseline"/>
        </w:rPr>
        <w:t>intact glomeruli and with 1000mg/kg dose of the extract there is significant loss of renal</w:t>
      </w:r>
      <w:r>
        <w:rPr>
          <w:spacing w:val="1"/>
          <w:vertAlign w:val="baseline"/>
        </w:rPr>
        <w:t> </w:t>
      </w:r>
      <w:r>
        <w:rPr>
          <w:vertAlign w:val="baseline"/>
        </w:rPr>
        <w:t>tubular architecture, degeneration of renal tubules but with intact</w:t>
      </w:r>
      <w:r>
        <w:rPr>
          <w:spacing w:val="60"/>
          <w:vertAlign w:val="baseline"/>
        </w:rPr>
        <w:t> </w:t>
      </w:r>
      <w:r>
        <w:rPr>
          <w:vertAlign w:val="baseline"/>
        </w:rPr>
        <w:t>glomeruli signifying a</w:t>
      </w:r>
      <w:r>
        <w:rPr>
          <w:spacing w:val="1"/>
          <w:vertAlign w:val="baseline"/>
        </w:rPr>
        <w:t> </w:t>
      </w:r>
      <w:r>
        <w:rPr>
          <w:vertAlign w:val="baseline"/>
        </w:rPr>
        <w:t>dose dependent nephrotoxicity at doses of 500mg/kg and above.</w:t>
      </w:r>
      <w:r>
        <w:rPr>
          <w:spacing w:val="1"/>
          <w:vertAlign w:val="baseline"/>
        </w:rPr>
        <w:t> </w:t>
      </w:r>
      <w:r>
        <w:rPr>
          <w:vertAlign w:val="baseline"/>
        </w:rPr>
        <w:t>The renal tubular toxicity</w:t>
      </w:r>
      <w:r>
        <w:rPr>
          <w:spacing w:val="1"/>
          <w:vertAlign w:val="baseline"/>
        </w:rPr>
        <w:t> </w:t>
      </w:r>
      <w:r>
        <w:rPr>
          <w:vertAlign w:val="baseline"/>
        </w:rPr>
        <w:t>might</w:t>
      </w:r>
      <w:r>
        <w:rPr>
          <w:spacing w:val="5"/>
          <w:vertAlign w:val="baseline"/>
        </w:rPr>
        <w:t> </w:t>
      </w:r>
      <w:r>
        <w:rPr>
          <w:vertAlign w:val="baseline"/>
        </w:rPr>
        <w:t>be</w:t>
      </w:r>
      <w:r>
        <w:rPr>
          <w:spacing w:val="5"/>
          <w:vertAlign w:val="baseline"/>
        </w:rPr>
        <w:t> </w:t>
      </w:r>
      <w:r>
        <w:rPr>
          <w:vertAlign w:val="baseline"/>
        </w:rPr>
        <w:t>responsible</w:t>
      </w:r>
      <w:r>
        <w:rPr>
          <w:spacing w:val="5"/>
          <w:vertAlign w:val="baseline"/>
        </w:rPr>
        <w:t> </w:t>
      </w:r>
      <w:r>
        <w:rPr>
          <w:vertAlign w:val="baseline"/>
        </w:rPr>
        <w:t>for</w:t>
      </w:r>
      <w:r>
        <w:rPr>
          <w:spacing w:val="5"/>
          <w:vertAlign w:val="baseline"/>
        </w:rPr>
        <w:t> </w:t>
      </w:r>
      <w:r>
        <w:rPr>
          <w:vertAlign w:val="baseline"/>
        </w:rPr>
        <w:t>some</w:t>
      </w:r>
      <w:r>
        <w:rPr>
          <w:spacing w:val="5"/>
          <w:vertAlign w:val="baseline"/>
        </w:rPr>
        <w:t> </w:t>
      </w:r>
      <w:r>
        <w:rPr>
          <w:vertAlign w:val="baseline"/>
        </w:rPr>
        <w:t>of</w:t>
      </w:r>
      <w:r>
        <w:rPr>
          <w:spacing w:val="5"/>
          <w:vertAlign w:val="baseline"/>
        </w:rPr>
        <w:t> </w:t>
      </w:r>
      <w:r>
        <w:rPr>
          <w:vertAlign w:val="baseline"/>
        </w:rPr>
        <w:t>the</w:t>
      </w:r>
      <w:r>
        <w:rPr>
          <w:spacing w:val="4"/>
          <w:vertAlign w:val="baseline"/>
        </w:rPr>
        <w:t> </w:t>
      </w:r>
      <w:r>
        <w:rPr>
          <w:vertAlign w:val="baseline"/>
        </w:rPr>
        <w:t>results</w:t>
      </w:r>
      <w:r>
        <w:rPr>
          <w:spacing w:val="6"/>
          <w:vertAlign w:val="baseline"/>
        </w:rPr>
        <w:t> </w:t>
      </w:r>
      <w:r>
        <w:rPr>
          <w:vertAlign w:val="baseline"/>
        </w:rPr>
        <w:t>observed</w:t>
      </w:r>
      <w:r>
        <w:rPr>
          <w:spacing w:val="5"/>
          <w:vertAlign w:val="baseline"/>
        </w:rPr>
        <w:t> </w:t>
      </w:r>
      <w:r>
        <w:rPr>
          <w:vertAlign w:val="baseline"/>
        </w:rPr>
        <w:t>with</w:t>
      </w:r>
      <w:r>
        <w:rPr>
          <w:spacing w:val="5"/>
          <w:vertAlign w:val="baseline"/>
        </w:rPr>
        <w:t> </w:t>
      </w:r>
      <w:r>
        <w:rPr>
          <w:vertAlign w:val="baseline"/>
        </w:rPr>
        <w:t>the</w:t>
      </w:r>
      <w:r>
        <w:rPr>
          <w:spacing w:val="5"/>
          <w:vertAlign w:val="baseline"/>
        </w:rPr>
        <w:t> </w:t>
      </w:r>
      <w:r>
        <w:rPr>
          <w:vertAlign w:val="baseline"/>
        </w:rPr>
        <w:t>renal</w:t>
      </w:r>
      <w:r>
        <w:rPr>
          <w:spacing w:val="6"/>
          <w:vertAlign w:val="baseline"/>
        </w:rPr>
        <w:t> </w:t>
      </w:r>
      <w:r>
        <w:rPr>
          <w:vertAlign w:val="baseline"/>
        </w:rPr>
        <w:t>function</w:t>
      </w:r>
      <w:r>
        <w:rPr>
          <w:spacing w:val="4"/>
          <w:vertAlign w:val="baseline"/>
        </w:rPr>
        <w:t> </w:t>
      </w:r>
      <w:r>
        <w:rPr>
          <w:vertAlign w:val="baseline"/>
        </w:rPr>
        <w:t>parameters.</w:t>
      </w:r>
      <w:r>
        <w:rPr>
          <w:spacing w:val="14"/>
          <w:vertAlign w:val="baseline"/>
        </w:rPr>
        <w:t> </w:t>
      </w:r>
      <w:r>
        <w:rPr>
          <w:vertAlign w:val="baseline"/>
        </w:rPr>
        <w:t>It</w:t>
      </w:r>
    </w:p>
    <w:p>
      <w:pPr>
        <w:spacing w:after="0" w:line="480" w:lineRule="auto"/>
        <w:jc w:val="both"/>
        <w:sectPr>
          <w:pgSz w:w="12240" w:h="15840"/>
          <w:pgMar w:header="0" w:footer="792" w:top="1360" w:bottom="980" w:left="1580" w:right="1320"/>
        </w:sectPr>
      </w:pPr>
    </w:p>
    <w:p>
      <w:pPr>
        <w:pStyle w:val="BodyText"/>
        <w:spacing w:line="480" w:lineRule="auto" w:before="72"/>
        <w:ind w:left="311" w:right="114"/>
        <w:jc w:val="both"/>
      </w:pPr>
      <w:r>
        <w:rPr/>
        <w:t>has been shown that the primary function of the cells of the proximal tubules is to return</w:t>
      </w:r>
      <w:r>
        <w:rPr>
          <w:spacing w:val="1"/>
        </w:rPr>
        <w:t> </w:t>
      </w:r>
      <w:r>
        <w:rPr/>
        <w:t>approximately</w:t>
      </w:r>
      <w:r>
        <w:rPr>
          <w:spacing w:val="25"/>
        </w:rPr>
        <w:t> </w:t>
      </w:r>
      <w:r>
        <w:rPr/>
        <w:t>80</w:t>
      </w:r>
      <w:r>
        <w:rPr>
          <w:spacing w:val="32"/>
        </w:rPr>
        <w:t> </w:t>
      </w:r>
      <w:r>
        <w:rPr/>
        <w:t>percent</w:t>
      </w:r>
      <w:r>
        <w:rPr>
          <w:spacing w:val="33"/>
        </w:rPr>
        <w:t> </w:t>
      </w:r>
      <w:r>
        <w:rPr/>
        <w:t>of</w:t>
      </w:r>
      <w:r>
        <w:rPr>
          <w:spacing w:val="31"/>
        </w:rPr>
        <w:t> </w:t>
      </w:r>
      <w:r>
        <w:rPr/>
        <w:t>the</w:t>
      </w:r>
      <w:r>
        <w:rPr>
          <w:spacing w:val="32"/>
        </w:rPr>
        <w:t> </w:t>
      </w:r>
      <w:r>
        <w:rPr/>
        <w:t>glomerular</w:t>
      </w:r>
      <w:r>
        <w:rPr>
          <w:spacing w:val="31"/>
        </w:rPr>
        <w:t> </w:t>
      </w:r>
      <w:r>
        <w:rPr/>
        <w:t>filterate</w:t>
      </w:r>
      <w:r>
        <w:rPr>
          <w:spacing w:val="32"/>
        </w:rPr>
        <w:t> </w:t>
      </w:r>
      <w:r>
        <w:rPr/>
        <w:t>into</w:t>
      </w:r>
      <w:r>
        <w:rPr>
          <w:spacing w:val="32"/>
        </w:rPr>
        <w:t> </w:t>
      </w:r>
      <w:r>
        <w:rPr/>
        <w:t>the</w:t>
      </w:r>
      <w:r>
        <w:rPr>
          <w:spacing w:val="31"/>
        </w:rPr>
        <w:t> </w:t>
      </w:r>
      <w:r>
        <w:rPr/>
        <w:t>peritubular</w:t>
      </w:r>
      <w:r>
        <w:rPr>
          <w:spacing w:val="32"/>
        </w:rPr>
        <w:t> </w:t>
      </w:r>
      <w:r>
        <w:rPr/>
        <w:t>blood</w:t>
      </w:r>
      <w:r>
        <w:rPr>
          <w:spacing w:val="32"/>
        </w:rPr>
        <w:t> </w:t>
      </w:r>
      <w:r>
        <w:rPr/>
        <w:t>and</w:t>
      </w:r>
      <w:r>
        <w:rPr>
          <w:spacing w:val="33"/>
        </w:rPr>
        <w:t> </w:t>
      </w:r>
      <w:r>
        <w:rPr/>
        <w:t>hence</w:t>
      </w:r>
      <w:r>
        <w:rPr>
          <w:spacing w:val="-58"/>
        </w:rPr>
        <w:t> </w:t>
      </w:r>
      <w:r>
        <w:rPr/>
        <w:t>into the systemic circulation (Gans and Mercer, 2004), consequently, indication of proximal</w:t>
      </w:r>
      <w:r>
        <w:rPr>
          <w:spacing w:val="1"/>
        </w:rPr>
        <w:t> </w:t>
      </w:r>
      <w:r>
        <w:rPr/>
        <w:t>tubular</w:t>
      </w:r>
      <w:r>
        <w:rPr>
          <w:spacing w:val="1"/>
        </w:rPr>
        <w:t> </w:t>
      </w:r>
      <w:r>
        <w:rPr/>
        <w:t>injury might</w:t>
      </w:r>
      <w:r>
        <w:rPr>
          <w:spacing w:val="1"/>
        </w:rPr>
        <w:t> </w:t>
      </w:r>
      <w:r>
        <w:rPr/>
        <w:t>includes</w:t>
      </w:r>
      <w:r>
        <w:rPr>
          <w:spacing w:val="1"/>
        </w:rPr>
        <w:t> </w:t>
      </w:r>
      <w:r>
        <w:rPr/>
        <w:t>reduction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serum</w:t>
      </w:r>
      <w:r>
        <w:rPr>
          <w:spacing w:val="1"/>
        </w:rPr>
        <w:t> </w:t>
      </w:r>
      <w:r>
        <w:rPr/>
        <w:t>phosphate,</w:t>
      </w:r>
      <w:r>
        <w:rPr>
          <w:spacing w:val="1"/>
        </w:rPr>
        <w:t> </w:t>
      </w:r>
      <w:r>
        <w:rPr/>
        <w:t>uric</w:t>
      </w:r>
      <w:r>
        <w:rPr>
          <w:spacing w:val="1"/>
        </w:rPr>
        <w:t> </w:t>
      </w:r>
      <w:r>
        <w:rPr/>
        <w:t>acid,</w:t>
      </w:r>
      <w:r>
        <w:rPr>
          <w:spacing w:val="1"/>
        </w:rPr>
        <w:t> </w:t>
      </w:r>
      <w:r>
        <w:rPr/>
        <w:t>magnesium</w:t>
      </w:r>
      <w:r>
        <w:rPr>
          <w:spacing w:val="1"/>
        </w:rPr>
        <w:t> </w:t>
      </w:r>
      <w:r>
        <w:rPr/>
        <w:t>and</w:t>
      </w:r>
      <w:r>
        <w:rPr>
          <w:spacing w:val="-57"/>
        </w:rPr>
        <w:t> </w:t>
      </w:r>
      <w:r>
        <w:rPr/>
        <w:t>potassium as a result of increased urinary losses.The fact that our extract</w:t>
      </w:r>
      <w:r>
        <w:rPr>
          <w:spacing w:val="60"/>
        </w:rPr>
        <w:t> </w:t>
      </w:r>
      <w:r>
        <w:rPr/>
        <w:t>causes renal</w:t>
      </w:r>
      <w:r>
        <w:rPr>
          <w:spacing w:val="1"/>
        </w:rPr>
        <w:t> </w:t>
      </w:r>
      <w:r>
        <w:rPr/>
        <w:t>tubular injury without affecting the glomerulus agrees with the findings that nephrotoxicity</w:t>
      </w:r>
      <w:r>
        <w:rPr>
          <w:spacing w:val="1"/>
        </w:rPr>
        <w:t> </w:t>
      </w:r>
      <w:r>
        <w:rPr/>
        <w:t>may be evidence by the alterations in renal tubular function without loss of glomerular</w:t>
      </w:r>
      <w:r>
        <w:rPr>
          <w:spacing w:val="1"/>
        </w:rPr>
        <w:t> </w:t>
      </w:r>
      <w:r>
        <w:rPr/>
        <w:t>filteration</w:t>
      </w:r>
      <w:r>
        <w:rPr>
          <w:spacing w:val="-1"/>
        </w:rPr>
        <w:t> </w:t>
      </w:r>
      <w:r>
        <w:rPr/>
        <w:t>(Nolin and Himmelfarb, 2008).</w:t>
      </w:r>
    </w:p>
    <w:p>
      <w:pPr>
        <w:spacing w:after="0" w:line="480" w:lineRule="auto"/>
        <w:jc w:val="both"/>
        <w:sectPr>
          <w:pgSz w:w="12240" w:h="15840"/>
          <w:pgMar w:header="0" w:footer="792" w:top="1360" w:bottom="980" w:left="1580" w:right="1320"/>
        </w:sectPr>
      </w:pPr>
    </w:p>
    <w:p>
      <w:pPr>
        <w:pStyle w:val="Heading1"/>
        <w:spacing w:before="76"/>
        <w:ind w:left="204" w:right="104"/>
        <w:jc w:val="center"/>
      </w:pPr>
      <w:r>
        <w:rPr/>
        <w:t>CHAPTER</w:t>
      </w:r>
      <w:r>
        <w:rPr>
          <w:spacing w:val="-2"/>
        </w:rPr>
        <w:t> </w:t>
      </w:r>
      <w:r>
        <w:rPr/>
        <w:t>6</w:t>
      </w:r>
    </w:p>
    <w:p>
      <w:pPr>
        <w:pStyle w:val="BodyText"/>
        <w:spacing w:before="1"/>
        <w:rPr>
          <w:b/>
        </w:rPr>
      </w:pPr>
    </w:p>
    <w:p>
      <w:pPr>
        <w:pStyle w:val="Heading1"/>
        <w:numPr>
          <w:ilvl w:val="1"/>
          <w:numId w:val="32"/>
        </w:numPr>
        <w:tabs>
          <w:tab w:pos="2080" w:val="left" w:leader="none"/>
          <w:tab w:pos="2081" w:val="left" w:leader="none"/>
        </w:tabs>
        <w:spacing w:line="240" w:lineRule="auto" w:before="0" w:after="0"/>
        <w:ind w:left="2081" w:right="0" w:hanging="601"/>
        <w:jc w:val="left"/>
      </w:pPr>
      <w:bookmarkStart w:name="_TOC_250004" w:id="57"/>
      <w:r>
        <w:rPr/>
        <w:t>SUMMARY,</w:t>
      </w:r>
      <w:r>
        <w:rPr>
          <w:spacing w:val="-2"/>
        </w:rPr>
        <w:t> </w:t>
      </w:r>
      <w:r>
        <w:rPr/>
        <w:t>CONCLUSION AND</w:t>
      </w:r>
      <w:r>
        <w:rPr>
          <w:spacing w:val="-2"/>
        </w:rPr>
        <w:t> </w:t>
      </w:r>
      <w:bookmarkEnd w:id="57"/>
      <w:r>
        <w:rPr/>
        <w:t>RECOMMENDATIONS</w:t>
      </w:r>
    </w:p>
    <w:p>
      <w:pPr>
        <w:pStyle w:val="BodyText"/>
        <w:rPr>
          <w:b/>
        </w:rPr>
      </w:pPr>
    </w:p>
    <w:p>
      <w:pPr>
        <w:pStyle w:val="Heading1"/>
        <w:numPr>
          <w:ilvl w:val="1"/>
          <w:numId w:val="32"/>
        </w:numPr>
        <w:tabs>
          <w:tab w:pos="3940" w:val="left" w:leader="none"/>
          <w:tab w:pos="3941" w:val="left" w:leader="none"/>
        </w:tabs>
        <w:spacing w:line="240" w:lineRule="auto" w:before="0" w:after="0"/>
        <w:ind w:left="3941" w:right="0" w:hanging="3721"/>
        <w:jc w:val="both"/>
      </w:pPr>
      <w:bookmarkStart w:name="_TOC_250003" w:id="58"/>
      <w:bookmarkEnd w:id="58"/>
      <w:r>
        <w:rPr/>
        <w:t>Summary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311" w:right="113"/>
        <w:jc w:val="both"/>
      </w:pPr>
      <w:r>
        <w:rPr/>
        <w:t>The plant </w:t>
      </w:r>
      <w:r>
        <w:rPr>
          <w:i/>
        </w:rPr>
        <w:t>Diospyros mespiliformis </w:t>
      </w:r>
      <w:r>
        <w:rPr/>
        <w:t>belongs to the family of Ebenaceae and is indigenous to</w:t>
      </w:r>
      <w:r>
        <w:rPr>
          <w:spacing w:val="1"/>
        </w:rPr>
        <w:t> </w:t>
      </w:r>
      <w:r>
        <w:rPr/>
        <w:t>Nigeria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West</w:t>
      </w:r>
      <w:r>
        <w:rPr>
          <w:spacing w:val="1"/>
        </w:rPr>
        <w:t> </w:t>
      </w:r>
      <w:r>
        <w:rPr/>
        <w:t>African</w:t>
      </w:r>
      <w:r>
        <w:rPr>
          <w:spacing w:val="1"/>
        </w:rPr>
        <w:t> </w:t>
      </w:r>
      <w:r>
        <w:rPr/>
        <w:t>countries.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methanol</w:t>
      </w:r>
      <w:r>
        <w:rPr>
          <w:spacing w:val="1"/>
        </w:rPr>
        <w:t> </w:t>
      </w:r>
      <w:r>
        <w:rPr/>
        <w:t>leaf</w:t>
      </w:r>
      <w:r>
        <w:rPr>
          <w:spacing w:val="1"/>
        </w:rPr>
        <w:t> </w:t>
      </w:r>
      <w:r>
        <w:rPr/>
        <w:t>extract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>
          <w:i/>
        </w:rPr>
        <w:t>Diospyros</w:t>
      </w:r>
      <w:r>
        <w:rPr>
          <w:i/>
          <w:spacing w:val="1"/>
        </w:rPr>
        <w:t> </w:t>
      </w:r>
      <w:r>
        <w:rPr>
          <w:i/>
        </w:rPr>
        <w:t>mespiliformis </w:t>
      </w:r>
      <w:r>
        <w:rPr/>
        <w:t>contain important phytoconstitutents such as alkaloids, saponins, flavonoids,</w:t>
      </w:r>
      <w:r>
        <w:rPr>
          <w:spacing w:val="1"/>
        </w:rPr>
        <w:t> </w:t>
      </w:r>
      <w:r>
        <w:rPr/>
        <w:t>tannins,</w:t>
      </w:r>
      <w:r>
        <w:rPr>
          <w:spacing w:val="-2"/>
        </w:rPr>
        <w:t> </w:t>
      </w:r>
      <w:r>
        <w:rPr/>
        <w:t>carbohydrates,</w:t>
      </w:r>
      <w:r>
        <w:rPr>
          <w:spacing w:val="-1"/>
        </w:rPr>
        <w:t> </w:t>
      </w:r>
      <w:r>
        <w:rPr/>
        <w:t>cardiac glycosides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combined</w:t>
      </w:r>
      <w:r>
        <w:rPr>
          <w:spacing w:val="-1"/>
        </w:rPr>
        <w:t> </w:t>
      </w:r>
      <w:r>
        <w:rPr/>
        <w:t>anthracene</w:t>
      </w:r>
      <w:r>
        <w:rPr>
          <w:spacing w:val="-2"/>
        </w:rPr>
        <w:t> </w:t>
      </w:r>
      <w:r>
        <w:rPr/>
        <w:t>type of</w:t>
      </w:r>
      <w:r>
        <w:rPr>
          <w:spacing w:val="-3"/>
        </w:rPr>
        <w:t> </w:t>
      </w:r>
      <w:r>
        <w:rPr/>
        <w:t>anthraquinones.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 w:before="1"/>
        <w:ind w:left="311" w:right="111"/>
        <w:jc w:val="both"/>
      </w:pPr>
      <w:r>
        <w:rPr/>
        <w:t>LD</w:t>
      </w:r>
      <w:r>
        <w:rPr>
          <w:vertAlign w:val="subscript"/>
        </w:rPr>
        <w:t>50</w:t>
      </w:r>
      <w:r>
        <w:rPr>
          <w:vertAlign w:val="baseline"/>
        </w:rPr>
        <w:t> values in rats and mice were found to be 774.6 mg/kg intraperitoneally and &gt;5000</w:t>
      </w:r>
      <w:r>
        <w:rPr>
          <w:spacing w:val="1"/>
          <w:vertAlign w:val="baseline"/>
        </w:rPr>
        <w:t> </w:t>
      </w:r>
      <w:r>
        <w:rPr>
          <w:vertAlign w:val="baseline"/>
        </w:rPr>
        <w:t>mg/kg</w:t>
      </w:r>
      <w:r>
        <w:rPr>
          <w:spacing w:val="1"/>
          <w:vertAlign w:val="baseline"/>
        </w:rPr>
        <w:t> </w:t>
      </w:r>
      <w:r>
        <w:rPr>
          <w:vertAlign w:val="baseline"/>
        </w:rPr>
        <w:t>orally</w:t>
      </w:r>
      <w:r>
        <w:rPr>
          <w:spacing w:val="1"/>
          <w:vertAlign w:val="baseline"/>
        </w:rPr>
        <w:t> </w:t>
      </w:r>
      <w:r>
        <w:rPr>
          <w:vertAlign w:val="baseline"/>
        </w:rPr>
        <w:t>while</w:t>
      </w:r>
      <w:r>
        <w:rPr>
          <w:spacing w:val="1"/>
          <w:vertAlign w:val="baseline"/>
        </w:rPr>
        <w:t> </w:t>
      </w:r>
      <w:r>
        <w:rPr>
          <w:vertAlign w:val="baseline"/>
        </w:rPr>
        <w:t>for</w:t>
      </w:r>
      <w:r>
        <w:rPr>
          <w:spacing w:val="1"/>
          <w:vertAlign w:val="baseline"/>
        </w:rPr>
        <w:t> </w:t>
      </w:r>
      <w:r>
        <w:rPr>
          <w:vertAlign w:val="baseline"/>
        </w:rPr>
        <w:t>chicks,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LD</w:t>
      </w:r>
      <w:r>
        <w:rPr>
          <w:vertAlign w:val="subscript"/>
        </w:rPr>
        <w:t>50</w:t>
      </w:r>
      <w:r>
        <w:rPr>
          <w:spacing w:val="1"/>
          <w:vertAlign w:val="baseline"/>
        </w:rPr>
        <w:t> </w:t>
      </w:r>
      <w:r>
        <w:rPr>
          <w:vertAlign w:val="baseline"/>
        </w:rPr>
        <w:t>value</w:t>
      </w:r>
      <w:r>
        <w:rPr>
          <w:spacing w:val="1"/>
          <w:vertAlign w:val="baseline"/>
        </w:rPr>
        <w:t> </w:t>
      </w:r>
      <w:r>
        <w:rPr>
          <w:vertAlign w:val="baseline"/>
        </w:rPr>
        <w:t>was</w:t>
      </w:r>
      <w:r>
        <w:rPr>
          <w:spacing w:val="1"/>
          <w:vertAlign w:val="baseline"/>
        </w:rPr>
        <w:t> </w:t>
      </w:r>
      <w:r>
        <w:rPr>
          <w:vertAlign w:val="baseline"/>
        </w:rPr>
        <w:t>found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be</w:t>
      </w:r>
      <w:r>
        <w:rPr>
          <w:spacing w:val="1"/>
          <w:vertAlign w:val="baseline"/>
        </w:rPr>
        <w:t> </w:t>
      </w:r>
      <w:r>
        <w:rPr>
          <w:vertAlign w:val="baseline"/>
        </w:rPr>
        <w:t>&gt;5000</w:t>
      </w:r>
      <w:r>
        <w:rPr>
          <w:spacing w:val="1"/>
          <w:vertAlign w:val="baseline"/>
        </w:rPr>
        <w:t> </w:t>
      </w:r>
      <w:r>
        <w:rPr>
          <w:vertAlign w:val="baseline"/>
        </w:rPr>
        <w:t>mg/kg</w:t>
      </w:r>
      <w:r>
        <w:rPr>
          <w:spacing w:val="-57"/>
          <w:vertAlign w:val="baseline"/>
        </w:rPr>
        <w:t> </w:t>
      </w:r>
      <w:r>
        <w:rPr>
          <w:vertAlign w:val="baseline"/>
        </w:rPr>
        <w:t>intraperitoneally. The result showed that toxic effect of extracts is greatly influenced by</w:t>
      </w:r>
      <w:r>
        <w:rPr>
          <w:spacing w:val="1"/>
          <w:vertAlign w:val="baseline"/>
        </w:rPr>
        <w:t> </w:t>
      </w:r>
      <w:r>
        <w:rPr>
          <w:vertAlign w:val="baseline"/>
        </w:rPr>
        <w:t>routes</w:t>
      </w:r>
      <w:r>
        <w:rPr>
          <w:spacing w:val="-1"/>
          <w:vertAlign w:val="baseline"/>
        </w:rPr>
        <w:t> </w:t>
      </w:r>
      <w:r>
        <w:rPr>
          <w:vertAlign w:val="baseline"/>
        </w:rPr>
        <w:t>of administration as well as specie</w:t>
      </w:r>
      <w:r>
        <w:rPr>
          <w:spacing w:val="-1"/>
          <w:vertAlign w:val="baseline"/>
        </w:rPr>
        <w:t> </w:t>
      </w:r>
      <w:r>
        <w:rPr>
          <w:vertAlign w:val="baseline"/>
        </w:rPr>
        <w:t>variation.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/>
        <w:ind w:left="311" w:right="113"/>
        <w:jc w:val="both"/>
      </w:pPr>
      <w:r>
        <w:rPr/>
        <w:t>The methanol leaf extract of </w:t>
      </w:r>
      <w:r>
        <w:rPr>
          <w:i/>
        </w:rPr>
        <w:t>Diospyros mespiliformis </w:t>
      </w:r>
      <w:r>
        <w:rPr/>
        <w:t>showed a significant anticonvulsant</w:t>
      </w:r>
      <w:r>
        <w:rPr>
          <w:spacing w:val="1"/>
        </w:rPr>
        <w:t> </w:t>
      </w:r>
      <w:r>
        <w:rPr/>
        <w:t>activity against pentylenetetrazole induced seizure in mice.</w:t>
      </w:r>
      <w:r>
        <w:rPr>
          <w:spacing w:val="60"/>
        </w:rPr>
        <w:t> </w:t>
      </w:r>
      <w:r>
        <w:rPr/>
        <w:t>From 50% protection with a</w:t>
      </w:r>
      <w:r>
        <w:rPr>
          <w:spacing w:val="1"/>
        </w:rPr>
        <w:t> </w:t>
      </w:r>
      <w:r>
        <w:rPr/>
        <w:t>dose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50</w:t>
      </w:r>
      <w:r>
        <w:rPr>
          <w:spacing w:val="1"/>
        </w:rPr>
        <w:t> </w:t>
      </w:r>
      <w:r>
        <w:rPr/>
        <w:t>mg/kg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extract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66.7%</w:t>
      </w:r>
      <w:r>
        <w:rPr>
          <w:spacing w:val="1"/>
        </w:rPr>
        <w:t> </w:t>
      </w:r>
      <w:r>
        <w:rPr/>
        <w:t>protection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100</w:t>
      </w:r>
      <w:r>
        <w:rPr>
          <w:spacing w:val="1"/>
        </w:rPr>
        <w:t> </w:t>
      </w:r>
      <w:r>
        <w:rPr/>
        <w:t>mg/kg</w:t>
      </w:r>
      <w:r>
        <w:rPr>
          <w:spacing w:val="1"/>
        </w:rPr>
        <w:t> </w:t>
      </w:r>
      <w:r>
        <w:rPr/>
        <w:t>dose.The</w:t>
      </w:r>
      <w:r>
        <w:rPr>
          <w:spacing w:val="1"/>
        </w:rPr>
        <w:t> </w:t>
      </w:r>
      <w:r>
        <w:rPr/>
        <w:t>extract</w:t>
      </w:r>
      <w:r>
        <w:rPr>
          <w:spacing w:val="1"/>
        </w:rPr>
        <w:t> </w:t>
      </w:r>
      <w:r>
        <w:rPr/>
        <w:t>also</w:t>
      </w:r>
      <w:r>
        <w:rPr>
          <w:spacing w:val="-57"/>
        </w:rPr>
        <w:t> </w:t>
      </w:r>
      <w:r>
        <w:rPr/>
        <w:t>significantly delayed the onset of seizure against strychnine induced seizure even though it</w:t>
      </w:r>
      <w:r>
        <w:rPr>
          <w:spacing w:val="1"/>
        </w:rPr>
        <w:t> </w:t>
      </w:r>
      <w:r>
        <w:rPr/>
        <w:t>could not protect the animals against lethality induced by strychnine. The extract however</w:t>
      </w:r>
      <w:r>
        <w:rPr>
          <w:spacing w:val="1"/>
        </w:rPr>
        <w:t> </w:t>
      </w:r>
      <w:r>
        <w:rPr/>
        <w:t>could not protect the animals against seizure induced by both maximal electroshock and 4-</w:t>
      </w:r>
      <w:r>
        <w:rPr>
          <w:spacing w:val="1"/>
        </w:rPr>
        <w:t> </w:t>
      </w:r>
      <w:r>
        <w:rPr/>
        <w:t>aminopyridine. However, the extract in the sub-chronic toxicity studies showed significant</w:t>
      </w:r>
      <w:r>
        <w:rPr>
          <w:spacing w:val="1"/>
        </w:rPr>
        <w:t> </w:t>
      </w:r>
      <w:r>
        <w:rPr/>
        <w:t>elevation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ALP</w:t>
      </w:r>
      <w:r>
        <w:rPr>
          <w:spacing w:val="1"/>
        </w:rPr>
        <w:t> </w:t>
      </w:r>
      <w:r>
        <w:rPr/>
        <w:t>possibly signifying</w:t>
      </w:r>
      <w:r>
        <w:rPr>
          <w:spacing w:val="1"/>
        </w:rPr>
        <w:t> </w:t>
      </w:r>
      <w:r>
        <w:rPr/>
        <w:t>drug</w:t>
      </w:r>
      <w:r>
        <w:rPr>
          <w:spacing w:val="1"/>
        </w:rPr>
        <w:t> </w:t>
      </w:r>
      <w:r>
        <w:rPr/>
        <w:t>induced</w:t>
      </w:r>
      <w:r>
        <w:rPr>
          <w:spacing w:val="1"/>
        </w:rPr>
        <w:t> </w:t>
      </w:r>
      <w:r>
        <w:rPr/>
        <w:t>cholestasis.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was,</w:t>
      </w:r>
      <w:r>
        <w:rPr>
          <w:spacing w:val="1"/>
        </w:rPr>
        <w:t> </w:t>
      </w:r>
      <w:r>
        <w:rPr/>
        <w:t>though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statistically significant elevations of AST and ALT, since cholestasis with hepatitis is the</w:t>
      </w:r>
      <w:r>
        <w:rPr>
          <w:spacing w:val="1"/>
        </w:rPr>
        <w:t> </w:t>
      </w:r>
      <w:r>
        <w:rPr/>
        <w:t>most</w:t>
      </w:r>
      <w:r>
        <w:rPr>
          <w:spacing w:val="42"/>
        </w:rPr>
        <w:t> </w:t>
      </w:r>
      <w:r>
        <w:rPr/>
        <w:t>common</w:t>
      </w:r>
      <w:r>
        <w:rPr>
          <w:spacing w:val="41"/>
        </w:rPr>
        <w:t> </w:t>
      </w:r>
      <w:r>
        <w:rPr/>
        <w:t>form</w:t>
      </w:r>
      <w:r>
        <w:rPr>
          <w:spacing w:val="43"/>
        </w:rPr>
        <w:t> </w:t>
      </w:r>
      <w:r>
        <w:rPr/>
        <w:t>of</w:t>
      </w:r>
      <w:r>
        <w:rPr>
          <w:spacing w:val="41"/>
        </w:rPr>
        <w:t> </w:t>
      </w:r>
      <w:r>
        <w:rPr/>
        <w:t>drug</w:t>
      </w:r>
      <w:r>
        <w:rPr>
          <w:spacing w:val="40"/>
        </w:rPr>
        <w:t> </w:t>
      </w:r>
      <w:r>
        <w:rPr/>
        <w:t>induced</w:t>
      </w:r>
      <w:r>
        <w:rPr>
          <w:spacing w:val="41"/>
        </w:rPr>
        <w:t> </w:t>
      </w:r>
      <w:r>
        <w:rPr/>
        <w:t>cholestasis,</w:t>
      </w:r>
      <w:r>
        <w:rPr>
          <w:spacing w:val="42"/>
        </w:rPr>
        <w:t> </w:t>
      </w:r>
      <w:r>
        <w:rPr/>
        <w:t>it</w:t>
      </w:r>
      <w:r>
        <w:rPr>
          <w:spacing w:val="43"/>
        </w:rPr>
        <w:t> </w:t>
      </w:r>
      <w:r>
        <w:rPr/>
        <w:t>can</w:t>
      </w:r>
      <w:r>
        <w:rPr>
          <w:spacing w:val="42"/>
        </w:rPr>
        <w:t> </w:t>
      </w:r>
      <w:r>
        <w:rPr/>
        <w:t>be</w:t>
      </w:r>
      <w:r>
        <w:rPr>
          <w:spacing w:val="42"/>
        </w:rPr>
        <w:t> </w:t>
      </w:r>
      <w:r>
        <w:rPr/>
        <w:t>inferred</w:t>
      </w:r>
      <w:r>
        <w:rPr>
          <w:spacing w:val="42"/>
        </w:rPr>
        <w:t> </w:t>
      </w:r>
      <w:r>
        <w:rPr/>
        <w:t>that</w:t>
      </w:r>
      <w:r>
        <w:rPr>
          <w:spacing w:val="44"/>
        </w:rPr>
        <w:t> </w:t>
      </w:r>
      <w:r>
        <w:rPr/>
        <w:t>the</w:t>
      </w:r>
      <w:r>
        <w:rPr>
          <w:spacing w:val="41"/>
        </w:rPr>
        <w:t> </w:t>
      </w:r>
      <w:r>
        <w:rPr/>
        <w:t>rise</w:t>
      </w:r>
      <w:r>
        <w:rPr>
          <w:spacing w:val="42"/>
        </w:rPr>
        <w:t> </w:t>
      </w:r>
      <w:r>
        <w:rPr/>
        <w:t>in</w:t>
      </w:r>
      <w:r>
        <w:rPr>
          <w:spacing w:val="42"/>
        </w:rPr>
        <w:t> </w:t>
      </w:r>
      <w:r>
        <w:rPr/>
        <w:t>ALP</w:t>
      </w:r>
    </w:p>
    <w:p>
      <w:pPr>
        <w:spacing w:after="0" w:line="480" w:lineRule="auto"/>
        <w:jc w:val="both"/>
        <w:sectPr>
          <w:pgSz w:w="12240" w:h="15840"/>
          <w:pgMar w:header="0" w:footer="792" w:top="1360" w:bottom="980" w:left="1580" w:right="1320"/>
        </w:sectPr>
      </w:pPr>
    </w:p>
    <w:p>
      <w:pPr>
        <w:pStyle w:val="BodyText"/>
        <w:spacing w:line="480" w:lineRule="auto" w:before="72"/>
        <w:ind w:left="311" w:right="117"/>
        <w:jc w:val="both"/>
      </w:pPr>
      <w:r>
        <w:rPr/>
        <w:t>probably precedes the rise in TB, AST and ALT hence their low values despite apparent</w:t>
      </w:r>
      <w:r>
        <w:rPr>
          <w:spacing w:val="1"/>
        </w:rPr>
        <w:t> </w:t>
      </w:r>
      <w:r>
        <w:rPr/>
        <w:t>hepatocellular</w:t>
      </w:r>
      <w:r>
        <w:rPr>
          <w:spacing w:val="-3"/>
        </w:rPr>
        <w:t> </w:t>
      </w:r>
      <w:r>
        <w:rPr/>
        <w:t>necrosis from the</w:t>
      </w:r>
      <w:r>
        <w:rPr>
          <w:spacing w:val="-1"/>
        </w:rPr>
        <w:t> </w:t>
      </w:r>
      <w:r>
        <w:rPr/>
        <w:t>histopathological</w:t>
      </w:r>
      <w:r>
        <w:rPr>
          <w:spacing w:val="2"/>
        </w:rPr>
        <w:t> </w:t>
      </w:r>
      <w:r>
        <w:rPr/>
        <w:t>findings.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/>
        <w:ind w:left="311" w:right="113"/>
        <w:jc w:val="both"/>
      </w:pPr>
      <w:r>
        <w:rPr/>
        <w:t>Serum potassium was significantly elevated signifying possible extract induced renal distal</w:t>
      </w:r>
      <w:r>
        <w:rPr>
          <w:spacing w:val="1"/>
        </w:rPr>
        <w:t> </w:t>
      </w:r>
      <w:r>
        <w:rPr/>
        <w:t>tubular necrosis that leads to impaired potassium excretion with consequent hyperkalaemia.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significantly</w:t>
      </w:r>
      <w:r>
        <w:rPr>
          <w:spacing w:val="1"/>
        </w:rPr>
        <w:t> </w:t>
      </w:r>
      <w:r>
        <w:rPr/>
        <w:t>decreased</w:t>
      </w:r>
      <w:r>
        <w:rPr>
          <w:spacing w:val="1"/>
        </w:rPr>
        <w:t> </w:t>
      </w:r>
      <w:r>
        <w:rPr/>
        <w:t>creatinine</w:t>
      </w:r>
      <w:r>
        <w:rPr>
          <w:spacing w:val="1"/>
        </w:rPr>
        <w:t> </w:t>
      </w:r>
      <w:r>
        <w:rPr/>
        <w:t>level</w:t>
      </w:r>
      <w:r>
        <w:rPr>
          <w:spacing w:val="1"/>
        </w:rPr>
        <w:t> </w:t>
      </w:r>
      <w:r>
        <w:rPr/>
        <w:t>might</w:t>
      </w:r>
      <w:r>
        <w:rPr>
          <w:spacing w:val="1"/>
        </w:rPr>
        <w:t> </w:t>
      </w:r>
      <w:r>
        <w:rPr/>
        <w:t>possibly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due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debilitation</w:t>
      </w:r>
      <w:r>
        <w:rPr>
          <w:spacing w:val="60"/>
        </w:rPr>
        <w:t> </w:t>
      </w:r>
      <w:r>
        <w:rPr/>
        <w:t>or</w:t>
      </w:r>
      <w:r>
        <w:rPr>
          <w:spacing w:val="1"/>
        </w:rPr>
        <w:t> </w:t>
      </w:r>
      <w:r>
        <w:rPr/>
        <w:t>muscular</w:t>
      </w:r>
      <w:r>
        <w:rPr>
          <w:spacing w:val="1"/>
        </w:rPr>
        <w:t> </w:t>
      </w:r>
      <w:r>
        <w:rPr/>
        <w:t>dystrophy</w:t>
      </w:r>
      <w:r>
        <w:rPr>
          <w:spacing w:val="1"/>
        </w:rPr>
        <w:t> </w:t>
      </w:r>
      <w:r>
        <w:rPr/>
        <w:t>induced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extract.Histopathological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revealed</w:t>
      </w:r>
      <w:r>
        <w:rPr>
          <w:spacing w:val="1"/>
        </w:rPr>
        <w:t> </w:t>
      </w:r>
      <w:r>
        <w:rPr/>
        <w:t>dose</w:t>
      </w:r>
      <w:r>
        <w:rPr>
          <w:spacing w:val="1"/>
        </w:rPr>
        <w:t> </w:t>
      </w:r>
      <w:r>
        <w:rPr/>
        <w:t>dependent hepatotoxicity and nephrotoxicity of the extract.</w:t>
      </w:r>
      <w:r>
        <w:rPr>
          <w:spacing w:val="1"/>
        </w:rPr>
        <w:t> </w:t>
      </w:r>
      <w:r>
        <w:rPr/>
        <w:t>Doses of 50 to 250 mg/kg of the</w:t>
      </w:r>
      <w:r>
        <w:rPr>
          <w:spacing w:val="-57"/>
        </w:rPr>
        <w:t> </w:t>
      </w:r>
      <w:r>
        <w:rPr/>
        <w:t>extracts were found to be relatively safe with no apparent hepatotoxicity or nephrotoxicity.</w:t>
      </w:r>
      <w:r>
        <w:rPr>
          <w:spacing w:val="1"/>
        </w:rPr>
        <w:t> </w:t>
      </w:r>
      <w:r>
        <w:rPr/>
        <w:t>However doses of 500 and 1000</w:t>
      </w:r>
      <w:r>
        <w:rPr>
          <w:spacing w:val="60"/>
        </w:rPr>
        <w:t> </w:t>
      </w:r>
      <w:r>
        <w:rPr/>
        <w:t>mg/kg of the extract revealed moderate (with 500</w:t>
      </w:r>
      <w:r>
        <w:rPr>
          <w:spacing w:val="60"/>
        </w:rPr>
        <w:t> </w:t>
      </w:r>
      <w:r>
        <w:rPr/>
        <w:t>mg/kg)</w:t>
      </w:r>
      <w:r>
        <w:rPr>
          <w:spacing w:val="1"/>
        </w:rPr>
        <w:t> </w:t>
      </w:r>
      <w:r>
        <w:rPr/>
        <w:t>to significant (with 1000 mg/kg) degeneration of hepatocytes, necrosis of hepatocytes and</w:t>
      </w:r>
      <w:r>
        <w:rPr>
          <w:spacing w:val="1"/>
        </w:rPr>
        <w:t> </w:t>
      </w:r>
      <w:r>
        <w:rPr/>
        <w:t>loss of hepatic architecture with the liver and moderate (with 500 mg/kg) to significant (with</w:t>
      </w:r>
      <w:r>
        <w:rPr>
          <w:spacing w:val="-57"/>
        </w:rPr>
        <w:t> </w:t>
      </w:r>
      <w:r>
        <w:rPr/>
        <w:t>1000 mg/kg) loss of renal tubular architecture and degeneration of renal tubules but with</w:t>
      </w:r>
      <w:r>
        <w:rPr>
          <w:spacing w:val="1"/>
        </w:rPr>
        <w:t> </w:t>
      </w:r>
      <w:r>
        <w:rPr/>
        <w:t>intact</w:t>
      </w:r>
      <w:r>
        <w:rPr>
          <w:spacing w:val="1"/>
        </w:rPr>
        <w:t> </w:t>
      </w:r>
      <w:r>
        <w:rPr/>
        <w:t>glomeruli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kidney.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showed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extract</w:t>
      </w:r>
      <w:r>
        <w:rPr>
          <w:spacing w:val="1"/>
        </w:rPr>
        <w:t> </w:t>
      </w:r>
      <w:r>
        <w:rPr/>
        <w:t>might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low</w:t>
      </w:r>
      <w:r>
        <w:rPr>
          <w:spacing w:val="-57"/>
        </w:rPr>
        <w:t> </w:t>
      </w:r>
      <w:r>
        <w:rPr/>
        <w:t>therapeutic</w:t>
      </w:r>
      <w:r>
        <w:rPr>
          <w:spacing w:val="1"/>
        </w:rPr>
        <w:t> </w:t>
      </w:r>
      <w:r>
        <w:rPr/>
        <w:t>index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almost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doubling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LD</w:t>
      </w:r>
      <w:r>
        <w:rPr>
          <w:vertAlign w:val="subscript"/>
        </w:rPr>
        <w:t>50</w:t>
      </w:r>
      <w:r>
        <w:rPr>
          <w:spacing w:val="1"/>
          <w:vertAlign w:val="baseline"/>
        </w:rPr>
        <w:t> </w:t>
      </w:r>
      <w:r>
        <w:rPr>
          <w:vertAlign w:val="baseline"/>
        </w:rPr>
        <w:t>dose</w:t>
      </w:r>
      <w:r>
        <w:rPr>
          <w:spacing w:val="1"/>
          <w:vertAlign w:val="baseline"/>
        </w:rPr>
        <w:t> </w:t>
      </w:r>
      <w:r>
        <w:rPr>
          <w:vertAlign w:val="baseline"/>
        </w:rPr>
        <w:t>might</w:t>
      </w:r>
      <w:r>
        <w:rPr>
          <w:spacing w:val="1"/>
          <w:vertAlign w:val="baseline"/>
        </w:rPr>
        <w:t> </w:t>
      </w:r>
      <w:r>
        <w:rPr>
          <w:vertAlign w:val="baseline"/>
        </w:rPr>
        <w:t>portends</w:t>
      </w:r>
      <w:r>
        <w:rPr>
          <w:spacing w:val="1"/>
          <w:vertAlign w:val="baseline"/>
        </w:rPr>
        <w:t> </w:t>
      </w:r>
      <w:r>
        <w:rPr>
          <w:vertAlign w:val="baseline"/>
        </w:rPr>
        <w:t>danger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hepatotoxicity</w:t>
      </w:r>
      <w:r>
        <w:rPr>
          <w:spacing w:val="-6"/>
          <w:vertAlign w:val="baseline"/>
        </w:rPr>
        <w:t> </w:t>
      </w:r>
      <w:r>
        <w:rPr>
          <w:vertAlign w:val="baseline"/>
        </w:rPr>
        <w:t>and nephrotoxicity.</w:t>
      </w:r>
    </w:p>
    <w:p>
      <w:pPr>
        <w:spacing w:after="0" w:line="480" w:lineRule="auto"/>
        <w:jc w:val="both"/>
        <w:sectPr>
          <w:pgSz w:w="12240" w:h="15840"/>
          <w:pgMar w:header="0" w:footer="792" w:top="1360" w:bottom="980" w:left="1580" w:right="1320"/>
        </w:sectPr>
      </w:pPr>
    </w:p>
    <w:p>
      <w:pPr>
        <w:pStyle w:val="Heading1"/>
        <w:numPr>
          <w:ilvl w:val="1"/>
          <w:numId w:val="32"/>
        </w:numPr>
        <w:tabs>
          <w:tab w:pos="3820" w:val="left" w:leader="none"/>
          <w:tab w:pos="3821" w:val="left" w:leader="none"/>
        </w:tabs>
        <w:spacing w:line="240" w:lineRule="auto" w:before="76" w:after="0"/>
        <w:ind w:left="3821" w:right="0" w:hanging="3601"/>
        <w:jc w:val="both"/>
      </w:pPr>
      <w:bookmarkStart w:name="_TOC_250002" w:id="59"/>
      <w:bookmarkEnd w:id="59"/>
      <w:r>
        <w:rPr/>
        <w:t>Conclusion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 w:before="1"/>
        <w:ind w:left="311" w:right="113"/>
        <w:jc w:val="both"/>
      </w:pPr>
      <w:r>
        <w:rPr/>
        <w:t>The data presented, analyzed and discussed suggests that the use of the leaves of </w:t>
      </w:r>
      <w:r>
        <w:rPr>
          <w:i/>
        </w:rPr>
        <w:t>Diospyros</w:t>
      </w:r>
      <w:r>
        <w:rPr>
          <w:i/>
          <w:spacing w:val="1"/>
        </w:rPr>
        <w:t> </w:t>
      </w:r>
      <w:r>
        <w:rPr>
          <w:i/>
        </w:rPr>
        <w:t>mespiliformis </w:t>
      </w:r>
      <w:r>
        <w:rPr/>
        <w:t>in some parts of Nigeria as a traditional remedy for convulsive disorders is to</w:t>
      </w:r>
      <w:r>
        <w:rPr>
          <w:spacing w:val="1"/>
        </w:rPr>
        <w:t> </w:t>
      </w:r>
      <w:r>
        <w:rPr/>
        <w:t>some extent scientifically justified. However, at higher doses, the plant is capable of causing</w:t>
      </w:r>
      <w:r>
        <w:rPr>
          <w:spacing w:val="-57"/>
        </w:rPr>
        <w:t> </w:t>
      </w:r>
      <w:r>
        <w:rPr/>
        <w:t>drug</w:t>
      </w:r>
      <w:r>
        <w:rPr>
          <w:spacing w:val="57"/>
        </w:rPr>
        <w:t> </w:t>
      </w:r>
      <w:r>
        <w:rPr/>
        <w:t>induce</w:t>
      </w:r>
      <w:r>
        <w:rPr>
          <w:spacing w:val="58"/>
        </w:rPr>
        <w:t> </w:t>
      </w:r>
      <w:r>
        <w:rPr/>
        <w:t>cholestasis</w:t>
      </w:r>
      <w:r>
        <w:rPr>
          <w:spacing w:val="60"/>
        </w:rPr>
        <w:t> </w:t>
      </w:r>
      <w:r>
        <w:rPr/>
        <w:t>with</w:t>
      </w:r>
      <w:r>
        <w:rPr>
          <w:spacing w:val="60"/>
        </w:rPr>
        <w:t> </w:t>
      </w:r>
      <w:r>
        <w:rPr/>
        <w:t>hepatitis</w:t>
      </w:r>
      <w:r>
        <w:rPr>
          <w:spacing w:val="60"/>
        </w:rPr>
        <w:t> </w:t>
      </w:r>
      <w:r>
        <w:rPr/>
        <w:t>progressing</w:t>
      </w:r>
      <w:r>
        <w:rPr>
          <w:spacing w:val="58"/>
        </w:rPr>
        <w:t> </w:t>
      </w:r>
      <w:r>
        <w:rPr/>
        <w:t>to</w:t>
      </w:r>
      <w:r>
        <w:rPr>
          <w:spacing w:val="60"/>
        </w:rPr>
        <w:t> </w:t>
      </w:r>
      <w:r>
        <w:rPr/>
        <w:t>significant</w:t>
      </w:r>
      <w:r>
        <w:rPr>
          <w:spacing w:val="60"/>
        </w:rPr>
        <w:t> </w:t>
      </w:r>
      <w:r>
        <w:rPr/>
        <w:t>liver</w:t>
      </w:r>
      <w:r>
        <w:rPr>
          <w:spacing w:val="58"/>
        </w:rPr>
        <w:t> </w:t>
      </w:r>
      <w:r>
        <w:rPr/>
        <w:t>and</w:t>
      </w:r>
      <w:r>
        <w:rPr>
          <w:spacing w:val="59"/>
        </w:rPr>
        <w:t> </w:t>
      </w:r>
      <w:r>
        <w:rPr/>
        <w:t>kidney</w:t>
      </w:r>
      <w:r>
        <w:rPr>
          <w:spacing w:val="-58"/>
        </w:rPr>
        <w:t> </w:t>
      </w:r>
      <w:r>
        <w:rPr/>
        <w:t>impairment. So the dose of the extract should be carefully measured and kept low to avoid</w:t>
      </w:r>
      <w:r>
        <w:rPr>
          <w:spacing w:val="1"/>
        </w:rPr>
        <w:t> </w:t>
      </w:r>
      <w:r>
        <w:rPr/>
        <w:t>extract</w:t>
      </w:r>
      <w:r>
        <w:rPr>
          <w:spacing w:val="-1"/>
        </w:rPr>
        <w:t> </w:t>
      </w:r>
      <w:r>
        <w:rPr/>
        <w:t>induced hepatotoxicity</w:t>
      </w:r>
      <w:r>
        <w:rPr>
          <w:spacing w:val="-8"/>
        </w:rPr>
        <w:t> </w:t>
      </w:r>
      <w:r>
        <w:rPr/>
        <w:t>and nephrotoxicity.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1"/>
        <w:numPr>
          <w:ilvl w:val="1"/>
          <w:numId w:val="32"/>
        </w:numPr>
        <w:tabs>
          <w:tab w:pos="3700" w:val="left" w:leader="none"/>
          <w:tab w:pos="3701" w:val="left" w:leader="none"/>
        </w:tabs>
        <w:spacing w:line="240" w:lineRule="auto" w:before="0" w:after="0"/>
        <w:ind w:left="3701" w:right="0" w:hanging="3481"/>
        <w:jc w:val="both"/>
      </w:pPr>
      <w:bookmarkStart w:name="_TOC_250001" w:id="60"/>
      <w:bookmarkEnd w:id="60"/>
      <w:r>
        <w:rPr/>
        <w:t>Recommendations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ListParagraph"/>
        <w:numPr>
          <w:ilvl w:val="0"/>
          <w:numId w:val="33"/>
        </w:numPr>
        <w:tabs>
          <w:tab w:pos="941" w:val="left" w:leader="none"/>
        </w:tabs>
        <w:spacing w:line="480" w:lineRule="auto" w:before="0" w:after="0"/>
        <w:ind w:left="940" w:right="119" w:hanging="720"/>
        <w:jc w:val="both"/>
        <w:rPr>
          <w:sz w:val="24"/>
        </w:rPr>
      </w:pPr>
      <w:r>
        <w:rPr>
          <w:sz w:val="24"/>
        </w:rPr>
        <w:t>Since the plant is widely distributed in Nigeria, the leaves should be recollected from</w:t>
      </w:r>
      <w:r>
        <w:rPr>
          <w:spacing w:val="1"/>
          <w:sz w:val="24"/>
        </w:rPr>
        <w:t> </w:t>
      </w:r>
      <w:r>
        <w:rPr>
          <w:sz w:val="24"/>
        </w:rPr>
        <w:t>another geographical area (possibly southern Nigeria); to see if results obtained from</w:t>
      </w:r>
      <w:r>
        <w:rPr>
          <w:spacing w:val="1"/>
          <w:sz w:val="24"/>
        </w:rPr>
        <w:t> </w:t>
      </w:r>
      <w:r>
        <w:rPr>
          <w:sz w:val="24"/>
        </w:rPr>
        <w:t>this</w:t>
      </w:r>
      <w:r>
        <w:rPr>
          <w:spacing w:val="-1"/>
          <w:sz w:val="24"/>
        </w:rPr>
        <w:t> </w:t>
      </w:r>
      <w:r>
        <w:rPr>
          <w:sz w:val="24"/>
        </w:rPr>
        <w:t>study</w:t>
      </w:r>
      <w:r>
        <w:rPr>
          <w:spacing w:val="-4"/>
          <w:sz w:val="24"/>
        </w:rPr>
        <w:t> </w:t>
      </w:r>
      <w:r>
        <w:rPr>
          <w:sz w:val="24"/>
        </w:rPr>
        <w:t>can be</w:t>
      </w:r>
      <w:r>
        <w:rPr>
          <w:spacing w:val="1"/>
          <w:sz w:val="24"/>
        </w:rPr>
        <w:t> </w:t>
      </w:r>
      <w:r>
        <w:rPr>
          <w:sz w:val="24"/>
        </w:rPr>
        <w:t>reproduced.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ListParagraph"/>
        <w:numPr>
          <w:ilvl w:val="0"/>
          <w:numId w:val="33"/>
        </w:numPr>
        <w:tabs>
          <w:tab w:pos="1001" w:val="left" w:leader="none"/>
        </w:tabs>
        <w:spacing w:line="480" w:lineRule="auto" w:before="1" w:after="0"/>
        <w:ind w:left="940" w:right="116" w:hanging="720"/>
        <w:jc w:val="both"/>
        <w:rPr>
          <w:sz w:val="24"/>
        </w:rPr>
      </w:pPr>
      <w:r>
        <w:rPr/>
        <w:tab/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methanol</w:t>
      </w:r>
      <w:r>
        <w:rPr>
          <w:spacing w:val="1"/>
          <w:sz w:val="24"/>
        </w:rPr>
        <w:t> </w:t>
      </w:r>
      <w:r>
        <w:rPr>
          <w:sz w:val="24"/>
        </w:rPr>
        <w:t>leaf</w:t>
      </w:r>
      <w:r>
        <w:rPr>
          <w:spacing w:val="1"/>
          <w:sz w:val="24"/>
        </w:rPr>
        <w:t> </w:t>
      </w:r>
      <w:r>
        <w:rPr>
          <w:sz w:val="24"/>
        </w:rPr>
        <w:t>extract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i/>
          <w:sz w:val="24"/>
        </w:rPr>
        <w:t>Diospyros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mespiliformis</w:t>
      </w:r>
      <w:r>
        <w:rPr>
          <w:i/>
          <w:spacing w:val="1"/>
          <w:sz w:val="24"/>
        </w:rPr>
        <w:t> </w:t>
      </w:r>
      <w:r>
        <w:rPr>
          <w:sz w:val="24"/>
        </w:rPr>
        <w:t>should</w:t>
      </w:r>
      <w:r>
        <w:rPr>
          <w:spacing w:val="1"/>
          <w:sz w:val="24"/>
        </w:rPr>
        <w:t> </w:t>
      </w:r>
      <w:r>
        <w:rPr>
          <w:sz w:val="24"/>
        </w:rPr>
        <w:t>be</w:t>
      </w:r>
      <w:r>
        <w:rPr>
          <w:spacing w:val="1"/>
          <w:sz w:val="24"/>
        </w:rPr>
        <w:t> </w:t>
      </w:r>
      <w:r>
        <w:rPr>
          <w:sz w:val="24"/>
        </w:rPr>
        <w:t>subjected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fractionation using a variety of solvents of different polarities such as n-Hexane,</w:t>
      </w:r>
      <w:r>
        <w:rPr>
          <w:spacing w:val="1"/>
          <w:sz w:val="24"/>
        </w:rPr>
        <w:t> </w:t>
      </w:r>
      <w:r>
        <w:rPr>
          <w:sz w:val="24"/>
        </w:rPr>
        <w:t>chloroform, ethyl acetate, n-Butanol etc.This might possibly lead to the isolation 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pure</w:t>
      </w:r>
      <w:r>
        <w:rPr>
          <w:spacing w:val="-1"/>
          <w:sz w:val="24"/>
        </w:rPr>
        <w:t> </w:t>
      </w:r>
      <w:r>
        <w:rPr>
          <w:sz w:val="24"/>
        </w:rPr>
        <w:t>compound</w:t>
      </w:r>
      <w:r>
        <w:rPr>
          <w:spacing w:val="-1"/>
          <w:sz w:val="24"/>
        </w:rPr>
        <w:t> </w:t>
      </w:r>
      <w:r>
        <w:rPr>
          <w:sz w:val="24"/>
        </w:rPr>
        <w:t>responsible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observed pharmacological</w:t>
      </w:r>
      <w:r>
        <w:rPr>
          <w:spacing w:val="-1"/>
          <w:sz w:val="24"/>
        </w:rPr>
        <w:t> </w:t>
      </w:r>
      <w:r>
        <w:rPr>
          <w:sz w:val="24"/>
        </w:rPr>
        <w:t>activity.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ListParagraph"/>
        <w:numPr>
          <w:ilvl w:val="0"/>
          <w:numId w:val="33"/>
        </w:numPr>
        <w:tabs>
          <w:tab w:pos="941" w:val="left" w:leader="none"/>
        </w:tabs>
        <w:spacing w:line="480" w:lineRule="auto" w:before="0" w:after="0"/>
        <w:ind w:left="940" w:right="116" w:hanging="720"/>
        <w:jc w:val="both"/>
        <w:rPr>
          <w:sz w:val="24"/>
        </w:rPr>
      </w:pPr>
      <w:r>
        <w:rPr>
          <w:sz w:val="24"/>
        </w:rPr>
        <w:t>Since</w:t>
      </w:r>
      <w:r>
        <w:rPr>
          <w:spacing w:val="1"/>
          <w:sz w:val="24"/>
        </w:rPr>
        <w:t> </w:t>
      </w:r>
      <w:r>
        <w:rPr>
          <w:sz w:val="24"/>
        </w:rPr>
        <w:t>anticonvulsant</w:t>
      </w:r>
      <w:r>
        <w:rPr>
          <w:spacing w:val="1"/>
          <w:sz w:val="24"/>
        </w:rPr>
        <w:t> </w:t>
      </w:r>
      <w:r>
        <w:rPr>
          <w:sz w:val="24"/>
        </w:rPr>
        <w:t>agents</w:t>
      </w:r>
      <w:r>
        <w:rPr>
          <w:spacing w:val="1"/>
          <w:sz w:val="24"/>
        </w:rPr>
        <w:t> </w:t>
      </w:r>
      <w:r>
        <w:rPr>
          <w:sz w:val="24"/>
        </w:rPr>
        <w:t>also</w:t>
      </w:r>
      <w:r>
        <w:rPr>
          <w:spacing w:val="1"/>
          <w:sz w:val="24"/>
        </w:rPr>
        <w:t> </w:t>
      </w:r>
      <w:r>
        <w:rPr>
          <w:sz w:val="24"/>
        </w:rPr>
        <w:t>exhibit</w:t>
      </w:r>
      <w:r>
        <w:rPr>
          <w:spacing w:val="1"/>
          <w:sz w:val="24"/>
        </w:rPr>
        <w:t> </w:t>
      </w:r>
      <w:r>
        <w:rPr>
          <w:sz w:val="24"/>
        </w:rPr>
        <w:t>behavioural</w:t>
      </w:r>
      <w:r>
        <w:rPr>
          <w:spacing w:val="1"/>
          <w:sz w:val="24"/>
        </w:rPr>
        <w:t> </w:t>
      </w:r>
      <w:r>
        <w:rPr>
          <w:sz w:val="24"/>
        </w:rPr>
        <w:t>properties,</w:t>
      </w:r>
      <w:r>
        <w:rPr>
          <w:spacing w:val="1"/>
          <w:sz w:val="24"/>
        </w:rPr>
        <w:t> </w:t>
      </w:r>
      <w:r>
        <w:rPr>
          <w:sz w:val="24"/>
        </w:rPr>
        <w:t>it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good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investigate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behavioural</w:t>
      </w:r>
      <w:r>
        <w:rPr>
          <w:spacing w:val="1"/>
          <w:sz w:val="24"/>
        </w:rPr>
        <w:t> </w:t>
      </w:r>
      <w:r>
        <w:rPr>
          <w:sz w:val="24"/>
        </w:rPr>
        <w:t>properties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methanol</w:t>
      </w:r>
      <w:r>
        <w:rPr>
          <w:spacing w:val="1"/>
          <w:sz w:val="24"/>
        </w:rPr>
        <w:t> </w:t>
      </w:r>
      <w:r>
        <w:rPr>
          <w:sz w:val="24"/>
        </w:rPr>
        <w:t>leaf</w:t>
      </w:r>
      <w:r>
        <w:rPr>
          <w:spacing w:val="1"/>
          <w:sz w:val="24"/>
        </w:rPr>
        <w:t> </w:t>
      </w:r>
      <w:r>
        <w:rPr>
          <w:sz w:val="24"/>
        </w:rPr>
        <w:t>extract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i/>
          <w:sz w:val="24"/>
        </w:rPr>
        <w:t>Diospyros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mespiliformis </w:t>
      </w:r>
      <w:r>
        <w:rPr>
          <w:sz w:val="24"/>
        </w:rPr>
        <w:t>as this may further validate its use in the management of convulsive</w:t>
      </w:r>
      <w:r>
        <w:rPr>
          <w:spacing w:val="1"/>
          <w:sz w:val="24"/>
        </w:rPr>
        <w:t> </w:t>
      </w:r>
      <w:r>
        <w:rPr>
          <w:sz w:val="24"/>
        </w:rPr>
        <w:t>disorders.</w:t>
      </w:r>
    </w:p>
    <w:p>
      <w:pPr>
        <w:spacing w:after="0" w:line="480" w:lineRule="auto"/>
        <w:jc w:val="both"/>
        <w:rPr>
          <w:sz w:val="24"/>
        </w:rPr>
        <w:sectPr>
          <w:pgSz w:w="12240" w:h="15840"/>
          <w:pgMar w:header="0" w:footer="792" w:top="1360" w:bottom="980" w:left="1580" w:right="1320"/>
        </w:sectPr>
      </w:pPr>
    </w:p>
    <w:p>
      <w:pPr>
        <w:pStyle w:val="ListParagraph"/>
        <w:numPr>
          <w:ilvl w:val="0"/>
          <w:numId w:val="33"/>
        </w:numPr>
        <w:tabs>
          <w:tab w:pos="941" w:val="left" w:leader="none"/>
        </w:tabs>
        <w:spacing w:line="480" w:lineRule="auto" w:before="72" w:after="0"/>
        <w:ind w:left="940" w:right="116" w:hanging="720"/>
        <w:jc w:val="both"/>
        <w:rPr>
          <w:sz w:val="24"/>
        </w:rPr>
      </w:pP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extract</w:t>
      </w:r>
      <w:r>
        <w:rPr>
          <w:spacing w:val="1"/>
          <w:sz w:val="24"/>
        </w:rPr>
        <w:t> </w:t>
      </w:r>
      <w:r>
        <w:rPr>
          <w:sz w:val="24"/>
        </w:rPr>
        <w:t>should</w:t>
      </w:r>
      <w:r>
        <w:rPr>
          <w:spacing w:val="1"/>
          <w:sz w:val="24"/>
        </w:rPr>
        <w:t> </w:t>
      </w:r>
      <w:r>
        <w:rPr>
          <w:sz w:val="24"/>
        </w:rPr>
        <w:t>be</w:t>
      </w:r>
      <w:r>
        <w:rPr>
          <w:spacing w:val="1"/>
          <w:sz w:val="24"/>
        </w:rPr>
        <w:t> </w:t>
      </w:r>
      <w:r>
        <w:rPr>
          <w:sz w:val="24"/>
        </w:rPr>
        <w:t>subjected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chronic</w:t>
      </w:r>
      <w:r>
        <w:rPr>
          <w:spacing w:val="1"/>
          <w:sz w:val="24"/>
        </w:rPr>
        <w:t> </w:t>
      </w:r>
      <w:r>
        <w:rPr>
          <w:sz w:val="24"/>
        </w:rPr>
        <w:t>toxicity studies</w:t>
      </w:r>
      <w:r>
        <w:rPr>
          <w:spacing w:val="1"/>
          <w:sz w:val="24"/>
        </w:rPr>
        <w:t> </w:t>
      </w:r>
      <w:r>
        <w:rPr>
          <w:sz w:val="24"/>
        </w:rPr>
        <w:t>possibly</w:t>
      </w:r>
      <w:r>
        <w:rPr>
          <w:spacing w:val="1"/>
          <w:sz w:val="24"/>
        </w:rPr>
        <w:t> </w:t>
      </w:r>
      <w:r>
        <w:rPr>
          <w:sz w:val="24"/>
        </w:rPr>
        <w:t>at</w:t>
      </w:r>
      <w:r>
        <w:rPr>
          <w:spacing w:val="1"/>
          <w:sz w:val="24"/>
        </w:rPr>
        <w:t> </w:t>
      </w:r>
      <w:r>
        <w:rPr>
          <w:sz w:val="24"/>
        </w:rPr>
        <w:t>doses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250mg/kg and less to determine the effect of long time administration on vital organs</w:t>
      </w:r>
      <w:r>
        <w:rPr>
          <w:spacing w:val="1"/>
          <w:sz w:val="24"/>
        </w:rPr>
        <w:t> </w:t>
      </w:r>
      <w:r>
        <w:rPr>
          <w:sz w:val="24"/>
        </w:rPr>
        <w:t>notably liver and kidney of laboratory animals</w:t>
      </w:r>
      <w:r>
        <w:rPr>
          <w:spacing w:val="1"/>
          <w:sz w:val="24"/>
        </w:rPr>
        <w:t> </w:t>
      </w:r>
      <w:r>
        <w:rPr>
          <w:sz w:val="24"/>
        </w:rPr>
        <w:t>so as to fully ascertain its safety</w:t>
      </w:r>
      <w:r>
        <w:rPr>
          <w:spacing w:val="1"/>
          <w:sz w:val="24"/>
        </w:rPr>
        <w:t> </w:t>
      </w:r>
      <w:r>
        <w:rPr>
          <w:sz w:val="24"/>
        </w:rPr>
        <w:t>profile.This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important</w:t>
      </w:r>
      <w:r>
        <w:rPr>
          <w:spacing w:val="1"/>
          <w:sz w:val="24"/>
        </w:rPr>
        <w:t> </w:t>
      </w:r>
      <w:r>
        <w:rPr>
          <w:sz w:val="24"/>
        </w:rPr>
        <w:t>since</w:t>
      </w:r>
      <w:r>
        <w:rPr>
          <w:spacing w:val="1"/>
          <w:sz w:val="24"/>
        </w:rPr>
        <w:t> </w:t>
      </w:r>
      <w:r>
        <w:rPr>
          <w:sz w:val="24"/>
        </w:rPr>
        <w:t>convulsive</w:t>
      </w:r>
      <w:r>
        <w:rPr>
          <w:spacing w:val="1"/>
          <w:sz w:val="24"/>
        </w:rPr>
        <w:t> </w:t>
      </w:r>
      <w:r>
        <w:rPr>
          <w:sz w:val="24"/>
        </w:rPr>
        <w:t>disorders</w:t>
      </w:r>
      <w:r>
        <w:rPr>
          <w:spacing w:val="1"/>
          <w:sz w:val="24"/>
        </w:rPr>
        <w:t> </w:t>
      </w:r>
      <w:r>
        <w:rPr>
          <w:sz w:val="24"/>
        </w:rPr>
        <w:t>usually</w:t>
      </w:r>
      <w:r>
        <w:rPr>
          <w:spacing w:val="1"/>
          <w:sz w:val="24"/>
        </w:rPr>
        <w:t> </w:t>
      </w:r>
      <w:r>
        <w:rPr>
          <w:sz w:val="24"/>
        </w:rPr>
        <w:t>require</w:t>
      </w:r>
      <w:r>
        <w:rPr>
          <w:spacing w:val="1"/>
          <w:sz w:val="24"/>
        </w:rPr>
        <w:t> </w:t>
      </w:r>
      <w:r>
        <w:rPr>
          <w:sz w:val="24"/>
        </w:rPr>
        <w:t>long</w:t>
      </w:r>
      <w:r>
        <w:rPr>
          <w:spacing w:val="1"/>
          <w:sz w:val="24"/>
        </w:rPr>
        <w:t> </w:t>
      </w:r>
      <w:r>
        <w:rPr>
          <w:sz w:val="24"/>
        </w:rPr>
        <w:t>time</w:t>
      </w:r>
      <w:r>
        <w:rPr>
          <w:spacing w:val="1"/>
          <w:sz w:val="24"/>
        </w:rPr>
        <w:t> </w:t>
      </w:r>
      <w:r>
        <w:rPr>
          <w:sz w:val="24"/>
        </w:rPr>
        <w:t>management.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ListParagraph"/>
        <w:numPr>
          <w:ilvl w:val="0"/>
          <w:numId w:val="33"/>
        </w:numPr>
        <w:tabs>
          <w:tab w:pos="941" w:val="left" w:leader="none"/>
        </w:tabs>
        <w:spacing w:line="480" w:lineRule="auto" w:before="0" w:after="0"/>
        <w:ind w:left="940" w:right="115" w:hanging="720"/>
        <w:jc w:val="both"/>
        <w:rPr>
          <w:sz w:val="24"/>
        </w:rPr>
      </w:pPr>
      <w:r>
        <w:rPr>
          <w:sz w:val="24"/>
        </w:rPr>
        <w:t>There is need to carry out further studies on the methanol leaf extract of </w:t>
      </w:r>
      <w:r>
        <w:rPr>
          <w:i/>
          <w:sz w:val="24"/>
        </w:rPr>
        <w:t>Diospyros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mespiliformis</w:t>
      </w:r>
      <w:r>
        <w:rPr>
          <w:i/>
          <w:spacing w:val="1"/>
          <w:sz w:val="24"/>
        </w:rPr>
        <w:t> </w:t>
      </w:r>
      <w:r>
        <w:rPr>
          <w:sz w:val="24"/>
        </w:rPr>
        <w:t>so</w:t>
      </w:r>
      <w:r>
        <w:rPr>
          <w:spacing w:val="1"/>
          <w:sz w:val="24"/>
        </w:rPr>
        <w:t> </w:t>
      </w:r>
      <w:r>
        <w:rPr>
          <w:sz w:val="24"/>
        </w:rPr>
        <w:t>as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isolate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characterize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bioactive</w:t>
      </w:r>
      <w:r>
        <w:rPr>
          <w:spacing w:val="1"/>
          <w:sz w:val="24"/>
        </w:rPr>
        <w:t> </w:t>
      </w:r>
      <w:r>
        <w:rPr>
          <w:sz w:val="24"/>
        </w:rPr>
        <w:t>phytoconstituents</w:t>
      </w:r>
      <w:r>
        <w:rPr>
          <w:spacing w:val="1"/>
          <w:sz w:val="24"/>
        </w:rPr>
        <w:t> </w:t>
      </w:r>
      <w:r>
        <w:rPr>
          <w:sz w:val="24"/>
        </w:rPr>
        <w:t>responsible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observed</w:t>
      </w:r>
      <w:r>
        <w:rPr>
          <w:spacing w:val="1"/>
          <w:sz w:val="24"/>
        </w:rPr>
        <w:t> </w:t>
      </w:r>
      <w:r>
        <w:rPr>
          <w:sz w:val="24"/>
        </w:rPr>
        <w:t>pharmacologic</w:t>
      </w:r>
      <w:r>
        <w:rPr>
          <w:spacing w:val="1"/>
          <w:sz w:val="24"/>
        </w:rPr>
        <w:t> </w:t>
      </w:r>
      <w:r>
        <w:rPr>
          <w:sz w:val="24"/>
        </w:rPr>
        <w:t>effects</w:t>
      </w:r>
      <w:r>
        <w:rPr>
          <w:spacing w:val="1"/>
          <w:sz w:val="24"/>
        </w:rPr>
        <w:t> </w:t>
      </w:r>
      <w:r>
        <w:rPr>
          <w:sz w:val="24"/>
        </w:rPr>
        <w:t>which</w:t>
      </w:r>
      <w:r>
        <w:rPr>
          <w:spacing w:val="1"/>
          <w:sz w:val="24"/>
        </w:rPr>
        <w:t> </w:t>
      </w:r>
      <w:r>
        <w:rPr>
          <w:sz w:val="24"/>
        </w:rPr>
        <w:t>can</w:t>
      </w:r>
      <w:r>
        <w:rPr>
          <w:spacing w:val="1"/>
          <w:sz w:val="24"/>
        </w:rPr>
        <w:t> </w:t>
      </w:r>
      <w:r>
        <w:rPr>
          <w:sz w:val="24"/>
        </w:rPr>
        <w:t>lead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6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development of more active compounds through structural modification of the parent</w:t>
      </w:r>
      <w:r>
        <w:rPr>
          <w:spacing w:val="1"/>
          <w:sz w:val="24"/>
        </w:rPr>
        <w:t> </w:t>
      </w:r>
      <w:r>
        <w:rPr>
          <w:sz w:val="24"/>
        </w:rPr>
        <w:t>compound</w:t>
      </w:r>
    </w:p>
    <w:p>
      <w:pPr>
        <w:spacing w:after="0" w:line="480" w:lineRule="auto"/>
        <w:jc w:val="both"/>
        <w:rPr>
          <w:sz w:val="24"/>
        </w:rPr>
        <w:sectPr>
          <w:pgSz w:w="12240" w:h="15840"/>
          <w:pgMar w:header="0" w:footer="792" w:top="1360" w:bottom="980" w:left="1580" w:right="1320"/>
        </w:sectPr>
      </w:pPr>
    </w:p>
    <w:p>
      <w:pPr>
        <w:pStyle w:val="Heading1"/>
        <w:spacing w:before="76"/>
        <w:ind w:left="204" w:right="104"/>
        <w:jc w:val="center"/>
      </w:pPr>
      <w:bookmarkStart w:name="_TOC_250000" w:id="61"/>
      <w:bookmarkEnd w:id="61"/>
      <w:r>
        <w:rPr/>
        <w:t>REFERENCES</w:t>
      </w:r>
    </w:p>
    <w:p>
      <w:pPr>
        <w:pStyle w:val="BodyText"/>
        <w:spacing w:line="552" w:lineRule="exact" w:before="55"/>
        <w:ind w:left="220"/>
        <w:rPr>
          <w:i/>
        </w:rPr>
      </w:pPr>
      <w:r>
        <w:rPr/>
        <w:t>Acharya, J.N. (2002).Recent advances in epileptogenesis. </w:t>
      </w:r>
      <w:r>
        <w:rPr>
          <w:i/>
        </w:rPr>
        <w:t>Current Science. </w:t>
      </w:r>
      <w:r>
        <w:rPr/>
        <w:t>82:10.</w:t>
      </w:r>
      <w:r>
        <w:rPr>
          <w:spacing w:val="1"/>
        </w:rPr>
        <w:t> </w:t>
      </w:r>
      <w:r>
        <w:rPr/>
        <w:t>Adamolekun,</w:t>
      </w:r>
      <w:r>
        <w:rPr>
          <w:spacing w:val="10"/>
        </w:rPr>
        <w:t> </w:t>
      </w:r>
      <w:r>
        <w:rPr/>
        <w:t>B.</w:t>
      </w:r>
      <w:r>
        <w:rPr>
          <w:spacing w:val="8"/>
        </w:rPr>
        <w:t> </w:t>
      </w:r>
      <w:r>
        <w:rPr/>
        <w:t>(1992).</w:t>
      </w:r>
      <w:r>
        <w:rPr>
          <w:spacing w:val="10"/>
        </w:rPr>
        <w:t> </w:t>
      </w:r>
      <w:r>
        <w:rPr/>
        <w:t>Seizures</w:t>
      </w:r>
      <w:r>
        <w:rPr>
          <w:spacing w:val="8"/>
        </w:rPr>
        <w:t> </w:t>
      </w:r>
      <w:r>
        <w:rPr/>
        <w:t>associated</w:t>
      </w:r>
      <w:r>
        <w:rPr>
          <w:spacing w:val="8"/>
        </w:rPr>
        <w:t> </w:t>
      </w:r>
      <w:r>
        <w:rPr/>
        <w:t>with</w:t>
      </w:r>
      <w:r>
        <w:rPr>
          <w:spacing w:val="8"/>
        </w:rPr>
        <w:t> </w:t>
      </w:r>
      <w:r>
        <w:rPr/>
        <w:t>chloroquine</w:t>
      </w:r>
      <w:r>
        <w:rPr>
          <w:spacing w:val="8"/>
        </w:rPr>
        <w:t> </w:t>
      </w:r>
      <w:r>
        <w:rPr/>
        <w:t>therapy.</w:t>
      </w:r>
      <w:r>
        <w:rPr>
          <w:spacing w:val="15"/>
        </w:rPr>
        <w:t> </w:t>
      </w:r>
      <w:r>
        <w:rPr>
          <w:i/>
        </w:rPr>
        <w:t>Central</w:t>
      </w:r>
      <w:r>
        <w:rPr>
          <w:i/>
          <w:spacing w:val="8"/>
        </w:rPr>
        <w:t> </w:t>
      </w:r>
      <w:r>
        <w:rPr>
          <w:i/>
        </w:rPr>
        <w:t>African</w:t>
      </w:r>
    </w:p>
    <w:p>
      <w:pPr>
        <w:spacing w:line="218" w:lineRule="exact" w:before="0"/>
        <w:ind w:left="671" w:right="0" w:firstLine="0"/>
        <w:jc w:val="left"/>
        <w:rPr>
          <w:sz w:val="24"/>
        </w:rPr>
      </w:pP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59"/>
          <w:sz w:val="24"/>
        </w:rPr>
        <w:t> </w:t>
      </w:r>
      <w:r>
        <w:rPr>
          <w:i/>
          <w:sz w:val="24"/>
        </w:rPr>
        <w:t>Med</w:t>
      </w:r>
      <w:r>
        <w:rPr>
          <w:sz w:val="24"/>
        </w:rPr>
        <w:t>icine.</w:t>
      </w:r>
      <w:r>
        <w:rPr>
          <w:spacing w:val="-1"/>
          <w:sz w:val="24"/>
        </w:rPr>
        <w:t> </w:t>
      </w:r>
      <w:r>
        <w:rPr>
          <w:sz w:val="24"/>
        </w:rPr>
        <w:t>38(8): 350-2.</w:t>
      </w:r>
    </w:p>
    <w:p>
      <w:pPr>
        <w:pStyle w:val="BodyText"/>
        <w:spacing w:before="11"/>
        <w:rPr>
          <w:sz w:val="23"/>
        </w:rPr>
      </w:pPr>
    </w:p>
    <w:p>
      <w:pPr>
        <w:spacing w:before="0"/>
        <w:ind w:left="671" w:right="115" w:hanging="452"/>
        <w:jc w:val="both"/>
        <w:rPr>
          <w:sz w:val="24"/>
        </w:rPr>
      </w:pPr>
      <w:r>
        <w:rPr>
          <w:sz w:val="24"/>
        </w:rPr>
        <w:t>Adeniyi, B.A., Odelola, H.A., &amp; Oso, B.A. (1996). Antimicrobial potentials of </w:t>
      </w:r>
      <w:r>
        <w:rPr>
          <w:i/>
          <w:sz w:val="24"/>
        </w:rPr>
        <w:t>Diospyros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mespiliformis </w:t>
      </w:r>
      <w:r>
        <w:rPr>
          <w:sz w:val="24"/>
        </w:rPr>
        <w:t>(Ebenaceae).</w:t>
      </w:r>
      <w:r>
        <w:rPr>
          <w:spacing w:val="-1"/>
          <w:sz w:val="24"/>
        </w:rPr>
        <w:t> </w:t>
      </w:r>
      <w:r>
        <w:rPr>
          <w:i/>
          <w:sz w:val="24"/>
        </w:rPr>
        <w:t>African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Journal of Medical Science</w:t>
      </w:r>
      <w:r>
        <w:rPr>
          <w:i/>
          <w:spacing w:val="-1"/>
          <w:sz w:val="24"/>
        </w:rPr>
        <w:t> </w:t>
      </w:r>
      <w:r>
        <w:rPr>
          <w:sz w:val="24"/>
        </w:rPr>
        <w:t>25(3):</w:t>
      </w:r>
      <w:r>
        <w:rPr>
          <w:spacing w:val="-1"/>
          <w:sz w:val="24"/>
        </w:rPr>
        <w:t> </w:t>
      </w:r>
      <w:r>
        <w:rPr>
          <w:sz w:val="24"/>
        </w:rPr>
        <w:t>221-224.</w:t>
      </w:r>
    </w:p>
    <w:p>
      <w:pPr>
        <w:pStyle w:val="BodyText"/>
      </w:pPr>
    </w:p>
    <w:p>
      <w:pPr>
        <w:spacing w:before="0"/>
        <w:ind w:left="671" w:right="116" w:hanging="452"/>
        <w:jc w:val="both"/>
        <w:rPr>
          <w:sz w:val="24"/>
        </w:rPr>
      </w:pPr>
      <w:r>
        <w:rPr>
          <w:sz w:val="24"/>
        </w:rPr>
        <w:t>Adzu, B., Amos, S., Muazzam, I., Inyang, U.S.,Gamaniel,K.S. (2002).Neuropharmacological</w:t>
      </w:r>
      <w:r>
        <w:rPr>
          <w:spacing w:val="-57"/>
          <w:sz w:val="24"/>
        </w:rPr>
        <w:t> </w:t>
      </w:r>
      <w:r>
        <w:rPr>
          <w:sz w:val="24"/>
        </w:rPr>
        <w:t>Screening of </w:t>
      </w:r>
      <w:r>
        <w:rPr>
          <w:i/>
          <w:sz w:val="24"/>
        </w:rPr>
        <w:t>Diospyros mespillformis </w:t>
      </w:r>
      <w:r>
        <w:rPr>
          <w:sz w:val="24"/>
        </w:rPr>
        <w:t>in mice. </w:t>
      </w:r>
      <w:r>
        <w:rPr>
          <w:i/>
          <w:sz w:val="24"/>
        </w:rPr>
        <w:t>Journal of Ethnopharmacology </w:t>
      </w:r>
      <w:r>
        <w:rPr>
          <w:sz w:val="24"/>
        </w:rPr>
        <w:t>83(1-2):</w:t>
      </w:r>
      <w:r>
        <w:rPr>
          <w:spacing w:val="1"/>
          <w:sz w:val="24"/>
        </w:rPr>
        <w:t> </w:t>
      </w:r>
      <w:r>
        <w:rPr>
          <w:sz w:val="24"/>
        </w:rPr>
        <w:t>139-143.</w:t>
      </w:r>
    </w:p>
    <w:p>
      <w:pPr>
        <w:pStyle w:val="BodyText"/>
        <w:spacing w:before="1"/>
      </w:pPr>
    </w:p>
    <w:p>
      <w:pPr>
        <w:pStyle w:val="BodyText"/>
        <w:tabs>
          <w:tab w:pos="995" w:val="left" w:leader="none"/>
        </w:tabs>
        <w:ind w:left="671" w:right="125" w:hanging="452"/>
      </w:pPr>
      <w:r>
        <w:rPr/>
        <w:t>AES</w:t>
        <w:tab/>
        <w:t>(2010).</w:t>
      </w:r>
      <w:r>
        <w:rPr>
          <w:spacing w:val="40"/>
        </w:rPr>
        <w:t> </w:t>
      </w:r>
      <w:r>
        <w:rPr/>
        <w:t>Pathophysiology</w:t>
      </w:r>
      <w:r>
        <w:rPr>
          <w:spacing w:val="35"/>
        </w:rPr>
        <w:t> </w:t>
      </w:r>
      <w:r>
        <w:rPr/>
        <w:t>of</w:t>
      </w:r>
      <w:r>
        <w:rPr>
          <w:spacing w:val="39"/>
        </w:rPr>
        <w:t> </w:t>
      </w:r>
      <w:r>
        <w:rPr/>
        <w:t>epilepsy.</w:t>
      </w:r>
      <w:r>
        <w:rPr>
          <w:spacing w:val="42"/>
        </w:rPr>
        <w:t> </w:t>
      </w:r>
      <w:r>
        <w:rPr/>
        <w:t>Ameircan</w:t>
      </w:r>
      <w:r>
        <w:rPr>
          <w:spacing w:val="40"/>
        </w:rPr>
        <w:t> </w:t>
      </w:r>
      <w:r>
        <w:rPr/>
        <w:t>Epilepsy</w:t>
      </w:r>
      <w:r>
        <w:rPr>
          <w:spacing w:val="35"/>
        </w:rPr>
        <w:t> </w:t>
      </w:r>
      <w:r>
        <w:rPr/>
        <w:t>society,</w:t>
      </w:r>
      <w:r>
        <w:rPr>
          <w:spacing w:val="40"/>
        </w:rPr>
        <w:t> </w:t>
      </w:r>
      <w:r>
        <w:rPr/>
        <w:t>available</w:t>
      </w:r>
      <w:r>
        <w:rPr>
          <w:spacing w:val="40"/>
        </w:rPr>
        <w:t> </w:t>
      </w:r>
      <w:r>
        <w:rPr/>
        <w:t>at</w:t>
      </w:r>
      <w:r>
        <w:rPr>
          <w:spacing w:val="-57"/>
        </w:rPr>
        <w:t> </w:t>
      </w:r>
      <w:hyperlink r:id="rId32">
        <w:r>
          <w:rPr>
            <w:u w:val="single"/>
          </w:rPr>
          <w:t>http://www.aesnet.org/go/professional-development/educational-oportunities/epilepsy-</w:t>
        </w:r>
      </w:hyperlink>
      <w:r>
        <w:rPr>
          <w:spacing w:val="1"/>
        </w:rPr>
        <w:t> </w:t>
      </w:r>
      <w:hyperlink r:id="rId32">
        <w:r>
          <w:rPr>
            <w:u w:val="single"/>
          </w:rPr>
          <w:t>education-programme</w:t>
        </w:r>
        <w:r>
          <w:rPr/>
          <w:t>.</w:t>
        </w:r>
      </w:hyperlink>
    </w:p>
    <w:p>
      <w:pPr>
        <w:pStyle w:val="BodyText"/>
      </w:pPr>
    </w:p>
    <w:p>
      <w:pPr>
        <w:spacing w:before="0"/>
        <w:ind w:left="671" w:right="114" w:hanging="452"/>
        <w:jc w:val="both"/>
        <w:rPr>
          <w:sz w:val="24"/>
        </w:rPr>
      </w:pPr>
      <w:r>
        <w:rPr>
          <w:sz w:val="24"/>
        </w:rPr>
        <w:t>Ahmed, A., Yaro, A.H., Magaji, M.G., Ibrahim, H., Musa, K.Y., and Abubakar, I.Y. (2009).</w:t>
      </w:r>
      <w:r>
        <w:rPr>
          <w:spacing w:val="1"/>
          <w:sz w:val="24"/>
        </w:rPr>
        <w:t> </w:t>
      </w:r>
      <w:r>
        <w:rPr>
          <w:sz w:val="24"/>
        </w:rPr>
        <w:t>Anticonvulsant Activity of </w:t>
      </w:r>
      <w:r>
        <w:rPr>
          <w:i/>
          <w:sz w:val="24"/>
        </w:rPr>
        <w:t>Tacazzea Apiculata </w:t>
      </w:r>
      <w:r>
        <w:rPr>
          <w:sz w:val="24"/>
        </w:rPr>
        <w:t>Oliv. (Periplocaceae). </w:t>
      </w:r>
      <w:r>
        <w:rPr>
          <w:i/>
          <w:sz w:val="24"/>
        </w:rPr>
        <w:t>Nigerian 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Pharmaceutical. Science</w:t>
      </w:r>
      <w:r>
        <w:rPr>
          <w:i/>
          <w:spacing w:val="-1"/>
          <w:sz w:val="24"/>
        </w:rPr>
        <w:t> </w:t>
      </w:r>
      <w:r>
        <w:rPr>
          <w:sz w:val="24"/>
        </w:rPr>
        <w:t>8(1): 41-46.</w:t>
      </w:r>
    </w:p>
    <w:p>
      <w:pPr>
        <w:pStyle w:val="BodyText"/>
      </w:pPr>
    </w:p>
    <w:p>
      <w:pPr>
        <w:spacing w:before="0"/>
        <w:ind w:left="671" w:right="0" w:hanging="452"/>
        <w:jc w:val="left"/>
        <w:rPr>
          <w:sz w:val="24"/>
        </w:rPr>
      </w:pPr>
      <w:r>
        <w:rPr>
          <w:sz w:val="24"/>
        </w:rPr>
        <w:t>Ahmed,</w:t>
      </w:r>
      <w:r>
        <w:rPr>
          <w:spacing w:val="59"/>
          <w:sz w:val="24"/>
        </w:rPr>
        <w:t> </w:t>
      </w:r>
      <w:r>
        <w:rPr>
          <w:sz w:val="24"/>
        </w:rPr>
        <w:t>M.H.,</w:t>
      </w:r>
      <w:r>
        <w:rPr>
          <w:spacing w:val="59"/>
          <w:sz w:val="24"/>
        </w:rPr>
        <w:t> </w:t>
      </w:r>
      <w:r>
        <w:rPr>
          <w:sz w:val="24"/>
        </w:rPr>
        <w:t>&amp;</w:t>
      </w:r>
      <w:r>
        <w:rPr>
          <w:spacing w:val="57"/>
          <w:sz w:val="24"/>
        </w:rPr>
        <w:t> </w:t>
      </w:r>
      <w:r>
        <w:rPr>
          <w:sz w:val="24"/>
        </w:rPr>
        <w:t>Obembe,A.</w:t>
      </w:r>
      <w:r>
        <w:rPr>
          <w:spacing w:val="59"/>
          <w:sz w:val="24"/>
        </w:rPr>
        <w:t> </w:t>
      </w:r>
      <w:r>
        <w:rPr>
          <w:sz w:val="24"/>
        </w:rPr>
        <w:t>(1991).</w:t>
      </w:r>
      <w:r>
        <w:rPr>
          <w:spacing w:val="1"/>
          <w:sz w:val="24"/>
        </w:rPr>
        <w:t> </w:t>
      </w:r>
      <w:r>
        <w:rPr>
          <w:sz w:val="24"/>
        </w:rPr>
        <w:t>Electroencephalographic</w:t>
      </w:r>
      <w:r>
        <w:rPr>
          <w:spacing w:val="59"/>
          <w:sz w:val="24"/>
        </w:rPr>
        <w:t> </w:t>
      </w:r>
      <w:r>
        <w:rPr>
          <w:sz w:val="24"/>
        </w:rPr>
        <w:t>abnormalities</w:t>
      </w:r>
      <w:r>
        <w:rPr>
          <w:spacing w:val="59"/>
          <w:sz w:val="24"/>
        </w:rPr>
        <w:t> </w:t>
      </w:r>
      <w:r>
        <w:rPr>
          <w:sz w:val="24"/>
        </w:rPr>
        <w:t>in</w:t>
      </w:r>
      <w:r>
        <w:rPr>
          <w:spacing w:val="60"/>
          <w:sz w:val="24"/>
        </w:rPr>
        <w:t> </w:t>
      </w:r>
      <w:r>
        <w:rPr>
          <w:sz w:val="24"/>
        </w:rPr>
        <w:t>351</w:t>
      </w:r>
      <w:r>
        <w:rPr>
          <w:spacing w:val="-57"/>
          <w:sz w:val="24"/>
        </w:rPr>
        <w:t> </w:t>
      </w:r>
      <w:r>
        <w:rPr>
          <w:sz w:val="24"/>
        </w:rPr>
        <w:t>Nigerians</w:t>
      </w:r>
      <w:r>
        <w:rPr>
          <w:spacing w:val="-1"/>
          <w:sz w:val="24"/>
        </w:rPr>
        <w:t> </w:t>
      </w:r>
      <w:r>
        <w:rPr>
          <w:sz w:val="24"/>
        </w:rPr>
        <w:t>with epilepsy.</w:t>
      </w:r>
      <w:r>
        <w:rPr>
          <w:spacing w:val="3"/>
          <w:sz w:val="24"/>
        </w:rPr>
        <w:t> </w:t>
      </w:r>
      <w:r>
        <w:rPr>
          <w:i/>
          <w:sz w:val="24"/>
        </w:rPr>
        <w:t>West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African 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Medicine. </w:t>
      </w:r>
      <w:r>
        <w:rPr>
          <w:sz w:val="24"/>
        </w:rPr>
        <w:t>10(3-4):</w:t>
      </w:r>
      <w:r>
        <w:rPr>
          <w:spacing w:val="-1"/>
          <w:sz w:val="24"/>
        </w:rPr>
        <w:t> </w:t>
      </w:r>
      <w:r>
        <w:rPr>
          <w:sz w:val="24"/>
        </w:rPr>
        <w:t>216-21.</w:t>
      </w:r>
    </w:p>
    <w:p>
      <w:pPr>
        <w:pStyle w:val="BodyText"/>
      </w:pPr>
    </w:p>
    <w:p>
      <w:pPr>
        <w:pStyle w:val="BodyText"/>
        <w:ind w:left="671" w:right="112" w:hanging="452"/>
        <w:jc w:val="both"/>
      </w:pPr>
      <w:r>
        <w:rPr/>
        <w:t>Ambrosio, A.F., Silva, A.P., Malva, J.O., </w:t>
      </w:r>
      <w:r>
        <w:rPr>
          <w:i/>
        </w:rPr>
        <w:t>et al </w:t>
      </w:r>
      <w:r>
        <w:rPr/>
        <w:t>(1999).Carbamazepine Inhibits L-type Ca</w:t>
      </w:r>
      <w:r>
        <w:rPr>
          <w:vertAlign w:val="superscript"/>
        </w:rPr>
        <w:t>2+</w:t>
      </w:r>
      <w:r>
        <w:rPr>
          <w:spacing w:val="1"/>
          <w:vertAlign w:val="baseline"/>
        </w:rPr>
        <w:t> </w:t>
      </w:r>
      <w:r>
        <w:rPr>
          <w:vertAlign w:val="baseline"/>
        </w:rPr>
        <w:t>channels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cultured</w:t>
      </w:r>
      <w:r>
        <w:rPr>
          <w:spacing w:val="1"/>
          <w:vertAlign w:val="baseline"/>
        </w:rPr>
        <w:t> </w:t>
      </w:r>
      <w:r>
        <w:rPr>
          <w:vertAlign w:val="baseline"/>
        </w:rPr>
        <w:t>rat</w:t>
      </w:r>
      <w:r>
        <w:rPr>
          <w:spacing w:val="1"/>
          <w:vertAlign w:val="baseline"/>
        </w:rPr>
        <w:t> </w:t>
      </w:r>
      <w:r>
        <w:rPr>
          <w:vertAlign w:val="baseline"/>
        </w:rPr>
        <w:t>hippocampal</w:t>
      </w:r>
      <w:r>
        <w:rPr>
          <w:spacing w:val="1"/>
          <w:vertAlign w:val="baseline"/>
        </w:rPr>
        <w:t> </w:t>
      </w:r>
      <w:r>
        <w:rPr>
          <w:vertAlign w:val="baseline"/>
        </w:rPr>
        <w:t>neurons</w:t>
      </w:r>
      <w:r>
        <w:rPr>
          <w:spacing w:val="1"/>
          <w:vertAlign w:val="baseline"/>
        </w:rPr>
        <w:t> </w:t>
      </w:r>
      <w:r>
        <w:rPr>
          <w:vertAlign w:val="baseline"/>
        </w:rPr>
        <w:t>stimulated</w:t>
      </w:r>
      <w:r>
        <w:rPr>
          <w:spacing w:val="1"/>
          <w:vertAlign w:val="baseline"/>
        </w:rPr>
        <w:t> </w:t>
      </w:r>
      <w:r>
        <w:rPr>
          <w:vertAlign w:val="baseline"/>
        </w:rPr>
        <w:t>with</w:t>
      </w:r>
      <w:r>
        <w:rPr>
          <w:spacing w:val="1"/>
          <w:vertAlign w:val="baseline"/>
        </w:rPr>
        <w:t> </w:t>
      </w:r>
      <w:r>
        <w:rPr>
          <w:vertAlign w:val="baseline"/>
        </w:rPr>
        <w:t>glutamate</w:t>
      </w:r>
      <w:r>
        <w:rPr>
          <w:spacing w:val="1"/>
          <w:vertAlign w:val="baseline"/>
        </w:rPr>
        <w:t> </w:t>
      </w:r>
      <w:r>
        <w:rPr>
          <w:vertAlign w:val="baseline"/>
        </w:rPr>
        <w:t>receptor</w:t>
      </w:r>
      <w:r>
        <w:rPr>
          <w:spacing w:val="1"/>
          <w:vertAlign w:val="baseline"/>
        </w:rPr>
        <w:t> </w:t>
      </w:r>
      <w:r>
        <w:rPr>
          <w:vertAlign w:val="baseline"/>
        </w:rPr>
        <w:t>agaonists.</w:t>
      </w:r>
      <w:r>
        <w:rPr>
          <w:spacing w:val="-1"/>
          <w:vertAlign w:val="baseline"/>
        </w:rPr>
        <w:t> </w:t>
      </w:r>
      <w:r>
        <w:rPr>
          <w:i/>
          <w:vertAlign w:val="baseline"/>
        </w:rPr>
        <w:t>Neuropharmacology</w:t>
      </w:r>
      <w:r>
        <w:rPr>
          <w:vertAlign w:val="baseline"/>
        </w:rPr>
        <w:t>, 38:1349-1359.</w:t>
      </w:r>
    </w:p>
    <w:p>
      <w:pPr>
        <w:pStyle w:val="BodyText"/>
      </w:pPr>
    </w:p>
    <w:p>
      <w:pPr>
        <w:pStyle w:val="BodyText"/>
        <w:spacing w:before="1"/>
        <w:ind w:left="671" w:right="115" w:hanging="452"/>
        <w:jc w:val="both"/>
      </w:pPr>
      <w:r>
        <w:rPr/>
        <w:t>Andrade, R.J., Lucena, M.I., Kaplowitz, N. </w:t>
      </w:r>
      <w:r>
        <w:rPr>
          <w:i/>
        </w:rPr>
        <w:t>et al </w:t>
      </w:r>
      <w:r>
        <w:rPr/>
        <w:t>(2006). Outcome of acute idiosyncratic drug</w:t>
      </w:r>
      <w:r>
        <w:rPr>
          <w:spacing w:val="-57"/>
        </w:rPr>
        <w:t> </w:t>
      </w:r>
      <w:r>
        <w:rPr/>
        <w:t>induced</w:t>
      </w:r>
      <w:r>
        <w:rPr>
          <w:spacing w:val="1"/>
        </w:rPr>
        <w:t> </w:t>
      </w:r>
      <w:r>
        <w:rPr/>
        <w:t>liver</w:t>
      </w:r>
      <w:r>
        <w:rPr>
          <w:spacing w:val="1"/>
        </w:rPr>
        <w:t> </w:t>
      </w:r>
      <w:r>
        <w:rPr/>
        <w:t>injury:</w:t>
      </w:r>
      <w:r>
        <w:rPr>
          <w:spacing w:val="1"/>
        </w:rPr>
        <w:t> </w:t>
      </w:r>
      <w:r>
        <w:rPr/>
        <w:t>long</w:t>
      </w:r>
      <w:r>
        <w:rPr>
          <w:spacing w:val="1"/>
        </w:rPr>
        <w:t> </w:t>
      </w:r>
      <w:r>
        <w:rPr/>
        <w:t>term</w:t>
      </w:r>
      <w:r>
        <w:rPr>
          <w:spacing w:val="1"/>
        </w:rPr>
        <w:t> </w:t>
      </w:r>
      <w:r>
        <w:rPr/>
        <w:t>follow-up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hepatotoxicity registry.</w:t>
      </w:r>
      <w:r>
        <w:rPr>
          <w:spacing w:val="1"/>
        </w:rPr>
        <w:t> </w:t>
      </w:r>
      <w:r>
        <w:rPr>
          <w:i/>
        </w:rPr>
        <w:t>Hepatology</w:t>
      </w:r>
      <w:r>
        <w:rPr>
          <w:i/>
          <w:spacing w:val="1"/>
        </w:rPr>
        <w:t> </w:t>
      </w:r>
      <w:r>
        <w:rPr/>
        <w:t>44:1581-8.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671" w:right="113" w:hanging="452"/>
        <w:jc w:val="both"/>
      </w:pPr>
      <w:r>
        <w:rPr/>
        <w:t>Appleton, R., E., Peters, A.C.B., Mumford, J.P., &amp; Shaw, D.F. (1999). Randomized placebo</w:t>
      </w:r>
      <w:r>
        <w:rPr>
          <w:spacing w:val="1"/>
        </w:rPr>
        <w:t> </w:t>
      </w:r>
      <w:r>
        <w:rPr/>
        <w:t>controlled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vigabatrin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first</w:t>
      </w:r>
      <w:r>
        <w:rPr>
          <w:spacing w:val="1"/>
        </w:rPr>
        <w:t> </w:t>
      </w:r>
      <w:r>
        <w:rPr/>
        <w:t>line</w:t>
      </w:r>
      <w:r>
        <w:rPr>
          <w:spacing w:val="1"/>
        </w:rPr>
        <w:t> </w:t>
      </w:r>
      <w:r>
        <w:rPr/>
        <w:t>treatment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infantile</w:t>
      </w:r>
      <w:r>
        <w:rPr>
          <w:spacing w:val="1"/>
        </w:rPr>
        <w:t> </w:t>
      </w:r>
      <w:r>
        <w:rPr/>
        <w:t>spasm.</w:t>
      </w:r>
      <w:r>
        <w:rPr>
          <w:spacing w:val="1"/>
        </w:rPr>
        <w:t> </w:t>
      </w:r>
      <w:r>
        <w:rPr>
          <w:i/>
        </w:rPr>
        <w:t>Epilepsia</w:t>
      </w:r>
      <w:r>
        <w:rPr>
          <w:i/>
          <w:spacing w:val="1"/>
        </w:rPr>
        <w:t> </w:t>
      </w:r>
      <w:r>
        <w:rPr/>
        <w:t>40:1627-1633.</w:t>
      </w:r>
    </w:p>
    <w:p>
      <w:pPr>
        <w:pStyle w:val="BodyText"/>
        <w:spacing w:before="1"/>
      </w:pPr>
    </w:p>
    <w:p>
      <w:pPr>
        <w:pStyle w:val="BodyText"/>
        <w:ind w:left="671" w:right="111" w:hanging="452"/>
      </w:pPr>
      <w:r>
        <w:rPr/>
        <w:t>Avoli,</w:t>
      </w:r>
      <w:r>
        <w:rPr>
          <w:spacing w:val="33"/>
        </w:rPr>
        <w:t> </w:t>
      </w:r>
      <w:r>
        <w:rPr/>
        <w:t>M.,</w:t>
      </w:r>
      <w:r>
        <w:rPr>
          <w:spacing w:val="36"/>
        </w:rPr>
        <w:t> </w:t>
      </w:r>
      <w:r>
        <w:rPr/>
        <w:t>Louvel,</w:t>
      </w:r>
      <w:r>
        <w:rPr>
          <w:spacing w:val="33"/>
        </w:rPr>
        <w:t> </w:t>
      </w:r>
      <w:r>
        <w:rPr/>
        <w:t>J.,</w:t>
      </w:r>
      <w:r>
        <w:rPr>
          <w:spacing w:val="30"/>
        </w:rPr>
        <w:t> </w:t>
      </w:r>
      <w:r>
        <w:rPr/>
        <w:t>Pumain,</w:t>
      </w:r>
      <w:r>
        <w:rPr>
          <w:spacing w:val="33"/>
        </w:rPr>
        <w:t> </w:t>
      </w:r>
      <w:r>
        <w:rPr/>
        <w:t>R..,</w:t>
      </w:r>
      <w:r>
        <w:rPr>
          <w:spacing w:val="33"/>
        </w:rPr>
        <w:t> </w:t>
      </w:r>
      <w:r>
        <w:rPr/>
        <w:t>&amp;</w:t>
      </w:r>
      <w:r>
        <w:rPr>
          <w:spacing w:val="31"/>
        </w:rPr>
        <w:t> </w:t>
      </w:r>
      <w:r>
        <w:rPr/>
        <w:t>Kohling,</w:t>
      </w:r>
      <w:r>
        <w:rPr>
          <w:spacing w:val="33"/>
        </w:rPr>
        <w:t> </w:t>
      </w:r>
      <w:r>
        <w:rPr/>
        <w:t>R.</w:t>
      </w:r>
      <w:r>
        <w:rPr>
          <w:spacing w:val="33"/>
        </w:rPr>
        <w:t> </w:t>
      </w:r>
      <w:r>
        <w:rPr/>
        <w:t>(2005).</w:t>
      </w:r>
      <w:r>
        <w:rPr>
          <w:spacing w:val="40"/>
        </w:rPr>
        <w:t> </w:t>
      </w:r>
      <w:r>
        <w:rPr/>
        <w:t>Cellular</w:t>
      </w:r>
      <w:r>
        <w:rPr>
          <w:spacing w:val="32"/>
        </w:rPr>
        <w:t> </w:t>
      </w:r>
      <w:r>
        <w:rPr/>
        <w:t>And</w:t>
      </w:r>
      <w:r>
        <w:rPr>
          <w:spacing w:val="32"/>
        </w:rPr>
        <w:t> </w:t>
      </w:r>
      <w:r>
        <w:rPr/>
        <w:t>Molecular</w:t>
      </w:r>
      <w:r>
        <w:rPr>
          <w:spacing w:val="-57"/>
        </w:rPr>
        <w:t> </w:t>
      </w:r>
      <w:r>
        <w:rPr/>
        <w:t>Mechanisms</w:t>
      </w:r>
      <w:r>
        <w:rPr>
          <w:spacing w:val="-1"/>
        </w:rPr>
        <w:t> </w:t>
      </w:r>
      <w:r>
        <w:rPr/>
        <w:t>of Epilepsy</w:t>
      </w:r>
      <w:r>
        <w:rPr>
          <w:spacing w:val="-3"/>
        </w:rPr>
        <w:t> </w:t>
      </w:r>
      <w:r>
        <w:rPr/>
        <w:t>in the</w:t>
      </w:r>
      <w:r>
        <w:rPr>
          <w:spacing w:val="-2"/>
        </w:rPr>
        <w:t> </w:t>
      </w:r>
      <w:r>
        <w:rPr/>
        <w:t>human brain.</w:t>
      </w:r>
      <w:r>
        <w:rPr>
          <w:spacing w:val="3"/>
        </w:rPr>
        <w:t> </w:t>
      </w:r>
      <w:r>
        <w:rPr>
          <w:i/>
        </w:rPr>
        <w:t>Progress in</w:t>
      </w:r>
      <w:r>
        <w:rPr>
          <w:i/>
          <w:spacing w:val="-1"/>
        </w:rPr>
        <w:t> </w:t>
      </w:r>
      <w:r>
        <w:rPr>
          <w:i/>
        </w:rPr>
        <w:t>Neurobiology</w:t>
      </w:r>
      <w:r>
        <w:rPr/>
        <w:t>, 77:166-200.</w:t>
      </w:r>
    </w:p>
    <w:p>
      <w:pPr>
        <w:pStyle w:val="BodyText"/>
      </w:pPr>
    </w:p>
    <w:p>
      <w:pPr>
        <w:pStyle w:val="BodyText"/>
        <w:ind w:left="671" w:right="116" w:hanging="452"/>
        <w:jc w:val="both"/>
      </w:pPr>
      <w:r>
        <w:rPr/>
        <w:t>Babb,</w:t>
      </w:r>
      <w:r>
        <w:rPr>
          <w:spacing w:val="1"/>
        </w:rPr>
        <w:t> </w:t>
      </w:r>
      <w:r>
        <w:rPr/>
        <w:t>T.L.,</w:t>
      </w:r>
      <w:r>
        <w:rPr>
          <w:spacing w:val="1"/>
        </w:rPr>
        <w:t> </w:t>
      </w:r>
      <w:r>
        <w:rPr/>
        <w:t>Mathern,</w:t>
      </w:r>
      <w:r>
        <w:rPr>
          <w:spacing w:val="1"/>
        </w:rPr>
        <w:t> </w:t>
      </w:r>
      <w:r>
        <w:rPr/>
        <w:t>G.W.,</w:t>
      </w:r>
      <w:r>
        <w:rPr>
          <w:spacing w:val="1"/>
        </w:rPr>
        <w:t> </w:t>
      </w:r>
      <w:r>
        <w:rPr/>
        <w:t>Leite,</w:t>
      </w:r>
      <w:r>
        <w:rPr>
          <w:spacing w:val="1"/>
        </w:rPr>
        <w:t> </w:t>
      </w:r>
      <w:r>
        <w:rPr/>
        <w:t>J.P.,</w:t>
      </w:r>
      <w:r>
        <w:rPr>
          <w:spacing w:val="1"/>
        </w:rPr>
        <w:t> </w:t>
      </w:r>
      <w:r>
        <w:rPr/>
        <w:t>Pretorius,</w:t>
      </w:r>
      <w:r>
        <w:rPr>
          <w:spacing w:val="1"/>
        </w:rPr>
        <w:t> </w:t>
      </w:r>
      <w:r>
        <w:rPr/>
        <w:t>J.K.,</w:t>
      </w:r>
      <w:r>
        <w:rPr>
          <w:spacing w:val="1"/>
        </w:rPr>
        <w:t> </w:t>
      </w:r>
      <w:r>
        <w:rPr/>
        <w:t>Yeoman,</w:t>
      </w:r>
      <w:r>
        <w:rPr>
          <w:spacing w:val="1"/>
        </w:rPr>
        <w:t> </w:t>
      </w:r>
      <w:r>
        <w:rPr/>
        <w:t>K.M.,</w:t>
      </w:r>
      <w:r>
        <w:rPr>
          <w:spacing w:val="1"/>
        </w:rPr>
        <w:t> </w:t>
      </w:r>
      <w:r>
        <w:rPr/>
        <w:t>Kuhlman,</w:t>
      </w:r>
      <w:r>
        <w:rPr>
          <w:spacing w:val="1"/>
        </w:rPr>
        <w:t> </w:t>
      </w:r>
      <w:r>
        <w:rPr/>
        <w:t>P.A.</w:t>
      </w:r>
      <w:r>
        <w:rPr>
          <w:spacing w:val="-57"/>
        </w:rPr>
        <w:t> </w:t>
      </w:r>
      <w:r>
        <w:rPr/>
        <w:t>(1996). Glutamate AMPA receptors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 fascia dentata of human and</w:t>
      </w:r>
      <w:r>
        <w:rPr>
          <w:spacing w:val="1"/>
        </w:rPr>
        <w:t> </w:t>
      </w:r>
      <w:r>
        <w:rPr/>
        <w:t>kainate rat</w:t>
      </w:r>
      <w:r>
        <w:rPr>
          <w:spacing w:val="1"/>
        </w:rPr>
        <w:t> </w:t>
      </w:r>
      <w:r>
        <w:rPr/>
        <w:t>hippocampal</w:t>
      </w:r>
      <w:r>
        <w:rPr>
          <w:spacing w:val="-1"/>
        </w:rPr>
        <w:t> </w:t>
      </w:r>
      <w:r>
        <w:rPr/>
        <w:t>epilepsy.</w:t>
      </w:r>
      <w:r>
        <w:rPr>
          <w:spacing w:val="1"/>
        </w:rPr>
        <w:t> </w:t>
      </w:r>
      <w:r>
        <w:rPr>
          <w:i/>
        </w:rPr>
        <w:t>Epilepsy</w:t>
      </w:r>
      <w:r>
        <w:rPr>
          <w:i/>
          <w:spacing w:val="-1"/>
        </w:rPr>
        <w:t> </w:t>
      </w:r>
      <w:r>
        <w:rPr>
          <w:i/>
        </w:rPr>
        <w:t>Research</w:t>
      </w:r>
      <w:r>
        <w:rPr>
          <w:i/>
          <w:spacing w:val="-1"/>
        </w:rPr>
        <w:t> </w:t>
      </w:r>
      <w:r>
        <w:rPr/>
        <w:t>26:193-205</w:t>
      </w:r>
    </w:p>
    <w:p>
      <w:pPr>
        <w:pStyle w:val="BodyText"/>
      </w:pPr>
    </w:p>
    <w:p>
      <w:pPr>
        <w:spacing w:before="0"/>
        <w:ind w:left="220" w:right="0" w:firstLine="0"/>
        <w:jc w:val="left"/>
        <w:rPr>
          <w:sz w:val="24"/>
        </w:rPr>
      </w:pPr>
      <w:r>
        <w:rPr>
          <w:sz w:val="24"/>
        </w:rPr>
        <w:t>Baginski,</w:t>
      </w:r>
      <w:r>
        <w:rPr>
          <w:spacing w:val="-1"/>
          <w:sz w:val="24"/>
        </w:rPr>
        <w:t> </w:t>
      </w:r>
      <w:r>
        <w:rPr>
          <w:sz w:val="24"/>
        </w:rPr>
        <w:t>E.S.,</w:t>
      </w:r>
      <w:r>
        <w:rPr>
          <w:spacing w:val="-1"/>
          <w:sz w:val="24"/>
        </w:rPr>
        <w:t> </w:t>
      </w:r>
      <w:r>
        <w:rPr>
          <w:sz w:val="24"/>
        </w:rPr>
        <w:t>Marie,</w:t>
      </w:r>
      <w:r>
        <w:rPr>
          <w:spacing w:val="-1"/>
          <w:sz w:val="24"/>
        </w:rPr>
        <w:t> </w:t>
      </w:r>
      <w:r>
        <w:rPr>
          <w:sz w:val="24"/>
        </w:rPr>
        <w:t>S.S.,</w:t>
      </w:r>
      <w:r>
        <w:rPr>
          <w:spacing w:val="-1"/>
          <w:sz w:val="24"/>
        </w:rPr>
        <w:t> </w:t>
      </w:r>
      <w:r>
        <w:rPr>
          <w:sz w:val="24"/>
        </w:rPr>
        <w:t>Clark,</w:t>
      </w:r>
      <w:r>
        <w:rPr>
          <w:spacing w:val="-1"/>
          <w:sz w:val="24"/>
        </w:rPr>
        <w:t> </w:t>
      </w:r>
      <w:r>
        <w:rPr>
          <w:sz w:val="24"/>
        </w:rPr>
        <w:t>W.L.,</w:t>
      </w:r>
      <w:r>
        <w:rPr>
          <w:spacing w:val="2"/>
          <w:sz w:val="24"/>
        </w:rPr>
        <w:t> </w:t>
      </w:r>
      <w:r>
        <w:rPr>
          <w:sz w:val="24"/>
        </w:rPr>
        <w:t>&amp;</w:t>
      </w:r>
      <w:r>
        <w:rPr>
          <w:spacing w:val="-1"/>
          <w:sz w:val="24"/>
        </w:rPr>
        <w:t> </w:t>
      </w:r>
      <w:r>
        <w:rPr>
          <w:sz w:val="24"/>
        </w:rPr>
        <w:t>Zak,</w:t>
      </w:r>
      <w:r>
        <w:rPr>
          <w:spacing w:val="1"/>
          <w:sz w:val="24"/>
        </w:rPr>
        <w:t> </w:t>
      </w:r>
      <w:r>
        <w:rPr>
          <w:sz w:val="24"/>
        </w:rPr>
        <w:t>B.</w:t>
      </w:r>
      <w:r>
        <w:rPr>
          <w:spacing w:val="-1"/>
          <w:sz w:val="24"/>
        </w:rPr>
        <w:t> </w:t>
      </w:r>
      <w:r>
        <w:rPr>
          <w:sz w:val="24"/>
        </w:rPr>
        <w:t>(1973).</w:t>
      </w:r>
      <w:r>
        <w:rPr>
          <w:spacing w:val="59"/>
          <w:sz w:val="24"/>
        </w:rPr>
        <w:t> </w:t>
      </w:r>
      <w:r>
        <w:rPr>
          <w:i/>
          <w:sz w:val="24"/>
        </w:rPr>
        <w:t>Clinical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chemistry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Acta</w:t>
      </w:r>
      <w:r>
        <w:rPr>
          <w:i/>
          <w:spacing w:val="-1"/>
          <w:sz w:val="24"/>
        </w:rPr>
        <w:t> </w:t>
      </w:r>
      <w:r>
        <w:rPr>
          <w:sz w:val="24"/>
        </w:rPr>
        <w:t>46:</w:t>
      </w:r>
      <w:r>
        <w:rPr>
          <w:spacing w:val="-1"/>
          <w:sz w:val="24"/>
        </w:rPr>
        <w:t> </w:t>
      </w:r>
      <w:r>
        <w:rPr>
          <w:sz w:val="24"/>
        </w:rPr>
        <w:t>49.</w:t>
      </w:r>
    </w:p>
    <w:p>
      <w:pPr>
        <w:spacing w:after="0"/>
        <w:jc w:val="left"/>
        <w:rPr>
          <w:sz w:val="24"/>
        </w:rPr>
        <w:sectPr>
          <w:pgSz w:w="12240" w:h="15840"/>
          <w:pgMar w:header="0" w:footer="792" w:top="1360" w:bottom="980" w:left="1580" w:right="1320"/>
        </w:sectPr>
      </w:pPr>
    </w:p>
    <w:p>
      <w:pPr>
        <w:pStyle w:val="BodyText"/>
        <w:spacing w:before="72"/>
        <w:ind w:left="220"/>
        <w:rPr>
          <w:i/>
        </w:rPr>
      </w:pPr>
      <w:r>
        <w:rPr/>
        <w:t>Bainbridge,</w:t>
      </w:r>
      <w:r>
        <w:rPr>
          <w:spacing w:val="50"/>
        </w:rPr>
        <w:t> </w:t>
      </w:r>
      <w:r>
        <w:rPr/>
        <w:t>J.L.,</w:t>
      </w:r>
      <w:r>
        <w:rPr>
          <w:spacing w:val="53"/>
        </w:rPr>
        <w:t> </w:t>
      </w:r>
      <w:r>
        <w:rPr/>
        <w:t>Gidal,</w:t>
      </w:r>
      <w:r>
        <w:rPr>
          <w:spacing w:val="53"/>
        </w:rPr>
        <w:t> </w:t>
      </w:r>
      <w:r>
        <w:rPr/>
        <w:t>B.E.,</w:t>
      </w:r>
      <w:r>
        <w:rPr>
          <w:spacing w:val="53"/>
        </w:rPr>
        <w:t> </w:t>
      </w:r>
      <w:r>
        <w:rPr/>
        <w:t>&amp;</w:t>
      </w:r>
      <w:r>
        <w:rPr>
          <w:spacing w:val="49"/>
        </w:rPr>
        <w:t> </w:t>
      </w:r>
      <w:r>
        <w:rPr/>
        <w:t>Ryan,</w:t>
      </w:r>
      <w:r>
        <w:rPr>
          <w:spacing w:val="51"/>
        </w:rPr>
        <w:t> </w:t>
      </w:r>
      <w:r>
        <w:rPr/>
        <w:t>M.</w:t>
      </w:r>
      <w:r>
        <w:rPr>
          <w:spacing w:val="51"/>
        </w:rPr>
        <w:t> </w:t>
      </w:r>
      <w:r>
        <w:rPr/>
        <w:t>(1999).The</w:t>
      </w:r>
      <w:r>
        <w:rPr>
          <w:spacing w:val="49"/>
        </w:rPr>
        <w:t> </w:t>
      </w:r>
      <w:r>
        <w:rPr/>
        <w:t>ketogenic</w:t>
      </w:r>
      <w:r>
        <w:rPr>
          <w:spacing w:val="50"/>
        </w:rPr>
        <w:t> </w:t>
      </w:r>
      <w:r>
        <w:rPr/>
        <w:t>diet.</w:t>
      </w:r>
      <w:r>
        <w:rPr>
          <w:spacing w:val="55"/>
        </w:rPr>
        <w:t> </w:t>
      </w:r>
      <w:r>
        <w:rPr>
          <w:i/>
        </w:rPr>
        <w:t>Pharmacotherapy.</w:t>
      </w:r>
    </w:p>
    <w:p>
      <w:pPr>
        <w:pStyle w:val="BodyText"/>
        <w:ind w:left="671"/>
      </w:pPr>
      <w:r>
        <w:rPr/>
        <w:t>19:782-786.</w:t>
      </w:r>
    </w:p>
    <w:p>
      <w:pPr>
        <w:pStyle w:val="BodyText"/>
      </w:pPr>
    </w:p>
    <w:p>
      <w:pPr>
        <w:pStyle w:val="BodyText"/>
        <w:ind w:left="671" w:right="117" w:hanging="452"/>
        <w:jc w:val="both"/>
      </w:pPr>
      <w:r>
        <w:rPr/>
        <w:t>Baker, G.A.,</w:t>
      </w:r>
      <w:r>
        <w:rPr>
          <w:spacing w:val="1"/>
        </w:rPr>
        <w:t> </w:t>
      </w:r>
      <w:r>
        <w:rPr/>
        <w:t>Jacoby,</w:t>
      </w:r>
      <w:r>
        <w:rPr>
          <w:spacing w:val="1"/>
        </w:rPr>
        <w:t> </w:t>
      </w:r>
      <w:r>
        <w:rPr/>
        <w:t>A., Buck,</w:t>
      </w:r>
      <w:r>
        <w:rPr>
          <w:spacing w:val="1"/>
        </w:rPr>
        <w:t> </w:t>
      </w:r>
      <w:r>
        <w:rPr/>
        <w:t>D., Stalgis, C.</w:t>
      </w:r>
      <w:r>
        <w:rPr>
          <w:spacing w:val="1"/>
        </w:rPr>
        <w:t> </w:t>
      </w:r>
      <w:r>
        <w:rPr/>
        <w:t>&amp; Monnet, D.</w:t>
      </w:r>
      <w:r>
        <w:rPr>
          <w:spacing w:val="1"/>
        </w:rPr>
        <w:t> </w:t>
      </w:r>
      <w:r>
        <w:rPr/>
        <w:t>(1997). “Quality of</w:t>
      </w:r>
      <w:r>
        <w:rPr>
          <w:spacing w:val="60"/>
        </w:rPr>
        <w:t> </w:t>
      </w:r>
      <w:r>
        <w:rPr/>
        <w:t>life of</w:t>
      </w:r>
      <w:r>
        <w:rPr>
          <w:spacing w:val="1"/>
        </w:rPr>
        <w:t> </w:t>
      </w:r>
      <w:r>
        <w:rPr/>
        <w:t>people</w:t>
      </w:r>
      <w:r>
        <w:rPr>
          <w:spacing w:val="-1"/>
        </w:rPr>
        <w:t> </w:t>
      </w:r>
      <w:r>
        <w:rPr/>
        <w:t>with epilepsy:</w:t>
      </w:r>
      <w:r>
        <w:rPr>
          <w:spacing w:val="2"/>
        </w:rPr>
        <w:t> </w:t>
      </w:r>
      <w:r>
        <w:rPr/>
        <w:t>a</w:t>
      </w:r>
      <w:r>
        <w:rPr>
          <w:spacing w:val="-2"/>
        </w:rPr>
        <w:t> </w:t>
      </w:r>
      <w:r>
        <w:rPr/>
        <w:t>European study”</w:t>
      </w:r>
      <w:r>
        <w:rPr>
          <w:spacing w:val="1"/>
        </w:rPr>
        <w:t> </w:t>
      </w:r>
      <w:r>
        <w:rPr>
          <w:i/>
        </w:rPr>
        <w:t>Epilepsia</w:t>
      </w:r>
      <w:r>
        <w:rPr>
          <w:i/>
          <w:spacing w:val="1"/>
        </w:rPr>
        <w:t> </w:t>
      </w:r>
      <w:r>
        <w:rPr/>
        <w:t>38(3): 353-</w:t>
      </w:r>
      <w:r>
        <w:rPr>
          <w:spacing w:val="-1"/>
        </w:rPr>
        <w:t> </w:t>
      </w:r>
      <w:r>
        <w:rPr/>
        <w:t>362.</w:t>
      </w:r>
    </w:p>
    <w:p>
      <w:pPr>
        <w:pStyle w:val="BodyText"/>
      </w:pPr>
    </w:p>
    <w:p>
      <w:pPr>
        <w:pStyle w:val="BodyText"/>
        <w:ind w:left="671" w:right="116" w:hanging="452"/>
        <w:jc w:val="both"/>
      </w:pPr>
      <w:r>
        <w:rPr/>
        <w:t>Baraban,S.C.,&amp;Tallent,M.K.(2004).Interneuron</w:t>
      </w:r>
      <w:r>
        <w:rPr>
          <w:spacing w:val="1"/>
        </w:rPr>
        <w:t> </w:t>
      </w:r>
      <w:r>
        <w:rPr/>
        <w:t>diversity</w:t>
      </w:r>
      <w:r>
        <w:rPr>
          <w:spacing w:val="1"/>
        </w:rPr>
        <w:t> </w:t>
      </w:r>
      <w:r>
        <w:rPr/>
        <w:t>series:</w:t>
      </w:r>
      <w:r>
        <w:rPr>
          <w:spacing w:val="1"/>
        </w:rPr>
        <w:t> </w:t>
      </w:r>
      <w:r>
        <w:rPr/>
        <w:t>Interneuronal</w:t>
      </w:r>
      <w:r>
        <w:rPr>
          <w:spacing w:val="-57"/>
        </w:rPr>
        <w:t> </w:t>
      </w:r>
      <w:r>
        <w:rPr/>
        <w:t>neuropepetides-endogenous</w:t>
      </w:r>
      <w:r>
        <w:rPr>
          <w:spacing w:val="1"/>
        </w:rPr>
        <w:t> </w:t>
      </w:r>
      <w:r>
        <w:rPr/>
        <w:t>regulators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neuronal</w:t>
      </w:r>
      <w:r>
        <w:rPr>
          <w:spacing w:val="1"/>
        </w:rPr>
        <w:t> </w:t>
      </w:r>
      <w:r>
        <w:rPr/>
        <w:t>excitability.</w:t>
      </w:r>
      <w:r>
        <w:rPr>
          <w:spacing w:val="61"/>
        </w:rPr>
        <w:t> </w:t>
      </w:r>
      <w:r>
        <w:rPr>
          <w:i/>
        </w:rPr>
        <w:t>Trends</w:t>
      </w:r>
      <w:r>
        <w:rPr>
          <w:i/>
          <w:spacing w:val="61"/>
        </w:rPr>
        <w:t> </w:t>
      </w:r>
      <w:r>
        <w:rPr>
          <w:i/>
        </w:rPr>
        <w:t>in</w:t>
      </w:r>
      <w:r>
        <w:rPr>
          <w:i/>
          <w:spacing w:val="1"/>
        </w:rPr>
        <w:t> </w:t>
      </w:r>
      <w:r>
        <w:rPr>
          <w:i/>
        </w:rPr>
        <w:t>Neurosciences</w:t>
      </w:r>
      <w:r>
        <w:rPr/>
        <w:t>,</w:t>
      </w:r>
      <w:r>
        <w:rPr>
          <w:spacing w:val="-1"/>
        </w:rPr>
        <w:t> </w:t>
      </w:r>
      <w:r>
        <w:rPr/>
        <w:t>27:135-142.</w:t>
      </w:r>
    </w:p>
    <w:p>
      <w:pPr>
        <w:pStyle w:val="BodyText"/>
      </w:pPr>
    </w:p>
    <w:p>
      <w:pPr>
        <w:spacing w:before="0"/>
        <w:ind w:left="671" w:right="117" w:hanging="452"/>
        <w:jc w:val="both"/>
        <w:rPr>
          <w:sz w:val="24"/>
        </w:rPr>
      </w:pPr>
      <w:r>
        <w:rPr>
          <w:sz w:val="24"/>
        </w:rPr>
        <w:t>Barchi, L. (1998). Ion channel mutations affecting muscle and brain. </w:t>
      </w:r>
      <w:r>
        <w:rPr>
          <w:i/>
          <w:sz w:val="24"/>
        </w:rPr>
        <w:t>Current Opinions 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Neurology.</w:t>
      </w:r>
      <w:r>
        <w:rPr>
          <w:i/>
          <w:spacing w:val="-1"/>
          <w:sz w:val="24"/>
        </w:rPr>
        <w:t> </w:t>
      </w:r>
      <w:r>
        <w:rPr>
          <w:sz w:val="24"/>
        </w:rPr>
        <w:t>11:461-468.</w:t>
      </w:r>
    </w:p>
    <w:p>
      <w:pPr>
        <w:pStyle w:val="BodyText"/>
        <w:spacing w:before="1"/>
      </w:pPr>
    </w:p>
    <w:p>
      <w:pPr>
        <w:pStyle w:val="BodyText"/>
        <w:ind w:left="671" w:right="116" w:hanging="452"/>
        <w:jc w:val="both"/>
      </w:pPr>
      <w:r>
        <w:rPr/>
        <w:t>Bassey, O.A., Lowry, O.H. &amp; Brock, M.J. (1946). </w:t>
      </w:r>
      <w:r>
        <w:rPr>
          <w:i/>
        </w:rPr>
        <w:t>Journal of Biological Chemistry</w:t>
      </w:r>
      <w:r>
        <w:rPr/>
        <w:t>, 16:321</w:t>
      </w:r>
      <w:r>
        <w:rPr>
          <w:spacing w:val="1"/>
        </w:rPr>
        <w:t> </w:t>
      </w:r>
      <w:r>
        <w:rPr/>
        <w:t>Quoted in Cheesbrough, M. (1992). Medical Laboratory Manual for Tropical Countries</w:t>
      </w:r>
      <w:r>
        <w:rPr>
          <w:spacing w:val="1"/>
        </w:rPr>
        <w:t> </w:t>
      </w:r>
      <w:r>
        <w:rPr/>
        <w:t>Vol.</w:t>
      </w:r>
      <w:r>
        <w:rPr>
          <w:spacing w:val="-1"/>
        </w:rPr>
        <w:t> </w:t>
      </w:r>
      <w:r>
        <w:rPr/>
        <w:t>1(2</w:t>
      </w:r>
      <w:r>
        <w:rPr>
          <w:vertAlign w:val="superscript"/>
        </w:rPr>
        <w:t>nd</w:t>
      </w:r>
      <w:r>
        <w:rPr>
          <w:spacing w:val="1"/>
          <w:vertAlign w:val="baseline"/>
        </w:rPr>
        <w:t> </w:t>
      </w:r>
      <w:r>
        <w:rPr>
          <w:vertAlign w:val="baseline"/>
        </w:rPr>
        <w:t>Edition): ELBS Cambridge</w:t>
      </w:r>
      <w:r>
        <w:rPr>
          <w:spacing w:val="-1"/>
          <w:vertAlign w:val="baseline"/>
        </w:rPr>
        <w:t> </w:t>
      </w:r>
      <w:r>
        <w:rPr>
          <w:vertAlign w:val="baseline"/>
        </w:rPr>
        <w:t>495-526.</w:t>
      </w:r>
    </w:p>
    <w:p>
      <w:pPr>
        <w:pStyle w:val="BodyText"/>
      </w:pPr>
    </w:p>
    <w:p>
      <w:pPr>
        <w:pStyle w:val="BodyText"/>
        <w:ind w:left="671" w:right="118" w:hanging="452"/>
        <w:jc w:val="both"/>
      </w:pPr>
      <w:r>
        <w:rPr/>
        <w:t>Beaumanoir,</w:t>
      </w:r>
      <w:r>
        <w:rPr>
          <w:spacing w:val="1"/>
        </w:rPr>
        <w:t> </w:t>
      </w:r>
      <w:r>
        <w:rPr/>
        <w:t>A.</w:t>
      </w:r>
      <w:r>
        <w:rPr>
          <w:spacing w:val="1"/>
        </w:rPr>
        <w:t> </w:t>
      </w:r>
      <w:r>
        <w:rPr/>
        <w:t>(1995).</w:t>
      </w:r>
      <w:r>
        <w:rPr>
          <w:spacing w:val="1"/>
        </w:rPr>
        <w:t> </w:t>
      </w:r>
      <w:r>
        <w:rPr/>
        <w:t>About</w:t>
      </w:r>
      <w:r>
        <w:rPr>
          <w:spacing w:val="1"/>
        </w:rPr>
        <w:t> </w:t>
      </w:r>
      <w:r>
        <w:rPr/>
        <w:t>continuous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subcontinous</w:t>
      </w:r>
      <w:r>
        <w:rPr>
          <w:spacing w:val="1"/>
        </w:rPr>
        <w:t> </w:t>
      </w:r>
      <w:r>
        <w:rPr/>
        <w:t>spikewave</w:t>
      </w:r>
      <w:r>
        <w:rPr>
          <w:spacing w:val="1"/>
        </w:rPr>
        <w:t> </w:t>
      </w:r>
      <w:r>
        <w:rPr/>
        <w:t>activity</w:t>
      </w:r>
      <w:r>
        <w:rPr>
          <w:spacing w:val="1"/>
        </w:rPr>
        <w:t> </w:t>
      </w:r>
      <w:r>
        <w:rPr/>
        <w:t>during</w:t>
      </w:r>
      <w:r>
        <w:rPr>
          <w:spacing w:val="1"/>
        </w:rPr>
        <w:t> </w:t>
      </w:r>
      <w:r>
        <w:rPr/>
        <w:t>wakefulness:</w:t>
      </w:r>
      <w:r>
        <w:rPr>
          <w:spacing w:val="1"/>
        </w:rPr>
        <w:t> </w:t>
      </w:r>
      <w:r>
        <w:rPr/>
        <w:t>electroclinical</w:t>
      </w:r>
      <w:r>
        <w:rPr>
          <w:spacing w:val="1"/>
        </w:rPr>
        <w:t> </w:t>
      </w:r>
      <w:r>
        <w:rPr/>
        <w:t>correlations.</w:t>
      </w:r>
      <w:r>
        <w:rPr>
          <w:spacing w:val="1"/>
        </w:rPr>
        <w:t> </w:t>
      </w:r>
      <w:r>
        <w:rPr/>
        <w:t>Continuous</w:t>
      </w:r>
      <w:r>
        <w:rPr>
          <w:spacing w:val="1"/>
        </w:rPr>
        <w:t> </w:t>
      </w:r>
      <w:r>
        <w:rPr/>
        <w:t>spikes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waves</w:t>
      </w:r>
      <w:r>
        <w:rPr>
          <w:spacing w:val="1"/>
        </w:rPr>
        <w:t> </w:t>
      </w:r>
      <w:r>
        <w:rPr/>
        <w:t>during</w:t>
      </w:r>
      <w:r>
        <w:rPr>
          <w:spacing w:val="60"/>
        </w:rPr>
        <w:t> </w:t>
      </w:r>
      <w:r>
        <w:rPr/>
        <w:t>slow</w:t>
      </w:r>
      <w:r>
        <w:rPr>
          <w:spacing w:val="-57"/>
        </w:rPr>
        <w:t> </w:t>
      </w:r>
      <w:r>
        <w:rPr/>
        <w:t>sleep electrical status epilepticus during slow sleep; Ed A. Beaumanoir </w:t>
      </w:r>
      <w:r>
        <w:rPr>
          <w:i/>
        </w:rPr>
        <w:t>et al </w:t>
      </w:r>
      <w:r>
        <w:rPr/>
        <w:t>London:</w:t>
      </w:r>
      <w:r>
        <w:rPr>
          <w:spacing w:val="1"/>
        </w:rPr>
        <w:t> </w:t>
      </w:r>
      <w:r>
        <w:rPr/>
        <w:t>John</w:t>
      </w:r>
      <w:r>
        <w:rPr>
          <w:spacing w:val="-1"/>
        </w:rPr>
        <w:t> </w:t>
      </w:r>
      <w:r>
        <w:rPr/>
        <w:t>Libbey.</w:t>
      </w:r>
    </w:p>
    <w:p>
      <w:pPr>
        <w:pStyle w:val="BodyText"/>
      </w:pPr>
    </w:p>
    <w:p>
      <w:pPr>
        <w:spacing w:before="0"/>
        <w:ind w:left="671" w:right="108" w:hanging="452"/>
        <w:jc w:val="both"/>
        <w:rPr>
          <w:sz w:val="24"/>
        </w:rPr>
      </w:pPr>
      <w:r>
        <w:rPr>
          <w:sz w:val="24"/>
        </w:rPr>
        <w:t>Belemtougri, R.C., Constantin, B., Cognard, C., Raymond, .,&amp; Sawadogo, L; (2006): Effects</w:t>
      </w:r>
      <w:r>
        <w:rPr>
          <w:spacing w:val="1"/>
          <w:sz w:val="24"/>
        </w:rPr>
        <w:t> </w:t>
      </w:r>
      <w:r>
        <w:rPr>
          <w:sz w:val="24"/>
        </w:rPr>
        <w:t>of two medicinal plants </w:t>
      </w:r>
      <w:r>
        <w:rPr>
          <w:i/>
          <w:sz w:val="24"/>
        </w:rPr>
        <w:t>Psidium guajava </w:t>
      </w:r>
      <w:r>
        <w:rPr>
          <w:sz w:val="24"/>
        </w:rPr>
        <w:t>L (my faceae) and </w:t>
      </w:r>
      <w:r>
        <w:rPr>
          <w:i/>
          <w:sz w:val="24"/>
        </w:rPr>
        <w:t>Diospyros mespiliformis</w:t>
      </w:r>
      <w:r>
        <w:rPr>
          <w:i/>
          <w:spacing w:val="1"/>
          <w:sz w:val="24"/>
        </w:rPr>
        <w:t> </w:t>
      </w:r>
      <w:r>
        <w:rPr>
          <w:sz w:val="24"/>
        </w:rPr>
        <w:t>L</w:t>
      </w:r>
      <w:r>
        <w:rPr>
          <w:spacing w:val="1"/>
          <w:sz w:val="24"/>
        </w:rPr>
        <w:t> </w:t>
      </w:r>
      <w:r>
        <w:rPr>
          <w:sz w:val="24"/>
        </w:rPr>
        <w:t>(Ebenaceae) leaf extracts on rat skeletal muscle cells in primary culture. </w:t>
      </w:r>
      <w:r>
        <w:rPr>
          <w:i/>
          <w:sz w:val="24"/>
        </w:rPr>
        <w:t>Journal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Zhejiang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University Science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B </w:t>
      </w:r>
      <w:r>
        <w:rPr>
          <w:sz w:val="24"/>
        </w:rPr>
        <w:t>7(1): 56-63.</w:t>
      </w:r>
    </w:p>
    <w:p>
      <w:pPr>
        <w:pStyle w:val="BodyText"/>
      </w:pPr>
    </w:p>
    <w:p>
      <w:pPr>
        <w:pStyle w:val="BodyText"/>
        <w:spacing w:before="1"/>
        <w:ind w:left="671" w:right="119" w:hanging="452"/>
        <w:jc w:val="both"/>
      </w:pPr>
      <w:r>
        <w:rPr/>
        <w:t>Ben-Menachem, E. (2002). Vagus nerve stimulation for the treatment of epilepsy. </w:t>
      </w:r>
      <w:r>
        <w:rPr>
          <w:i/>
        </w:rPr>
        <w:t>Lancet</w:t>
      </w:r>
      <w:r>
        <w:rPr>
          <w:i/>
          <w:spacing w:val="1"/>
        </w:rPr>
        <w:t> </w:t>
      </w:r>
      <w:r>
        <w:rPr>
          <w:i/>
        </w:rPr>
        <w:t>neurolology</w:t>
      </w:r>
      <w:r>
        <w:rPr>
          <w:i/>
          <w:spacing w:val="-1"/>
        </w:rPr>
        <w:t> </w:t>
      </w:r>
      <w:r>
        <w:rPr/>
        <w:t>1(8): 477-482.</w:t>
      </w:r>
    </w:p>
    <w:p>
      <w:pPr>
        <w:pStyle w:val="BodyText"/>
      </w:pPr>
    </w:p>
    <w:p>
      <w:pPr>
        <w:pStyle w:val="BodyText"/>
        <w:ind w:left="671" w:right="114" w:hanging="452"/>
        <w:jc w:val="both"/>
      </w:pPr>
      <w:r>
        <w:rPr/>
        <w:t>Berg, A.T.,</w:t>
      </w:r>
      <w:r>
        <w:rPr>
          <w:spacing w:val="1"/>
        </w:rPr>
        <w:t> </w:t>
      </w:r>
      <w:r>
        <w:rPr/>
        <w:t>Langfitt, J.T., Spencer, S.S. &amp; Vickrey,</w:t>
      </w:r>
      <w:r>
        <w:rPr>
          <w:spacing w:val="1"/>
        </w:rPr>
        <w:t> </w:t>
      </w:r>
      <w:r>
        <w:rPr/>
        <w:t>B.G. (2007).</w:t>
      </w:r>
      <w:r>
        <w:rPr>
          <w:spacing w:val="60"/>
        </w:rPr>
        <w:t> </w:t>
      </w:r>
      <w:r>
        <w:rPr/>
        <w:t>Stopping antiepiceptic</w:t>
      </w:r>
      <w:r>
        <w:rPr>
          <w:spacing w:val="1"/>
        </w:rPr>
        <w:t> </w:t>
      </w:r>
      <w:r>
        <w:rPr/>
        <w:t>drugs</w:t>
      </w:r>
      <w:r>
        <w:rPr>
          <w:spacing w:val="1"/>
        </w:rPr>
        <w:t> </w:t>
      </w:r>
      <w:r>
        <w:rPr/>
        <w:t>after epilepsy surgery:</w:t>
      </w:r>
      <w:r>
        <w:rPr>
          <w:spacing w:val="1"/>
        </w:rPr>
        <w:t> </w:t>
      </w:r>
      <w:r>
        <w:rPr/>
        <w:t>A survey of US epilepsy center Neurologist.</w:t>
      </w:r>
      <w:r>
        <w:rPr>
          <w:spacing w:val="1"/>
        </w:rPr>
        <w:t> </w:t>
      </w:r>
      <w:r>
        <w:rPr>
          <w:i/>
        </w:rPr>
        <w:t>Epilepsy</w:t>
      </w:r>
      <w:r>
        <w:rPr>
          <w:i/>
          <w:spacing w:val="1"/>
        </w:rPr>
        <w:t> </w:t>
      </w:r>
      <w:r>
        <w:rPr>
          <w:i/>
        </w:rPr>
        <w:t>Behaviour</w:t>
      </w:r>
      <w:r>
        <w:rPr>
          <w:i/>
          <w:spacing w:val="-1"/>
        </w:rPr>
        <w:t> </w:t>
      </w:r>
      <w:r>
        <w:rPr/>
        <w:t>10(2): 219-222.</w:t>
      </w:r>
    </w:p>
    <w:p>
      <w:pPr>
        <w:pStyle w:val="BodyText"/>
      </w:pPr>
    </w:p>
    <w:p>
      <w:pPr>
        <w:spacing w:before="0"/>
        <w:ind w:left="671" w:right="122" w:hanging="452"/>
        <w:jc w:val="both"/>
        <w:rPr>
          <w:sz w:val="24"/>
        </w:rPr>
      </w:pPr>
      <w:r>
        <w:rPr>
          <w:sz w:val="24"/>
        </w:rPr>
        <w:t>Bialer, M. &amp; White, H.S. (2010).Key factors in the discovery and development of new</w:t>
      </w:r>
      <w:r>
        <w:rPr>
          <w:spacing w:val="1"/>
          <w:sz w:val="24"/>
        </w:rPr>
        <w:t> </w:t>
      </w:r>
      <w:r>
        <w:rPr>
          <w:sz w:val="24"/>
        </w:rPr>
        <w:t>antiepileptic</w:t>
      </w:r>
      <w:r>
        <w:rPr>
          <w:spacing w:val="-2"/>
          <w:sz w:val="24"/>
        </w:rPr>
        <w:t> </w:t>
      </w:r>
      <w:r>
        <w:rPr>
          <w:sz w:val="24"/>
        </w:rPr>
        <w:t>drugs.</w:t>
      </w:r>
      <w:r>
        <w:rPr>
          <w:spacing w:val="2"/>
          <w:sz w:val="24"/>
        </w:rPr>
        <w:t> </w:t>
      </w:r>
      <w:r>
        <w:rPr>
          <w:i/>
          <w:sz w:val="24"/>
        </w:rPr>
        <w:t>National Review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Drug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Discov</w:t>
      </w:r>
      <w:r>
        <w:rPr>
          <w:b/>
          <w:sz w:val="24"/>
        </w:rPr>
        <w:t>ery. </w:t>
      </w:r>
      <w:r>
        <w:rPr>
          <w:sz w:val="24"/>
        </w:rPr>
        <w:t>9:68-82.</w:t>
      </w:r>
    </w:p>
    <w:p>
      <w:pPr>
        <w:pStyle w:val="BodyText"/>
      </w:pPr>
    </w:p>
    <w:p>
      <w:pPr>
        <w:pStyle w:val="BodyText"/>
        <w:spacing w:before="1"/>
        <w:ind w:left="671" w:right="122" w:hanging="452"/>
        <w:jc w:val="both"/>
      </w:pPr>
      <w:r>
        <w:rPr/>
        <w:t>Bialer, M. (2006).New antiepileptic drugs that are second generation to existing antiepileptic</w:t>
      </w:r>
      <w:r>
        <w:rPr>
          <w:spacing w:val="1"/>
        </w:rPr>
        <w:t> </w:t>
      </w:r>
      <w:r>
        <w:rPr/>
        <w:t>drugs.</w:t>
      </w:r>
      <w:r>
        <w:rPr>
          <w:spacing w:val="-1"/>
        </w:rPr>
        <w:t> </w:t>
      </w:r>
      <w:r>
        <w:rPr>
          <w:i/>
        </w:rPr>
        <w:t>Expert opin investing.</w:t>
      </w:r>
      <w:r>
        <w:rPr>
          <w:i/>
          <w:spacing w:val="2"/>
        </w:rPr>
        <w:t> </w:t>
      </w:r>
      <w:r>
        <w:rPr/>
        <w:t>Drugs 15(6): 637-647.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671" w:right="116" w:hanging="452"/>
        <w:jc w:val="both"/>
      </w:pPr>
      <w:r>
        <w:rPr/>
        <w:t>Bialer, M., Johannessen, S.I., Kupferberg, H.J, Levy, R.H., Loiseau, P. &amp; Perucca, E. (1999).</w:t>
      </w:r>
      <w:r>
        <w:rPr>
          <w:spacing w:val="-57"/>
        </w:rPr>
        <w:t> </w:t>
      </w:r>
      <w:r>
        <w:rPr/>
        <w:t>Progress report on new antiepileptic drugs: a summary of the fourth eilat conference.</w:t>
      </w:r>
      <w:r>
        <w:rPr>
          <w:spacing w:val="1"/>
        </w:rPr>
        <w:t> </w:t>
      </w:r>
      <w:r>
        <w:rPr>
          <w:i/>
        </w:rPr>
        <w:t>Epilepsy</w:t>
      </w:r>
      <w:r>
        <w:rPr>
          <w:i/>
          <w:spacing w:val="-2"/>
        </w:rPr>
        <w:t> </w:t>
      </w:r>
      <w:r>
        <w:rPr>
          <w:i/>
        </w:rPr>
        <w:t>Res</w:t>
      </w:r>
      <w:r>
        <w:rPr/>
        <w:t>earch 34:1-41.</w:t>
      </w:r>
    </w:p>
    <w:p>
      <w:pPr>
        <w:spacing w:after="0"/>
        <w:jc w:val="both"/>
        <w:sectPr>
          <w:pgSz w:w="12240" w:h="15840"/>
          <w:pgMar w:header="0" w:footer="792" w:top="1360" w:bottom="980" w:left="1580" w:right="1320"/>
        </w:sectPr>
      </w:pPr>
    </w:p>
    <w:p>
      <w:pPr>
        <w:spacing w:before="72"/>
        <w:ind w:left="671" w:right="116" w:hanging="452"/>
        <w:jc w:val="both"/>
        <w:rPr>
          <w:sz w:val="24"/>
        </w:rPr>
      </w:pPr>
      <w:r>
        <w:rPr>
          <w:sz w:val="24"/>
        </w:rPr>
        <w:t>Bickford, R.G., Whelan, J.L., &amp; Klass, D.W. </w:t>
      </w:r>
      <w:r>
        <w:rPr>
          <w:i/>
          <w:sz w:val="24"/>
        </w:rPr>
        <w:t>et al </w:t>
      </w:r>
      <w:r>
        <w:rPr>
          <w:sz w:val="24"/>
        </w:rPr>
        <w:t>(1957). Reading epilepsy: clinical and</w:t>
      </w:r>
      <w:r>
        <w:rPr>
          <w:spacing w:val="1"/>
          <w:sz w:val="24"/>
        </w:rPr>
        <w:t> </w:t>
      </w:r>
      <w:r>
        <w:rPr>
          <w:sz w:val="24"/>
        </w:rPr>
        <w:t>electroencephalographic</w:t>
      </w:r>
      <w:r>
        <w:rPr>
          <w:spacing w:val="1"/>
          <w:sz w:val="24"/>
        </w:rPr>
        <w:t> </w:t>
      </w:r>
      <w:r>
        <w:rPr>
          <w:sz w:val="24"/>
        </w:rPr>
        <w:t>studies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new</w:t>
      </w:r>
      <w:r>
        <w:rPr>
          <w:spacing w:val="1"/>
          <w:sz w:val="24"/>
        </w:rPr>
        <w:t> </w:t>
      </w:r>
      <w:r>
        <w:rPr>
          <w:sz w:val="24"/>
        </w:rPr>
        <w:t>syndrome.</w:t>
      </w:r>
      <w:r>
        <w:rPr>
          <w:spacing w:val="1"/>
          <w:sz w:val="24"/>
        </w:rPr>
        <w:t> </w:t>
      </w:r>
      <w:r>
        <w:rPr>
          <w:i/>
          <w:sz w:val="24"/>
        </w:rPr>
        <w:t>Transactions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American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Neurological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Association</w:t>
      </w:r>
      <w:r>
        <w:rPr>
          <w:i/>
          <w:spacing w:val="-2"/>
          <w:sz w:val="24"/>
        </w:rPr>
        <w:t> </w:t>
      </w:r>
      <w:r>
        <w:rPr>
          <w:sz w:val="24"/>
        </w:rPr>
        <w:t>81:100-2.</w:t>
      </w:r>
    </w:p>
    <w:p>
      <w:pPr>
        <w:pStyle w:val="BodyText"/>
      </w:pPr>
    </w:p>
    <w:p>
      <w:pPr>
        <w:pStyle w:val="BodyText"/>
        <w:ind w:left="671" w:right="118" w:hanging="452"/>
        <w:jc w:val="both"/>
      </w:pPr>
      <w:r>
        <w:rPr/>
        <w:t>Birbeck, G.L., Hays, R.D., Cui, X. &amp; Vickrey, B.G. (2002).Seizure reduction and quality of</w:t>
      </w:r>
      <w:r>
        <w:rPr>
          <w:spacing w:val="1"/>
        </w:rPr>
        <w:t> </w:t>
      </w:r>
      <w:r>
        <w:rPr/>
        <w:t>life</w:t>
      </w:r>
      <w:r>
        <w:rPr>
          <w:spacing w:val="-3"/>
        </w:rPr>
        <w:t> </w:t>
      </w:r>
      <w:r>
        <w:rPr/>
        <w:t>improvements in people with epilepsy.</w:t>
      </w:r>
      <w:r>
        <w:rPr>
          <w:spacing w:val="2"/>
        </w:rPr>
        <w:t> </w:t>
      </w:r>
      <w:r>
        <w:rPr>
          <w:i/>
        </w:rPr>
        <w:t>Epilepsia</w:t>
      </w:r>
      <w:r>
        <w:rPr>
          <w:i/>
          <w:spacing w:val="1"/>
        </w:rPr>
        <w:t> </w:t>
      </w:r>
      <w:r>
        <w:rPr/>
        <w:t>43(5): 535-538.</w:t>
      </w:r>
    </w:p>
    <w:p>
      <w:pPr>
        <w:pStyle w:val="BodyText"/>
      </w:pPr>
    </w:p>
    <w:p>
      <w:pPr>
        <w:pStyle w:val="BodyText"/>
        <w:ind w:left="671" w:right="120" w:hanging="452"/>
        <w:jc w:val="both"/>
      </w:pPr>
      <w:r>
        <w:rPr/>
        <w:t>Blumenfeld, H. (2003). From molecules to networks: Cortical/subcortical interactions in the</w:t>
      </w:r>
      <w:r>
        <w:rPr>
          <w:spacing w:val="1"/>
        </w:rPr>
        <w:t> </w:t>
      </w:r>
      <w:r>
        <w:rPr/>
        <w:t>Pathophysiology</w:t>
      </w:r>
      <w:r>
        <w:rPr>
          <w:spacing w:val="-6"/>
        </w:rPr>
        <w:t> </w:t>
      </w:r>
      <w:r>
        <w:rPr/>
        <w:t>of idiopathic</w:t>
      </w:r>
      <w:r>
        <w:rPr>
          <w:spacing w:val="-2"/>
        </w:rPr>
        <w:t> </w:t>
      </w:r>
      <w:r>
        <w:rPr/>
        <w:t>generalized epilepsy.</w:t>
      </w:r>
      <w:r>
        <w:rPr>
          <w:spacing w:val="5"/>
        </w:rPr>
        <w:t> </w:t>
      </w:r>
      <w:r>
        <w:rPr>
          <w:i/>
        </w:rPr>
        <w:t>Epilepsia</w:t>
      </w:r>
      <w:r>
        <w:rPr/>
        <w:t>, 44</w:t>
      </w:r>
      <w:r>
        <w:rPr>
          <w:spacing w:val="-1"/>
        </w:rPr>
        <w:t> </w:t>
      </w:r>
      <w:r>
        <w:rPr/>
        <w:t>Suppl. 2:7-15.</w:t>
      </w:r>
    </w:p>
    <w:p>
      <w:pPr>
        <w:pStyle w:val="BodyText"/>
      </w:pPr>
    </w:p>
    <w:p>
      <w:pPr>
        <w:pStyle w:val="BodyText"/>
        <w:ind w:left="671" w:right="116" w:hanging="452"/>
        <w:jc w:val="both"/>
      </w:pPr>
      <w:r>
        <w:rPr/>
        <w:t>Borden,</w:t>
      </w:r>
      <w:r>
        <w:rPr>
          <w:spacing w:val="1"/>
        </w:rPr>
        <w:t> </w:t>
      </w:r>
      <w:r>
        <w:rPr/>
        <w:t>L.A..,</w:t>
      </w:r>
      <w:r>
        <w:rPr>
          <w:spacing w:val="1"/>
        </w:rPr>
        <w:t> </w:t>
      </w:r>
      <w:r>
        <w:rPr/>
        <w:t>Smith,</w:t>
      </w:r>
      <w:r>
        <w:rPr>
          <w:spacing w:val="1"/>
        </w:rPr>
        <w:t> </w:t>
      </w:r>
      <w:r>
        <w:rPr/>
        <w:t>K.E.,</w:t>
      </w:r>
      <w:r>
        <w:rPr>
          <w:spacing w:val="1"/>
        </w:rPr>
        <w:t> </w:t>
      </w:r>
      <w:r>
        <w:rPr/>
        <w:t>Hartig,</w:t>
      </w:r>
      <w:r>
        <w:rPr>
          <w:spacing w:val="1"/>
        </w:rPr>
        <w:t> </w:t>
      </w:r>
      <w:r>
        <w:rPr/>
        <w:t>P.R..,</w:t>
      </w:r>
      <w:r>
        <w:rPr>
          <w:spacing w:val="1"/>
        </w:rPr>
        <w:t> </w:t>
      </w:r>
      <w:r>
        <w:rPr/>
        <w:t>Branchek,</w:t>
      </w:r>
      <w:r>
        <w:rPr>
          <w:spacing w:val="1"/>
        </w:rPr>
        <w:t> </w:t>
      </w:r>
      <w:r>
        <w:rPr/>
        <w:t>T.A.,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Weinshank,</w:t>
      </w:r>
      <w:r>
        <w:rPr>
          <w:spacing w:val="1"/>
        </w:rPr>
        <w:t> </w:t>
      </w:r>
      <w:r>
        <w:rPr/>
        <w:t>R.L.</w:t>
      </w:r>
      <w:r>
        <w:rPr>
          <w:spacing w:val="1"/>
        </w:rPr>
        <w:t> </w:t>
      </w:r>
      <w:r>
        <w:rPr/>
        <w:t>(1992).</w:t>
      </w:r>
      <w:r>
        <w:rPr>
          <w:spacing w:val="1"/>
        </w:rPr>
        <w:t> </w:t>
      </w:r>
      <w:r>
        <w:rPr/>
        <w:t>Molecular heterogeneity of the Gamma aminobutyric acid (GABA) transport system.</w:t>
      </w:r>
      <w:r>
        <w:rPr>
          <w:spacing w:val="1"/>
        </w:rPr>
        <w:t> </w:t>
      </w:r>
      <w:r>
        <w:rPr>
          <w:i/>
        </w:rPr>
        <w:t>Journal</w:t>
      </w:r>
      <w:r>
        <w:rPr>
          <w:i/>
          <w:spacing w:val="-1"/>
        </w:rPr>
        <w:t> </w:t>
      </w:r>
      <w:r>
        <w:rPr>
          <w:i/>
        </w:rPr>
        <w:t>of  Biological. Chemistry </w:t>
      </w:r>
      <w:r>
        <w:rPr/>
        <w:t>267:21098-21104.</w:t>
      </w:r>
    </w:p>
    <w:p>
      <w:pPr>
        <w:pStyle w:val="BodyText"/>
        <w:spacing w:before="1"/>
      </w:pPr>
    </w:p>
    <w:p>
      <w:pPr>
        <w:pStyle w:val="BodyText"/>
        <w:ind w:left="220"/>
      </w:pPr>
      <w:r>
        <w:rPr/>
        <w:t>Borden,</w:t>
      </w:r>
      <w:r>
        <w:rPr>
          <w:spacing w:val="21"/>
        </w:rPr>
        <w:t> </w:t>
      </w:r>
      <w:r>
        <w:rPr/>
        <w:t>L.A.,</w:t>
      </w:r>
      <w:r>
        <w:rPr>
          <w:spacing w:val="17"/>
        </w:rPr>
        <w:t> </w:t>
      </w:r>
      <w:r>
        <w:rPr/>
        <w:t>Dhar,</w:t>
      </w:r>
      <w:r>
        <w:rPr>
          <w:spacing w:val="17"/>
        </w:rPr>
        <w:t> </w:t>
      </w:r>
      <w:r>
        <w:rPr/>
        <w:t>T.G.M.,</w:t>
      </w:r>
      <w:r>
        <w:rPr>
          <w:spacing w:val="18"/>
        </w:rPr>
        <w:t> </w:t>
      </w:r>
      <w:r>
        <w:rPr/>
        <w:t>Smith,</w:t>
      </w:r>
      <w:r>
        <w:rPr>
          <w:spacing w:val="18"/>
        </w:rPr>
        <w:t> </w:t>
      </w:r>
      <w:r>
        <w:rPr/>
        <w:t>K.E.,</w:t>
      </w:r>
      <w:r>
        <w:rPr>
          <w:spacing w:val="17"/>
        </w:rPr>
        <w:t> </w:t>
      </w:r>
      <w:r>
        <w:rPr/>
        <w:t>Weinshank,</w:t>
      </w:r>
      <w:r>
        <w:rPr>
          <w:spacing w:val="17"/>
        </w:rPr>
        <w:t> </w:t>
      </w:r>
      <w:r>
        <w:rPr/>
        <w:t>R.L.,</w:t>
      </w:r>
      <w:r>
        <w:rPr>
          <w:spacing w:val="20"/>
        </w:rPr>
        <w:t> </w:t>
      </w:r>
      <w:r>
        <w:rPr/>
        <w:t>Brandiek,</w:t>
      </w:r>
      <w:r>
        <w:rPr>
          <w:spacing w:val="16"/>
        </w:rPr>
        <w:t> </w:t>
      </w:r>
      <w:r>
        <w:rPr/>
        <w:t>T.A.</w:t>
      </w:r>
      <w:r>
        <w:rPr>
          <w:spacing w:val="17"/>
        </w:rPr>
        <w:t> </w:t>
      </w:r>
      <w:r>
        <w:rPr/>
        <w:t>&amp;</w:t>
      </w:r>
      <w:r>
        <w:rPr>
          <w:spacing w:val="16"/>
        </w:rPr>
        <w:t> </w:t>
      </w:r>
      <w:r>
        <w:rPr/>
        <w:t>Gluchowski,</w:t>
      </w:r>
    </w:p>
    <w:p>
      <w:pPr>
        <w:pStyle w:val="ListParagraph"/>
        <w:numPr>
          <w:ilvl w:val="1"/>
          <w:numId w:val="15"/>
        </w:numPr>
        <w:tabs>
          <w:tab w:pos="998" w:val="left" w:leader="none"/>
        </w:tabs>
        <w:spacing w:line="240" w:lineRule="auto" w:before="0" w:after="0"/>
        <w:ind w:left="671" w:right="120" w:firstLine="0"/>
        <w:jc w:val="left"/>
        <w:rPr>
          <w:sz w:val="24"/>
        </w:rPr>
      </w:pPr>
      <w:r>
        <w:rPr>
          <w:sz w:val="24"/>
        </w:rPr>
        <w:t>(1994).</w:t>
      </w:r>
      <w:r>
        <w:rPr>
          <w:spacing w:val="44"/>
          <w:sz w:val="24"/>
        </w:rPr>
        <w:t> </w:t>
      </w:r>
      <w:r>
        <w:rPr>
          <w:sz w:val="24"/>
        </w:rPr>
        <w:t>Tiagabine,</w:t>
      </w:r>
      <w:r>
        <w:rPr>
          <w:spacing w:val="44"/>
          <w:sz w:val="24"/>
        </w:rPr>
        <w:t> </w:t>
      </w:r>
      <w:r>
        <w:rPr>
          <w:sz w:val="24"/>
        </w:rPr>
        <w:t>SKF</w:t>
      </w:r>
      <w:r>
        <w:rPr>
          <w:spacing w:val="43"/>
          <w:sz w:val="24"/>
        </w:rPr>
        <w:t> </w:t>
      </w:r>
      <w:r>
        <w:rPr>
          <w:sz w:val="24"/>
        </w:rPr>
        <w:t>89976-A.</w:t>
      </w:r>
      <w:r>
        <w:rPr>
          <w:spacing w:val="44"/>
          <w:sz w:val="24"/>
        </w:rPr>
        <w:t> </w:t>
      </w:r>
      <w:r>
        <w:rPr>
          <w:sz w:val="24"/>
        </w:rPr>
        <w:t>CI-966,</w:t>
      </w:r>
      <w:r>
        <w:rPr>
          <w:spacing w:val="47"/>
          <w:sz w:val="24"/>
        </w:rPr>
        <w:t> </w:t>
      </w:r>
      <w:r>
        <w:rPr>
          <w:sz w:val="24"/>
        </w:rPr>
        <w:t>and</w:t>
      </w:r>
      <w:r>
        <w:rPr>
          <w:spacing w:val="45"/>
          <w:sz w:val="24"/>
        </w:rPr>
        <w:t> </w:t>
      </w:r>
      <w:r>
        <w:rPr>
          <w:sz w:val="24"/>
        </w:rPr>
        <w:t>NNC-711</w:t>
      </w:r>
      <w:r>
        <w:rPr>
          <w:spacing w:val="47"/>
          <w:sz w:val="24"/>
        </w:rPr>
        <w:t> </w:t>
      </w:r>
      <w:r>
        <w:rPr>
          <w:sz w:val="24"/>
        </w:rPr>
        <w:t>are</w:t>
      </w:r>
      <w:r>
        <w:rPr>
          <w:spacing w:val="45"/>
          <w:sz w:val="24"/>
        </w:rPr>
        <w:t> </w:t>
      </w:r>
      <w:r>
        <w:rPr>
          <w:sz w:val="24"/>
        </w:rPr>
        <w:t>selective</w:t>
      </w:r>
      <w:r>
        <w:rPr>
          <w:spacing w:val="44"/>
          <w:sz w:val="24"/>
        </w:rPr>
        <w:t> </w:t>
      </w:r>
      <w:r>
        <w:rPr>
          <w:sz w:val="24"/>
        </w:rPr>
        <w:t>for</w:t>
      </w:r>
      <w:r>
        <w:rPr>
          <w:spacing w:val="46"/>
          <w:sz w:val="24"/>
        </w:rPr>
        <w:t> </w:t>
      </w:r>
      <w:r>
        <w:rPr>
          <w:sz w:val="24"/>
        </w:rPr>
        <w:t>cloned</w:t>
      </w:r>
      <w:r>
        <w:rPr>
          <w:spacing w:val="-57"/>
          <w:sz w:val="24"/>
        </w:rPr>
        <w:t> </w:t>
      </w:r>
      <w:r>
        <w:rPr>
          <w:sz w:val="24"/>
        </w:rPr>
        <w:t>GABA</w:t>
      </w:r>
      <w:r>
        <w:rPr>
          <w:spacing w:val="-1"/>
          <w:sz w:val="24"/>
        </w:rPr>
        <w:t> </w:t>
      </w:r>
      <w:r>
        <w:rPr>
          <w:sz w:val="24"/>
        </w:rPr>
        <w:t>transporter GAT-1. </w:t>
      </w:r>
      <w:r>
        <w:rPr>
          <w:i/>
          <w:sz w:val="24"/>
        </w:rPr>
        <w:t>European 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Pharmacology</w:t>
      </w:r>
      <w:r>
        <w:rPr>
          <w:i/>
          <w:spacing w:val="-1"/>
          <w:sz w:val="24"/>
        </w:rPr>
        <w:t> </w:t>
      </w:r>
      <w:r>
        <w:rPr>
          <w:sz w:val="24"/>
        </w:rPr>
        <w:t>269:219-224.</w:t>
      </w:r>
    </w:p>
    <w:p>
      <w:pPr>
        <w:pStyle w:val="BodyText"/>
      </w:pPr>
    </w:p>
    <w:p>
      <w:pPr>
        <w:pStyle w:val="BodyText"/>
        <w:ind w:left="671" w:right="120" w:hanging="452"/>
        <w:jc w:val="both"/>
      </w:pPr>
      <w:r>
        <w:rPr/>
        <w:t>Bordey,</w:t>
      </w:r>
      <w:r>
        <w:rPr>
          <w:spacing w:val="1"/>
        </w:rPr>
        <w:t> </w:t>
      </w:r>
      <w:r>
        <w:rPr/>
        <w:t>A.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Sontheimer,</w:t>
      </w:r>
      <w:r>
        <w:rPr>
          <w:spacing w:val="1"/>
        </w:rPr>
        <w:t> </w:t>
      </w:r>
      <w:r>
        <w:rPr/>
        <w:t>H.</w:t>
      </w:r>
      <w:r>
        <w:rPr>
          <w:spacing w:val="1"/>
        </w:rPr>
        <w:t> </w:t>
      </w:r>
      <w:r>
        <w:rPr/>
        <w:t>(1998).</w:t>
      </w:r>
      <w:r>
        <w:rPr>
          <w:spacing w:val="1"/>
        </w:rPr>
        <w:t> </w:t>
      </w:r>
      <w:r>
        <w:rPr/>
        <w:t>Properties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Human</w:t>
      </w:r>
      <w:r>
        <w:rPr>
          <w:spacing w:val="1"/>
        </w:rPr>
        <w:t> </w:t>
      </w:r>
      <w:r>
        <w:rPr/>
        <w:t>glial</w:t>
      </w:r>
      <w:r>
        <w:rPr>
          <w:spacing w:val="1"/>
        </w:rPr>
        <w:t> </w:t>
      </w:r>
      <w:r>
        <w:rPr/>
        <w:t>cells</w:t>
      </w:r>
      <w:r>
        <w:rPr>
          <w:spacing w:val="1"/>
        </w:rPr>
        <w:t> </w:t>
      </w:r>
      <w:r>
        <w:rPr/>
        <w:t>associated</w:t>
      </w:r>
      <w:r>
        <w:rPr>
          <w:spacing w:val="60"/>
        </w:rPr>
        <w:t> </w:t>
      </w:r>
      <w:r>
        <w:rPr/>
        <w:t>with</w:t>
      </w:r>
      <w:r>
        <w:rPr>
          <w:spacing w:val="1"/>
        </w:rPr>
        <w:t> </w:t>
      </w:r>
      <w:r>
        <w:rPr/>
        <w:t>epileptic</w:t>
      </w:r>
      <w:r>
        <w:rPr>
          <w:spacing w:val="-2"/>
        </w:rPr>
        <w:t> </w:t>
      </w:r>
      <w:r>
        <w:rPr/>
        <w:t>seizure</w:t>
      </w:r>
      <w:r>
        <w:rPr>
          <w:spacing w:val="-1"/>
        </w:rPr>
        <w:t> </w:t>
      </w:r>
      <w:r>
        <w:rPr/>
        <w:t>foci.</w:t>
      </w:r>
      <w:r>
        <w:rPr>
          <w:spacing w:val="2"/>
        </w:rPr>
        <w:t> </w:t>
      </w:r>
      <w:r>
        <w:rPr>
          <w:i/>
        </w:rPr>
        <w:t>Epilepsy</w:t>
      </w:r>
      <w:r>
        <w:rPr>
          <w:i/>
          <w:spacing w:val="-2"/>
        </w:rPr>
        <w:t> </w:t>
      </w:r>
      <w:r>
        <w:rPr>
          <w:i/>
        </w:rPr>
        <w:t>Research </w:t>
      </w:r>
      <w:r>
        <w:rPr/>
        <w:t>32:286-303.</w:t>
      </w:r>
    </w:p>
    <w:p>
      <w:pPr>
        <w:pStyle w:val="BodyText"/>
      </w:pPr>
    </w:p>
    <w:p>
      <w:pPr>
        <w:pStyle w:val="BodyText"/>
        <w:ind w:left="671" w:right="114" w:hanging="452"/>
        <w:jc w:val="both"/>
      </w:pPr>
      <w:r>
        <w:rPr/>
        <w:t>Borowicz, K.K., Luszczki,J.J., Sobieszek, G., Ratnaraj, N., Patsalos, P.N. &amp; Czucswar, S.J.</w:t>
      </w:r>
      <w:r>
        <w:rPr>
          <w:spacing w:val="1"/>
        </w:rPr>
        <w:t> </w:t>
      </w:r>
      <w:r>
        <w:rPr/>
        <w:t>(2007). Interactions between Zonisamide and conventional antiepileptics‟ drugs in the</w:t>
      </w:r>
      <w:r>
        <w:rPr>
          <w:spacing w:val="1"/>
        </w:rPr>
        <w:t> </w:t>
      </w:r>
      <w:r>
        <w:rPr/>
        <w:t>mouse maximal electroshock test model. </w:t>
      </w:r>
      <w:r>
        <w:rPr>
          <w:i/>
        </w:rPr>
        <w:t>European Neuropsychopharmacology</w:t>
      </w:r>
      <w:r>
        <w:rPr/>
        <w:t>, 17(4):</w:t>
      </w:r>
      <w:r>
        <w:rPr>
          <w:spacing w:val="1"/>
        </w:rPr>
        <w:t> </w:t>
      </w:r>
      <w:r>
        <w:rPr/>
        <w:t>265-272.</w:t>
      </w:r>
    </w:p>
    <w:p>
      <w:pPr>
        <w:pStyle w:val="BodyText"/>
      </w:pPr>
    </w:p>
    <w:p>
      <w:pPr>
        <w:pStyle w:val="BodyText"/>
        <w:spacing w:before="1"/>
        <w:ind w:left="671" w:right="114" w:hanging="452"/>
        <w:jc w:val="both"/>
      </w:pPr>
      <w:r>
        <w:rPr/>
        <w:t>Braestrup, C., Nielsen, G.B., Sonnewald, U., Knutsen, L.J.S., Andersen, K., Jansen, J.A.,</w:t>
      </w:r>
      <w:r>
        <w:rPr>
          <w:spacing w:val="1"/>
        </w:rPr>
        <w:t> </w:t>
      </w:r>
      <w:r>
        <w:rPr/>
        <w:t>Frederiksen, K., Andersen, P.H., Mortensen, A. &amp; Suzdak, P.D. (1990). (R)-N-[4,4-</w:t>
      </w:r>
      <w:r>
        <w:rPr>
          <w:spacing w:val="1"/>
        </w:rPr>
        <w:t> </w:t>
      </w:r>
      <w:r>
        <w:rPr/>
        <w:t>bis(3-methyl-2-thienyl) but-3-en-l-yl] nipecotic acid binds with high affinity to the brain</w:t>
      </w:r>
      <w:r>
        <w:rPr>
          <w:spacing w:val="1"/>
        </w:rPr>
        <w:t> </w:t>
      </w:r>
      <w:r>
        <w:rPr/>
        <w:t>GABA</w:t>
      </w:r>
      <w:r>
        <w:rPr>
          <w:spacing w:val="-1"/>
        </w:rPr>
        <w:t> </w:t>
      </w:r>
      <w:r>
        <w:rPr/>
        <w:t>uptake</w:t>
      </w:r>
      <w:r>
        <w:rPr>
          <w:spacing w:val="-1"/>
        </w:rPr>
        <w:t> </w:t>
      </w:r>
      <w:r>
        <w:rPr/>
        <w:t>carrier </w:t>
      </w:r>
      <w:r>
        <w:rPr>
          <w:i/>
        </w:rPr>
        <w:t>Journal of</w:t>
      </w:r>
      <w:r>
        <w:rPr>
          <w:i/>
          <w:spacing w:val="1"/>
        </w:rPr>
        <w:t> </w:t>
      </w:r>
      <w:r>
        <w:rPr/>
        <w:t>N</w:t>
      </w:r>
      <w:r>
        <w:rPr>
          <w:i/>
        </w:rPr>
        <w:t>eurochemistry</w:t>
      </w:r>
      <w:r>
        <w:rPr>
          <w:i/>
          <w:spacing w:val="2"/>
        </w:rPr>
        <w:t> </w:t>
      </w:r>
      <w:r>
        <w:rPr/>
        <w:t>54:639-647.</w:t>
      </w:r>
    </w:p>
    <w:p>
      <w:pPr>
        <w:pStyle w:val="BodyText"/>
      </w:pPr>
    </w:p>
    <w:p>
      <w:pPr>
        <w:spacing w:before="0"/>
        <w:ind w:left="671" w:right="117" w:hanging="452"/>
        <w:jc w:val="both"/>
        <w:rPr>
          <w:sz w:val="24"/>
        </w:rPr>
      </w:pPr>
      <w:r>
        <w:rPr>
          <w:sz w:val="24"/>
        </w:rPr>
        <w:t>Brodie,</w:t>
      </w:r>
      <w:r>
        <w:rPr>
          <w:spacing w:val="1"/>
          <w:sz w:val="24"/>
        </w:rPr>
        <w:t> </w:t>
      </w:r>
      <w:r>
        <w:rPr>
          <w:sz w:val="24"/>
        </w:rPr>
        <w:t>M.J.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Dichter,</w:t>
      </w:r>
      <w:r>
        <w:rPr>
          <w:spacing w:val="1"/>
          <w:sz w:val="24"/>
        </w:rPr>
        <w:t> </w:t>
      </w:r>
      <w:r>
        <w:rPr>
          <w:sz w:val="24"/>
        </w:rPr>
        <w:t>M.A.</w:t>
      </w:r>
      <w:r>
        <w:rPr>
          <w:spacing w:val="1"/>
          <w:sz w:val="24"/>
        </w:rPr>
        <w:t> </w:t>
      </w:r>
      <w:r>
        <w:rPr>
          <w:sz w:val="24"/>
        </w:rPr>
        <w:t>(1996).</w:t>
      </w:r>
      <w:r>
        <w:rPr>
          <w:spacing w:val="1"/>
          <w:sz w:val="24"/>
        </w:rPr>
        <w:t> </w:t>
      </w:r>
      <w:r>
        <w:rPr>
          <w:sz w:val="24"/>
        </w:rPr>
        <w:t>Antiepileptic</w:t>
      </w:r>
      <w:r>
        <w:rPr>
          <w:spacing w:val="1"/>
          <w:sz w:val="24"/>
        </w:rPr>
        <w:t> </w:t>
      </w:r>
      <w:r>
        <w:rPr>
          <w:sz w:val="24"/>
        </w:rPr>
        <w:t>drugs.</w:t>
      </w:r>
      <w:r>
        <w:rPr>
          <w:spacing w:val="1"/>
          <w:sz w:val="24"/>
        </w:rPr>
        <w:t> </w:t>
      </w:r>
      <w:r>
        <w:rPr>
          <w:i/>
          <w:sz w:val="24"/>
        </w:rPr>
        <w:t>New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England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Medicine.</w:t>
      </w:r>
      <w:r>
        <w:rPr>
          <w:i/>
          <w:spacing w:val="-1"/>
          <w:sz w:val="24"/>
        </w:rPr>
        <w:t> </w:t>
      </w:r>
      <w:r>
        <w:rPr>
          <w:sz w:val="24"/>
        </w:rPr>
        <w:t>334:168-175.</w:t>
      </w:r>
    </w:p>
    <w:p>
      <w:pPr>
        <w:pStyle w:val="BodyText"/>
      </w:pPr>
    </w:p>
    <w:p>
      <w:pPr>
        <w:pStyle w:val="BodyText"/>
        <w:ind w:left="220"/>
      </w:pPr>
      <w:r>
        <w:rPr/>
        <w:t>Brodie,</w:t>
      </w:r>
      <w:r>
        <w:rPr>
          <w:spacing w:val="27"/>
        </w:rPr>
        <w:t> </w:t>
      </w:r>
      <w:r>
        <w:rPr/>
        <w:t>M.J.</w:t>
      </w:r>
      <w:r>
        <w:rPr>
          <w:spacing w:val="28"/>
        </w:rPr>
        <w:t> </w:t>
      </w:r>
      <w:r>
        <w:rPr/>
        <w:t>and</w:t>
      </w:r>
      <w:r>
        <w:rPr>
          <w:spacing w:val="27"/>
        </w:rPr>
        <w:t> </w:t>
      </w:r>
      <w:r>
        <w:rPr/>
        <w:t>French,</w:t>
      </w:r>
      <w:r>
        <w:rPr>
          <w:spacing w:val="28"/>
        </w:rPr>
        <w:t> </w:t>
      </w:r>
      <w:r>
        <w:rPr/>
        <w:t>J.A.</w:t>
      </w:r>
      <w:r>
        <w:rPr>
          <w:spacing w:val="27"/>
        </w:rPr>
        <w:t> </w:t>
      </w:r>
      <w:r>
        <w:rPr/>
        <w:t>(2000).</w:t>
      </w:r>
      <w:r>
        <w:rPr>
          <w:spacing w:val="31"/>
        </w:rPr>
        <w:t> </w:t>
      </w:r>
      <w:r>
        <w:rPr/>
        <w:t>Management</w:t>
      </w:r>
      <w:r>
        <w:rPr>
          <w:spacing w:val="29"/>
        </w:rPr>
        <w:t> </w:t>
      </w:r>
      <w:r>
        <w:rPr/>
        <w:t>of</w:t>
      </w:r>
      <w:r>
        <w:rPr>
          <w:spacing w:val="26"/>
        </w:rPr>
        <w:t> </w:t>
      </w:r>
      <w:r>
        <w:rPr/>
        <w:t>Epilepsy</w:t>
      </w:r>
      <w:r>
        <w:rPr>
          <w:spacing w:val="23"/>
        </w:rPr>
        <w:t> </w:t>
      </w:r>
      <w:r>
        <w:rPr/>
        <w:t>in</w:t>
      </w:r>
      <w:r>
        <w:rPr>
          <w:spacing w:val="28"/>
        </w:rPr>
        <w:t> </w:t>
      </w:r>
      <w:r>
        <w:rPr/>
        <w:t>Adolescents</w:t>
      </w:r>
      <w:r>
        <w:rPr>
          <w:spacing w:val="29"/>
        </w:rPr>
        <w:t> </w:t>
      </w:r>
      <w:r>
        <w:rPr/>
        <w:t>and</w:t>
      </w:r>
      <w:r>
        <w:rPr>
          <w:spacing w:val="30"/>
        </w:rPr>
        <w:t> </w:t>
      </w:r>
      <w:r>
        <w:rPr/>
        <w:t>adults.</w:t>
      </w:r>
    </w:p>
    <w:p>
      <w:pPr>
        <w:spacing w:before="0"/>
        <w:ind w:left="671" w:right="0" w:firstLine="0"/>
        <w:jc w:val="left"/>
        <w:rPr>
          <w:sz w:val="24"/>
        </w:rPr>
      </w:pPr>
      <w:r>
        <w:rPr>
          <w:i/>
          <w:sz w:val="24"/>
        </w:rPr>
        <w:t>Lancet</w:t>
      </w:r>
      <w:r>
        <w:rPr>
          <w:i/>
          <w:spacing w:val="-2"/>
          <w:sz w:val="24"/>
        </w:rPr>
        <w:t> </w:t>
      </w:r>
      <w:r>
        <w:rPr>
          <w:sz w:val="24"/>
        </w:rPr>
        <w:t>356:323-329.</w:t>
      </w:r>
    </w:p>
    <w:p>
      <w:pPr>
        <w:pStyle w:val="BodyText"/>
      </w:pPr>
    </w:p>
    <w:p>
      <w:pPr>
        <w:pStyle w:val="BodyText"/>
        <w:spacing w:before="1"/>
        <w:ind w:left="671" w:right="119" w:hanging="452"/>
        <w:jc w:val="both"/>
      </w:pPr>
      <w:r>
        <w:rPr/>
        <w:t>Brodie, M.J., Elder, A.T., &amp; Kwan, P. (2009). </w:t>
      </w:r>
      <w:r>
        <w:rPr>
          <w:i/>
        </w:rPr>
        <w:t>“</w:t>
      </w:r>
      <w:r>
        <w:rPr/>
        <w:t>Epilepsy in later life‟ </w:t>
      </w:r>
      <w:r>
        <w:rPr>
          <w:i/>
        </w:rPr>
        <w:t>Lancet neurology </w:t>
      </w:r>
      <w:r>
        <w:rPr/>
        <w:t>8</w:t>
      </w:r>
      <w:r>
        <w:rPr>
          <w:spacing w:val="1"/>
        </w:rPr>
        <w:t> </w:t>
      </w:r>
      <w:r>
        <w:rPr/>
        <w:t>(11):</w:t>
      </w:r>
      <w:r>
        <w:rPr>
          <w:spacing w:val="-1"/>
        </w:rPr>
        <w:t> </w:t>
      </w:r>
      <w:r>
        <w:rPr/>
        <w:t>1019-1030.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671" w:right="117" w:hanging="452"/>
        <w:jc w:val="both"/>
      </w:pPr>
      <w:r>
        <w:rPr/>
        <w:t>Browning, R.A. and Nelson, D.K. (1985). Variation in threshold and pattern of electroshock-</w:t>
      </w:r>
      <w:r>
        <w:rPr>
          <w:spacing w:val="1"/>
        </w:rPr>
        <w:t> </w:t>
      </w:r>
      <w:r>
        <w:rPr/>
        <w:t>induced seizures in rats depending on site of stimulation. </w:t>
      </w:r>
      <w:r>
        <w:rPr>
          <w:i/>
        </w:rPr>
        <w:t>Life Sciences</w:t>
      </w:r>
      <w:r>
        <w:rPr/>
        <w:t>, 37(23): 2205-</w:t>
      </w:r>
      <w:r>
        <w:rPr>
          <w:spacing w:val="1"/>
        </w:rPr>
        <w:t> </w:t>
      </w:r>
      <w:r>
        <w:rPr/>
        <w:t>2211.</w:t>
      </w:r>
    </w:p>
    <w:p>
      <w:pPr>
        <w:spacing w:after="0"/>
        <w:jc w:val="both"/>
        <w:sectPr>
          <w:pgSz w:w="12240" w:h="15840"/>
          <w:pgMar w:header="0" w:footer="792" w:top="1360" w:bottom="980" w:left="1580" w:right="1320"/>
        </w:sectPr>
      </w:pPr>
    </w:p>
    <w:p>
      <w:pPr>
        <w:pStyle w:val="BodyText"/>
        <w:spacing w:before="72"/>
        <w:ind w:left="671" w:right="121" w:hanging="452"/>
        <w:jc w:val="both"/>
      </w:pPr>
      <w:r>
        <w:rPr/>
        <w:t>Browning, R. (1992) .The Electroshock ModeI,</w:t>
      </w:r>
      <w:r>
        <w:rPr>
          <w:spacing w:val="60"/>
        </w:rPr>
        <w:t> </w:t>
      </w:r>
      <w:r>
        <w:rPr/>
        <w:t>neuronal networks and antiepileptic drugs.</w:t>
      </w:r>
      <w:r>
        <w:rPr>
          <w:spacing w:val="1"/>
        </w:rPr>
        <w:t> </w:t>
      </w:r>
      <w:r>
        <w:rPr/>
        <w:t>In: Drugs for control of Epilepsy: Action on neuronal networks in Seizure Disorders,</w:t>
      </w:r>
      <w:r>
        <w:rPr>
          <w:spacing w:val="1"/>
        </w:rPr>
        <w:t> </w:t>
      </w:r>
      <w:r>
        <w:rPr/>
        <w:t>(Faingold,</w:t>
      </w:r>
      <w:r>
        <w:rPr>
          <w:spacing w:val="-1"/>
        </w:rPr>
        <w:t> </w:t>
      </w:r>
      <w:r>
        <w:rPr/>
        <w:t>C.L.</w:t>
      </w:r>
      <w:r>
        <w:rPr>
          <w:spacing w:val="-1"/>
        </w:rPr>
        <w:t> </w:t>
      </w:r>
      <w:r>
        <w:rPr/>
        <w:t>and</w:t>
      </w:r>
      <w:r>
        <w:rPr>
          <w:spacing w:val="1"/>
        </w:rPr>
        <w:t> </w:t>
      </w:r>
      <w:r>
        <w:rPr/>
        <w:t>Fromm, G.H.</w:t>
      </w:r>
      <w:r>
        <w:rPr>
          <w:spacing w:val="-1"/>
        </w:rPr>
        <w:t> </w:t>
      </w:r>
      <w:r>
        <w:rPr/>
        <w:t>Eds)</w:t>
      </w:r>
      <w:r>
        <w:rPr>
          <w:spacing w:val="-2"/>
        </w:rPr>
        <w:t> </w:t>
      </w:r>
      <w:r>
        <w:rPr/>
        <w:t>CRC</w:t>
      </w:r>
      <w:r>
        <w:rPr>
          <w:spacing w:val="-1"/>
        </w:rPr>
        <w:t> </w:t>
      </w:r>
      <w:r>
        <w:rPr/>
        <w:t>Press. Boca</w:t>
      </w:r>
      <w:r>
        <w:rPr>
          <w:spacing w:val="-2"/>
        </w:rPr>
        <w:t> </w:t>
      </w:r>
      <w:r>
        <w:rPr/>
        <w:t>Raton,</w:t>
      </w:r>
      <w:r>
        <w:rPr>
          <w:spacing w:val="1"/>
        </w:rPr>
        <w:t> </w:t>
      </w:r>
      <w:r>
        <w:rPr/>
        <w:t>FL. Pp.</w:t>
      </w:r>
      <w:r>
        <w:rPr>
          <w:spacing w:val="4"/>
        </w:rPr>
        <w:t> </w:t>
      </w:r>
      <w:r>
        <w:rPr/>
        <w:t>195-211.</w:t>
      </w:r>
    </w:p>
    <w:p>
      <w:pPr>
        <w:pStyle w:val="BodyText"/>
      </w:pPr>
    </w:p>
    <w:p>
      <w:pPr>
        <w:spacing w:before="0"/>
        <w:ind w:left="671" w:right="121" w:hanging="452"/>
        <w:jc w:val="both"/>
        <w:rPr>
          <w:sz w:val="24"/>
        </w:rPr>
      </w:pPr>
      <w:r>
        <w:rPr>
          <w:sz w:val="24"/>
        </w:rPr>
        <w:t>Burkill, H.M. (1985).</w:t>
      </w:r>
      <w:r>
        <w:rPr>
          <w:i/>
          <w:sz w:val="24"/>
        </w:rPr>
        <w:t>Useful plants of west tropical Africa</w:t>
      </w:r>
      <w:r>
        <w:rPr>
          <w:sz w:val="24"/>
        </w:rPr>
        <w:t>. Vol. 2 Royal Botanical Gardens,</w:t>
      </w:r>
      <w:r>
        <w:rPr>
          <w:spacing w:val="1"/>
          <w:sz w:val="24"/>
        </w:rPr>
        <w:t> </w:t>
      </w:r>
      <w:r>
        <w:rPr>
          <w:sz w:val="24"/>
        </w:rPr>
        <w:t>Kew</w:t>
      </w:r>
      <w:r>
        <w:rPr>
          <w:spacing w:val="-1"/>
          <w:sz w:val="24"/>
        </w:rPr>
        <w:t> </w:t>
      </w:r>
      <w:r>
        <w:rPr>
          <w:sz w:val="24"/>
        </w:rPr>
        <w:t>England.vol.4 Pp 164-205</w:t>
      </w:r>
    </w:p>
    <w:p>
      <w:pPr>
        <w:pStyle w:val="BodyText"/>
      </w:pPr>
    </w:p>
    <w:p>
      <w:pPr>
        <w:spacing w:before="0"/>
        <w:ind w:left="671" w:right="116" w:hanging="452"/>
        <w:jc w:val="both"/>
        <w:rPr>
          <w:sz w:val="24"/>
        </w:rPr>
      </w:pPr>
      <w:r>
        <w:rPr>
          <w:sz w:val="24"/>
        </w:rPr>
        <w:t>Catteral, W.A. (1995). Structure and Function of Voltage-gated ion channels. </w:t>
      </w:r>
      <w:r>
        <w:rPr>
          <w:i/>
          <w:sz w:val="24"/>
        </w:rPr>
        <w:t>Annual Review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59"/>
          <w:sz w:val="24"/>
        </w:rPr>
        <w:t> </w:t>
      </w:r>
      <w:r>
        <w:rPr>
          <w:i/>
          <w:sz w:val="24"/>
        </w:rPr>
        <w:t>Biochem</w:t>
      </w:r>
      <w:r>
        <w:rPr>
          <w:sz w:val="24"/>
        </w:rPr>
        <w:t>istry. 64:493-531.</w:t>
      </w:r>
    </w:p>
    <w:p>
      <w:pPr>
        <w:pStyle w:val="BodyText"/>
      </w:pPr>
    </w:p>
    <w:p>
      <w:pPr>
        <w:pStyle w:val="BodyText"/>
        <w:ind w:left="220"/>
      </w:pPr>
      <w:r>
        <w:rPr/>
        <w:t>Carlen,</w:t>
      </w:r>
      <w:r>
        <w:rPr>
          <w:spacing w:val="15"/>
        </w:rPr>
        <w:t> </w:t>
      </w:r>
      <w:r>
        <w:rPr/>
        <w:t>P.L.,</w:t>
      </w:r>
      <w:r>
        <w:rPr>
          <w:spacing w:val="16"/>
        </w:rPr>
        <w:t> </w:t>
      </w:r>
      <w:r>
        <w:rPr/>
        <w:t>Skinner,</w:t>
      </w:r>
      <w:r>
        <w:rPr>
          <w:spacing w:val="16"/>
        </w:rPr>
        <w:t> </w:t>
      </w:r>
      <w:r>
        <w:rPr/>
        <w:t>F.,</w:t>
      </w:r>
      <w:r>
        <w:rPr>
          <w:spacing w:val="19"/>
        </w:rPr>
        <w:t> </w:t>
      </w:r>
      <w:r>
        <w:rPr/>
        <w:t>Zhang,</w:t>
      </w:r>
      <w:r>
        <w:rPr>
          <w:spacing w:val="19"/>
        </w:rPr>
        <w:t> </w:t>
      </w:r>
      <w:r>
        <w:rPr/>
        <w:t>L.,</w:t>
      </w:r>
      <w:r>
        <w:rPr>
          <w:spacing w:val="16"/>
        </w:rPr>
        <w:t> </w:t>
      </w:r>
      <w:r>
        <w:rPr/>
        <w:t>Naus,</w:t>
      </w:r>
      <w:r>
        <w:rPr>
          <w:spacing w:val="16"/>
        </w:rPr>
        <w:t> </w:t>
      </w:r>
      <w:r>
        <w:rPr/>
        <w:t>C.,</w:t>
      </w:r>
      <w:r>
        <w:rPr>
          <w:spacing w:val="16"/>
        </w:rPr>
        <w:t> </w:t>
      </w:r>
      <w:r>
        <w:rPr/>
        <w:t>Kushnir,</w:t>
      </w:r>
      <w:r>
        <w:rPr>
          <w:spacing w:val="16"/>
        </w:rPr>
        <w:t> </w:t>
      </w:r>
      <w:r>
        <w:rPr/>
        <w:t>M.,</w:t>
      </w:r>
      <w:r>
        <w:rPr>
          <w:spacing w:val="17"/>
        </w:rPr>
        <w:t> </w:t>
      </w:r>
      <w:r>
        <w:rPr/>
        <w:t>&amp;</w:t>
      </w:r>
      <w:r>
        <w:rPr>
          <w:spacing w:val="21"/>
        </w:rPr>
        <w:t> </w:t>
      </w:r>
      <w:r>
        <w:rPr/>
        <w:t>Perez</w:t>
      </w:r>
      <w:r>
        <w:rPr>
          <w:spacing w:val="18"/>
        </w:rPr>
        <w:t> </w:t>
      </w:r>
      <w:r>
        <w:rPr/>
        <w:t>Velaquez,</w:t>
      </w:r>
      <w:r>
        <w:rPr>
          <w:spacing w:val="15"/>
        </w:rPr>
        <w:t> </w:t>
      </w:r>
      <w:r>
        <w:rPr/>
        <w:t>J.L.</w:t>
      </w:r>
      <w:r>
        <w:rPr>
          <w:spacing w:val="16"/>
        </w:rPr>
        <w:t> </w:t>
      </w:r>
      <w:r>
        <w:rPr/>
        <w:t>(2000).</w:t>
      </w:r>
    </w:p>
    <w:p>
      <w:pPr>
        <w:spacing w:before="0"/>
        <w:ind w:left="671" w:right="0" w:firstLine="0"/>
        <w:jc w:val="left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role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gap</w:t>
      </w:r>
      <w:r>
        <w:rPr>
          <w:spacing w:val="-1"/>
          <w:sz w:val="24"/>
        </w:rPr>
        <w:t> </w:t>
      </w:r>
      <w:r>
        <w:rPr>
          <w:sz w:val="24"/>
        </w:rPr>
        <w:t>junctions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seizures.</w:t>
      </w:r>
      <w:r>
        <w:rPr>
          <w:spacing w:val="1"/>
          <w:sz w:val="24"/>
        </w:rPr>
        <w:t> </w:t>
      </w:r>
      <w:r>
        <w:rPr>
          <w:i/>
          <w:sz w:val="24"/>
        </w:rPr>
        <w:t>Brain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Research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Review.</w:t>
      </w:r>
      <w:r>
        <w:rPr>
          <w:i/>
          <w:spacing w:val="-1"/>
          <w:sz w:val="24"/>
        </w:rPr>
        <w:t> </w:t>
      </w:r>
      <w:r>
        <w:rPr>
          <w:sz w:val="24"/>
        </w:rPr>
        <w:t>32:235-241.</w:t>
      </w:r>
    </w:p>
    <w:p>
      <w:pPr>
        <w:pStyle w:val="BodyText"/>
        <w:spacing w:before="1"/>
      </w:pPr>
    </w:p>
    <w:p>
      <w:pPr>
        <w:pStyle w:val="BodyText"/>
        <w:ind w:left="220"/>
      </w:pPr>
      <w:r>
        <w:rPr/>
        <w:t>Cascino</w:t>
      </w:r>
      <w:r>
        <w:rPr>
          <w:spacing w:val="31"/>
        </w:rPr>
        <w:t> </w:t>
      </w:r>
      <w:r>
        <w:rPr/>
        <w:t>G.M</w:t>
      </w:r>
      <w:r>
        <w:rPr>
          <w:spacing w:val="31"/>
        </w:rPr>
        <w:t> </w:t>
      </w:r>
      <w:r>
        <w:rPr/>
        <w:t>(1994).</w:t>
      </w:r>
      <w:r>
        <w:rPr>
          <w:spacing w:val="33"/>
        </w:rPr>
        <w:t> </w:t>
      </w:r>
      <w:r>
        <w:rPr/>
        <w:t>“Epilepsy;</w:t>
      </w:r>
      <w:r>
        <w:rPr>
          <w:spacing w:val="31"/>
        </w:rPr>
        <w:t> </w:t>
      </w:r>
      <w:r>
        <w:rPr/>
        <w:t>Contemporary</w:t>
      </w:r>
      <w:r>
        <w:rPr>
          <w:spacing w:val="27"/>
        </w:rPr>
        <w:t> </w:t>
      </w:r>
      <w:r>
        <w:rPr/>
        <w:t>perspectives</w:t>
      </w:r>
      <w:r>
        <w:rPr>
          <w:spacing w:val="31"/>
        </w:rPr>
        <w:t> </w:t>
      </w:r>
      <w:r>
        <w:rPr/>
        <w:t>on</w:t>
      </w:r>
      <w:r>
        <w:rPr>
          <w:spacing w:val="32"/>
        </w:rPr>
        <w:t> </w:t>
      </w:r>
      <w:r>
        <w:rPr/>
        <w:t>evaluation</w:t>
      </w:r>
      <w:r>
        <w:rPr>
          <w:spacing w:val="31"/>
        </w:rPr>
        <w:t> </w:t>
      </w:r>
      <w:r>
        <w:rPr/>
        <w:t>and</w:t>
      </w:r>
      <w:r>
        <w:rPr>
          <w:spacing w:val="32"/>
        </w:rPr>
        <w:t> </w:t>
      </w:r>
      <w:r>
        <w:rPr/>
        <w:t>treatment”.</w:t>
      </w:r>
    </w:p>
    <w:p>
      <w:pPr>
        <w:spacing w:before="0"/>
        <w:ind w:left="671" w:right="0" w:firstLine="0"/>
        <w:jc w:val="left"/>
        <w:rPr>
          <w:sz w:val="24"/>
        </w:rPr>
      </w:pPr>
      <w:r>
        <w:rPr>
          <w:i/>
          <w:sz w:val="24"/>
        </w:rPr>
        <w:t>Mayo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Clinic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Proceedings</w:t>
      </w:r>
      <w:r>
        <w:rPr>
          <w:i/>
          <w:spacing w:val="2"/>
          <w:sz w:val="24"/>
        </w:rPr>
        <w:t> </w:t>
      </w:r>
      <w:r>
        <w:rPr>
          <w:sz w:val="24"/>
        </w:rPr>
        <w:t>69:</w:t>
      </w:r>
      <w:r>
        <w:rPr>
          <w:spacing w:val="-1"/>
          <w:sz w:val="24"/>
        </w:rPr>
        <w:t> </w:t>
      </w:r>
      <w:r>
        <w:rPr>
          <w:sz w:val="24"/>
        </w:rPr>
        <w:t>1199-1211.</w:t>
      </w:r>
    </w:p>
    <w:p>
      <w:pPr>
        <w:pStyle w:val="BodyText"/>
      </w:pPr>
    </w:p>
    <w:p>
      <w:pPr>
        <w:pStyle w:val="BodyText"/>
        <w:ind w:left="671" w:right="119" w:hanging="452"/>
        <w:jc w:val="both"/>
      </w:pPr>
      <w:r>
        <w:rPr/>
        <w:t>Catteral, W.A. (1995).Structure and function of voltage-gated ion</w:t>
      </w:r>
      <w:r>
        <w:rPr>
          <w:spacing w:val="60"/>
        </w:rPr>
        <w:t> </w:t>
      </w:r>
      <w:r>
        <w:rPr/>
        <w:t>channels.Annual Review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Biochemistry. 64,493-531</w:t>
      </w:r>
    </w:p>
    <w:p>
      <w:pPr>
        <w:pStyle w:val="BodyText"/>
      </w:pPr>
    </w:p>
    <w:p>
      <w:pPr>
        <w:pStyle w:val="BodyText"/>
        <w:ind w:left="220"/>
      </w:pPr>
      <w:r>
        <w:rPr/>
        <w:t>Chadwick,</w:t>
      </w:r>
      <w:r>
        <w:rPr>
          <w:spacing w:val="-2"/>
        </w:rPr>
        <w:t> </w:t>
      </w:r>
      <w:r>
        <w:rPr/>
        <w:t>D.W.</w:t>
      </w:r>
      <w:r>
        <w:rPr>
          <w:spacing w:val="-1"/>
        </w:rPr>
        <w:t> </w:t>
      </w:r>
      <w:r>
        <w:rPr/>
        <w:t>(1990).</w:t>
      </w:r>
      <w:r>
        <w:rPr>
          <w:spacing w:val="2"/>
        </w:rPr>
        <w:t> </w:t>
      </w:r>
      <w:r>
        <w:rPr/>
        <w:t>Diagnosis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Epilepsy. </w:t>
      </w:r>
      <w:r>
        <w:rPr>
          <w:i/>
        </w:rPr>
        <w:t>Lancet</w:t>
      </w:r>
      <w:r>
        <w:rPr/>
        <w:t>,</w:t>
      </w:r>
      <w:r>
        <w:rPr>
          <w:spacing w:val="-1"/>
        </w:rPr>
        <w:t> </w:t>
      </w:r>
      <w:r>
        <w:rPr/>
        <w:t>336:291-5.</w:t>
      </w:r>
    </w:p>
    <w:p>
      <w:pPr>
        <w:pStyle w:val="BodyText"/>
      </w:pPr>
    </w:p>
    <w:p>
      <w:pPr>
        <w:spacing w:before="0"/>
        <w:ind w:left="671" w:right="119" w:hanging="452"/>
        <w:jc w:val="both"/>
        <w:rPr>
          <w:sz w:val="24"/>
        </w:rPr>
      </w:pPr>
      <w:r>
        <w:rPr>
          <w:sz w:val="24"/>
        </w:rPr>
        <w:t>Chang B.S and Lowenstein D.H (2003). “Epilepsy” </w:t>
      </w:r>
      <w:r>
        <w:rPr>
          <w:i/>
          <w:sz w:val="24"/>
        </w:rPr>
        <w:t>New England Journal Medicine: </w:t>
      </w:r>
      <w:r>
        <w:rPr>
          <w:sz w:val="24"/>
        </w:rPr>
        <w:t>349</w:t>
      </w:r>
      <w:r>
        <w:rPr>
          <w:spacing w:val="1"/>
          <w:sz w:val="24"/>
        </w:rPr>
        <w:t> </w:t>
      </w:r>
      <w:r>
        <w:rPr>
          <w:sz w:val="24"/>
        </w:rPr>
        <w:t>(13):</w:t>
      </w:r>
      <w:r>
        <w:rPr>
          <w:spacing w:val="-1"/>
          <w:sz w:val="24"/>
        </w:rPr>
        <w:t> </w:t>
      </w:r>
      <w:r>
        <w:rPr>
          <w:sz w:val="24"/>
        </w:rPr>
        <w:t>1257-1266.</w:t>
      </w:r>
    </w:p>
    <w:p>
      <w:pPr>
        <w:pStyle w:val="BodyText"/>
      </w:pPr>
    </w:p>
    <w:p>
      <w:pPr>
        <w:pStyle w:val="BodyText"/>
        <w:ind w:left="671" w:right="122" w:hanging="452"/>
        <w:jc w:val="both"/>
      </w:pPr>
      <w:r>
        <w:rPr/>
        <w:t>Cheesbrough, M. (1998).Measurement of Sodium and Potassium in Serum or Plasma. In</w:t>
      </w:r>
      <w:r>
        <w:rPr>
          <w:spacing w:val="1"/>
        </w:rPr>
        <w:t> </w:t>
      </w:r>
      <w:r>
        <w:rPr/>
        <w:t>District</w:t>
      </w:r>
      <w:r>
        <w:rPr>
          <w:spacing w:val="1"/>
        </w:rPr>
        <w:t> </w:t>
      </w:r>
      <w:r>
        <w:rPr/>
        <w:t>Laboratory</w:t>
      </w:r>
      <w:r>
        <w:rPr>
          <w:spacing w:val="1"/>
        </w:rPr>
        <w:t> </w:t>
      </w:r>
      <w:r>
        <w:rPr/>
        <w:t>Practice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Tropical</w:t>
      </w:r>
      <w:r>
        <w:rPr>
          <w:spacing w:val="1"/>
        </w:rPr>
        <w:t> </w:t>
      </w:r>
      <w:r>
        <w:rPr/>
        <w:t>Countries.</w:t>
      </w:r>
      <w:r>
        <w:rPr>
          <w:spacing w:val="1"/>
        </w:rPr>
        <w:t> </w:t>
      </w:r>
      <w:r>
        <w:rPr/>
        <w:t>Monica</w:t>
      </w:r>
      <w:r>
        <w:rPr>
          <w:spacing w:val="1"/>
        </w:rPr>
        <w:t> </w:t>
      </w:r>
      <w:r>
        <w:rPr/>
        <w:t>Cheesbrough</w:t>
      </w:r>
      <w:r>
        <w:rPr>
          <w:spacing w:val="61"/>
        </w:rPr>
        <w:t> </w:t>
      </w:r>
      <w:r>
        <w:rPr/>
        <w:t>(Ed)</w:t>
      </w:r>
      <w:r>
        <w:rPr>
          <w:spacing w:val="1"/>
        </w:rPr>
        <w:t> </w:t>
      </w:r>
      <w:r>
        <w:rPr/>
        <w:t>Cambridge</w:t>
      </w:r>
      <w:r>
        <w:rPr>
          <w:spacing w:val="-2"/>
        </w:rPr>
        <w:t> </w:t>
      </w:r>
      <w:r>
        <w:rPr/>
        <w:t>Part 1 Pp. 365-37.</w:t>
      </w:r>
    </w:p>
    <w:p>
      <w:pPr>
        <w:pStyle w:val="BodyText"/>
        <w:spacing w:before="1"/>
      </w:pPr>
    </w:p>
    <w:p>
      <w:pPr>
        <w:pStyle w:val="BodyText"/>
        <w:ind w:left="671" w:right="115" w:hanging="452"/>
        <w:jc w:val="both"/>
      </w:pPr>
      <w:r>
        <w:rPr/>
        <w:t>Chevrie, J.J. and Aicardi, J. (1972). Childhood epileptic encephalopathy with slow-spike</w:t>
      </w:r>
      <w:r>
        <w:rPr>
          <w:spacing w:val="1"/>
        </w:rPr>
        <w:t> </w:t>
      </w:r>
      <w:r>
        <w:rPr/>
        <w:t>wave.</w:t>
      </w:r>
      <w:r>
        <w:rPr>
          <w:spacing w:val="-1"/>
        </w:rPr>
        <w:t> </w:t>
      </w:r>
      <w:r>
        <w:rPr/>
        <w:t>A statistical study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80 cases.</w:t>
      </w:r>
      <w:r>
        <w:rPr>
          <w:spacing w:val="2"/>
        </w:rPr>
        <w:t> </w:t>
      </w:r>
      <w:r>
        <w:rPr>
          <w:i/>
        </w:rPr>
        <w:t>Epilepsy</w:t>
      </w:r>
      <w:r>
        <w:rPr>
          <w:b/>
        </w:rPr>
        <w:t>, 13(</w:t>
      </w:r>
      <w:r>
        <w:rPr/>
        <w:t>2): p. 259-71.</w:t>
      </w:r>
    </w:p>
    <w:p>
      <w:pPr>
        <w:pStyle w:val="BodyText"/>
      </w:pPr>
    </w:p>
    <w:p>
      <w:pPr>
        <w:spacing w:before="0"/>
        <w:ind w:left="671" w:right="114" w:hanging="452"/>
        <w:jc w:val="both"/>
        <w:rPr>
          <w:sz w:val="24"/>
        </w:rPr>
      </w:pPr>
      <w:r>
        <w:rPr>
          <w:sz w:val="24"/>
        </w:rPr>
        <w:t>Ching,</w:t>
      </w:r>
      <w:r>
        <w:rPr>
          <w:spacing w:val="1"/>
          <w:sz w:val="24"/>
        </w:rPr>
        <w:t> </w:t>
      </w:r>
      <w:r>
        <w:rPr>
          <w:sz w:val="24"/>
        </w:rPr>
        <w:t>F.P.</w:t>
      </w:r>
      <w:r>
        <w:rPr>
          <w:spacing w:val="1"/>
          <w:sz w:val="24"/>
        </w:rPr>
        <w:t> </w:t>
      </w:r>
      <w:r>
        <w:rPr>
          <w:sz w:val="24"/>
        </w:rPr>
        <w:t>Omogbai,</w:t>
      </w:r>
      <w:r>
        <w:rPr>
          <w:spacing w:val="1"/>
          <w:sz w:val="24"/>
        </w:rPr>
        <w:t> </w:t>
      </w:r>
      <w:r>
        <w:rPr>
          <w:sz w:val="24"/>
        </w:rPr>
        <w:t>E.K.I.</w:t>
      </w:r>
      <w:r>
        <w:rPr>
          <w:spacing w:val="1"/>
          <w:sz w:val="24"/>
        </w:rPr>
        <w:t> </w:t>
      </w:r>
      <w:r>
        <w:rPr>
          <w:sz w:val="24"/>
        </w:rPr>
        <w:t>&amp;</w:t>
      </w:r>
      <w:r>
        <w:rPr>
          <w:spacing w:val="1"/>
          <w:sz w:val="24"/>
        </w:rPr>
        <w:t> </w:t>
      </w:r>
      <w:r>
        <w:rPr>
          <w:sz w:val="24"/>
        </w:rPr>
        <w:t>Otokiti,</w:t>
      </w:r>
      <w:r>
        <w:rPr>
          <w:spacing w:val="1"/>
          <w:sz w:val="24"/>
        </w:rPr>
        <w:t> </w:t>
      </w:r>
      <w:r>
        <w:rPr>
          <w:sz w:val="24"/>
        </w:rPr>
        <w:t>I.O.</w:t>
      </w:r>
      <w:r>
        <w:rPr>
          <w:spacing w:val="1"/>
          <w:sz w:val="24"/>
        </w:rPr>
        <w:t> </w:t>
      </w:r>
      <w:r>
        <w:rPr>
          <w:sz w:val="24"/>
        </w:rPr>
        <w:t>(2009).</w:t>
      </w:r>
      <w:r>
        <w:rPr>
          <w:spacing w:val="1"/>
          <w:sz w:val="24"/>
        </w:rPr>
        <w:t> </w:t>
      </w:r>
      <w:r>
        <w:rPr>
          <w:sz w:val="24"/>
        </w:rPr>
        <w:t>Aqueous</w:t>
      </w:r>
      <w:r>
        <w:rPr>
          <w:spacing w:val="1"/>
          <w:sz w:val="24"/>
        </w:rPr>
        <w:t> </w:t>
      </w:r>
      <w:r>
        <w:rPr>
          <w:sz w:val="24"/>
        </w:rPr>
        <w:t>stem</w:t>
      </w:r>
      <w:r>
        <w:rPr>
          <w:spacing w:val="1"/>
          <w:sz w:val="24"/>
        </w:rPr>
        <w:t> </w:t>
      </w:r>
      <w:r>
        <w:rPr>
          <w:sz w:val="24"/>
        </w:rPr>
        <w:t>bark</w:t>
      </w:r>
      <w:r>
        <w:rPr>
          <w:spacing w:val="1"/>
          <w:sz w:val="24"/>
        </w:rPr>
        <w:t> </w:t>
      </w:r>
      <w:r>
        <w:rPr>
          <w:sz w:val="24"/>
        </w:rPr>
        <w:t>extract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i/>
          <w:sz w:val="24"/>
        </w:rPr>
        <w:t>stereospermum kunthiamum </w:t>
      </w:r>
      <w:r>
        <w:rPr>
          <w:sz w:val="24"/>
        </w:rPr>
        <w:t>(cham Sandrine petit) protects against generalized seizures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pentylenetetrazole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electroconvulsive</w:t>
      </w:r>
      <w:r>
        <w:rPr>
          <w:spacing w:val="1"/>
          <w:sz w:val="24"/>
        </w:rPr>
        <w:t> </w:t>
      </w:r>
      <w:r>
        <w:rPr>
          <w:sz w:val="24"/>
        </w:rPr>
        <w:t>models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Rodents.</w:t>
      </w:r>
      <w:r>
        <w:rPr>
          <w:spacing w:val="1"/>
          <w:sz w:val="24"/>
        </w:rPr>
        <w:t> </w:t>
      </w:r>
      <w:r>
        <w:rPr>
          <w:i/>
          <w:sz w:val="24"/>
        </w:rPr>
        <w:t>African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Traditional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Complimentary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 Alternative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Medicine. </w:t>
      </w:r>
      <w:r>
        <w:rPr>
          <w:sz w:val="24"/>
        </w:rPr>
        <w:t>6(4): 544-548.</w:t>
      </w:r>
    </w:p>
    <w:p>
      <w:pPr>
        <w:pStyle w:val="BodyText"/>
      </w:pPr>
    </w:p>
    <w:p>
      <w:pPr>
        <w:pStyle w:val="BodyText"/>
        <w:ind w:left="671" w:right="114" w:hanging="452"/>
        <w:jc w:val="both"/>
      </w:pPr>
      <w:r>
        <w:rPr/>
        <w:t>Costa, E., Guidotti, A. &amp;</w:t>
      </w:r>
      <w:r>
        <w:rPr>
          <w:spacing w:val="1"/>
        </w:rPr>
        <w:t> </w:t>
      </w:r>
      <w:r>
        <w:rPr/>
        <w:t>Mao, C.C. (1975). Evidence for the involvement of GABA in the</w:t>
      </w:r>
      <w:r>
        <w:rPr>
          <w:spacing w:val="1"/>
        </w:rPr>
        <w:t> </w:t>
      </w:r>
      <w:r>
        <w:rPr/>
        <w:t>action of benzodiazepine. Studies on rat cerebellum. In: Costa E, Greengard P (Eds).</w:t>
      </w:r>
      <w:r>
        <w:rPr>
          <w:spacing w:val="1"/>
        </w:rPr>
        <w:t> </w:t>
      </w:r>
      <w:r>
        <w:rPr/>
        <w:t>Mechanisms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Benzodiazepines.</w:t>
      </w:r>
      <w:r>
        <w:rPr>
          <w:spacing w:val="1"/>
        </w:rPr>
        <w:t> </w:t>
      </w:r>
      <w:r>
        <w:rPr/>
        <w:t>Advances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Biochemical</w:t>
      </w:r>
      <w:r>
        <w:rPr>
          <w:spacing w:val="1"/>
        </w:rPr>
        <w:t> </w:t>
      </w:r>
      <w:r>
        <w:rPr/>
        <w:t>Psychopharmacology,</w:t>
      </w:r>
      <w:r>
        <w:rPr>
          <w:spacing w:val="-1"/>
        </w:rPr>
        <w:t> </w:t>
      </w:r>
      <w:r>
        <w:rPr/>
        <w:t>Vol. 14 Raven Press</w:t>
      </w:r>
      <w:r>
        <w:rPr>
          <w:spacing w:val="-1"/>
        </w:rPr>
        <w:t> </w:t>
      </w:r>
      <w:r>
        <w:rPr/>
        <w:t>New</w:t>
      </w:r>
      <w:r>
        <w:rPr>
          <w:spacing w:val="1"/>
        </w:rPr>
        <w:t> </w:t>
      </w:r>
      <w:r>
        <w:rPr/>
        <w:t>York Pp. 113-151.</w:t>
      </w:r>
    </w:p>
    <w:p>
      <w:pPr>
        <w:pStyle w:val="BodyText"/>
      </w:pPr>
    </w:p>
    <w:p>
      <w:pPr>
        <w:pStyle w:val="BodyText"/>
        <w:spacing w:before="1"/>
        <w:ind w:left="671" w:right="123" w:hanging="452"/>
        <w:jc w:val="both"/>
      </w:pPr>
      <w:r>
        <w:rPr/>
        <w:t>Coulter,</w:t>
      </w:r>
      <w:r>
        <w:rPr>
          <w:spacing w:val="1"/>
        </w:rPr>
        <w:t> </w:t>
      </w:r>
      <w:r>
        <w:rPr/>
        <w:t>D.A.(1997).</w:t>
      </w:r>
      <w:r>
        <w:rPr>
          <w:spacing w:val="1"/>
        </w:rPr>
        <w:t> </w:t>
      </w:r>
      <w:r>
        <w:rPr/>
        <w:t>Antiepileptic</w:t>
      </w:r>
      <w:r>
        <w:rPr>
          <w:spacing w:val="1"/>
        </w:rPr>
        <w:t> </w:t>
      </w:r>
      <w:r>
        <w:rPr/>
        <w:t>drug</w:t>
      </w:r>
      <w:r>
        <w:rPr>
          <w:spacing w:val="1"/>
        </w:rPr>
        <w:t> </w:t>
      </w:r>
      <w:r>
        <w:rPr/>
        <w:t>cellular</w:t>
      </w:r>
      <w:r>
        <w:rPr>
          <w:spacing w:val="1"/>
        </w:rPr>
        <w:t> </w:t>
      </w:r>
      <w:r>
        <w:rPr/>
        <w:t>mechanisms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action:</w:t>
      </w:r>
      <w:r>
        <w:rPr>
          <w:spacing w:val="1"/>
        </w:rPr>
        <w:t> </w:t>
      </w:r>
      <w:r>
        <w:rPr/>
        <w:t>where</w:t>
      </w:r>
      <w:r>
        <w:rPr>
          <w:spacing w:val="1"/>
        </w:rPr>
        <w:t> </w:t>
      </w:r>
      <w:r>
        <w:rPr/>
        <w:t>does</w:t>
      </w:r>
      <w:r>
        <w:rPr>
          <w:spacing w:val="1"/>
        </w:rPr>
        <w:t> </w:t>
      </w:r>
      <w:r>
        <w:rPr/>
        <w:t>lamotrigine</w:t>
      </w:r>
      <w:r>
        <w:rPr>
          <w:spacing w:val="-1"/>
        </w:rPr>
        <w:t> </w:t>
      </w:r>
      <w:r>
        <w:rPr/>
        <w:t>fits in?</w:t>
      </w:r>
      <w:r>
        <w:rPr>
          <w:spacing w:val="5"/>
        </w:rPr>
        <w:t> </w:t>
      </w:r>
      <w:r>
        <w:rPr>
          <w:i/>
        </w:rPr>
        <w:t>Journal</w:t>
      </w:r>
      <w:r>
        <w:rPr>
          <w:i/>
          <w:spacing w:val="-1"/>
        </w:rPr>
        <w:t> </w:t>
      </w:r>
      <w:r>
        <w:rPr>
          <w:i/>
        </w:rPr>
        <w:t>of</w:t>
      </w:r>
      <w:r>
        <w:rPr>
          <w:i/>
          <w:spacing w:val="1"/>
        </w:rPr>
        <w:t> </w:t>
      </w:r>
      <w:r>
        <w:rPr>
          <w:i/>
        </w:rPr>
        <w:t>child Neurology, </w:t>
      </w:r>
      <w:r>
        <w:rPr/>
        <w:t>12</w:t>
      </w:r>
      <w:r>
        <w:rPr>
          <w:spacing w:val="-1"/>
        </w:rPr>
        <w:t> </w:t>
      </w:r>
      <w:r>
        <w:rPr/>
        <w:t>(Suppl. 1): S2-S9.</w:t>
      </w:r>
    </w:p>
    <w:p>
      <w:pPr>
        <w:spacing w:after="0"/>
        <w:jc w:val="both"/>
        <w:sectPr>
          <w:pgSz w:w="12240" w:h="15840"/>
          <w:pgMar w:header="0" w:footer="792" w:top="1360" w:bottom="980" w:left="1580" w:right="1320"/>
        </w:sectPr>
      </w:pPr>
    </w:p>
    <w:p>
      <w:pPr>
        <w:pStyle w:val="BodyText"/>
        <w:spacing w:before="72"/>
        <w:ind w:left="671" w:right="117" w:hanging="452"/>
        <w:jc w:val="both"/>
      </w:pPr>
      <w:r>
        <w:rPr/>
        <w:t>Coulter,</w:t>
      </w:r>
      <w:r>
        <w:rPr>
          <w:spacing w:val="1"/>
        </w:rPr>
        <w:t> </w:t>
      </w:r>
      <w:r>
        <w:rPr/>
        <w:t>D.A.,</w:t>
      </w:r>
      <w:r>
        <w:rPr>
          <w:spacing w:val="1"/>
        </w:rPr>
        <w:t> </w:t>
      </w:r>
      <w:r>
        <w:rPr/>
        <w:t>Huguenard,</w:t>
      </w:r>
      <w:r>
        <w:rPr>
          <w:spacing w:val="1"/>
        </w:rPr>
        <w:t> </w:t>
      </w:r>
      <w:r>
        <w:rPr/>
        <w:t>J.R.</w:t>
      </w:r>
      <w:r>
        <w:rPr>
          <w:spacing w:val="1"/>
        </w:rPr>
        <w:t> </w:t>
      </w:r>
      <w:r>
        <w:rPr/>
        <w:t>&amp;Prince,</w:t>
      </w:r>
      <w:r>
        <w:rPr>
          <w:spacing w:val="1"/>
        </w:rPr>
        <w:t> </w:t>
      </w:r>
      <w:r>
        <w:rPr/>
        <w:t>D.A.</w:t>
      </w:r>
      <w:r>
        <w:rPr>
          <w:spacing w:val="1"/>
        </w:rPr>
        <w:t> </w:t>
      </w:r>
      <w:r>
        <w:rPr/>
        <w:t>(1989):</w:t>
      </w:r>
      <w:r>
        <w:rPr>
          <w:spacing w:val="1"/>
        </w:rPr>
        <w:t> </w:t>
      </w:r>
      <w:r>
        <w:rPr/>
        <w:t>Calcium</w:t>
      </w:r>
      <w:r>
        <w:rPr>
          <w:spacing w:val="1"/>
        </w:rPr>
        <w:t> </w:t>
      </w:r>
      <w:r>
        <w:rPr/>
        <w:t>currents</w:t>
      </w:r>
      <w:r>
        <w:rPr>
          <w:spacing w:val="1"/>
        </w:rPr>
        <w:t> </w:t>
      </w:r>
      <w:r>
        <w:rPr/>
        <w:t>in</w:t>
      </w:r>
      <w:r>
        <w:rPr>
          <w:spacing w:val="61"/>
        </w:rPr>
        <w:t> </w:t>
      </w:r>
      <w:r>
        <w:rPr/>
        <w:t>rat</w:t>
      </w:r>
      <w:r>
        <w:rPr>
          <w:spacing w:val="1"/>
        </w:rPr>
        <w:t> </w:t>
      </w:r>
      <w:r>
        <w:rPr/>
        <w:t>thalamocortical relay neurones: kinetic properties of the transient low-threshold current</w:t>
      </w:r>
      <w:r>
        <w:rPr>
          <w:spacing w:val="1"/>
        </w:rPr>
        <w:t> </w:t>
      </w:r>
      <w:r>
        <w:rPr>
          <w:i/>
        </w:rPr>
        <w:t>Journal</w:t>
      </w:r>
      <w:r>
        <w:rPr>
          <w:i/>
          <w:spacing w:val="-1"/>
        </w:rPr>
        <w:t> </w:t>
      </w:r>
      <w:r>
        <w:rPr>
          <w:i/>
        </w:rPr>
        <w:t>of Physiol</w:t>
      </w:r>
      <w:r>
        <w:rPr/>
        <w:t>ogy. 414:587-604.</w:t>
      </w:r>
    </w:p>
    <w:p>
      <w:pPr>
        <w:pStyle w:val="BodyText"/>
      </w:pPr>
    </w:p>
    <w:p>
      <w:pPr>
        <w:pStyle w:val="BodyText"/>
        <w:ind w:left="671" w:right="120" w:hanging="452"/>
        <w:jc w:val="both"/>
      </w:pPr>
      <w:r>
        <w:rPr/>
        <w:t>Courtney, K.R. and Etter, E.F. (1983).Modulated anticonvulsant block of sodium channels in</w:t>
      </w:r>
      <w:r>
        <w:rPr>
          <w:spacing w:val="-57"/>
        </w:rPr>
        <w:t> </w:t>
      </w:r>
      <w:r>
        <w:rPr/>
        <w:t>nerve</w:t>
      </w:r>
      <w:r>
        <w:rPr>
          <w:spacing w:val="-3"/>
        </w:rPr>
        <w:t> </w:t>
      </w:r>
      <w:r>
        <w:rPr/>
        <w:t>and muscle. </w:t>
      </w:r>
      <w:r>
        <w:rPr>
          <w:i/>
        </w:rPr>
        <w:t>Eur</w:t>
      </w:r>
      <w:r>
        <w:rPr/>
        <w:t>opean </w:t>
      </w:r>
      <w:r>
        <w:rPr>
          <w:i/>
        </w:rPr>
        <w:t>Journal</w:t>
      </w:r>
      <w:r>
        <w:rPr>
          <w:i/>
          <w:spacing w:val="1"/>
        </w:rPr>
        <w:t> </w:t>
      </w:r>
      <w:r>
        <w:rPr>
          <w:i/>
        </w:rPr>
        <w:t>of Pharmacology, </w:t>
      </w:r>
      <w:r>
        <w:rPr/>
        <w:t>88:1-9.</w:t>
      </w:r>
    </w:p>
    <w:p>
      <w:pPr>
        <w:pStyle w:val="BodyText"/>
      </w:pPr>
    </w:p>
    <w:p>
      <w:pPr>
        <w:spacing w:line="480" w:lineRule="auto" w:before="0"/>
        <w:ind w:left="220" w:right="0" w:firstLine="0"/>
        <w:jc w:val="left"/>
        <w:rPr>
          <w:sz w:val="24"/>
        </w:rPr>
      </w:pPr>
      <w:r>
        <w:rPr>
          <w:sz w:val="24"/>
        </w:rPr>
        <w:t>Cullen, P. (2005). Mechanistic classification of liver injury. </w:t>
      </w:r>
      <w:r>
        <w:rPr>
          <w:i/>
          <w:sz w:val="24"/>
        </w:rPr>
        <w:t>Toxicology &amp; Pathology, </w:t>
      </w:r>
      <w:r>
        <w:rPr>
          <w:sz w:val="24"/>
        </w:rPr>
        <w:t>33:6-8.</w:t>
      </w:r>
      <w:r>
        <w:rPr>
          <w:spacing w:val="-57"/>
          <w:sz w:val="24"/>
        </w:rPr>
        <w:t> </w:t>
      </w:r>
      <w:r>
        <w:rPr>
          <w:sz w:val="24"/>
        </w:rPr>
        <w:t>Dada,</w:t>
      </w:r>
      <w:r>
        <w:rPr>
          <w:spacing w:val="-2"/>
          <w:sz w:val="24"/>
        </w:rPr>
        <w:t> </w:t>
      </w:r>
      <w:r>
        <w:rPr>
          <w:sz w:val="24"/>
        </w:rPr>
        <w:t>T.O.</w:t>
      </w:r>
      <w:r>
        <w:rPr>
          <w:spacing w:val="1"/>
          <w:sz w:val="24"/>
        </w:rPr>
        <w:t> </w:t>
      </w:r>
      <w:r>
        <w:rPr>
          <w:sz w:val="24"/>
        </w:rPr>
        <w:t>(1970).</w:t>
      </w:r>
      <w:r>
        <w:rPr>
          <w:spacing w:val="-1"/>
          <w:sz w:val="24"/>
        </w:rPr>
        <w:t> </w:t>
      </w:r>
      <w:r>
        <w:rPr>
          <w:sz w:val="24"/>
        </w:rPr>
        <w:t>Epilepsy</w:t>
      </w:r>
      <w:r>
        <w:rPr>
          <w:spacing w:val="-6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Lagos.</w:t>
      </w:r>
      <w:r>
        <w:rPr>
          <w:spacing w:val="-1"/>
          <w:sz w:val="24"/>
        </w:rPr>
        <w:t> </w:t>
      </w:r>
      <w:r>
        <w:rPr>
          <w:sz w:val="24"/>
        </w:rPr>
        <w:t>Nigeria. </w:t>
      </w:r>
      <w:r>
        <w:rPr>
          <w:i/>
          <w:sz w:val="24"/>
        </w:rPr>
        <w:t>African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Medical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Science</w:t>
      </w:r>
      <w:r>
        <w:rPr>
          <w:i/>
          <w:spacing w:val="-2"/>
          <w:sz w:val="24"/>
        </w:rPr>
        <w:t> </w:t>
      </w:r>
      <w:r>
        <w:rPr>
          <w:sz w:val="24"/>
        </w:rPr>
        <w:t>1:161-84.</w:t>
      </w:r>
    </w:p>
    <w:p>
      <w:pPr>
        <w:spacing w:before="0"/>
        <w:ind w:left="671" w:right="118" w:hanging="452"/>
        <w:jc w:val="both"/>
        <w:rPr>
          <w:sz w:val="24"/>
        </w:rPr>
      </w:pPr>
      <w:r>
        <w:rPr>
          <w:sz w:val="24"/>
        </w:rPr>
        <w:t>Dada,</w:t>
      </w:r>
      <w:r>
        <w:rPr>
          <w:spacing w:val="1"/>
          <w:sz w:val="24"/>
        </w:rPr>
        <w:t> </w:t>
      </w:r>
      <w:r>
        <w:rPr>
          <w:sz w:val="24"/>
        </w:rPr>
        <w:t>T.O.</w:t>
      </w:r>
      <w:r>
        <w:rPr>
          <w:spacing w:val="1"/>
          <w:sz w:val="24"/>
        </w:rPr>
        <w:t> </w:t>
      </w:r>
      <w:r>
        <w:rPr>
          <w:sz w:val="24"/>
        </w:rPr>
        <w:t>(1976).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epilepsies: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incidence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causation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Nigeria.</w:t>
      </w:r>
      <w:r>
        <w:rPr>
          <w:spacing w:val="1"/>
          <w:sz w:val="24"/>
        </w:rPr>
        <w:t> </w:t>
      </w:r>
      <w:r>
        <w:rPr>
          <w:i/>
          <w:sz w:val="24"/>
        </w:rPr>
        <w:t>Medecine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d’Afrique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Noire, </w:t>
      </w:r>
      <w:r>
        <w:rPr>
          <w:sz w:val="24"/>
        </w:rPr>
        <w:t>23(5): 320-29.</w:t>
      </w:r>
    </w:p>
    <w:p>
      <w:pPr>
        <w:pStyle w:val="BodyText"/>
        <w:spacing w:before="1"/>
      </w:pPr>
    </w:p>
    <w:p>
      <w:pPr>
        <w:pStyle w:val="BodyText"/>
        <w:ind w:left="671" w:right="114" w:hanging="452"/>
        <w:jc w:val="both"/>
      </w:pPr>
      <w:r>
        <w:rPr/>
        <w:t>Daikhin, Y, and Yudkoff, M. (2000). Compartmentation of brain glutamate metabolism in</w:t>
      </w:r>
      <w:r>
        <w:rPr>
          <w:spacing w:val="1"/>
        </w:rPr>
        <w:t> </w:t>
      </w:r>
      <w:r>
        <w:rPr/>
        <w:t>neurons</w:t>
      </w:r>
      <w:r>
        <w:rPr>
          <w:spacing w:val="-1"/>
        </w:rPr>
        <w:t> </w:t>
      </w:r>
      <w:r>
        <w:rPr/>
        <w:t>and</w:t>
      </w:r>
      <w:r>
        <w:rPr>
          <w:spacing w:val="2"/>
        </w:rPr>
        <w:t> </w:t>
      </w:r>
      <w:r>
        <w:rPr/>
        <w:t>glia.</w:t>
      </w:r>
      <w:r>
        <w:rPr>
          <w:spacing w:val="2"/>
        </w:rPr>
        <w:t> </w:t>
      </w:r>
      <w:r>
        <w:rPr>
          <w:i/>
        </w:rPr>
        <w:t>Journal of</w:t>
      </w:r>
      <w:r>
        <w:rPr>
          <w:i/>
          <w:spacing w:val="1"/>
        </w:rPr>
        <w:t> </w:t>
      </w:r>
      <w:r>
        <w:rPr>
          <w:i/>
        </w:rPr>
        <w:t>Nutrition </w:t>
      </w:r>
      <w:r>
        <w:rPr/>
        <w:t>130:</w:t>
      </w:r>
      <w:r>
        <w:rPr>
          <w:spacing w:val="-1"/>
        </w:rPr>
        <w:t> </w:t>
      </w:r>
      <w:r>
        <w:rPr/>
        <w:t>10265-10315.</w:t>
      </w:r>
    </w:p>
    <w:p>
      <w:pPr>
        <w:pStyle w:val="BodyText"/>
      </w:pPr>
    </w:p>
    <w:p>
      <w:pPr>
        <w:pStyle w:val="BodyText"/>
        <w:ind w:left="220"/>
      </w:pPr>
      <w:r>
        <w:rPr/>
        <w:t>Dalziel,</w:t>
      </w:r>
      <w:r>
        <w:rPr>
          <w:spacing w:val="-1"/>
        </w:rPr>
        <w:t> </w:t>
      </w:r>
      <w:r>
        <w:rPr/>
        <w:t>J.M.</w:t>
      </w:r>
      <w:r>
        <w:rPr>
          <w:spacing w:val="-1"/>
        </w:rPr>
        <w:t> </w:t>
      </w:r>
      <w:r>
        <w:rPr/>
        <w:t>(1937).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useful</w:t>
      </w:r>
      <w:r>
        <w:rPr>
          <w:spacing w:val="-1"/>
        </w:rPr>
        <w:t> </w:t>
      </w:r>
      <w:r>
        <w:rPr/>
        <w:t>plants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West Tropical</w:t>
      </w:r>
      <w:r>
        <w:rPr>
          <w:spacing w:val="-1"/>
        </w:rPr>
        <w:t> </w:t>
      </w:r>
      <w:r>
        <w:rPr/>
        <w:t>Africa.</w:t>
      </w:r>
      <w:r>
        <w:rPr>
          <w:spacing w:val="-1"/>
        </w:rPr>
        <w:t> </w:t>
      </w:r>
      <w:r>
        <w:rPr/>
        <w:t>Crown</w:t>
      </w:r>
      <w:r>
        <w:rPr>
          <w:spacing w:val="-1"/>
        </w:rPr>
        <w:t> </w:t>
      </w:r>
      <w:r>
        <w:rPr/>
        <w:t>agents,</w:t>
      </w:r>
      <w:r>
        <w:rPr>
          <w:spacing w:val="1"/>
        </w:rPr>
        <w:t> </w:t>
      </w:r>
      <w:r>
        <w:rPr/>
        <w:t>London.</w:t>
      </w:r>
    </w:p>
    <w:p>
      <w:pPr>
        <w:pStyle w:val="BodyText"/>
      </w:pPr>
    </w:p>
    <w:p>
      <w:pPr>
        <w:pStyle w:val="BodyText"/>
        <w:ind w:left="671" w:right="120" w:hanging="452"/>
        <w:jc w:val="both"/>
      </w:pPr>
      <w:r>
        <w:rPr/>
        <w:t>Danesi, M.A. (1985). Classification of the epilepsies: An Investigation of 945 patients in a</w:t>
      </w:r>
      <w:r>
        <w:rPr>
          <w:spacing w:val="1"/>
        </w:rPr>
        <w:t> </w:t>
      </w:r>
      <w:r>
        <w:rPr/>
        <w:t>developing</w:t>
      </w:r>
      <w:r>
        <w:rPr>
          <w:spacing w:val="-2"/>
        </w:rPr>
        <w:t> </w:t>
      </w:r>
      <w:r>
        <w:rPr/>
        <w:t>country.</w:t>
      </w:r>
      <w:r>
        <w:rPr>
          <w:spacing w:val="1"/>
        </w:rPr>
        <w:t> </w:t>
      </w:r>
      <w:r>
        <w:rPr>
          <w:i/>
        </w:rPr>
        <w:t>Epilepsia</w:t>
      </w:r>
      <w:r>
        <w:rPr/>
        <w:t>, 26(2): 131-36.</w:t>
      </w:r>
    </w:p>
    <w:p>
      <w:pPr>
        <w:pStyle w:val="BodyText"/>
      </w:pPr>
    </w:p>
    <w:p>
      <w:pPr>
        <w:pStyle w:val="BodyText"/>
        <w:ind w:left="671" w:right="114" w:hanging="452"/>
        <w:jc w:val="both"/>
      </w:pPr>
      <w:r>
        <w:rPr/>
        <w:t>Danesi, M.A., Odusote, K.A., Roberts, O.O. </w:t>
      </w:r>
      <w:r>
        <w:rPr>
          <w:i/>
        </w:rPr>
        <w:t>et al </w:t>
      </w:r>
      <w:r>
        <w:rPr/>
        <w:t>(1980).</w:t>
      </w:r>
      <w:r>
        <w:rPr>
          <w:spacing w:val="1"/>
        </w:rPr>
        <w:t> </w:t>
      </w:r>
      <w:r>
        <w:rPr/>
        <w:t>Social Problems of Adolescent and</w:t>
      </w:r>
      <w:r>
        <w:rPr>
          <w:spacing w:val="-57"/>
        </w:rPr>
        <w:t> </w:t>
      </w:r>
      <w:r>
        <w:rPr/>
        <w:t>Adult epileptics in a Developing Country, as seen in Lagos Nigeria. </w:t>
      </w:r>
      <w:r>
        <w:rPr>
          <w:i/>
        </w:rPr>
        <w:t>Epilepsia </w:t>
      </w:r>
      <w:r>
        <w:rPr/>
        <w:t>22:689-</w:t>
      </w:r>
      <w:r>
        <w:rPr>
          <w:spacing w:val="1"/>
        </w:rPr>
        <w:t> </w:t>
      </w:r>
      <w:r>
        <w:rPr/>
        <w:t>96.</w:t>
      </w:r>
    </w:p>
    <w:p>
      <w:pPr>
        <w:pStyle w:val="BodyText"/>
      </w:pPr>
    </w:p>
    <w:p>
      <w:pPr>
        <w:spacing w:before="1"/>
        <w:ind w:left="671" w:right="113" w:hanging="452"/>
        <w:jc w:val="both"/>
        <w:rPr>
          <w:sz w:val="24"/>
        </w:rPr>
      </w:pPr>
      <w:r>
        <w:rPr>
          <w:sz w:val="24"/>
        </w:rPr>
        <w:t>Danjuma, N.M., Saulawa, H.T., Zezi, A.U., Yaro, A.H., Giwa, A. &amp; Magaji, M.G. (2010).</w:t>
      </w:r>
      <w:r>
        <w:rPr>
          <w:spacing w:val="1"/>
          <w:sz w:val="24"/>
        </w:rPr>
        <w:t> </w:t>
      </w:r>
      <w:r>
        <w:rPr>
          <w:sz w:val="24"/>
        </w:rPr>
        <w:t>Anticonvulsant</w:t>
      </w:r>
      <w:r>
        <w:rPr>
          <w:spacing w:val="1"/>
          <w:sz w:val="24"/>
        </w:rPr>
        <w:t> </w:t>
      </w:r>
      <w:r>
        <w:rPr>
          <w:sz w:val="24"/>
        </w:rPr>
        <w:t>Properties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 methanol</w:t>
      </w:r>
      <w:r>
        <w:rPr>
          <w:spacing w:val="1"/>
          <w:sz w:val="24"/>
        </w:rPr>
        <w:t> </w:t>
      </w:r>
      <w:r>
        <w:rPr>
          <w:sz w:val="24"/>
        </w:rPr>
        <w:t>stem</w:t>
      </w:r>
      <w:r>
        <w:rPr>
          <w:spacing w:val="1"/>
          <w:sz w:val="24"/>
        </w:rPr>
        <w:t> </w:t>
      </w:r>
      <w:r>
        <w:rPr>
          <w:sz w:val="24"/>
        </w:rPr>
        <w:t>bark</w:t>
      </w:r>
      <w:r>
        <w:rPr>
          <w:spacing w:val="1"/>
          <w:sz w:val="24"/>
        </w:rPr>
        <w:t> </w:t>
      </w:r>
      <w:r>
        <w:rPr>
          <w:sz w:val="24"/>
        </w:rPr>
        <w:t>extract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i/>
          <w:sz w:val="24"/>
        </w:rPr>
        <w:t>Acacia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albida</w:t>
      </w:r>
      <w:r>
        <w:rPr>
          <w:i/>
          <w:spacing w:val="1"/>
          <w:sz w:val="24"/>
        </w:rPr>
        <w:t> </w:t>
      </w:r>
      <w:r>
        <w:rPr>
          <w:sz w:val="24"/>
        </w:rPr>
        <w:t>Del.</w:t>
      </w:r>
      <w:r>
        <w:rPr>
          <w:spacing w:val="-57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Pharmacology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Tropical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Therapeutics </w:t>
      </w:r>
      <w:r>
        <w:rPr>
          <w:sz w:val="24"/>
        </w:rPr>
        <w:t>1(1):</w:t>
      </w:r>
      <w:r>
        <w:rPr>
          <w:spacing w:val="-1"/>
          <w:sz w:val="24"/>
        </w:rPr>
        <w:t> </w:t>
      </w:r>
      <w:r>
        <w:rPr>
          <w:sz w:val="24"/>
        </w:rPr>
        <w:t>40-46.</w:t>
      </w:r>
    </w:p>
    <w:p>
      <w:pPr>
        <w:pStyle w:val="BodyText"/>
      </w:pPr>
    </w:p>
    <w:p>
      <w:pPr>
        <w:pStyle w:val="BodyText"/>
        <w:ind w:left="220"/>
      </w:pPr>
      <w:r>
        <w:rPr/>
        <w:t>Davies,</w:t>
      </w:r>
      <w:r>
        <w:rPr>
          <w:spacing w:val="-2"/>
        </w:rPr>
        <w:t> </w:t>
      </w:r>
      <w:r>
        <w:rPr/>
        <w:t>J.A.</w:t>
      </w:r>
      <w:r>
        <w:rPr>
          <w:spacing w:val="-1"/>
        </w:rPr>
        <w:t> </w:t>
      </w:r>
      <w:r>
        <w:rPr/>
        <w:t>(1995).</w:t>
      </w:r>
      <w:r>
        <w:rPr>
          <w:spacing w:val="-1"/>
        </w:rPr>
        <w:t> </w:t>
      </w:r>
      <w:r>
        <w:rPr/>
        <w:t>Mechanism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action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antiepileptic</w:t>
      </w:r>
      <w:r>
        <w:rPr>
          <w:spacing w:val="-2"/>
        </w:rPr>
        <w:t> </w:t>
      </w:r>
      <w:r>
        <w:rPr/>
        <w:t>drugs.</w:t>
      </w:r>
      <w:r>
        <w:rPr>
          <w:spacing w:val="2"/>
        </w:rPr>
        <w:t> </w:t>
      </w:r>
      <w:r>
        <w:rPr>
          <w:i/>
        </w:rPr>
        <w:t>Seizure</w:t>
      </w:r>
      <w:r>
        <w:rPr>
          <w:i/>
          <w:spacing w:val="-2"/>
        </w:rPr>
        <w:t> </w:t>
      </w:r>
      <w:r>
        <w:rPr/>
        <w:t>4:267-272.</w:t>
      </w:r>
    </w:p>
    <w:p>
      <w:pPr>
        <w:pStyle w:val="BodyText"/>
      </w:pPr>
    </w:p>
    <w:p>
      <w:pPr>
        <w:pStyle w:val="BodyText"/>
        <w:ind w:left="671" w:right="113" w:hanging="452"/>
        <w:jc w:val="both"/>
      </w:pPr>
      <w:r>
        <w:rPr/>
        <w:t>De Deyn, P.P., D‟Hooge, R., Marescau, B. &amp; Pei, Y. (1992). Chemical models of epilepsy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reference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applicability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of</w:t>
      </w:r>
      <w:r>
        <w:rPr>
          <w:spacing w:val="60"/>
        </w:rPr>
        <w:t> </w:t>
      </w:r>
      <w:r>
        <w:rPr/>
        <w:t>anticonvulsants.</w:t>
      </w:r>
      <w:r>
        <w:rPr>
          <w:spacing w:val="1"/>
        </w:rPr>
        <w:t> </w:t>
      </w:r>
      <w:r>
        <w:rPr>
          <w:i/>
        </w:rPr>
        <w:t>Epilepsy</w:t>
      </w:r>
      <w:r>
        <w:rPr>
          <w:i/>
          <w:spacing w:val="-2"/>
        </w:rPr>
        <w:t> </w:t>
      </w:r>
      <w:r>
        <w:rPr>
          <w:i/>
        </w:rPr>
        <w:t>Research</w:t>
      </w:r>
      <w:r>
        <w:rPr/>
        <w:t>. 12:87-110.</w:t>
      </w:r>
    </w:p>
    <w:p>
      <w:pPr>
        <w:pStyle w:val="BodyText"/>
      </w:pPr>
    </w:p>
    <w:p>
      <w:pPr>
        <w:pStyle w:val="BodyText"/>
        <w:ind w:left="671" w:right="114" w:hanging="452"/>
        <w:jc w:val="both"/>
      </w:pPr>
      <w:r>
        <w:rPr/>
        <w:t>DeSarro, A.,Cecchetti, V., Fravolin, Naccari, F., Tabbarrini, O. &amp; DeSarro G (1999). Effects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novel</w:t>
      </w:r>
      <w:r>
        <w:rPr>
          <w:spacing w:val="1"/>
        </w:rPr>
        <w:t> </w:t>
      </w:r>
      <w:r>
        <w:rPr/>
        <w:t>6-defluroquinolones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classic</w:t>
      </w:r>
      <w:r>
        <w:rPr>
          <w:spacing w:val="1"/>
        </w:rPr>
        <w:t> </w:t>
      </w:r>
      <w:r>
        <w:rPr/>
        <w:t>quinolones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pentylenetetrazole-induced</w:t>
      </w:r>
      <w:r>
        <w:rPr>
          <w:spacing w:val="1"/>
        </w:rPr>
        <w:t> </w:t>
      </w:r>
      <w:r>
        <w:rPr/>
        <w:t>seizures</w:t>
      </w:r>
      <w:r>
        <w:rPr>
          <w:spacing w:val="-1"/>
        </w:rPr>
        <w:t> </w:t>
      </w:r>
      <w:r>
        <w:rPr/>
        <w:t>in mice.</w:t>
      </w:r>
      <w:r>
        <w:rPr>
          <w:spacing w:val="1"/>
        </w:rPr>
        <w:t> </w:t>
      </w:r>
      <w:r>
        <w:rPr>
          <w:i/>
        </w:rPr>
        <w:t>Antimicrobial</w:t>
      </w:r>
      <w:r>
        <w:rPr>
          <w:i/>
          <w:spacing w:val="-1"/>
        </w:rPr>
        <w:t> </w:t>
      </w:r>
      <w:r>
        <w:rPr>
          <w:i/>
        </w:rPr>
        <w:t>agents and chemotherapy., </w:t>
      </w:r>
      <w:r>
        <w:rPr/>
        <w:t>43:1729-1736.</w:t>
      </w:r>
    </w:p>
    <w:p>
      <w:pPr>
        <w:pStyle w:val="BodyText"/>
      </w:pPr>
    </w:p>
    <w:p>
      <w:pPr>
        <w:spacing w:before="1"/>
        <w:ind w:left="671" w:right="114" w:hanging="452"/>
        <w:jc w:val="both"/>
        <w:rPr>
          <w:sz w:val="24"/>
        </w:rPr>
      </w:pPr>
      <w:r>
        <w:rPr>
          <w:sz w:val="24"/>
        </w:rPr>
        <w:t>Dichter, M.A. and Brodie, M.J. (1996). New antiepileptic drugs </w:t>
      </w:r>
      <w:r>
        <w:rPr>
          <w:i/>
          <w:sz w:val="24"/>
        </w:rPr>
        <w:t>New England Journal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Med</w:t>
      </w:r>
      <w:r>
        <w:rPr>
          <w:sz w:val="24"/>
        </w:rPr>
        <w:t>icine</w:t>
      </w:r>
      <w:r>
        <w:rPr>
          <w:spacing w:val="-1"/>
          <w:sz w:val="24"/>
        </w:rPr>
        <w:t> </w:t>
      </w:r>
      <w:r>
        <w:rPr>
          <w:sz w:val="24"/>
        </w:rPr>
        <w:t>334:1583-1590.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671" w:right="114" w:hanging="452"/>
        <w:jc w:val="both"/>
      </w:pPr>
      <w:r>
        <w:rPr/>
        <w:t>Disbrey,B.D. and Rack,J.H. (1970).Histological</w:t>
      </w:r>
      <w:r>
        <w:rPr>
          <w:spacing w:val="60"/>
        </w:rPr>
        <w:t> </w:t>
      </w:r>
      <w:r>
        <w:rPr/>
        <w:t>laboratory methods;by Brenda D.Disbrey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J.H. Rack:Edinburg:Livingstone 6</w:t>
      </w:r>
      <w:r>
        <w:rPr>
          <w:vertAlign w:val="superscript"/>
        </w:rPr>
        <w:t>TH</w:t>
      </w:r>
      <w:r>
        <w:rPr>
          <w:spacing w:val="-1"/>
          <w:vertAlign w:val="baseline"/>
        </w:rPr>
        <w:t> </w:t>
      </w:r>
      <w:r>
        <w:rPr>
          <w:vertAlign w:val="baseline"/>
        </w:rPr>
        <w:t>Ed.pp.</w:t>
      </w:r>
      <w:r>
        <w:rPr>
          <w:spacing w:val="-1"/>
          <w:vertAlign w:val="baseline"/>
        </w:rPr>
        <w:t> </w:t>
      </w:r>
      <w:r>
        <w:rPr>
          <w:vertAlign w:val="baseline"/>
        </w:rPr>
        <w:t>56-128</w:t>
      </w:r>
    </w:p>
    <w:p>
      <w:pPr>
        <w:spacing w:after="0"/>
        <w:jc w:val="both"/>
        <w:sectPr>
          <w:pgSz w:w="12240" w:h="15840"/>
          <w:pgMar w:header="0" w:footer="792" w:top="1360" w:bottom="980" w:left="1580" w:right="1320"/>
        </w:sectPr>
      </w:pPr>
    </w:p>
    <w:p>
      <w:pPr>
        <w:pStyle w:val="BodyText"/>
        <w:spacing w:before="72"/>
        <w:ind w:left="671" w:right="117" w:hanging="452"/>
        <w:jc w:val="both"/>
      </w:pPr>
      <w:r>
        <w:rPr/>
        <w:t>Doumas, B.T. (1975). Quoted in Cheesbrough, M. (1991). Medical Laboratory Manual for</w:t>
      </w:r>
      <w:r>
        <w:rPr>
          <w:spacing w:val="1"/>
        </w:rPr>
        <w:t> </w:t>
      </w:r>
      <w:r>
        <w:rPr/>
        <w:t>Tropical</w:t>
      </w:r>
      <w:r>
        <w:rPr>
          <w:spacing w:val="-1"/>
        </w:rPr>
        <w:t> </w:t>
      </w:r>
      <w:r>
        <w:rPr/>
        <w:t>Countries Vol.</w:t>
      </w:r>
      <w:r>
        <w:rPr>
          <w:spacing w:val="2"/>
        </w:rPr>
        <w:t> </w:t>
      </w:r>
      <w:r>
        <w:rPr/>
        <w:t>1 (2</w:t>
      </w:r>
      <w:r>
        <w:rPr>
          <w:vertAlign w:val="superscript"/>
        </w:rPr>
        <w:t>nd</w:t>
      </w:r>
      <w:r>
        <w:rPr>
          <w:spacing w:val="1"/>
          <w:vertAlign w:val="baseline"/>
        </w:rPr>
        <w:t> </w:t>
      </w:r>
      <w:r>
        <w:rPr>
          <w:vertAlign w:val="baseline"/>
        </w:rPr>
        <w:t>Edition)</w:t>
      </w:r>
      <w:r>
        <w:rPr>
          <w:spacing w:val="-1"/>
          <w:vertAlign w:val="baseline"/>
        </w:rPr>
        <w:t> </w:t>
      </w:r>
      <w:r>
        <w:rPr>
          <w:vertAlign w:val="baseline"/>
        </w:rPr>
        <w:t>ELBS, Cambridge</w:t>
      </w:r>
      <w:r>
        <w:rPr>
          <w:spacing w:val="-1"/>
          <w:vertAlign w:val="baseline"/>
        </w:rPr>
        <w:t> </w:t>
      </w:r>
      <w:r>
        <w:rPr>
          <w:vertAlign w:val="baseline"/>
        </w:rPr>
        <w:t>465-567.</w:t>
      </w:r>
    </w:p>
    <w:p>
      <w:pPr>
        <w:pStyle w:val="BodyText"/>
      </w:pPr>
    </w:p>
    <w:p>
      <w:pPr>
        <w:pStyle w:val="BodyText"/>
        <w:ind w:left="220"/>
      </w:pPr>
      <w:r>
        <w:rPr/>
        <w:t>Dravet,</w:t>
      </w:r>
      <w:r>
        <w:rPr>
          <w:spacing w:val="-4"/>
        </w:rPr>
        <w:t> </w:t>
      </w:r>
      <w:r>
        <w:rPr/>
        <w:t>C.</w:t>
      </w:r>
      <w:r>
        <w:rPr>
          <w:spacing w:val="-3"/>
        </w:rPr>
        <w:t> </w:t>
      </w:r>
      <w:r>
        <w:rPr/>
        <w:t>(1978).</w:t>
      </w:r>
      <w:r>
        <w:rPr>
          <w:spacing w:val="2"/>
        </w:rPr>
        <w:t> </w:t>
      </w:r>
      <w:r>
        <w:rPr/>
        <w:t>Les</w:t>
      </w:r>
      <w:r>
        <w:rPr>
          <w:spacing w:val="-5"/>
        </w:rPr>
        <w:t> </w:t>
      </w:r>
      <w:r>
        <w:rPr/>
        <w:t>epilepsies</w:t>
      </w:r>
      <w:r>
        <w:rPr>
          <w:spacing w:val="-3"/>
        </w:rPr>
        <w:t> </w:t>
      </w:r>
      <w:r>
        <w:rPr/>
        <w:t>graves</w:t>
      </w:r>
      <w:r>
        <w:rPr>
          <w:spacing w:val="-4"/>
        </w:rPr>
        <w:t> </w:t>
      </w:r>
      <w:r>
        <w:rPr/>
        <w:t>de</w:t>
      </w:r>
      <w:r>
        <w:rPr>
          <w:spacing w:val="-3"/>
        </w:rPr>
        <w:t> </w:t>
      </w:r>
      <w:r>
        <w:rPr/>
        <w:t>l‟enfant.</w:t>
      </w:r>
      <w:r>
        <w:rPr>
          <w:spacing w:val="-1"/>
        </w:rPr>
        <w:t> </w:t>
      </w:r>
      <w:r>
        <w:rPr>
          <w:i/>
        </w:rPr>
        <w:t>Vie</w:t>
      </w:r>
      <w:r>
        <w:rPr>
          <w:i/>
          <w:spacing w:val="-5"/>
        </w:rPr>
        <w:t> </w:t>
      </w:r>
      <w:r>
        <w:rPr>
          <w:i/>
        </w:rPr>
        <w:t>medicale</w:t>
      </w:r>
      <w:r>
        <w:rPr>
          <w:i/>
          <w:spacing w:val="-4"/>
        </w:rPr>
        <w:t> </w:t>
      </w:r>
      <w:r>
        <w:rPr/>
        <w:t>8</w:t>
      </w:r>
      <w:r>
        <w:rPr>
          <w:spacing w:val="-3"/>
        </w:rPr>
        <w:t> </w:t>
      </w:r>
      <w:r>
        <w:rPr/>
        <w:t>:543-548.</w:t>
      </w:r>
    </w:p>
    <w:p>
      <w:pPr>
        <w:pStyle w:val="BodyText"/>
        <w:ind w:left="220"/>
        <w:rPr>
          <w:i/>
        </w:rPr>
      </w:pPr>
      <w:r>
        <w:rPr/>
        <w:t>Duncan,</w:t>
      </w:r>
      <w:r>
        <w:rPr>
          <w:spacing w:val="28"/>
        </w:rPr>
        <w:t> </w:t>
      </w:r>
      <w:r>
        <w:rPr/>
        <w:t>J.S.,</w:t>
      </w:r>
      <w:r>
        <w:rPr>
          <w:spacing w:val="28"/>
        </w:rPr>
        <w:t> </w:t>
      </w:r>
      <w:r>
        <w:rPr/>
        <w:t>Sander,</w:t>
      </w:r>
      <w:r>
        <w:rPr>
          <w:spacing w:val="28"/>
        </w:rPr>
        <w:t> </w:t>
      </w:r>
      <w:r>
        <w:rPr/>
        <w:t>J.W.,</w:t>
      </w:r>
      <w:r>
        <w:rPr>
          <w:spacing w:val="29"/>
        </w:rPr>
        <w:t> </w:t>
      </w:r>
      <w:r>
        <w:rPr/>
        <w:t>Sisodiya,</w:t>
      </w:r>
      <w:r>
        <w:rPr>
          <w:spacing w:val="28"/>
        </w:rPr>
        <w:t> </w:t>
      </w:r>
      <w:r>
        <w:rPr/>
        <w:t>S.M.</w:t>
      </w:r>
      <w:r>
        <w:rPr>
          <w:spacing w:val="29"/>
        </w:rPr>
        <w:t> </w:t>
      </w:r>
      <w:r>
        <w:rPr/>
        <w:t>&amp;</w:t>
      </w:r>
      <w:r>
        <w:rPr>
          <w:spacing w:val="30"/>
        </w:rPr>
        <w:t> </w:t>
      </w:r>
      <w:r>
        <w:rPr/>
        <w:t>Walker,</w:t>
      </w:r>
      <w:r>
        <w:rPr>
          <w:spacing w:val="28"/>
        </w:rPr>
        <w:t> </w:t>
      </w:r>
      <w:r>
        <w:rPr/>
        <w:t>M.C.(2006).</w:t>
      </w:r>
      <w:r>
        <w:rPr>
          <w:spacing w:val="35"/>
        </w:rPr>
        <w:t> </w:t>
      </w:r>
      <w:r>
        <w:rPr/>
        <w:t>Adult</w:t>
      </w:r>
      <w:r>
        <w:rPr>
          <w:spacing w:val="29"/>
        </w:rPr>
        <w:t> </w:t>
      </w:r>
      <w:r>
        <w:rPr/>
        <w:t>epilepsy.</w:t>
      </w:r>
      <w:r>
        <w:rPr>
          <w:spacing w:val="32"/>
        </w:rPr>
        <w:t> </w:t>
      </w:r>
      <w:r>
        <w:rPr>
          <w:i/>
        </w:rPr>
        <w:t>Lancet</w:t>
      </w:r>
    </w:p>
    <w:p>
      <w:pPr>
        <w:pStyle w:val="BodyText"/>
        <w:ind w:left="671"/>
      </w:pPr>
      <w:r>
        <w:rPr/>
        <w:t>367</w:t>
      </w:r>
      <w:r>
        <w:rPr>
          <w:spacing w:val="-1"/>
        </w:rPr>
        <w:t> </w:t>
      </w:r>
      <w:r>
        <w:rPr/>
        <w:t>(9516):</w:t>
      </w:r>
      <w:r>
        <w:rPr>
          <w:spacing w:val="-1"/>
        </w:rPr>
        <w:t> </w:t>
      </w:r>
      <w:r>
        <w:rPr/>
        <w:t>1087-100.</w:t>
      </w:r>
    </w:p>
    <w:p>
      <w:pPr>
        <w:pStyle w:val="BodyText"/>
      </w:pPr>
    </w:p>
    <w:p>
      <w:pPr>
        <w:pStyle w:val="BodyText"/>
        <w:ind w:left="671" w:right="116" w:hanging="452"/>
        <w:jc w:val="both"/>
      </w:pPr>
      <w:r>
        <w:rPr/>
        <w:t>During,</w:t>
      </w:r>
      <w:r>
        <w:rPr>
          <w:spacing w:val="1"/>
        </w:rPr>
        <w:t> </w:t>
      </w:r>
      <w:r>
        <w:rPr/>
        <w:t>M.J.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Spencer,</w:t>
      </w:r>
      <w:r>
        <w:rPr>
          <w:spacing w:val="1"/>
        </w:rPr>
        <w:t> </w:t>
      </w:r>
      <w:r>
        <w:rPr/>
        <w:t>D.D.</w:t>
      </w:r>
      <w:r>
        <w:rPr>
          <w:spacing w:val="1"/>
        </w:rPr>
        <w:t> </w:t>
      </w:r>
      <w:r>
        <w:rPr/>
        <w:t>(1993).</w:t>
      </w:r>
      <w:r>
        <w:rPr>
          <w:spacing w:val="1"/>
        </w:rPr>
        <w:t> </w:t>
      </w:r>
      <w:r>
        <w:rPr/>
        <w:t>Extracelluar</w:t>
      </w:r>
      <w:r>
        <w:rPr>
          <w:spacing w:val="1"/>
        </w:rPr>
        <w:t> </w:t>
      </w:r>
      <w:r>
        <w:rPr/>
        <w:t>hippocampal</w:t>
      </w:r>
      <w:r>
        <w:rPr>
          <w:spacing w:val="1"/>
        </w:rPr>
        <w:t> </w:t>
      </w:r>
      <w:r>
        <w:rPr/>
        <w:t>glutamate</w:t>
      </w:r>
      <w:r>
        <w:rPr>
          <w:spacing w:val="61"/>
        </w:rPr>
        <w:t> </w:t>
      </w:r>
      <w:r>
        <w:rPr/>
        <w:t>and</w:t>
      </w:r>
      <w:r>
        <w:rPr>
          <w:spacing w:val="1"/>
        </w:rPr>
        <w:t> </w:t>
      </w:r>
      <w:r>
        <w:rPr/>
        <w:t>spontaneous</w:t>
      </w:r>
      <w:r>
        <w:rPr>
          <w:spacing w:val="-1"/>
        </w:rPr>
        <w:t> </w:t>
      </w:r>
      <w:r>
        <w:rPr/>
        <w:t>seizure</w:t>
      </w:r>
      <w:r>
        <w:rPr>
          <w:spacing w:val="-1"/>
        </w:rPr>
        <w:t> </w:t>
      </w:r>
      <w:r>
        <w:rPr/>
        <w:t>in the</w:t>
      </w:r>
      <w:r>
        <w:rPr>
          <w:spacing w:val="-1"/>
        </w:rPr>
        <w:t> </w:t>
      </w:r>
      <w:r>
        <w:rPr/>
        <w:t>conscious</w:t>
      </w:r>
      <w:r>
        <w:rPr>
          <w:spacing w:val="-1"/>
        </w:rPr>
        <w:t> </w:t>
      </w:r>
      <w:r>
        <w:rPr/>
        <w:t>human brain.</w:t>
      </w:r>
      <w:r>
        <w:rPr>
          <w:spacing w:val="1"/>
        </w:rPr>
        <w:t> </w:t>
      </w:r>
      <w:r>
        <w:rPr>
          <w:i/>
        </w:rPr>
        <w:t>Lancet</w:t>
      </w:r>
      <w:r>
        <w:rPr/>
        <w:t>, 341:1607-1610.</w:t>
      </w:r>
    </w:p>
    <w:p>
      <w:pPr>
        <w:pStyle w:val="BodyText"/>
      </w:pPr>
    </w:p>
    <w:p>
      <w:pPr>
        <w:pStyle w:val="BodyText"/>
        <w:ind w:left="671" w:right="117" w:hanging="452"/>
        <w:jc w:val="both"/>
      </w:pPr>
      <w:r>
        <w:rPr/>
        <w:t>EHC,</w:t>
      </w:r>
      <w:r>
        <w:rPr>
          <w:spacing w:val="1"/>
        </w:rPr>
        <w:t> </w:t>
      </w:r>
      <w:r>
        <w:rPr/>
        <w:t>6(1978).Principles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methods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evaluating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toxicity of</w:t>
      </w:r>
      <w:r>
        <w:rPr>
          <w:spacing w:val="1"/>
        </w:rPr>
        <w:t> </w:t>
      </w:r>
      <w:r>
        <w:rPr/>
        <w:t>chemicals</w:t>
      </w:r>
      <w:r>
        <w:rPr>
          <w:spacing w:val="1"/>
        </w:rPr>
        <w:t> </w:t>
      </w:r>
      <w:r>
        <w:rPr/>
        <w:t>(part</w:t>
      </w:r>
      <w:r>
        <w:rPr>
          <w:spacing w:val="1"/>
        </w:rPr>
        <w:t> </w:t>
      </w:r>
      <w:r>
        <w:rPr/>
        <w:t>1),</w:t>
      </w:r>
      <w:r>
        <w:rPr>
          <w:spacing w:val="1"/>
        </w:rPr>
        <w:t> </w:t>
      </w:r>
      <w:r>
        <w:rPr/>
        <w:t>Environmental Health critera 6. International Programme on Chemical Safety. Available</w:t>
      </w:r>
      <w:r>
        <w:rPr>
          <w:spacing w:val="-57"/>
        </w:rPr>
        <w:t> </w:t>
      </w:r>
      <w:r>
        <w:rPr/>
        <w:t>at</w:t>
      </w:r>
      <w:r>
        <w:rPr>
          <w:spacing w:val="-1"/>
        </w:rPr>
        <w:t> </w:t>
      </w:r>
      <w:hyperlink r:id="rId33">
        <w:r>
          <w:rPr>
            <w:u w:val="single"/>
          </w:rPr>
          <w:t>www.inchem.org</w:t>
        </w:r>
      </w:hyperlink>
      <w:r>
        <w:rPr/>
        <w:t>.</w:t>
      </w:r>
    </w:p>
    <w:p>
      <w:pPr>
        <w:pStyle w:val="BodyText"/>
        <w:spacing w:before="1"/>
      </w:pPr>
    </w:p>
    <w:p>
      <w:pPr>
        <w:spacing w:before="0"/>
        <w:ind w:left="671" w:right="112" w:hanging="452"/>
        <w:jc w:val="both"/>
        <w:rPr>
          <w:sz w:val="24"/>
        </w:rPr>
      </w:pPr>
      <w:r>
        <w:rPr>
          <w:sz w:val="24"/>
        </w:rPr>
        <w:t>Engel J. Jr. (1996). “Surgery for Seizures” </w:t>
      </w:r>
      <w:r>
        <w:rPr>
          <w:i/>
          <w:sz w:val="24"/>
        </w:rPr>
        <w:t>New England Journal of Medicine </w:t>
      </w:r>
      <w:r>
        <w:rPr>
          <w:sz w:val="24"/>
        </w:rPr>
        <w:t>.334 (10); 647-</w:t>
      </w:r>
      <w:r>
        <w:rPr>
          <w:spacing w:val="1"/>
          <w:sz w:val="24"/>
        </w:rPr>
        <w:t> </w:t>
      </w:r>
      <w:r>
        <w:rPr>
          <w:sz w:val="24"/>
        </w:rPr>
        <w:t>652.</w:t>
      </w:r>
    </w:p>
    <w:p>
      <w:pPr>
        <w:pStyle w:val="BodyText"/>
      </w:pPr>
    </w:p>
    <w:p>
      <w:pPr>
        <w:pStyle w:val="BodyText"/>
        <w:ind w:left="671" w:right="121" w:hanging="452"/>
        <w:jc w:val="both"/>
      </w:pPr>
      <w:r>
        <w:rPr/>
        <w:t>Engel, J. and Schwartzkroin, P.A. (2006).What should be modeled? In models of seizure and</w:t>
      </w:r>
      <w:r>
        <w:rPr>
          <w:spacing w:val="1"/>
        </w:rPr>
        <w:t> </w:t>
      </w:r>
      <w:r>
        <w:rPr/>
        <w:t>epilepsy. Pitkanen, A; Schwartzkroin, P.A.; Moshe, S.I. (Eds). Elsevier Academic Press</w:t>
      </w:r>
      <w:r>
        <w:rPr>
          <w:spacing w:val="1"/>
        </w:rPr>
        <w:t> </w:t>
      </w:r>
      <w:r>
        <w:rPr/>
        <w:t>USA</w:t>
      </w:r>
      <w:r>
        <w:rPr>
          <w:spacing w:val="-1"/>
        </w:rPr>
        <w:t> </w:t>
      </w:r>
      <w:r>
        <w:rPr/>
        <w:t>Ch. 1, Pp. 1-14.</w:t>
      </w:r>
    </w:p>
    <w:p>
      <w:pPr>
        <w:pStyle w:val="BodyText"/>
      </w:pPr>
    </w:p>
    <w:p>
      <w:pPr>
        <w:spacing w:before="0"/>
        <w:ind w:left="671" w:right="116" w:hanging="452"/>
        <w:jc w:val="both"/>
        <w:rPr>
          <w:sz w:val="24"/>
        </w:rPr>
      </w:pPr>
      <w:r>
        <w:rPr>
          <w:sz w:val="24"/>
        </w:rPr>
        <w:t>Engelborghs,</w:t>
      </w:r>
      <w:r>
        <w:rPr>
          <w:spacing w:val="1"/>
          <w:sz w:val="24"/>
        </w:rPr>
        <w:t> </w:t>
      </w:r>
      <w:r>
        <w:rPr>
          <w:sz w:val="24"/>
        </w:rPr>
        <w:t>S.,</w:t>
      </w:r>
      <w:r>
        <w:rPr>
          <w:spacing w:val="1"/>
          <w:sz w:val="24"/>
        </w:rPr>
        <w:t> </w:t>
      </w:r>
      <w:r>
        <w:rPr>
          <w:sz w:val="24"/>
        </w:rPr>
        <w:t>D‟Hooge,</w:t>
      </w:r>
      <w:r>
        <w:rPr>
          <w:spacing w:val="1"/>
          <w:sz w:val="24"/>
        </w:rPr>
        <w:t> </w:t>
      </w:r>
      <w:r>
        <w:rPr>
          <w:sz w:val="24"/>
        </w:rPr>
        <w:t>R.,</w:t>
      </w:r>
      <w:r>
        <w:rPr>
          <w:spacing w:val="1"/>
          <w:sz w:val="24"/>
        </w:rPr>
        <w:t> </w:t>
      </w:r>
      <w:r>
        <w:rPr>
          <w:sz w:val="24"/>
        </w:rPr>
        <w:t>De-Dyne,</w:t>
      </w:r>
      <w:r>
        <w:rPr>
          <w:spacing w:val="1"/>
          <w:sz w:val="24"/>
        </w:rPr>
        <w:t> </w:t>
      </w:r>
      <w:r>
        <w:rPr>
          <w:sz w:val="24"/>
        </w:rPr>
        <w:t>P.P.</w:t>
      </w:r>
      <w:r>
        <w:rPr>
          <w:spacing w:val="1"/>
          <w:sz w:val="24"/>
        </w:rPr>
        <w:t> </w:t>
      </w:r>
      <w:r>
        <w:rPr>
          <w:sz w:val="24"/>
        </w:rPr>
        <w:t>(2000).Pathophysiology of</w:t>
      </w:r>
      <w:r>
        <w:rPr>
          <w:spacing w:val="1"/>
          <w:sz w:val="24"/>
        </w:rPr>
        <w:t> </w:t>
      </w:r>
      <w:r>
        <w:rPr>
          <w:sz w:val="24"/>
        </w:rPr>
        <w:t>epilepsy.</w:t>
      </w:r>
      <w:r>
        <w:rPr>
          <w:spacing w:val="1"/>
          <w:sz w:val="24"/>
        </w:rPr>
        <w:t> </w:t>
      </w:r>
      <w:r>
        <w:rPr>
          <w:i/>
          <w:sz w:val="24"/>
        </w:rPr>
        <w:t>Acta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Neurology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Belgium.</w:t>
      </w:r>
      <w:r>
        <w:rPr>
          <w:i/>
          <w:spacing w:val="-1"/>
          <w:sz w:val="24"/>
        </w:rPr>
        <w:t> </w:t>
      </w:r>
      <w:r>
        <w:rPr>
          <w:sz w:val="24"/>
        </w:rPr>
        <w:t>100: 201-13.</w:t>
      </w:r>
    </w:p>
    <w:p>
      <w:pPr>
        <w:pStyle w:val="BodyText"/>
      </w:pPr>
    </w:p>
    <w:p>
      <w:pPr>
        <w:pStyle w:val="BodyText"/>
        <w:ind w:left="671" w:right="112" w:hanging="452"/>
        <w:jc w:val="both"/>
      </w:pPr>
      <w:r>
        <w:rPr/>
        <w:t>Epsztein, J., Represa, A., Jorquera, I.,Ben-Ari, Y.</w:t>
      </w:r>
      <w:r>
        <w:rPr>
          <w:spacing w:val="1"/>
        </w:rPr>
        <w:t> </w:t>
      </w:r>
      <w:r>
        <w:rPr/>
        <w:t>&amp; Crepel, V. (2005). Recurrent mossy</w:t>
      </w:r>
      <w:r>
        <w:rPr>
          <w:spacing w:val="1"/>
        </w:rPr>
        <w:t> </w:t>
      </w:r>
      <w:r>
        <w:rPr/>
        <w:t>fibers</w:t>
      </w:r>
      <w:r>
        <w:rPr>
          <w:spacing w:val="1"/>
        </w:rPr>
        <w:t> </w:t>
      </w:r>
      <w:r>
        <w:rPr/>
        <w:t>establish</w:t>
      </w:r>
      <w:r>
        <w:rPr>
          <w:spacing w:val="1"/>
        </w:rPr>
        <w:t> </w:t>
      </w:r>
      <w:r>
        <w:rPr/>
        <w:t>aberrant</w:t>
      </w:r>
      <w:r>
        <w:rPr>
          <w:spacing w:val="1"/>
        </w:rPr>
        <w:t> </w:t>
      </w:r>
      <w:r>
        <w:rPr/>
        <w:t>kainate</w:t>
      </w:r>
      <w:r>
        <w:rPr>
          <w:spacing w:val="1"/>
        </w:rPr>
        <w:t> </w:t>
      </w:r>
      <w:r>
        <w:rPr/>
        <w:t>receptor-operated</w:t>
      </w:r>
      <w:r>
        <w:rPr>
          <w:spacing w:val="1"/>
        </w:rPr>
        <w:t> </w:t>
      </w:r>
      <w:r>
        <w:rPr/>
        <w:t>synapses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granule</w:t>
      </w:r>
      <w:r>
        <w:rPr>
          <w:spacing w:val="1"/>
        </w:rPr>
        <w:t> </w:t>
      </w:r>
      <w:r>
        <w:rPr/>
        <w:t>cells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epileptic</w:t>
      </w:r>
      <w:r>
        <w:rPr>
          <w:spacing w:val="-2"/>
        </w:rPr>
        <w:t> </w:t>
      </w:r>
      <w:r>
        <w:rPr/>
        <w:t>rats.</w:t>
      </w:r>
      <w:r>
        <w:rPr>
          <w:spacing w:val="2"/>
        </w:rPr>
        <w:t> </w:t>
      </w:r>
      <w:r>
        <w:rPr>
          <w:i/>
        </w:rPr>
        <w:t>Journal of</w:t>
      </w:r>
      <w:r>
        <w:rPr>
          <w:i/>
          <w:spacing w:val="3"/>
        </w:rPr>
        <w:t> </w:t>
      </w:r>
      <w:r>
        <w:rPr>
          <w:i/>
        </w:rPr>
        <w:t>Neuroscience</w:t>
      </w:r>
      <w:r>
        <w:rPr>
          <w:i/>
          <w:spacing w:val="-1"/>
        </w:rPr>
        <w:t> </w:t>
      </w:r>
      <w:r>
        <w:rPr/>
        <w:t>25:8229-39.</w:t>
      </w:r>
    </w:p>
    <w:p>
      <w:pPr>
        <w:pStyle w:val="BodyText"/>
        <w:spacing w:before="1"/>
        <w:ind w:left="220"/>
        <w:jc w:val="both"/>
      </w:pPr>
      <w:r>
        <w:rPr/>
        <w:t>Evans,</w:t>
      </w:r>
      <w:r>
        <w:rPr>
          <w:spacing w:val="-1"/>
        </w:rPr>
        <w:t> </w:t>
      </w:r>
      <w:r>
        <w:rPr/>
        <w:t>W.C.</w:t>
      </w:r>
      <w:r>
        <w:rPr>
          <w:spacing w:val="-1"/>
        </w:rPr>
        <w:t> </w:t>
      </w:r>
      <w:r>
        <w:rPr/>
        <w:t>(1996).Trease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Evans</w:t>
      </w:r>
      <w:r>
        <w:rPr>
          <w:spacing w:val="-1"/>
        </w:rPr>
        <w:t> </w:t>
      </w:r>
      <w:r>
        <w:rPr/>
        <w:t>Pharmacognosy, 14th</w:t>
      </w:r>
      <w:r>
        <w:rPr>
          <w:spacing w:val="-1"/>
        </w:rPr>
        <w:t> </w:t>
      </w:r>
      <w:r>
        <w:rPr/>
        <w:t>ed. London:</w:t>
      </w:r>
      <w:r>
        <w:rPr>
          <w:spacing w:val="-1"/>
        </w:rPr>
        <w:t> </w:t>
      </w:r>
      <w:r>
        <w:rPr/>
        <w:t>Saunders,Pp</w:t>
      </w:r>
      <w:r>
        <w:rPr>
          <w:spacing w:val="-1"/>
        </w:rPr>
        <w:t> </w:t>
      </w:r>
      <w:r>
        <w:rPr/>
        <w:t>780.</w:t>
      </w:r>
    </w:p>
    <w:p>
      <w:pPr>
        <w:pStyle w:val="BodyText"/>
      </w:pPr>
    </w:p>
    <w:p>
      <w:pPr>
        <w:pStyle w:val="BodyText"/>
        <w:ind w:left="220"/>
        <w:jc w:val="both"/>
      </w:pPr>
      <w:r>
        <w:rPr/>
        <w:t>Fallas,</w:t>
      </w:r>
      <w:r>
        <w:rPr>
          <w:spacing w:val="12"/>
        </w:rPr>
        <w:t> </w:t>
      </w:r>
      <w:r>
        <w:rPr/>
        <w:t>A.F.</w:t>
      </w:r>
      <w:r>
        <w:rPr>
          <w:spacing w:val="12"/>
        </w:rPr>
        <w:t> </w:t>
      </w:r>
      <w:r>
        <w:rPr/>
        <w:t>and</w:t>
      </w:r>
      <w:r>
        <w:rPr>
          <w:spacing w:val="13"/>
        </w:rPr>
        <w:t> </w:t>
      </w:r>
      <w:r>
        <w:rPr/>
        <w:t>Thompson,</w:t>
      </w:r>
      <w:r>
        <w:rPr>
          <w:spacing w:val="12"/>
        </w:rPr>
        <w:t> </w:t>
      </w:r>
      <w:r>
        <w:rPr/>
        <w:t>R.H.</w:t>
      </w:r>
      <w:r>
        <w:rPr>
          <w:spacing w:val="12"/>
        </w:rPr>
        <w:t> </w:t>
      </w:r>
      <w:r>
        <w:rPr/>
        <w:t>(1968).</w:t>
      </w:r>
      <w:r>
        <w:rPr>
          <w:spacing w:val="14"/>
        </w:rPr>
        <w:t> </w:t>
      </w:r>
      <w:r>
        <w:rPr/>
        <w:t>Ebenaceae</w:t>
      </w:r>
      <w:r>
        <w:rPr>
          <w:spacing w:val="13"/>
        </w:rPr>
        <w:t> </w:t>
      </w:r>
      <w:r>
        <w:rPr/>
        <w:t>extractives-III-binaphthoquinones</w:t>
      </w:r>
      <w:r>
        <w:rPr>
          <w:spacing w:val="13"/>
        </w:rPr>
        <w:t> </w:t>
      </w:r>
      <w:r>
        <w:rPr/>
        <w:t>from</w:t>
      </w:r>
    </w:p>
    <w:p>
      <w:pPr>
        <w:spacing w:before="0"/>
        <w:ind w:left="671" w:right="0" w:firstLine="0"/>
        <w:jc w:val="left"/>
        <w:rPr>
          <w:sz w:val="24"/>
        </w:rPr>
      </w:pPr>
      <w:r>
        <w:rPr>
          <w:i/>
          <w:sz w:val="24"/>
        </w:rPr>
        <w:t>Diospyros</w:t>
      </w:r>
      <w:r>
        <w:rPr>
          <w:i/>
          <w:spacing w:val="-1"/>
          <w:sz w:val="24"/>
        </w:rPr>
        <w:t> </w:t>
      </w:r>
      <w:r>
        <w:rPr>
          <w:sz w:val="24"/>
        </w:rPr>
        <w:t>speices.</w:t>
      </w:r>
      <w:r>
        <w:rPr>
          <w:spacing w:val="-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Chemical Society</w:t>
      </w:r>
      <w:r>
        <w:rPr>
          <w:i/>
          <w:spacing w:val="-2"/>
          <w:sz w:val="24"/>
        </w:rPr>
        <w:t> </w:t>
      </w:r>
      <w:r>
        <w:rPr>
          <w:sz w:val="24"/>
        </w:rPr>
        <w:t>(c)</w:t>
      </w:r>
      <w:r>
        <w:rPr>
          <w:spacing w:val="-2"/>
          <w:sz w:val="24"/>
        </w:rPr>
        <w:t> </w:t>
      </w:r>
      <w:r>
        <w:rPr>
          <w:sz w:val="24"/>
        </w:rPr>
        <w:t>18:2279-2282.</w:t>
      </w:r>
    </w:p>
    <w:p>
      <w:pPr>
        <w:pStyle w:val="BodyText"/>
      </w:pPr>
    </w:p>
    <w:p>
      <w:pPr>
        <w:pStyle w:val="BodyText"/>
        <w:ind w:left="671" w:right="112" w:hanging="452"/>
        <w:jc w:val="both"/>
      </w:pPr>
      <w:r>
        <w:rPr/>
        <w:t>Ferraro,</w:t>
      </w:r>
      <w:r>
        <w:rPr>
          <w:spacing w:val="1"/>
        </w:rPr>
        <w:t> </w:t>
      </w:r>
      <w:r>
        <w:rPr/>
        <w:t>T.N.and</w:t>
      </w:r>
      <w:r>
        <w:rPr>
          <w:spacing w:val="1"/>
        </w:rPr>
        <w:t> </w:t>
      </w:r>
      <w:r>
        <w:rPr/>
        <w:t>Buono,</w:t>
      </w:r>
      <w:r>
        <w:rPr>
          <w:spacing w:val="1"/>
        </w:rPr>
        <w:t> </w:t>
      </w:r>
      <w:r>
        <w:rPr/>
        <w:t>R.J.(2005).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relationship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pharmacology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antiepileptic drugs and human gene variation: An overview. </w:t>
      </w:r>
      <w:r>
        <w:rPr>
          <w:i/>
        </w:rPr>
        <w:t>Epilepsy Behav</w:t>
      </w:r>
      <w:r>
        <w:rPr/>
        <w:t>iour. 7:18-</w:t>
      </w:r>
      <w:r>
        <w:rPr>
          <w:spacing w:val="1"/>
        </w:rPr>
        <w:t> </w:t>
      </w:r>
      <w:r>
        <w:rPr/>
        <w:t>36.</w:t>
      </w:r>
    </w:p>
    <w:p>
      <w:pPr>
        <w:pStyle w:val="BodyText"/>
      </w:pPr>
    </w:p>
    <w:p>
      <w:pPr>
        <w:pStyle w:val="BodyText"/>
        <w:ind w:left="671" w:right="113" w:hanging="452"/>
        <w:jc w:val="both"/>
      </w:pPr>
      <w:r>
        <w:rPr/>
        <w:t>Fisher, R., Van Emde Boas, W., Blume, W., Egler, C., Genton, P., Lee, P. &amp; Engel J (2005).</w:t>
      </w:r>
      <w:r>
        <w:rPr>
          <w:spacing w:val="1"/>
        </w:rPr>
        <w:t> </w:t>
      </w:r>
      <w:r>
        <w:rPr/>
        <w:t>“Epileptic</w:t>
      </w:r>
      <w:r>
        <w:rPr>
          <w:spacing w:val="1"/>
        </w:rPr>
        <w:t> </w:t>
      </w:r>
      <w:r>
        <w:rPr/>
        <w:t>Seizure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Epilepsy:</w:t>
      </w:r>
      <w:r>
        <w:rPr>
          <w:spacing w:val="1"/>
        </w:rPr>
        <w:t> </w:t>
      </w:r>
      <w:r>
        <w:rPr/>
        <w:t>definitions</w:t>
      </w:r>
      <w:r>
        <w:rPr>
          <w:spacing w:val="1"/>
        </w:rPr>
        <w:t> </w:t>
      </w:r>
      <w:r>
        <w:rPr/>
        <w:t>proposed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International</w:t>
      </w:r>
      <w:r>
        <w:rPr>
          <w:spacing w:val="60"/>
        </w:rPr>
        <w:t> </w:t>
      </w:r>
      <w:r>
        <w:rPr/>
        <w:t>League</w:t>
      </w:r>
      <w:r>
        <w:rPr>
          <w:spacing w:val="1"/>
        </w:rPr>
        <w:t> </w:t>
      </w:r>
      <w:r>
        <w:rPr/>
        <w:t>against Epilepsy (ILAE) and the International Bureau for Epilepsy (IBE)” </w:t>
      </w:r>
      <w:r>
        <w:rPr>
          <w:i/>
        </w:rPr>
        <w:t>Epilepsia </w:t>
      </w:r>
      <w:r>
        <w:rPr/>
        <w:t>46</w:t>
      </w:r>
      <w:r>
        <w:rPr>
          <w:spacing w:val="1"/>
        </w:rPr>
        <w:t> </w:t>
      </w:r>
      <w:r>
        <w:rPr/>
        <w:t>(4):</w:t>
      </w:r>
      <w:r>
        <w:rPr>
          <w:spacing w:val="-1"/>
        </w:rPr>
        <w:t> </w:t>
      </w:r>
      <w:r>
        <w:rPr/>
        <w:t>470-</w:t>
      </w:r>
      <w:r>
        <w:rPr>
          <w:spacing w:val="-1"/>
        </w:rPr>
        <w:t> </w:t>
      </w:r>
      <w:r>
        <w:rPr/>
        <w:t>472.</w:t>
      </w:r>
    </w:p>
    <w:p>
      <w:pPr>
        <w:pStyle w:val="BodyText"/>
      </w:pPr>
    </w:p>
    <w:p>
      <w:pPr>
        <w:pStyle w:val="BodyText"/>
        <w:spacing w:before="1"/>
        <w:ind w:left="671" w:right="119" w:hanging="452"/>
        <w:jc w:val="both"/>
      </w:pPr>
      <w:r>
        <w:rPr/>
        <w:t>Gans, J.H. and Mercer, P.F. (2004).The kidneys In Dukes‟ Physiology of Domestic Animals</w:t>
      </w:r>
      <w:r>
        <w:rPr>
          <w:spacing w:val="1"/>
        </w:rPr>
        <w:t> </w:t>
      </w:r>
      <w:r>
        <w:rPr/>
        <w:t>9</w:t>
      </w:r>
      <w:r>
        <w:rPr>
          <w:vertAlign w:val="superscript"/>
        </w:rPr>
        <w:t>th</w:t>
      </w:r>
      <w:r>
        <w:rPr>
          <w:vertAlign w:val="baseline"/>
        </w:rPr>
        <w:t> Ed. Melvin J. Swenson Ed. CBS Publishers and Distributors New Delhi,</w:t>
      </w:r>
      <w:r>
        <w:rPr>
          <w:spacing w:val="1"/>
          <w:vertAlign w:val="baseline"/>
        </w:rPr>
        <w:t> </w:t>
      </w:r>
      <w:r>
        <w:rPr>
          <w:vertAlign w:val="baseline"/>
        </w:rPr>
        <w:t>India.</w:t>
      </w:r>
      <w:r>
        <w:rPr>
          <w:spacing w:val="1"/>
          <w:vertAlign w:val="baseline"/>
        </w:rPr>
        <w:t> </w:t>
      </w:r>
      <w:r>
        <w:rPr>
          <w:vertAlign w:val="baseline"/>
        </w:rPr>
        <w:t>Chapter</w:t>
      </w:r>
      <w:r>
        <w:rPr>
          <w:spacing w:val="-2"/>
          <w:vertAlign w:val="baseline"/>
        </w:rPr>
        <w:t> </w:t>
      </w:r>
      <w:r>
        <w:rPr>
          <w:vertAlign w:val="baseline"/>
        </w:rPr>
        <w:t>37</w:t>
      </w:r>
      <w:r>
        <w:rPr>
          <w:spacing w:val="-1"/>
          <w:vertAlign w:val="baseline"/>
        </w:rPr>
        <w:t> </w:t>
      </w:r>
      <w:r>
        <w:rPr>
          <w:vertAlign w:val="baseline"/>
        </w:rPr>
        <w:t>Pp. 463-492.</w:t>
      </w:r>
    </w:p>
    <w:p>
      <w:pPr>
        <w:spacing w:after="0"/>
        <w:jc w:val="both"/>
        <w:sectPr>
          <w:pgSz w:w="12240" w:h="15840"/>
          <w:pgMar w:header="0" w:footer="792" w:top="1360" w:bottom="980" w:left="1580" w:right="1320"/>
        </w:sectPr>
      </w:pPr>
    </w:p>
    <w:p>
      <w:pPr>
        <w:pStyle w:val="BodyText"/>
        <w:spacing w:before="72"/>
        <w:ind w:left="671" w:right="117" w:hanging="452"/>
        <w:jc w:val="both"/>
      </w:pPr>
      <w:r>
        <w:rPr/>
        <w:t>Gardiner, R.M. (1994). Genetic approaches to basic mechanisms of epilepsy. </w:t>
      </w:r>
      <w:r>
        <w:rPr>
          <w:i/>
        </w:rPr>
        <w:t>Journal of</w:t>
      </w:r>
      <w:r>
        <w:rPr>
          <w:i/>
          <w:spacing w:val="1"/>
        </w:rPr>
        <w:t> </w:t>
      </w:r>
      <w:r>
        <w:rPr>
          <w:i/>
        </w:rPr>
        <w:t>Neurology</w:t>
      </w:r>
      <w:r>
        <w:rPr>
          <w:i/>
          <w:spacing w:val="-1"/>
        </w:rPr>
        <w:t> </w:t>
      </w:r>
      <w:r>
        <w:rPr/>
        <w:t>241(Suppl. 1) S82.</w:t>
      </w:r>
    </w:p>
    <w:p>
      <w:pPr>
        <w:pStyle w:val="BodyText"/>
      </w:pPr>
    </w:p>
    <w:p>
      <w:pPr>
        <w:pStyle w:val="BodyText"/>
        <w:ind w:left="220"/>
      </w:pPr>
      <w:r>
        <w:rPr/>
        <w:t>Gehring, P.J.,</w:t>
      </w:r>
      <w:r>
        <w:rPr>
          <w:spacing w:val="1"/>
        </w:rPr>
        <w:t> </w:t>
      </w:r>
      <w:r>
        <w:rPr/>
        <w:t>Rowe,</w:t>
      </w:r>
      <w:r>
        <w:rPr>
          <w:spacing w:val="1"/>
        </w:rPr>
        <w:t> </w:t>
      </w:r>
      <w:r>
        <w:rPr/>
        <w:t>V.K.,</w:t>
      </w:r>
      <w:r>
        <w:rPr>
          <w:spacing w:val="-1"/>
        </w:rPr>
        <w:t> </w:t>
      </w:r>
      <w:r>
        <w:rPr/>
        <w:t>&amp;</w:t>
      </w:r>
      <w:r>
        <w:rPr>
          <w:spacing w:val="-1"/>
        </w:rPr>
        <w:t> </w:t>
      </w:r>
      <w:r>
        <w:rPr/>
        <w:t>McCollister, S.B.</w:t>
      </w:r>
      <w:r>
        <w:rPr>
          <w:spacing w:val="1"/>
        </w:rPr>
        <w:t> </w:t>
      </w:r>
      <w:r>
        <w:rPr/>
        <w:t>(1973).</w:t>
      </w:r>
      <w:r>
        <w:rPr>
          <w:spacing w:val="2"/>
        </w:rPr>
        <w:t> </w:t>
      </w:r>
      <w:r>
        <w:rPr/>
        <w:t>Toxicology:</w:t>
      </w:r>
      <w:r>
        <w:rPr>
          <w:spacing w:val="1"/>
        </w:rPr>
        <w:t> </w:t>
      </w:r>
      <w:r>
        <w:rPr/>
        <w:t>Cost-time. Food</w:t>
      </w:r>
      <w:r>
        <w:rPr>
          <w:spacing w:val="1"/>
        </w:rPr>
        <w:t> </w:t>
      </w:r>
      <w:r>
        <w:rPr/>
        <w:t>cosmet,</w:t>
      </w:r>
    </w:p>
    <w:p>
      <w:pPr>
        <w:spacing w:before="0"/>
        <w:ind w:left="671" w:right="0" w:firstLine="0"/>
        <w:jc w:val="left"/>
        <w:rPr>
          <w:sz w:val="24"/>
        </w:rPr>
      </w:pPr>
      <w:r>
        <w:rPr>
          <w:i/>
          <w:sz w:val="24"/>
        </w:rPr>
        <w:t>Toxicology</w:t>
      </w:r>
      <w:r>
        <w:rPr>
          <w:sz w:val="24"/>
        </w:rPr>
        <w:t>,</w:t>
      </w:r>
      <w:r>
        <w:rPr>
          <w:spacing w:val="-2"/>
          <w:sz w:val="24"/>
        </w:rPr>
        <w:t> </w:t>
      </w:r>
      <w:r>
        <w:rPr>
          <w:sz w:val="24"/>
        </w:rPr>
        <w:t>11:1097-1110.</w:t>
      </w:r>
    </w:p>
    <w:p>
      <w:pPr>
        <w:pStyle w:val="BodyText"/>
      </w:pPr>
    </w:p>
    <w:p>
      <w:pPr>
        <w:spacing w:before="0"/>
        <w:ind w:left="671" w:right="120" w:hanging="452"/>
        <w:jc w:val="both"/>
        <w:rPr>
          <w:sz w:val="24"/>
        </w:rPr>
      </w:pPr>
      <w:r>
        <w:rPr>
          <w:sz w:val="24"/>
        </w:rPr>
        <w:t>Gianin,</w:t>
      </w:r>
      <w:r>
        <w:rPr>
          <w:spacing w:val="1"/>
          <w:sz w:val="24"/>
        </w:rPr>
        <w:t> </w:t>
      </w:r>
      <w:r>
        <w:rPr>
          <w:sz w:val="24"/>
        </w:rPr>
        <w:t>E.G., Testa,</w:t>
      </w:r>
      <w:r>
        <w:rPr>
          <w:spacing w:val="1"/>
          <w:sz w:val="24"/>
        </w:rPr>
        <w:t> </w:t>
      </w:r>
      <w:r>
        <w:rPr>
          <w:sz w:val="24"/>
        </w:rPr>
        <w:t>R.,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Savarino,</w:t>
      </w:r>
      <w:r>
        <w:rPr>
          <w:spacing w:val="1"/>
          <w:sz w:val="24"/>
        </w:rPr>
        <w:t> </w:t>
      </w:r>
      <w:r>
        <w:rPr>
          <w:sz w:val="24"/>
        </w:rPr>
        <w:t>V. (2005).Liver enzymes</w:t>
      </w:r>
      <w:r>
        <w:rPr>
          <w:spacing w:val="1"/>
          <w:sz w:val="24"/>
        </w:rPr>
        <w:t> </w:t>
      </w:r>
      <w:r>
        <w:rPr>
          <w:sz w:val="24"/>
        </w:rPr>
        <w:t>alteration:</w:t>
      </w:r>
      <w:r>
        <w:rPr>
          <w:spacing w:val="1"/>
          <w:sz w:val="24"/>
        </w:rPr>
        <w:t> </w:t>
      </w:r>
      <w:r>
        <w:rPr>
          <w:sz w:val="24"/>
        </w:rPr>
        <w:t>A guide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clinicians.</w:t>
      </w:r>
      <w:r>
        <w:rPr>
          <w:spacing w:val="-1"/>
          <w:sz w:val="24"/>
        </w:rPr>
        <w:t> </w:t>
      </w:r>
      <w:r>
        <w:rPr>
          <w:i/>
          <w:sz w:val="24"/>
        </w:rPr>
        <w:t>Canadian Medical Association Journal. </w:t>
      </w:r>
      <w:r>
        <w:rPr>
          <w:sz w:val="24"/>
        </w:rPr>
        <w:t>172(3):</w:t>
      </w:r>
      <w:r>
        <w:rPr>
          <w:spacing w:val="-1"/>
          <w:sz w:val="24"/>
        </w:rPr>
        <w:t> </w:t>
      </w:r>
      <w:r>
        <w:rPr>
          <w:sz w:val="24"/>
        </w:rPr>
        <w:t>367-379.</w:t>
      </w:r>
    </w:p>
    <w:p>
      <w:pPr>
        <w:pStyle w:val="BodyText"/>
      </w:pPr>
    </w:p>
    <w:p>
      <w:pPr>
        <w:spacing w:before="0"/>
        <w:ind w:left="671" w:right="116" w:hanging="452"/>
        <w:jc w:val="both"/>
        <w:rPr>
          <w:sz w:val="24"/>
        </w:rPr>
      </w:pPr>
      <w:r>
        <w:rPr>
          <w:sz w:val="24"/>
        </w:rPr>
        <w:t>Glauser TA, and Sankar R. (2008). Core elements of epilepsy, diagnosis and management:</w:t>
      </w:r>
      <w:r>
        <w:rPr>
          <w:spacing w:val="1"/>
          <w:sz w:val="24"/>
        </w:rPr>
        <w:t> </w:t>
      </w:r>
      <w:r>
        <w:rPr>
          <w:sz w:val="24"/>
        </w:rPr>
        <w:t>expert consensus from the leadership in Epilepsy Advocacy and Development (LEAD)</w:t>
      </w:r>
      <w:r>
        <w:rPr>
          <w:spacing w:val="1"/>
          <w:sz w:val="24"/>
        </w:rPr>
        <w:t> </w:t>
      </w:r>
      <w:r>
        <w:rPr>
          <w:i/>
          <w:sz w:val="24"/>
        </w:rPr>
        <w:t>Faculty,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Current Medical Research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Opinion.</w:t>
      </w:r>
      <w:r>
        <w:rPr>
          <w:i/>
          <w:spacing w:val="2"/>
          <w:sz w:val="24"/>
        </w:rPr>
        <w:t> </w:t>
      </w:r>
      <w:r>
        <w:rPr>
          <w:sz w:val="24"/>
        </w:rPr>
        <w:t>24:</w:t>
      </w:r>
      <w:r>
        <w:rPr>
          <w:spacing w:val="-1"/>
          <w:sz w:val="24"/>
        </w:rPr>
        <w:t> </w:t>
      </w:r>
      <w:r>
        <w:rPr>
          <w:sz w:val="24"/>
        </w:rPr>
        <w:t>3463-77.</w:t>
      </w:r>
    </w:p>
    <w:p>
      <w:pPr>
        <w:pStyle w:val="BodyText"/>
        <w:spacing w:before="1"/>
      </w:pPr>
    </w:p>
    <w:p>
      <w:pPr>
        <w:pStyle w:val="BodyText"/>
        <w:ind w:left="671" w:right="114" w:hanging="452"/>
        <w:jc w:val="both"/>
      </w:pPr>
      <w:r>
        <w:rPr/>
        <w:t>Granger,</w:t>
      </w:r>
      <w:r>
        <w:rPr>
          <w:spacing w:val="1"/>
        </w:rPr>
        <w:t> </w:t>
      </w:r>
      <w:r>
        <w:rPr/>
        <w:t>P.,</w:t>
      </w:r>
      <w:r>
        <w:rPr>
          <w:spacing w:val="1"/>
        </w:rPr>
        <w:t> </w:t>
      </w:r>
      <w:r>
        <w:rPr/>
        <w:t>Biton,</w:t>
      </w:r>
      <w:r>
        <w:rPr>
          <w:spacing w:val="1"/>
        </w:rPr>
        <w:t> </w:t>
      </w:r>
      <w:r>
        <w:rPr/>
        <w:t>B.,</w:t>
      </w:r>
      <w:r>
        <w:rPr>
          <w:spacing w:val="1"/>
        </w:rPr>
        <w:t> </w:t>
      </w:r>
      <w:r>
        <w:rPr/>
        <w:t>Faure,</w:t>
      </w:r>
      <w:r>
        <w:rPr>
          <w:spacing w:val="1"/>
        </w:rPr>
        <w:t> </w:t>
      </w:r>
      <w:r>
        <w:rPr/>
        <w:t>C.,</w:t>
      </w:r>
      <w:r>
        <w:rPr>
          <w:spacing w:val="1"/>
        </w:rPr>
        <w:t> </w:t>
      </w:r>
      <w:r>
        <w:rPr/>
        <w:t>Vige,</w:t>
      </w:r>
      <w:r>
        <w:rPr>
          <w:spacing w:val="1"/>
        </w:rPr>
        <w:t> </w:t>
      </w:r>
      <w:r>
        <w:rPr/>
        <w:t>X.,</w:t>
      </w:r>
      <w:r>
        <w:rPr>
          <w:spacing w:val="1"/>
        </w:rPr>
        <w:t> </w:t>
      </w:r>
      <w:r>
        <w:rPr/>
        <w:t>Depoortere,</w:t>
      </w:r>
      <w:r>
        <w:rPr>
          <w:spacing w:val="1"/>
        </w:rPr>
        <w:t> </w:t>
      </w:r>
      <w:r>
        <w:rPr/>
        <w:t>H.,</w:t>
      </w:r>
      <w:r>
        <w:rPr>
          <w:spacing w:val="1"/>
        </w:rPr>
        <w:t> </w:t>
      </w:r>
      <w:r>
        <w:rPr/>
        <w:t>Graham,</w:t>
      </w:r>
      <w:r>
        <w:rPr>
          <w:spacing w:val="1"/>
        </w:rPr>
        <w:t> </w:t>
      </w:r>
      <w:r>
        <w:rPr/>
        <w:t>D.,</w:t>
      </w:r>
      <w:r>
        <w:rPr>
          <w:spacing w:val="1"/>
        </w:rPr>
        <w:t> </w:t>
      </w:r>
      <w:r>
        <w:rPr/>
        <w:t>Langer,</w:t>
      </w:r>
      <w:r>
        <w:rPr>
          <w:spacing w:val="60"/>
        </w:rPr>
        <w:t> </w:t>
      </w:r>
      <w:r>
        <w:rPr/>
        <w:t>S.Z.,</w:t>
      </w:r>
      <w:r>
        <w:rPr>
          <w:spacing w:val="-57"/>
        </w:rPr>
        <w:t> </w:t>
      </w:r>
      <w:r>
        <w:rPr/>
        <w:t>Scatton,</w:t>
      </w:r>
      <w:r>
        <w:rPr>
          <w:spacing w:val="1"/>
        </w:rPr>
        <w:t> </w:t>
      </w:r>
      <w:r>
        <w:rPr/>
        <w:t>B.,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Avenet,</w:t>
      </w:r>
      <w:r>
        <w:rPr>
          <w:spacing w:val="1"/>
        </w:rPr>
        <w:t> </w:t>
      </w:r>
      <w:r>
        <w:rPr/>
        <w:t>P.</w:t>
      </w:r>
      <w:r>
        <w:rPr>
          <w:spacing w:val="1"/>
        </w:rPr>
        <w:t> </w:t>
      </w:r>
      <w:r>
        <w:rPr/>
        <w:t>(1995).</w:t>
      </w:r>
      <w:r>
        <w:rPr>
          <w:spacing w:val="1"/>
        </w:rPr>
        <w:t> </w:t>
      </w:r>
      <w:r>
        <w:rPr/>
        <w:t>Modulation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GABA</w:t>
      </w:r>
      <w:r>
        <w:rPr>
          <w:vertAlign w:val="subscript"/>
        </w:rPr>
        <w:t>A</w:t>
      </w:r>
      <w:r>
        <w:rPr>
          <w:spacing w:val="1"/>
          <w:vertAlign w:val="baseline"/>
        </w:rPr>
        <w:t> </w:t>
      </w:r>
      <w:r>
        <w:rPr>
          <w:vertAlign w:val="baseline"/>
        </w:rPr>
        <w:t>receptor</w:t>
      </w:r>
      <w:r>
        <w:rPr>
          <w:spacing w:val="1"/>
          <w:vertAlign w:val="baseline"/>
        </w:rPr>
        <w:t> </w:t>
      </w:r>
      <w:r>
        <w:rPr>
          <w:vertAlign w:val="baseline"/>
        </w:rPr>
        <w:t>by</w:t>
      </w:r>
      <w:r>
        <w:rPr>
          <w:spacing w:val="60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antiepileptic drugs carbamezepine and phenytoin. </w:t>
      </w:r>
      <w:r>
        <w:rPr>
          <w:i/>
          <w:vertAlign w:val="baseline"/>
        </w:rPr>
        <w:t>Molecular Pharmacology </w:t>
      </w:r>
      <w:r>
        <w:rPr>
          <w:vertAlign w:val="baseline"/>
        </w:rPr>
        <w:t>47:1189-</w:t>
      </w:r>
      <w:r>
        <w:rPr>
          <w:spacing w:val="1"/>
          <w:vertAlign w:val="baseline"/>
        </w:rPr>
        <w:t> </w:t>
      </w:r>
      <w:r>
        <w:rPr>
          <w:vertAlign w:val="baseline"/>
        </w:rPr>
        <w:t>1196.</w:t>
      </w:r>
    </w:p>
    <w:p>
      <w:pPr>
        <w:pStyle w:val="BodyText"/>
      </w:pPr>
    </w:p>
    <w:p>
      <w:pPr>
        <w:pStyle w:val="BodyText"/>
        <w:ind w:left="671" w:right="116" w:hanging="452"/>
        <w:jc w:val="both"/>
      </w:pPr>
      <w:r>
        <w:rPr/>
        <w:t>Guastella, J., Nelson, H., Czyzyk, L., Keynan, S. &amp; Miedel, M.C. (1990). Clonning and</w:t>
      </w:r>
      <w:r>
        <w:rPr>
          <w:spacing w:val="1"/>
        </w:rPr>
        <w:t> </w:t>
      </w:r>
      <w:r>
        <w:rPr/>
        <w:t>expression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rat brain GABA transporter, </w:t>
      </w:r>
      <w:r>
        <w:rPr>
          <w:i/>
        </w:rPr>
        <w:t>Science</w:t>
      </w:r>
      <w:r>
        <w:rPr>
          <w:i/>
          <w:spacing w:val="-2"/>
        </w:rPr>
        <w:t> </w:t>
      </w:r>
      <w:r>
        <w:rPr/>
        <w:t>249: 1303-1306.</w:t>
      </w:r>
    </w:p>
    <w:p>
      <w:pPr>
        <w:pStyle w:val="BodyText"/>
      </w:pPr>
    </w:p>
    <w:p>
      <w:pPr>
        <w:pStyle w:val="BodyText"/>
        <w:ind w:left="671" w:right="118" w:hanging="452"/>
        <w:jc w:val="both"/>
      </w:pPr>
      <w:r>
        <w:rPr/>
        <w:t>Hassan, A.M., Keene, D.L., Whiting S.E., </w:t>
      </w:r>
      <w:r>
        <w:rPr>
          <w:i/>
        </w:rPr>
        <w:t>et al (</w:t>
      </w:r>
      <w:r>
        <w:rPr/>
        <w:t>1999</w:t>
      </w:r>
      <w:r>
        <w:rPr>
          <w:i/>
        </w:rPr>
        <w:t>)</w:t>
      </w:r>
      <w:r>
        <w:rPr/>
        <w:t>. Ketogenic diet in the treatment of</w:t>
      </w:r>
      <w:r>
        <w:rPr>
          <w:spacing w:val="1"/>
        </w:rPr>
        <w:t> </w:t>
      </w:r>
      <w:r>
        <w:rPr/>
        <w:t>refractory</w:t>
      </w:r>
      <w:r>
        <w:rPr>
          <w:spacing w:val="-4"/>
        </w:rPr>
        <w:t> </w:t>
      </w:r>
      <w:r>
        <w:rPr/>
        <w:t>epilepsy</w:t>
      </w:r>
      <w:r>
        <w:rPr>
          <w:spacing w:val="-5"/>
        </w:rPr>
        <w:t> </w:t>
      </w:r>
      <w:r>
        <w:rPr/>
        <w:t>in</w:t>
      </w:r>
      <w:r>
        <w:rPr>
          <w:spacing w:val="2"/>
        </w:rPr>
        <w:t> </w:t>
      </w:r>
      <w:r>
        <w:rPr/>
        <w:t>childhood.</w:t>
      </w:r>
      <w:r>
        <w:rPr>
          <w:spacing w:val="2"/>
        </w:rPr>
        <w:t> </w:t>
      </w:r>
      <w:r>
        <w:rPr>
          <w:i/>
        </w:rPr>
        <w:t>Paediatric</w:t>
      </w:r>
      <w:r>
        <w:rPr>
          <w:i/>
          <w:spacing w:val="-1"/>
        </w:rPr>
        <w:t> </w:t>
      </w:r>
      <w:r>
        <w:rPr>
          <w:i/>
        </w:rPr>
        <w:t>Neurology</w:t>
      </w:r>
      <w:r>
        <w:rPr>
          <w:i/>
          <w:spacing w:val="-1"/>
        </w:rPr>
        <w:t> </w:t>
      </w:r>
      <w:r>
        <w:rPr/>
        <w:t>21:548-552.</w:t>
      </w:r>
    </w:p>
    <w:p>
      <w:pPr>
        <w:pStyle w:val="BodyText"/>
      </w:pPr>
    </w:p>
    <w:p>
      <w:pPr>
        <w:spacing w:before="0"/>
        <w:ind w:left="671" w:right="114" w:hanging="452"/>
        <w:jc w:val="both"/>
        <w:rPr>
          <w:sz w:val="24"/>
        </w:rPr>
      </w:pPr>
      <w:r>
        <w:rPr>
          <w:sz w:val="24"/>
        </w:rPr>
        <w:t>Hassan,</w:t>
      </w:r>
      <w:r>
        <w:rPr>
          <w:spacing w:val="1"/>
          <w:sz w:val="24"/>
        </w:rPr>
        <w:t> </w:t>
      </w:r>
      <w:r>
        <w:rPr>
          <w:sz w:val="24"/>
        </w:rPr>
        <w:t>S., Dwivedi,</w:t>
      </w:r>
      <w:r>
        <w:rPr>
          <w:spacing w:val="1"/>
          <w:sz w:val="24"/>
        </w:rPr>
        <w:t> </w:t>
      </w:r>
      <w:r>
        <w:rPr>
          <w:sz w:val="24"/>
        </w:rPr>
        <w:t>V.,</w:t>
      </w:r>
      <w:r>
        <w:rPr>
          <w:spacing w:val="1"/>
          <w:sz w:val="24"/>
        </w:rPr>
        <w:t> </w:t>
      </w:r>
      <w:r>
        <w:rPr>
          <w:sz w:val="24"/>
        </w:rPr>
        <w:t>Misra,</w:t>
      </w:r>
      <w:r>
        <w:rPr>
          <w:spacing w:val="1"/>
          <w:sz w:val="24"/>
        </w:rPr>
        <w:t> </w:t>
      </w:r>
      <w:r>
        <w:rPr>
          <w:sz w:val="24"/>
        </w:rPr>
        <w:t>M.,</w:t>
      </w:r>
      <w:r>
        <w:rPr>
          <w:spacing w:val="1"/>
          <w:sz w:val="24"/>
        </w:rPr>
        <w:t> </w:t>
      </w:r>
      <w:r>
        <w:rPr>
          <w:sz w:val="24"/>
        </w:rPr>
        <w:t>Singh,</w:t>
      </w:r>
      <w:r>
        <w:rPr>
          <w:spacing w:val="1"/>
          <w:sz w:val="24"/>
        </w:rPr>
        <w:t> </w:t>
      </w:r>
      <w:r>
        <w:rPr>
          <w:sz w:val="24"/>
        </w:rPr>
        <w:t>P.K.,</w:t>
      </w:r>
      <w:r>
        <w:rPr>
          <w:spacing w:val="1"/>
          <w:sz w:val="24"/>
        </w:rPr>
        <w:t> </w:t>
      </w:r>
      <w:r>
        <w:rPr>
          <w:sz w:val="24"/>
        </w:rPr>
        <w:t>Hashmi,</w:t>
      </w:r>
      <w:r>
        <w:rPr>
          <w:spacing w:val="1"/>
          <w:sz w:val="24"/>
        </w:rPr>
        <w:t> </w:t>
      </w:r>
      <w:r>
        <w:rPr>
          <w:sz w:val="24"/>
        </w:rPr>
        <w:t>F.,</w:t>
      </w:r>
      <w:r>
        <w:rPr>
          <w:spacing w:val="1"/>
          <w:sz w:val="24"/>
        </w:rPr>
        <w:t> </w:t>
      </w:r>
      <w:r>
        <w:rPr>
          <w:sz w:val="24"/>
        </w:rPr>
        <w:t>&amp;</w:t>
      </w:r>
      <w:r>
        <w:rPr>
          <w:spacing w:val="1"/>
          <w:sz w:val="24"/>
        </w:rPr>
        <w:t> </w:t>
      </w:r>
      <w:r>
        <w:rPr>
          <w:sz w:val="24"/>
        </w:rPr>
        <w:t>Ahmed,</w:t>
      </w:r>
      <w:r>
        <w:rPr>
          <w:spacing w:val="1"/>
          <w:sz w:val="24"/>
        </w:rPr>
        <w:t> </w:t>
      </w:r>
      <w:r>
        <w:rPr>
          <w:sz w:val="24"/>
        </w:rPr>
        <w:t>T.</w:t>
      </w:r>
      <w:r>
        <w:rPr>
          <w:spacing w:val="1"/>
          <w:sz w:val="24"/>
        </w:rPr>
        <w:t> </w:t>
      </w:r>
      <w:r>
        <w:rPr>
          <w:sz w:val="24"/>
        </w:rPr>
        <w:t>(2012).Antiepileptic activity of some plants.</w:t>
      </w:r>
      <w:r>
        <w:rPr>
          <w:spacing w:val="1"/>
          <w:sz w:val="24"/>
        </w:rPr>
        <w:t> </w:t>
      </w:r>
      <w:r>
        <w:rPr>
          <w:i/>
          <w:sz w:val="24"/>
        </w:rPr>
        <w:t>International Journal of Medicinal 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Aromatic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Plants</w:t>
      </w:r>
      <w:r>
        <w:rPr>
          <w:i/>
          <w:spacing w:val="1"/>
          <w:sz w:val="24"/>
        </w:rPr>
        <w:t> </w:t>
      </w:r>
      <w:r>
        <w:rPr>
          <w:sz w:val="24"/>
        </w:rPr>
        <w:t>2(2): 354-360.</w:t>
      </w:r>
    </w:p>
    <w:p>
      <w:pPr>
        <w:pStyle w:val="BodyText"/>
        <w:spacing w:before="1"/>
      </w:pPr>
    </w:p>
    <w:p>
      <w:pPr>
        <w:pStyle w:val="BodyText"/>
        <w:ind w:left="671" w:right="119" w:hanging="452"/>
        <w:jc w:val="both"/>
      </w:pPr>
      <w:r>
        <w:rPr/>
        <w:t>Hauser, W.A., Annegers, J.F., Kurland, L.T. (1991). Prevalence of epilepsy in Rochester,</w:t>
      </w:r>
      <w:r>
        <w:rPr>
          <w:spacing w:val="1"/>
        </w:rPr>
        <w:t> </w:t>
      </w:r>
      <w:r>
        <w:rPr/>
        <w:t>Minnesota</w:t>
      </w:r>
      <w:r>
        <w:rPr>
          <w:spacing w:val="-1"/>
        </w:rPr>
        <w:t> </w:t>
      </w:r>
      <w:r>
        <w:rPr/>
        <w:t>1940-1980. </w:t>
      </w:r>
      <w:r>
        <w:rPr>
          <w:i/>
        </w:rPr>
        <w:t>Epilepsia</w:t>
      </w:r>
      <w:r>
        <w:rPr/>
        <w:t>, 32:429-45.</w:t>
      </w:r>
    </w:p>
    <w:p>
      <w:pPr>
        <w:pStyle w:val="BodyText"/>
      </w:pPr>
    </w:p>
    <w:p>
      <w:pPr>
        <w:spacing w:before="0"/>
        <w:ind w:left="671" w:right="121" w:hanging="452"/>
        <w:jc w:val="both"/>
        <w:rPr>
          <w:sz w:val="24"/>
        </w:rPr>
      </w:pPr>
      <w:r>
        <w:rPr>
          <w:sz w:val="24"/>
        </w:rPr>
        <w:t>Herrera, S. and Bruguera, M. (2008).Hepatotoxicity induced by herbs and medicines used to</w:t>
      </w:r>
      <w:r>
        <w:rPr>
          <w:spacing w:val="1"/>
          <w:sz w:val="24"/>
        </w:rPr>
        <w:t> </w:t>
      </w:r>
      <w:r>
        <w:rPr>
          <w:sz w:val="24"/>
        </w:rPr>
        <w:t>induce</w:t>
      </w:r>
      <w:r>
        <w:rPr>
          <w:spacing w:val="-3"/>
          <w:sz w:val="24"/>
        </w:rPr>
        <w:t> </w:t>
      </w:r>
      <w:r>
        <w:rPr>
          <w:sz w:val="24"/>
        </w:rPr>
        <w:t>weight loss.</w:t>
      </w:r>
      <w:r>
        <w:rPr>
          <w:spacing w:val="1"/>
          <w:sz w:val="24"/>
        </w:rPr>
        <w:t> </w:t>
      </w:r>
      <w:r>
        <w:rPr>
          <w:i/>
          <w:sz w:val="24"/>
        </w:rPr>
        <w:t>Gastroenterologia 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Hepatologia</w:t>
      </w:r>
      <w:r>
        <w:rPr>
          <w:i/>
          <w:spacing w:val="1"/>
          <w:sz w:val="24"/>
        </w:rPr>
        <w:t> </w:t>
      </w:r>
      <w:r>
        <w:rPr>
          <w:sz w:val="24"/>
        </w:rPr>
        <w:t>31(7): 447-453.</w:t>
      </w:r>
    </w:p>
    <w:p>
      <w:pPr>
        <w:pStyle w:val="BodyText"/>
      </w:pPr>
    </w:p>
    <w:p>
      <w:pPr>
        <w:pStyle w:val="BodyText"/>
        <w:ind w:left="671" w:right="117" w:hanging="452"/>
        <w:jc w:val="both"/>
      </w:pPr>
      <w:r>
        <w:rPr/>
        <w:t>Hirtz, D., Thurman, D.J., Gwinn -Hardy, K., Mohammed, M., Chaudhuri ,A.R.,Zalutsky, R</w:t>
      </w:r>
      <w:r>
        <w:rPr>
          <w:spacing w:val="1"/>
        </w:rPr>
        <w:t> </w:t>
      </w:r>
      <w:r>
        <w:rPr/>
        <w:t>(2007). “How common are the „common Neurologic disorders?”. </w:t>
      </w:r>
      <w:r>
        <w:rPr>
          <w:i/>
        </w:rPr>
        <w:t>Neurology </w:t>
      </w:r>
      <w:r>
        <w:rPr/>
        <w:t>68(5): 326-</w:t>
      </w:r>
      <w:r>
        <w:rPr>
          <w:spacing w:val="-57"/>
        </w:rPr>
        <w:t> </w:t>
      </w:r>
      <w:r>
        <w:rPr/>
        <w:t>337.</w:t>
      </w:r>
    </w:p>
    <w:p>
      <w:pPr>
        <w:pStyle w:val="BodyText"/>
      </w:pPr>
    </w:p>
    <w:p>
      <w:pPr>
        <w:pStyle w:val="BodyText"/>
        <w:spacing w:before="1"/>
        <w:ind w:left="671" w:right="115" w:hanging="452"/>
        <w:jc w:val="both"/>
      </w:pPr>
      <w:r>
        <w:rPr/>
        <w:t>Hodgson E. and Levi, P.E. (2004b).Nephrotoxicity. In A Textbook of Modern Toxicology 3</w:t>
      </w:r>
      <w:r>
        <w:rPr>
          <w:vertAlign w:val="superscript"/>
        </w:rPr>
        <w:t>rd</w:t>
      </w:r>
      <w:r>
        <w:rPr>
          <w:spacing w:val="-57"/>
          <w:vertAlign w:val="baseline"/>
        </w:rPr>
        <w:t> </w:t>
      </w:r>
      <w:r>
        <w:rPr>
          <w:vertAlign w:val="baseline"/>
        </w:rPr>
        <w:t>Edition. Edited by Ernest Hodgson Ch 15, Pp 273-278. Wiley Interscience NewJersey,</w:t>
      </w:r>
      <w:r>
        <w:rPr>
          <w:spacing w:val="1"/>
          <w:vertAlign w:val="baseline"/>
        </w:rPr>
        <w:t> </w:t>
      </w:r>
      <w:r>
        <w:rPr>
          <w:vertAlign w:val="baseline"/>
        </w:rPr>
        <w:t>USA.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671" w:right="115" w:hanging="452"/>
        <w:jc w:val="both"/>
      </w:pPr>
      <w:r>
        <w:rPr/>
        <w:t>Hodgson, E. and Levi, P.E. (2004a). Hepatotoxicity:</w:t>
      </w:r>
      <w:r>
        <w:rPr>
          <w:spacing w:val="60"/>
        </w:rPr>
        <w:t> </w:t>
      </w:r>
      <w:r>
        <w:rPr/>
        <w:t>In. A textbook of Modern Toxicology</w:t>
      </w:r>
      <w:r>
        <w:rPr>
          <w:spacing w:val="1"/>
        </w:rPr>
        <w:t> </w:t>
      </w:r>
      <w:r>
        <w:rPr/>
        <w:t>3</w:t>
      </w:r>
      <w:r>
        <w:rPr>
          <w:vertAlign w:val="superscript"/>
        </w:rPr>
        <w:t>rd</w:t>
      </w:r>
      <w:r>
        <w:rPr>
          <w:vertAlign w:val="baseline"/>
        </w:rPr>
        <w:t> Edition. Edited by Ernest Hodgson. Ch 14, Pp 263-272. Wiley Interscience New</w:t>
      </w:r>
      <w:r>
        <w:rPr>
          <w:spacing w:val="1"/>
          <w:vertAlign w:val="baseline"/>
        </w:rPr>
        <w:t> </w:t>
      </w:r>
      <w:r>
        <w:rPr>
          <w:vertAlign w:val="baseline"/>
        </w:rPr>
        <w:t>Jersey,</w:t>
      </w:r>
      <w:r>
        <w:rPr>
          <w:spacing w:val="-1"/>
          <w:vertAlign w:val="baseline"/>
        </w:rPr>
        <w:t> </w:t>
      </w:r>
      <w:r>
        <w:rPr>
          <w:vertAlign w:val="baseline"/>
        </w:rPr>
        <w:t>USA.</w:t>
      </w:r>
    </w:p>
    <w:p>
      <w:pPr>
        <w:spacing w:after="0"/>
        <w:jc w:val="both"/>
        <w:sectPr>
          <w:pgSz w:w="12240" w:h="15840"/>
          <w:pgMar w:header="0" w:footer="792" w:top="1360" w:bottom="980" w:left="1580" w:right="1320"/>
        </w:sectPr>
      </w:pPr>
    </w:p>
    <w:p>
      <w:pPr>
        <w:pStyle w:val="BodyText"/>
        <w:spacing w:before="112"/>
        <w:ind w:left="220"/>
      </w:pPr>
      <w:r>
        <w:rPr/>
        <w:t>Hoffman,</w:t>
      </w:r>
      <w:r>
        <w:rPr>
          <w:spacing w:val="28"/>
        </w:rPr>
        <w:t> </w:t>
      </w:r>
      <w:r>
        <w:rPr/>
        <w:t>F;</w:t>
      </w:r>
      <w:r>
        <w:rPr>
          <w:spacing w:val="28"/>
        </w:rPr>
        <w:t> </w:t>
      </w:r>
      <w:r>
        <w:rPr/>
        <w:t>Biel,</w:t>
      </w:r>
      <w:r>
        <w:rPr>
          <w:spacing w:val="27"/>
        </w:rPr>
        <w:t> </w:t>
      </w:r>
      <w:r>
        <w:rPr/>
        <w:t>M.</w:t>
      </w:r>
      <w:r>
        <w:rPr>
          <w:spacing w:val="27"/>
        </w:rPr>
        <w:t> </w:t>
      </w:r>
      <w:r>
        <w:rPr/>
        <w:t>and</w:t>
      </w:r>
      <w:r>
        <w:rPr>
          <w:spacing w:val="27"/>
        </w:rPr>
        <w:t> </w:t>
      </w:r>
      <w:r>
        <w:rPr/>
        <w:t>Flockerzi,</w:t>
      </w:r>
      <w:r>
        <w:rPr>
          <w:spacing w:val="28"/>
        </w:rPr>
        <w:t> </w:t>
      </w:r>
      <w:r>
        <w:rPr/>
        <w:t>V.</w:t>
      </w:r>
      <w:r>
        <w:rPr>
          <w:spacing w:val="27"/>
        </w:rPr>
        <w:t> </w:t>
      </w:r>
      <w:r>
        <w:rPr/>
        <w:t>(1994).</w:t>
      </w:r>
      <w:r>
        <w:rPr>
          <w:spacing w:val="30"/>
        </w:rPr>
        <w:t> </w:t>
      </w:r>
      <w:r>
        <w:rPr/>
        <w:t>Molecular</w:t>
      </w:r>
      <w:r>
        <w:rPr>
          <w:spacing w:val="26"/>
        </w:rPr>
        <w:t> </w:t>
      </w:r>
      <w:r>
        <w:rPr/>
        <w:t>basis</w:t>
      </w:r>
      <w:r>
        <w:rPr>
          <w:spacing w:val="28"/>
        </w:rPr>
        <w:t> </w:t>
      </w:r>
      <w:r>
        <w:rPr/>
        <w:t>for</w:t>
      </w:r>
      <w:r>
        <w:rPr>
          <w:spacing w:val="26"/>
        </w:rPr>
        <w:t> </w:t>
      </w:r>
      <w:r>
        <w:rPr/>
        <w:t>Ca</w:t>
      </w:r>
      <w:r>
        <w:rPr>
          <w:vertAlign w:val="superscript"/>
        </w:rPr>
        <w:t>2+</w:t>
      </w:r>
      <w:r>
        <w:rPr>
          <w:vertAlign w:val="baseline"/>
        </w:rPr>
        <w:t>channel</w:t>
      </w:r>
      <w:r>
        <w:rPr>
          <w:spacing w:val="28"/>
          <w:vertAlign w:val="baseline"/>
        </w:rPr>
        <w:t> </w:t>
      </w:r>
      <w:r>
        <w:rPr>
          <w:vertAlign w:val="baseline"/>
        </w:rPr>
        <w:t>diversity.</w:t>
      </w:r>
    </w:p>
    <w:p>
      <w:pPr>
        <w:spacing w:before="0"/>
        <w:ind w:left="671" w:right="0" w:firstLine="0"/>
        <w:jc w:val="left"/>
        <w:rPr>
          <w:sz w:val="24"/>
        </w:rPr>
      </w:pPr>
      <w:r>
        <w:rPr>
          <w:i/>
          <w:sz w:val="24"/>
        </w:rPr>
        <w:t>Annual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Review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58"/>
          <w:sz w:val="24"/>
        </w:rPr>
        <w:t> </w:t>
      </w:r>
      <w:r>
        <w:rPr>
          <w:i/>
          <w:sz w:val="24"/>
        </w:rPr>
        <w:t>Neuroscience</w:t>
      </w:r>
      <w:r>
        <w:rPr>
          <w:i/>
          <w:spacing w:val="-2"/>
          <w:sz w:val="24"/>
        </w:rPr>
        <w:t> </w:t>
      </w:r>
      <w:r>
        <w:rPr>
          <w:sz w:val="24"/>
        </w:rPr>
        <w:t>17;</w:t>
      </w:r>
      <w:r>
        <w:rPr>
          <w:spacing w:val="-1"/>
          <w:sz w:val="24"/>
        </w:rPr>
        <w:t> </w:t>
      </w:r>
      <w:r>
        <w:rPr>
          <w:sz w:val="24"/>
        </w:rPr>
        <w:t>399-418.</w:t>
      </w:r>
    </w:p>
    <w:p>
      <w:pPr>
        <w:pStyle w:val="BodyText"/>
      </w:pPr>
    </w:p>
    <w:p>
      <w:pPr>
        <w:pStyle w:val="BodyText"/>
        <w:ind w:left="671" w:right="117" w:hanging="452"/>
        <w:jc w:val="both"/>
      </w:pPr>
      <w:r>
        <w:rPr/>
        <w:t>Holmes,</w:t>
      </w:r>
      <w:r>
        <w:rPr>
          <w:spacing w:val="1"/>
        </w:rPr>
        <w:t> </w:t>
      </w:r>
      <w:r>
        <w:rPr/>
        <w:t>T.R..,</w:t>
      </w:r>
      <w:r>
        <w:rPr>
          <w:spacing w:val="1"/>
        </w:rPr>
        <w:t> </w:t>
      </w:r>
      <w:r>
        <w:rPr/>
        <w:t>Browne,</w:t>
      </w:r>
      <w:r>
        <w:rPr>
          <w:spacing w:val="1"/>
        </w:rPr>
        <w:t> </w:t>
      </w:r>
      <w:r>
        <w:rPr/>
        <w:t>G.L.</w:t>
      </w:r>
      <w:r>
        <w:rPr>
          <w:spacing w:val="1"/>
        </w:rPr>
        <w:t> </w:t>
      </w:r>
      <w:r>
        <w:rPr/>
        <w:t>(2008).</w:t>
      </w:r>
      <w:r>
        <w:rPr>
          <w:spacing w:val="1"/>
        </w:rPr>
        <w:t> </w:t>
      </w:r>
      <w:r>
        <w:rPr>
          <w:i/>
        </w:rPr>
        <w:t>Handbook</w:t>
      </w:r>
      <w:r>
        <w:rPr>
          <w:i/>
          <w:spacing w:val="1"/>
        </w:rPr>
        <w:t> </w:t>
      </w:r>
      <w:r>
        <w:rPr>
          <w:i/>
        </w:rPr>
        <w:t>of</w:t>
      </w:r>
      <w:r>
        <w:rPr>
          <w:i/>
          <w:spacing w:val="1"/>
        </w:rPr>
        <w:t> </w:t>
      </w:r>
      <w:r>
        <w:rPr>
          <w:i/>
        </w:rPr>
        <w:t>epilepsy</w:t>
      </w:r>
      <w:r>
        <w:rPr>
          <w:i/>
          <w:spacing w:val="1"/>
        </w:rPr>
        <w:t> </w:t>
      </w:r>
      <w:r>
        <w:rPr/>
        <w:t>(4th</w:t>
      </w:r>
      <w:r>
        <w:rPr>
          <w:spacing w:val="1"/>
        </w:rPr>
        <w:t> </w:t>
      </w:r>
      <w:r>
        <w:rPr/>
        <w:t>Ed.)</w:t>
      </w:r>
      <w:r>
        <w:rPr>
          <w:spacing w:val="60"/>
        </w:rPr>
        <w:t> </w:t>
      </w:r>
      <w:r>
        <w:rPr/>
        <w:t>Philadelphia:</w:t>
      </w:r>
      <w:r>
        <w:rPr>
          <w:spacing w:val="1"/>
        </w:rPr>
        <w:t> </w:t>
      </w:r>
      <w:r>
        <w:rPr/>
        <w:t>Lippincott</w:t>
      </w:r>
      <w:r>
        <w:rPr>
          <w:spacing w:val="-1"/>
        </w:rPr>
        <w:t> </w:t>
      </w:r>
      <w:r>
        <w:rPr/>
        <w:t>Williams and Wilkins.</w:t>
      </w:r>
    </w:p>
    <w:p>
      <w:pPr>
        <w:pStyle w:val="BodyText"/>
        <w:ind w:left="671" w:right="115" w:hanging="452"/>
        <w:jc w:val="both"/>
      </w:pPr>
      <w:r>
        <w:rPr/>
        <w:t>Holmes, G.L. (2007). Animal model studies application to human patients. </w:t>
      </w:r>
      <w:r>
        <w:rPr>
          <w:i/>
        </w:rPr>
        <w:t>Neurology, </w:t>
      </w:r>
      <w:r>
        <w:rPr/>
        <w:t>69</w:t>
      </w:r>
      <w:r>
        <w:rPr>
          <w:spacing w:val="1"/>
        </w:rPr>
        <w:t> </w:t>
      </w:r>
      <w:r>
        <w:rPr/>
        <w:t>(24,suppl.3)</w:t>
      </w:r>
      <w:r>
        <w:rPr>
          <w:spacing w:val="-1"/>
        </w:rPr>
        <w:t> </w:t>
      </w:r>
      <w:r>
        <w:rPr/>
        <w:t>S28-S32</w:t>
      </w:r>
    </w:p>
    <w:p>
      <w:pPr>
        <w:pStyle w:val="BodyText"/>
      </w:pPr>
    </w:p>
    <w:p>
      <w:pPr>
        <w:pStyle w:val="BodyText"/>
        <w:ind w:left="671" w:right="117" w:hanging="452"/>
        <w:jc w:val="both"/>
      </w:pPr>
      <w:r>
        <w:rPr/>
        <w:t>Holt,</w:t>
      </w:r>
      <w:r>
        <w:rPr>
          <w:spacing w:val="1"/>
        </w:rPr>
        <w:t> </w:t>
      </w:r>
      <w:r>
        <w:rPr/>
        <w:t>C.D.</w:t>
      </w:r>
      <w:r>
        <w:rPr>
          <w:spacing w:val="1"/>
        </w:rPr>
        <w:t> </w:t>
      </w:r>
      <w:r>
        <w:rPr/>
        <w:t>(2008).Adverse</w:t>
      </w:r>
      <w:r>
        <w:rPr>
          <w:spacing w:val="1"/>
        </w:rPr>
        <w:t> </w:t>
      </w:r>
      <w:r>
        <w:rPr/>
        <w:t>effects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Drugs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Liver.</w:t>
      </w:r>
      <w:r>
        <w:rPr>
          <w:spacing w:val="1"/>
        </w:rPr>
        <w:t> </w:t>
      </w:r>
      <w:r>
        <w:rPr/>
        <w:t>In:</w:t>
      </w:r>
      <w:r>
        <w:rPr>
          <w:spacing w:val="1"/>
        </w:rPr>
        <w:t> </w:t>
      </w:r>
      <w:r>
        <w:rPr/>
        <w:t>Applied</w:t>
      </w:r>
      <w:r>
        <w:rPr>
          <w:spacing w:val="1"/>
        </w:rPr>
        <w:t> </w:t>
      </w:r>
      <w:r>
        <w:rPr/>
        <w:t>Therapeutics</w:t>
      </w:r>
      <w:r>
        <w:rPr>
          <w:spacing w:val="60"/>
        </w:rPr>
        <w:t> </w:t>
      </w:r>
      <w:r>
        <w:rPr/>
        <w:t>the</w:t>
      </w:r>
      <w:r>
        <w:rPr>
          <w:spacing w:val="-57"/>
        </w:rPr>
        <w:t> </w:t>
      </w:r>
      <w:r>
        <w:rPr/>
        <w:t>clinical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Drugs</w:t>
      </w:r>
      <w:r>
        <w:rPr>
          <w:spacing w:val="1"/>
        </w:rPr>
        <w:t> </w:t>
      </w:r>
      <w:r>
        <w:rPr/>
        <w:t>Edited</w:t>
      </w:r>
      <w:r>
        <w:rPr>
          <w:spacing w:val="1"/>
        </w:rPr>
        <w:t> </w:t>
      </w:r>
      <w:r>
        <w:rPr/>
        <w:t>by Mary Anne</w:t>
      </w:r>
      <w:r>
        <w:rPr>
          <w:spacing w:val="1"/>
        </w:rPr>
        <w:t> </w:t>
      </w:r>
      <w:r>
        <w:rPr/>
        <w:t>Koda-Kimble</w:t>
      </w:r>
      <w:r>
        <w:rPr>
          <w:spacing w:val="1"/>
        </w:rPr>
        <w:t> </w:t>
      </w:r>
      <w:r>
        <w:rPr/>
        <w:t>et</w:t>
      </w:r>
      <w:r>
        <w:rPr>
          <w:spacing w:val="1"/>
        </w:rPr>
        <w:t> </w:t>
      </w:r>
      <w:r>
        <w:rPr/>
        <w:t>al.</w:t>
      </w:r>
      <w:r>
        <w:rPr>
          <w:spacing w:val="1"/>
        </w:rPr>
        <w:t> </w:t>
      </w:r>
      <w:r>
        <w:rPr/>
        <w:t>9</w:t>
      </w:r>
      <w:r>
        <w:rPr>
          <w:vertAlign w:val="superscript"/>
        </w:rPr>
        <w:t>th</w:t>
      </w:r>
      <w:r>
        <w:rPr>
          <w:spacing w:val="1"/>
          <w:vertAlign w:val="baseline"/>
        </w:rPr>
        <w:t> </w:t>
      </w:r>
      <w:r>
        <w:rPr>
          <w:vertAlign w:val="baseline"/>
        </w:rPr>
        <w:t>Ed.</w:t>
      </w:r>
      <w:r>
        <w:rPr>
          <w:spacing w:val="1"/>
          <w:vertAlign w:val="baseline"/>
        </w:rPr>
        <w:t> </w:t>
      </w:r>
      <w:r>
        <w:rPr>
          <w:vertAlign w:val="baseline"/>
        </w:rPr>
        <w:t>Lippincott</w:t>
      </w:r>
      <w:r>
        <w:rPr>
          <w:spacing w:val="1"/>
          <w:vertAlign w:val="baseline"/>
        </w:rPr>
        <w:t> </w:t>
      </w:r>
      <w:r>
        <w:rPr>
          <w:vertAlign w:val="baseline"/>
        </w:rPr>
        <w:t>Williams</w:t>
      </w:r>
      <w:r>
        <w:rPr>
          <w:spacing w:val="-1"/>
          <w:vertAlign w:val="baseline"/>
        </w:rPr>
        <w:t> </w:t>
      </w:r>
      <w:r>
        <w:rPr>
          <w:vertAlign w:val="baseline"/>
        </w:rPr>
        <w:t>and</w:t>
      </w:r>
      <w:r>
        <w:rPr>
          <w:spacing w:val="-3"/>
          <w:vertAlign w:val="baseline"/>
        </w:rPr>
        <w:t> </w:t>
      </w:r>
      <w:r>
        <w:rPr>
          <w:vertAlign w:val="baseline"/>
        </w:rPr>
        <w:t>Wilkins. USA Ch.</w:t>
      </w:r>
      <w:r>
        <w:rPr>
          <w:spacing w:val="2"/>
          <w:vertAlign w:val="baseline"/>
        </w:rPr>
        <w:t> </w:t>
      </w:r>
      <w:r>
        <w:rPr>
          <w:vertAlign w:val="baseline"/>
        </w:rPr>
        <w:t>29 Pp. 1-20.</w:t>
      </w:r>
    </w:p>
    <w:p>
      <w:pPr>
        <w:pStyle w:val="BodyText"/>
      </w:pPr>
    </w:p>
    <w:p>
      <w:pPr>
        <w:pStyle w:val="BodyText"/>
        <w:ind w:left="671" w:right="116" w:hanging="452"/>
        <w:jc w:val="both"/>
      </w:pPr>
      <w:r>
        <w:rPr/>
        <w:t>Hormuzdi,</w:t>
      </w:r>
      <w:r>
        <w:rPr>
          <w:spacing w:val="58"/>
        </w:rPr>
        <w:t> </w:t>
      </w:r>
      <w:r>
        <w:rPr/>
        <w:t>S.G.,</w:t>
      </w:r>
      <w:r>
        <w:rPr>
          <w:spacing w:val="58"/>
        </w:rPr>
        <w:t> </w:t>
      </w:r>
      <w:r>
        <w:rPr/>
        <w:t>Filipov,</w:t>
      </w:r>
      <w:r>
        <w:rPr>
          <w:spacing w:val="57"/>
        </w:rPr>
        <w:t> </w:t>
      </w:r>
      <w:r>
        <w:rPr/>
        <w:t>M.A.,  Mitropoulou,</w:t>
      </w:r>
      <w:r>
        <w:rPr>
          <w:spacing w:val="58"/>
        </w:rPr>
        <w:t> </w:t>
      </w:r>
      <w:r>
        <w:rPr/>
        <w:t>G.I.,</w:t>
      </w:r>
      <w:r>
        <w:rPr>
          <w:spacing w:val="58"/>
        </w:rPr>
        <w:t> </w:t>
      </w:r>
      <w:r>
        <w:rPr/>
        <w:t>Monyer,</w:t>
      </w:r>
      <w:r>
        <w:rPr>
          <w:spacing w:val="57"/>
        </w:rPr>
        <w:t> </w:t>
      </w:r>
      <w:r>
        <w:rPr/>
        <w:t>H.</w:t>
      </w:r>
      <w:r>
        <w:rPr>
          <w:spacing w:val="58"/>
        </w:rPr>
        <w:t> </w:t>
      </w:r>
      <w:r>
        <w:rPr/>
        <w:t>&amp;</w:t>
      </w:r>
      <w:r>
        <w:rPr>
          <w:spacing w:val="2"/>
        </w:rPr>
        <w:t> </w:t>
      </w:r>
      <w:r>
        <w:rPr/>
        <w:t>Bruzzone,</w:t>
      </w:r>
      <w:r>
        <w:rPr>
          <w:spacing w:val="57"/>
        </w:rPr>
        <w:t> </w:t>
      </w:r>
      <w:r>
        <w:rPr/>
        <w:t>R.</w:t>
      </w:r>
      <w:r>
        <w:rPr>
          <w:spacing w:val="58"/>
        </w:rPr>
        <w:t> </w:t>
      </w:r>
      <w:r>
        <w:rPr/>
        <w:t>(2004).</w:t>
      </w:r>
      <w:r>
        <w:rPr>
          <w:spacing w:val="-58"/>
        </w:rPr>
        <w:t> </w:t>
      </w:r>
      <w:r>
        <w:rPr/>
        <w:t>Electrical synapse: a dynamic signaling system</w:t>
      </w:r>
      <w:r>
        <w:rPr>
          <w:spacing w:val="1"/>
        </w:rPr>
        <w:t> </w:t>
      </w:r>
      <w:r>
        <w:rPr/>
        <w:t>that shapes the activity of neuronal</w:t>
      </w:r>
      <w:r>
        <w:rPr>
          <w:spacing w:val="1"/>
        </w:rPr>
        <w:t> </w:t>
      </w:r>
      <w:r>
        <w:rPr/>
        <w:t>networks.</w:t>
      </w:r>
      <w:r>
        <w:rPr>
          <w:spacing w:val="59"/>
        </w:rPr>
        <w:t> </w:t>
      </w:r>
      <w:r>
        <w:rPr>
          <w:i/>
        </w:rPr>
        <w:t>Biochemistry Biophysics Acta </w:t>
      </w:r>
      <w:r>
        <w:rPr/>
        <w:t>1662: 113-137.</w:t>
      </w:r>
    </w:p>
    <w:p>
      <w:pPr>
        <w:pStyle w:val="BodyText"/>
        <w:spacing w:before="1"/>
      </w:pPr>
    </w:p>
    <w:p>
      <w:pPr>
        <w:spacing w:before="0"/>
        <w:ind w:left="671" w:right="114" w:hanging="452"/>
        <w:jc w:val="both"/>
        <w:rPr>
          <w:sz w:val="24"/>
        </w:rPr>
      </w:pPr>
      <w:r>
        <w:rPr>
          <w:sz w:val="24"/>
        </w:rPr>
        <w:t>Hough,</w:t>
      </w:r>
      <w:r>
        <w:rPr>
          <w:spacing w:val="1"/>
          <w:sz w:val="24"/>
        </w:rPr>
        <w:t> </w:t>
      </w:r>
      <w:r>
        <w:rPr>
          <w:sz w:val="24"/>
        </w:rPr>
        <w:t>C.J.,</w:t>
      </w:r>
      <w:r>
        <w:rPr>
          <w:spacing w:val="1"/>
          <w:sz w:val="24"/>
        </w:rPr>
        <w:t> </w:t>
      </w:r>
      <w:r>
        <w:rPr>
          <w:sz w:val="24"/>
        </w:rPr>
        <w:t>Irwin,</w:t>
      </w:r>
      <w:r>
        <w:rPr>
          <w:spacing w:val="1"/>
          <w:sz w:val="24"/>
        </w:rPr>
        <w:t> </w:t>
      </w:r>
      <w:r>
        <w:rPr>
          <w:sz w:val="24"/>
        </w:rPr>
        <w:t>R.P.,</w:t>
      </w:r>
      <w:r>
        <w:rPr>
          <w:spacing w:val="1"/>
          <w:sz w:val="24"/>
        </w:rPr>
        <w:t> </w:t>
      </w:r>
      <w:r>
        <w:rPr>
          <w:sz w:val="24"/>
        </w:rPr>
        <w:t>Gao,</w:t>
      </w:r>
      <w:r>
        <w:rPr>
          <w:spacing w:val="1"/>
          <w:sz w:val="24"/>
        </w:rPr>
        <w:t> </w:t>
      </w:r>
      <w:r>
        <w:rPr>
          <w:sz w:val="24"/>
        </w:rPr>
        <w:t>X.M.,</w:t>
      </w:r>
      <w:r>
        <w:rPr>
          <w:spacing w:val="1"/>
          <w:sz w:val="24"/>
        </w:rPr>
        <w:t> </w:t>
      </w:r>
      <w:r>
        <w:rPr>
          <w:sz w:val="24"/>
        </w:rPr>
        <w:t>Rogawski,</w:t>
      </w:r>
      <w:r>
        <w:rPr>
          <w:spacing w:val="1"/>
          <w:sz w:val="24"/>
        </w:rPr>
        <w:t> </w:t>
      </w:r>
      <w:r>
        <w:rPr>
          <w:sz w:val="24"/>
        </w:rPr>
        <w:t>M.A.,</w:t>
      </w:r>
      <w:r>
        <w:rPr>
          <w:spacing w:val="1"/>
          <w:sz w:val="24"/>
        </w:rPr>
        <w:t> </w:t>
      </w:r>
      <w:r>
        <w:rPr>
          <w:sz w:val="24"/>
        </w:rPr>
        <w:t>&amp;</w:t>
      </w:r>
      <w:r>
        <w:rPr>
          <w:spacing w:val="1"/>
          <w:sz w:val="24"/>
        </w:rPr>
        <w:t> </w:t>
      </w:r>
      <w:r>
        <w:rPr>
          <w:sz w:val="24"/>
        </w:rPr>
        <w:t>Chuang,</w:t>
      </w:r>
      <w:r>
        <w:rPr>
          <w:spacing w:val="1"/>
          <w:sz w:val="24"/>
        </w:rPr>
        <w:t> </w:t>
      </w:r>
      <w:r>
        <w:rPr>
          <w:sz w:val="24"/>
        </w:rPr>
        <w:t>D.M.</w:t>
      </w:r>
      <w:r>
        <w:rPr>
          <w:spacing w:val="1"/>
          <w:sz w:val="24"/>
        </w:rPr>
        <w:t> </w:t>
      </w:r>
      <w:r>
        <w:rPr>
          <w:sz w:val="24"/>
        </w:rPr>
        <w:t>(1996).</w:t>
      </w:r>
      <w:r>
        <w:rPr>
          <w:spacing w:val="-57"/>
          <w:sz w:val="24"/>
        </w:rPr>
        <w:t> </w:t>
      </w:r>
      <w:r>
        <w:rPr>
          <w:sz w:val="24"/>
        </w:rPr>
        <w:t>Carbamezepine inhibition of NMDA-evoked calcium influx in rat cerebellar granule</w:t>
      </w:r>
      <w:r>
        <w:rPr>
          <w:spacing w:val="1"/>
          <w:sz w:val="24"/>
        </w:rPr>
        <w:t> </w:t>
      </w:r>
      <w:r>
        <w:rPr>
          <w:sz w:val="24"/>
        </w:rPr>
        <w:t>cells.</w:t>
      </w:r>
      <w:r>
        <w:rPr>
          <w:spacing w:val="-1"/>
          <w:sz w:val="24"/>
        </w:rPr>
        <w:t> </w:t>
      </w:r>
      <w:r>
        <w:rPr>
          <w:i/>
          <w:sz w:val="24"/>
        </w:rPr>
        <w:t>Journal of Pharmacology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Experimental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Therapeutics </w:t>
      </w:r>
      <w:r>
        <w:rPr>
          <w:sz w:val="24"/>
        </w:rPr>
        <w:t>276:143-149.</w:t>
      </w:r>
    </w:p>
    <w:p>
      <w:pPr>
        <w:pStyle w:val="BodyText"/>
      </w:pPr>
    </w:p>
    <w:p>
      <w:pPr>
        <w:spacing w:before="0"/>
        <w:ind w:left="220" w:right="0" w:firstLine="0"/>
        <w:jc w:val="left"/>
        <w:rPr>
          <w:sz w:val="24"/>
        </w:rPr>
      </w:pPr>
      <w:r>
        <w:rPr>
          <w:sz w:val="24"/>
        </w:rPr>
        <w:t>Howard,</w:t>
      </w:r>
      <w:r>
        <w:rPr>
          <w:spacing w:val="-1"/>
          <w:sz w:val="24"/>
        </w:rPr>
        <w:t> </w:t>
      </w:r>
      <w:r>
        <w:rPr>
          <w:sz w:val="24"/>
        </w:rPr>
        <w:t>T.E. (1989).</w:t>
      </w:r>
      <w:r>
        <w:rPr>
          <w:i/>
          <w:sz w:val="24"/>
        </w:rPr>
        <w:t>Clinical chemistry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sz w:val="24"/>
        </w:rPr>
        <w:t>John</w:t>
      </w:r>
      <w:r>
        <w:rPr>
          <w:spacing w:val="-1"/>
          <w:sz w:val="24"/>
        </w:rPr>
        <w:t> </w:t>
      </w:r>
      <w:r>
        <w:rPr>
          <w:sz w:val="24"/>
        </w:rPr>
        <w:t>Wiley</w:t>
      </w:r>
      <w:r>
        <w:rPr>
          <w:spacing w:val="-3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Sons</w:t>
      </w:r>
      <w:r>
        <w:rPr>
          <w:spacing w:val="-1"/>
          <w:sz w:val="24"/>
        </w:rPr>
        <w:t> </w:t>
      </w:r>
      <w:r>
        <w:rPr>
          <w:sz w:val="24"/>
        </w:rPr>
        <w:t>New York,</w:t>
      </w:r>
      <w:r>
        <w:rPr>
          <w:spacing w:val="1"/>
          <w:sz w:val="24"/>
        </w:rPr>
        <w:t> </w:t>
      </w:r>
      <w:r>
        <w:rPr>
          <w:sz w:val="24"/>
        </w:rPr>
        <w:t>4:58-62.</w:t>
      </w:r>
    </w:p>
    <w:p>
      <w:pPr>
        <w:pStyle w:val="BodyText"/>
      </w:pPr>
    </w:p>
    <w:p>
      <w:pPr>
        <w:spacing w:before="0"/>
        <w:ind w:left="671" w:right="114" w:hanging="452"/>
        <w:jc w:val="both"/>
        <w:rPr>
          <w:sz w:val="24"/>
        </w:rPr>
      </w:pPr>
      <w:r>
        <w:rPr>
          <w:sz w:val="24"/>
        </w:rPr>
        <w:t>Igoli J.O., Ogaji, O.G., Tor-Anyiin, T.A., &amp; Igoli, N.P. (2005).Traditional Medicine Practice</w:t>
      </w:r>
      <w:r>
        <w:rPr>
          <w:spacing w:val="1"/>
          <w:sz w:val="24"/>
        </w:rPr>
        <w:t> </w:t>
      </w:r>
      <w:r>
        <w:rPr>
          <w:sz w:val="24"/>
        </w:rPr>
        <w:t>Amongst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Igede</w:t>
      </w:r>
      <w:r>
        <w:rPr>
          <w:spacing w:val="1"/>
          <w:sz w:val="24"/>
        </w:rPr>
        <w:t> </w:t>
      </w:r>
      <w:r>
        <w:rPr>
          <w:sz w:val="24"/>
        </w:rPr>
        <w:t>people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Nigeria.</w:t>
      </w:r>
      <w:r>
        <w:rPr>
          <w:spacing w:val="1"/>
          <w:sz w:val="24"/>
        </w:rPr>
        <w:t> </w:t>
      </w:r>
      <w:r>
        <w:rPr>
          <w:sz w:val="24"/>
        </w:rPr>
        <w:t>Part</w:t>
      </w:r>
      <w:r>
        <w:rPr>
          <w:spacing w:val="1"/>
          <w:sz w:val="24"/>
        </w:rPr>
        <w:t> </w:t>
      </w:r>
      <w:r>
        <w:rPr>
          <w:sz w:val="24"/>
        </w:rPr>
        <w:t>II</w:t>
      </w:r>
      <w:r>
        <w:rPr>
          <w:spacing w:val="1"/>
          <w:sz w:val="24"/>
        </w:rPr>
        <w:t> </w:t>
      </w:r>
      <w:r>
        <w:rPr>
          <w:i/>
          <w:sz w:val="24"/>
        </w:rPr>
        <w:t>African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Traditional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Complimentary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Alternative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</w:t>
      </w:r>
      <w:r>
        <w:rPr>
          <w:sz w:val="24"/>
        </w:rPr>
        <w:t>edicine</w:t>
      </w:r>
      <w:r>
        <w:rPr>
          <w:spacing w:val="-1"/>
          <w:sz w:val="24"/>
        </w:rPr>
        <w:t> </w:t>
      </w:r>
      <w:r>
        <w:rPr>
          <w:sz w:val="24"/>
        </w:rPr>
        <w:t>2(2): 134-152.</w:t>
      </w:r>
    </w:p>
    <w:p>
      <w:pPr>
        <w:pStyle w:val="BodyText"/>
      </w:pPr>
    </w:p>
    <w:p>
      <w:pPr>
        <w:pStyle w:val="BodyText"/>
        <w:spacing w:before="1"/>
        <w:ind w:left="671" w:right="122" w:hanging="452"/>
        <w:jc w:val="both"/>
      </w:pPr>
      <w:r>
        <w:rPr/>
        <w:t>ILAE (1981). Commission on classification and terminology. International League against</w:t>
      </w:r>
      <w:r>
        <w:rPr>
          <w:spacing w:val="1"/>
        </w:rPr>
        <w:t> </w:t>
      </w:r>
      <w:r>
        <w:rPr/>
        <w:t>epilepsy. Proposed revisions of clinical and electroencephalographic classification of</w:t>
      </w:r>
      <w:r>
        <w:rPr>
          <w:spacing w:val="1"/>
        </w:rPr>
        <w:t> </w:t>
      </w:r>
      <w:r>
        <w:rPr/>
        <w:t>genetic</w:t>
      </w:r>
      <w:r>
        <w:rPr>
          <w:spacing w:val="-2"/>
        </w:rPr>
        <w:t> </w:t>
      </w:r>
      <w:r>
        <w:rPr/>
        <w:t>seizures.</w:t>
      </w:r>
      <w:r>
        <w:rPr>
          <w:spacing w:val="1"/>
        </w:rPr>
        <w:t> </w:t>
      </w:r>
      <w:r>
        <w:rPr>
          <w:i/>
        </w:rPr>
        <w:t>Epilepsia </w:t>
      </w:r>
      <w:r>
        <w:rPr/>
        <w:t>22:480-501.</w:t>
      </w:r>
    </w:p>
    <w:p>
      <w:pPr>
        <w:pStyle w:val="BodyText"/>
      </w:pPr>
    </w:p>
    <w:p>
      <w:pPr>
        <w:pStyle w:val="BodyText"/>
        <w:ind w:left="220"/>
      </w:pPr>
      <w:r>
        <w:rPr/>
        <w:t>ILEA</w:t>
      </w:r>
      <w:r>
        <w:rPr>
          <w:spacing w:val="15"/>
        </w:rPr>
        <w:t> </w:t>
      </w:r>
      <w:r>
        <w:rPr/>
        <w:t>(1994).</w:t>
      </w:r>
      <w:r>
        <w:rPr>
          <w:spacing w:val="15"/>
        </w:rPr>
        <w:t> </w:t>
      </w:r>
      <w:r>
        <w:rPr/>
        <w:t>Commission</w:t>
      </w:r>
      <w:r>
        <w:rPr>
          <w:spacing w:val="17"/>
        </w:rPr>
        <w:t> </w:t>
      </w:r>
      <w:r>
        <w:rPr/>
        <w:t>on</w:t>
      </w:r>
      <w:r>
        <w:rPr>
          <w:spacing w:val="15"/>
        </w:rPr>
        <w:t> </w:t>
      </w:r>
      <w:r>
        <w:rPr/>
        <w:t>tropical</w:t>
      </w:r>
      <w:r>
        <w:rPr>
          <w:spacing w:val="19"/>
        </w:rPr>
        <w:t> </w:t>
      </w:r>
      <w:r>
        <w:rPr/>
        <w:t>Diseases</w:t>
      </w:r>
      <w:r>
        <w:rPr>
          <w:spacing w:val="18"/>
        </w:rPr>
        <w:t> </w:t>
      </w:r>
      <w:r>
        <w:rPr/>
        <w:t>of</w:t>
      </w:r>
      <w:r>
        <w:rPr>
          <w:spacing w:val="15"/>
        </w:rPr>
        <w:t> </w:t>
      </w:r>
      <w:r>
        <w:rPr/>
        <w:t>the</w:t>
      </w:r>
      <w:r>
        <w:rPr>
          <w:spacing w:val="15"/>
        </w:rPr>
        <w:t> </w:t>
      </w:r>
      <w:r>
        <w:rPr/>
        <w:t>international</w:t>
      </w:r>
      <w:r>
        <w:rPr>
          <w:spacing w:val="17"/>
        </w:rPr>
        <w:t> </w:t>
      </w:r>
      <w:r>
        <w:rPr/>
        <w:t>league</w:t>
      </w:r>
      <w:r>
        <w:rPr>
          <w:spacing w:val="14"/>
        </w:rPr>
        <w:t> </w:t>
      </w:r>
      <w:r>
        <w:rPr/>
        <w:t>against</w:t>
      </w:r>
      <w:r>
        <w:rPr>
          <w:spacing w:val="17"/>
        </w:rPr>
        <w:t> </w:t>
      </w:r>
      <w:r>
        <w:rPr/>
        <w:t>epilepsy.</w:t>
      </w:r>
    </w:p>
    <w:p>
      <w:pPr>
        <w:pStyle w:val="BodyText"/>
        <w:ind w:left="671"/>
      </w:pPr>
      <w:r>
        <w:rPr/>
        <w:t>Relationship</w:t>
      </w:r>
      <w:r>
        <w:rPr>
          <w:spacing w:val="-1"/>
        </w:rPr>
        <w:t> </w:t>
      </w:r>
      <w:r>
        <w:rPr/>
        <w:t>between</w:t>
      </w:r>
      <w:r>
        <w:rPr>
          <w:spacing w:val="-1"/>
        </w:rPr>
        <w:t> </w:t>
      </w:r>
      <w:r>
        <w:rPr/>
        <w:t>epilepsy</w:t>
      </w:r>
      <w:r>
        <w:rPr>
          <w:spacing w:val="-5"/>
        </w:rPr>
        <w:t> </w:t>
      </w:r>
      <w:r>
        <w:rPr/>
        <w:t>and</w:t>
      </w:r>
      <w:r>
        <w:rPr>
          <w:spacing w:val="1"/>
        </w:rPr>
        <w:t> </w:t>
      </w:r>
      <w:r>
        <w:rPr/>
        <w:t>Tropical</w:t>
      </w:r>
      <w:r>
        <w:rPr>
          <w:spacing w:val="-1"/>
        </w:rPr>
        <w:t> </w:t>
      </w:r>
      <w:r>
        <w:rPr/>
        <w:t>Diseases.</w:t>
      </w:r>
      <w:r>
        <w:rPr>
          <w:spacing w:val="3"/>
        </w:rPr>
        <w:t> </w:t>
      </w:r>
      <w:r>
        <w:rPr>
          <w:i/>
        </w:rPr>
        <w:t>Epilepsia</w:t>
      </w:r>
      <w:r>
        <w:rPr/>
        <w:t>,</w:t>
      </w:r>
      <w:r>
        <w:rPr>
          <w:spacing w:val="-1"/>
        </w:rPr>
        <w:t> </w:t>
      </w:r>
      <w:r>
        <w:rPr/>
        <w:t>35(1):89-93.</w:t>
      </w:r>
    </w:p>
    <w:p>
      <w:pPr>
        <w:pStyle w:val="BodyText"/>
      </w:pPr>
    </w:p>
    <w:p>
      <w:pPr>
        <w:pStyle w:val="BodyText"/>
        <w:ind w:left="220"/>
      </w:pPr>
      <w:r>
        <w:rPr/>
        <w:t>Irvine,</w:t>
      </w:r>
      <w:r>
        <w:rPr>
          <w:spacing w:val="-1"/>
        </w:rPr>
        <w:t> </w:t>
      </w:r>
      <w:r>
        <w:rPr/>
        <w:t>F.R. (1961). Woody</w:t>
      </w:r>
      <w:r>
        <w:rPr>
          <w:spacing w:val="-5"/>
        </w:rPr>
        <w:t> </w:t>
      </w:r>
      <w:r>
        <w:rPr/>
        <w:t>plants</w:t>
      </w:r>
      <w:r>
        <w:rPr>
          <w:spacing w:val="-1"/>
        </w:rPr>
        <w:t> </w:t>
      </w:r>
      <w:r>
        <w:rPr/>
        <w:t>of Ghana. Oxford University</w:t>
      </w:r>
      <w:r>
        <w:rPr>
          <w:spacing w:val="-5"/>
        </w:rPr>
        <w:t> </w:t>
      </w:r>
      <w:r>
        <w:rPr/>
        <w:t>Press</w:t>
      </w:r>
      <w:r>
        <w:rPr>
          <w:spacing w:val="1"/>
        </w:rPr>
        <w:t> </w:t>
      </w:r>
      <w:r>
        <w:rPr/>
        <w:t>London.</w:t>
      </w:r>
    </w:p>
    <w:p>
      <w:pPr>
        <w:pStyle w:val="BodyText"/>
      </w:pPr>
    </w:p>
    <w:p>
      <w:pPr>
        <w:pStyle w:val="BodyText"/>
        <w:ind w:left="671" w:right="117" w:hanging="452"/>
        <w:jc w:val="both"/>
      </w:pPr>
      <w:r>
        <w:rPr/>
        <w:t>Jaeschke,</w:t>
      </w:r>
      <w:r>
        <w:rPr>
          <w:spacing w:val="1"/>
        </w:rPr>
        <w:t> </w:t>
      </w:r>
      <w:r>
        <w:rPr/>
        <w:t>H.,</w:t>
      </w:r>
      <w:r>
        <w:rPr>
          <w:spacing w:val="1"/>
        </w:rPr>
        <w:t> </w:t>
      </w:r>
      <w:r>
        <w:rPr/>
        <w:t>Gores,</w:t>
      </w:r>
      <w:r>
        <w:rPr>
          <w:spacing w:val="1"/>
        </w:rPr>
        <w:t> </w:t>
      </w:r>
      <w:r>
        <w:rPr/>
        <w:t>G.J.,</w:t>
      </w:r>
      <w:r>
        <w:rPr>
          <w:spacing w:val="1"/>
        </w:rPr>
        <w:t> </w:t>
      </w:r>
      <w:r>
        <w:rPr/>
        <w:t>Cederebaum,</w:t>
      </w:r>
      <w:r>
        <w:rPr>
          <w:spacing w:val="1"/>
        </w:rPr>
        <w:t> </w:t>
      </w:r>
      <w:r>
        <w:rPr/>
        <w:t>A.I;</w:t>
      </w:r>
      <w:r>
        <w:rPr>
          <w:spacing w:val="1"/>
        </w:rPr>
        <w:t> </w:t>
      </w:r>
      <w:r>
        <w:rPr/>
        <w:t>Hinson,J.A;</w:t>
      </w:r>
      <w:r>
        <w:rPr>
          <w:spacing w:val="1"/>
        </w:rPr>
        <w:t> </w:t>
      </w:r>
      <w:r>
        <w:rPr/>
        <w:t>Pessayre,D;</w:t>
      </w:r>
      <w:r>
        <w:rPr>
          <w:spacing w:val="1"/>
        </w:rPr>
        <w:t> </w:t>
      </w:r>
      <w:r>
        <w:rPr/>
        <w:t>Lemasters,J.J;</w:t>
      </w:r>
      <w:r>
        <w:rPr>
          <w:spacing w:val="1"/>
        </w:rPr>
        <w:t> </w:t>
      </w:r>
      <w:r>
        <w:rPr/>
        <w:t>(2002).Mechanisms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hepatotoxicity.</w:t>
      </w:r>
      <w:r>
        <w:rPr>
          <w:spacing w:val="2"/>
        </w:rPr>
        <w:t> </w:t>
      </w:r>
      <w:r>
        <w:rPr>
          <w:i/>
        </w:rPr>
        <w:t>Toxicol</w:t>
      </w:r>
      <w:r>
        <w:rPr/>
        <w:t>ogical  </w:t>
      </w:r>
      <w:r>
        <w:rPr>
          <w:i/>
        </w:rPr>
        <w:t>Science.</w:t>
      </w:r>
      <w:r>
        <w:rPr>
          <w:i/>
          <w:spacing w:val="-1"/>
        </w:rPr>
        <w:t> </w:t>
      </w:r>
      <w:r>
        <w:rPr/>
        <w:t>65(2</w:t>
      </w:r>
      <w:r>
        <w:rPr>
          <w:b/>
        </w:rPr>
        <w:t>):</w:t>
      </w:r>
      <w:r>
        <w:rPr/>
        <w:t>166-176.</w:t>
      </w:r>
    </w:p>
    <w:p>
      <w:pPr>
        <w:pStyle w:val="BodyText"/>
      </w:pPr>
    </w:p>
    <w:p>
      <w:pPr>
        <w:pStyle w:val="BodyText"/>
        <w:spacing w:before="1"/>
        <w:ind w:left="671" w:right="114" w:hanging="452"/>
        <w:jc w:val="both"/>
      </w:pPr>
      <w:r>
        <w:rPr/>
        <w:t>Jafar, T.H., Chaturvedi, N Gul, A., Khan, A.Q., Schmid, C.H. Levey, &amp; A.S. (2003). Ethnic</w:t>
      </w:r>
      <w:r>
        <w:rPr>
          <w:spacing w:val="1"/>
        </w:rPr>
        <w:t> </w:t>
      </w:r>
      <w:r>
        <w:rPr/>
        <w:t>differences and determinants of proteinuria among South Asian subgroups in Pakistan.</w:t>
      </w:r>
      <w:r>
        <w:rPr>
          <w:spacing w:val="1"/>
        </w:rPr>
        <w:t> </w:t>
      </w:r>
      <w:r>
        <w:rPr>
          <w:i/>
        </w:rPr>
        <w:t>Kidney</w:t>
      </w:r>
      <w:r>
        <w:rPr>
          <w:i/>
          <w:spacing w:val="-3"/>
        </w:rPr>
        <w:t> </w:t>
      </w:r>
      <w:r>
        <w:rPr>
          <w:i/>
        </w:rPr>
        <w:t>International.</w:t>
      </w:r>
      <w:r>
        <w:rPr>
          <w:i/>
          <w:spacing w:val="1"/>
        </w:rPr>
        <w:t> </w:t>
      </w:r>
      <w:r>
        <w:rPr/>
        <w:t>64:1437-44.</w:t>
      </w:r>
    </w:p>
    <w:p>
      <w:pPr>
        <w:pStyle w:val="BodyText"/>
        <w:spacing w:before="11"/>
        <w:rPr>
          <w:sz w:val="23"/>
        </w:rPr>
      </w:pPr>
    </w:p>
    <w:p>
      <w:pPr>
        <w:spacing w:before="0"/>
        <w:ind w:left="671" w:right="117" w:hanging="452"/>
        <w:jc w:val="both"/>
        <w:rPr>
          <w:sz w:val="24"/>
        </w:rPr>
      </w:pPr>
      <w:r>
        <w:rPr>
          <w:sz w:val="24"/>
        </w:rPr>
        <w:t>Jaggi, R.K., Madaan, R; Singh, B. (2003). Anticonvulsant Potential of holy basil, </w:t>
      </w:r>
      <w:r>
        <w:rPr>
          <w:i/>
          <w:sz w:val="24"/>
        </w:rPr>
        <w:t>Ocimum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sanctum</w:t>
      </w:r>
      <w:r>
        <w:rPr>
          <w:i/>
          <w:spacing w:val="-2"/>
          <w:sz w:val="24"/>
        </w:rPr>
        <w:t> </w:t>
      </w:r>
      <w:r>
        <w:rPr>
          <w:sz w:val="24"/>
        </w:rPr>
        <w:t>linn-in mice. </w:t>
      </w:r>
      <w:r>
        <w:rPr>
          <w:i/>
          <w:sz w:val="24"/>
        </w:rPr>
        <w:t>Indian 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Experimental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Biology</w:t>
      </w:r>
      <w:r>
        <w:rPr>
          <w:sz w:val="24"/>
        </w:rPr>
        <w:t>: 44:133-136.</w:t>
      </w:r>
    </w:p>
    <w:p>
      <w:pPr>
        <w:spacing w:after="0"/>
        <w:jc w:val="both"/>
        <w:rPr>
          <w:sz w:val="24"/>
        </w:rPr>
        <w:sectPr>
          <w:pgSz w:w="12240" w:h="15840"/>
          <w:pgMar w:header="0" w:footer="792" w:top="1320" w:bottom="980" w:left="1580" w:right="1320"/>
        </w:sectPr>
      </w:pPr>
    </w:p>
    <w:p>
      <w:pPr>
        <w:pStyle w:val="BodyText"/>
        <w:spacing w:before="72"/>
        <w:ind w:left="671" w:right="120" w:hanging="452"/>
        <w:jc w:val="both"/>
      </w:pPr>
      <w:r>
        <w:rPr/>
        <w:t>Jendrassik, L. and Grof, P.G. (1938): Biochem 2:297-8. In: District Laboratory Practice in</w:t>
      </w:r>
      <w:r>
        <w:rPr>
          <w:spacing w:val="1"/>
        </w:rPr>
        <w:t> </w:t>
      </w:r>
      <w:r>
        <w:rPr/>
        <w:t>Tropical</w:t>
      </w:r>
      <w:r>
        <w:rPr>
          <w:spacing w:val="-1"/>
        </w:rPr>
        <w:t> </w:t>
      </w:r>
      <w:r>
        <w:rPr/>
        <w:t>Countries Part I.</w:t>
      </w:r>
      <w:r>
        <w:rPr>
          <w:spacing w:val="2"/>
        </w:rPr>
        <w:t> </w:t>
      </w:r>
      <w:r>
        <w:rPr/>
        <w:t>Cheesbrough, M.</w:t>
      </w:r>
      <w:r>
        <w:rPr>
          <w:spacing w:val="-1"/>
        </w:rPr>
        <w:t> </w:t>
      </w:r>
      <w:r>
        <w:rPr/>
        <w:t>(1998) Ed</w:t>
      </w:r>
      <w:r>
        <w:rPr>
          <w:spacing w:val="-1"/>
        </w:rPr>
        <w:t> </w:t>
      </w:r>
      <w:r>
        <w:rPr/>
        <w:t>Cambridge.</w:t>
      </w:r>
    </w:p>
    <w:p>
      <w:pPr>
        <w:pStyle w:val="BodyText"/>
      </w:pPr>
    </w:p>
    <w:p>
      <w:pPr>
        <w:spacing w:before="0"/>
        <w:ind w:left="671" w:right="113" w:hanging="452"/>
        <w:jc w:val="both"/>
        <w:rPr>
          <w:sz w:val="24"/>
        </w:rPr>
      </w:pPr>
      <w:r>
        <w:rPr>
          <w:sz w:val="24"/>
        </w:rPr>
        <w:t>Jennings, M.T. and Bird, T.D. (1981). Genetic Influence in the epilepsies: Review of the</w:t>
      </w:r>
      <w:r>
        <w:rPr>
          <w:spacing w:val="1"/>
          <w:sz w:val="24"/>
        </w:rPr>
        <w:t> </w:t>
      </w:r>
      <w:r>
        <w:rPr>
          <w:sz w:val="24"/>
        </w:rPr>
        <w:t>Literature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1"/>
          <w:sz w:val="24"/>
        </w:rPr>
        <w:t> </w:t>
      </w:r>
      <w:r>
        <w:rPr>
          <w:sz w:val="24"/>
        </w:rPr>
        <w:t>practical</w:t>
      </w:r>
      <w:r>
        <w:rPr>
          <w:spacing w:val="1"/>
          <w:sz w:val="24"/>
        </w:rPr>
        <w:t> </w:t>
      </w:r>
      <w:r>
        <w:rPr>
          <w:sz w:val="24"/>
        </w:rPr>
        <w:t>Implications.</w:t>
      </w:r>
      <w:r>
        <w:rPr>
          <w:spacing w:val="1"/>
          <w:sz w:val="24"/>
        </w:rPr>
        <w:t> </w:t>
      </w:r>
      <w:r>
        <w:rPr>
          <w:i/>
          <w:sz w:val="24"/>
        </w:rPr>
        <w:t>American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Diseases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Children</w:t>
      </w:r>
      <w:r>
        <w:rPr>
          <w:i/>
          <w:spacing w:val="-57"/>
          <w:sz w:val="24"/>
        </w:rPr>
        <w:t> </w:t>
      </w:r>
      <w:r>
        <w:rPr>
          <w:sz w:val="24"/>
        </w:rPr>
        <w:t>135:450-7.</w:t>
      </w:r>
    </w:p>
    <w:p>
      <w:pPr>
        <w:spacing w:after="0"/>
        <w:jc w:val="both"/>
        <w:rPr>
          <w:sz w:val="24"/>
        </w:rPr>
        <w:sectPr>
          <w:pgSz w:w="12240" w:h="15840"/>
          <w:pgMar w:header="0" w:footer="792" w:top="1360" w:bottom="980" w:left="1580" w:right="1320"/>
        </w:sectPr>
      </w:pPr>
    </w:p>
    <w:p>
      <w:pPr>
        <w:spacing w:before="72"/>
        <w:ind w:left="671" w:right="114" w:hanging="452"/>
        <w:jc w:val="both"/>
        <w:rPr>
          <w:sz w:val="24"/>
        </w:rPr>
      </w:pPr>
      <w:r>
        <w:rPr>
          <w:sz w:val="24"/>
        </w:rPr>
        <w:t>Jigam,</w:t>
      </w:r>
      <w:r>
        <w:rPr>
          <w:spacing w:val="1"/>
          <w:sz w:val="24"/>
        </w:rPr>
        <w:t> </w:t>
      </w:r>
      <w:r>
        <w:rPr>
          <w:sz w:val="24"/>
        </w:rPr>
        <w:t>A.A,</w:t>
      </w:r>
      <w:r>
        <w:rPr>
          <w:spacing w:val="1"/>
          <w:sz w:val="24"/>
        </w:rPr>
        <w:t> </w:t>
      </w:r>
      <w:r>
        <w:rPr>
          <w:sz w:val="24"/>
        </w:rPr>
        <w:t>Usman,</w:t>
      </w:r>
      <w:r>
        <w:rPr>
          <w:spacing w:val="1"/>
          <w:sz w:val="24"/>
        </w:rPr>
        <w:t> </w:t>
      </w:r>
      <w:r>
        <w:rPr>
          <w:sz w:val="24"/>
        </w:rPr>
        <w:t>T.A,</w:t>
      </w:r>
      <w:r>
        <w:rPr>
          <w:spacing w:val="1"/>
          <w:sz w:val="24"/>
        </w:rPr>
        <w:t> </w:t>
      </w:r>
      <w:r>
        <w:rPr>
          <w:sz w:val="24"/>
        </w:rPr>
        <w:t>Ruqayya</w:t>
      </w:r>
      <w:r>
        <w:rPr>
          <w:spacing w:val="1"/>
          <w:sz w:val="24"/>
        </w:rPr>
        <w:t> </w:t>
      </w:r>
      <w:r>
        <w:rPr>
          <w:sz w:val="24"/>
        </w:rPr>
        <w:t>S.S;</w:t>
      </w:r>
      <w:r>
        <w:rPr>
          <w:spacing w:val="1"/>
          <w:sz w:val="24"/>
        </w:rPr>
        <w:t> </w:t>
      </w:r>
      <w:r>
        <w:rPr>
          <w:sz w:val="24"/>
        </w:rPr>
        <w:t>Patience,</w:t>
      </w:r>
      <w:r>
        <w:rPr>
          <w:spacing w:val="1"/>
          <w:sz w:val="24"/>
        </w:rPr>
        <w:t> </w:t>
      </w:r>
      <w:r>
        <w:rPr>
          <w:sz w:val="24"/>
        </w:rPr>
        <w:t>S.K;</w:t>
      </w:r>
      <w:r>
        <w:rPr>
          <w:spacing w:val="1"/>
          <w:sz w:val="24"/>
        </w:rPr>
        <w:t> </w:t>
      </w:r>
      <w:r>
        <w:rPr>
          <w:sz w:val="24"/>
        </w:rPr>
        <w:t>(2012):</w:t>
      </w:r>
      <w:r>
        <w:rPr>
          <w:spacing w:val="1"/>
          <w:sz w:val="24"/>
        </w:rPr>
        <w:t> </w:t>
      </w:r>
      <w:r>
        <w:rPr>
          <w:sz w:val="24"/>
        </w:rPr>
        <w:t>Effects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sub-chronic</w:t>
      </w:r>
      <w:r>
        <w:rPr>
          <w:spacing w:val="1"/>
          <w:sz w:val="24"/>
        </w:rPr>
        <w:t> </w:t>
      </w:r>
      <w:r>
        <w:rPr>
          <w:sz w:val="24"/>
        </w:rPr>
        <w:t>administration of‟ </w:t>
      </w:r>
      <w:r>
        <w:rPr>
          <w:i/>
          <w:sz w:val="24"/>
        </w:rPr>
        <w:t>Diospyros mespiliformis </w:t>
      </w:r>
      <w:r>
        <w:rPr>
          <w:sz w:val="24"/>
        </w:rPr>
        <w:t>Hochst (Ebenaceae) Root Extracts on some</w:t>
      </w:r>
      <w:r>
        <w:rPr>
          <w:spacing w:val="1"/>
          <w:sz w:val="24"/>
        </w:rPr>
        <w:t> </w:t>
      </w:r>
      <w:r>
        <w:rPr>
          <w:sz w:val="24"/>
        </w:rPr>
        <w:t>Biochemical Parameters in Mice. </w:t>
      </w:r>
      <w:r>
        <w:rPr>
          <w:i/>
          <w:sz w:val="24"/>
        </w:rPr>
        <w:t>Journal of Applied Pharmaceutical Science </w:t>
      </w:r>
      <w:r>
        <w:rPr>
          <w:sz w:val="24"/>
        </w:rPr>
        <w:t>02(05) 60-</w:t>
      </w:r>
      <w:r>
        <w:rPr>
          <w:spacing w:val="-57"/>
          <w:sz w:val="24"/>
        </w:rPr>
        <w:t> </w:t>
      </w:r>
      <w:r>
        <w:rPr>
          <w:sz w:val="24"/>
        </w:rPr>
        <w:t>64.</w:t>
      </w:r>
    </w:p>
    <w:p>
      <w:pPr>
        <w:pStyle w:val="BodyText"/>
      </w:pPr>
    </w:p>
    <w:p>
      <w:pPr>
        <w:pStyle w:val="BodyText"/>
        <w:ind w:left="671" w:right="126" w:hanging="452"/>
        <w:jc w:val="both"/>
      </w:pPr>
      <w:r>
        <w:rPr/>
        <w:t>Jilek-Aall,</w:t>
      </w:r>
      <w:r>
        <w:rPr>
          <w:spacing w:val="1"/>
        </w:rPr>
        <w:t> </w:t>
      </w:r>
      <w:r>
        <w:rPr/>
        <w:t>L.</w:t>
      </w:r>
      <w:r>
        <w:rPr>
          <w:spacing w:val="1"/>
        </w:rPr>
        <w:t> </w:t>
      </w:r>
      <w:r>
        <w:rPr/>
        <w:t>(1999).</w:t>
      </w:r>
      <w:r>
        <w:rPr>
          <w:spacing w:val="1"/>
        </w:rPr>
        <w:t> </w:t>
      </w:r>
      <w:r>
        <w:rPr/>
        <w:t>“Morbus</w:t>
      </w:r>
      <w:r>
        <w:rPr>
          <w:spacing w:val="1"/>
        </w:rPr>
        <w:t> </w:t>
      </w:r>
      <w:r>
        <w:rPr/>
        <w:t>Sacer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Africa: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Religious</w:t>
      </w:r>
      <w:r>
        <w:rPr>
          <w:spacing w:val="1"/>
        </w:rPr>
        <w:t> </w:t>
      </w:r>
      <w:r>
        <w:rPr/>
        <w:t>aspect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epilepsy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traditional</w:t>
      </w:r>
      <w:r>
        <w:rPr>
          <w:spacing w:val="-1"/>
        </w:rPr>
        <w:t> </w:t>
      </w:r>
      <w:r>
        <w:rPr/>
        <w:t>cultures”. </w:t>
      </w:r>
      <w:r>
        <w:rPr>
          <w:i/>
        </w:rPr>
        <w:t>Epilepsia</w:t>
      </w:r>
      <w:r>
        <w:rPr>
          <w:i/>
          <w:spacing w:val="1"/>
        </w:rPr>
        <w:t> </w:t>
      </w:r>
      <w:r>
        <w:rPr/>
        <w:t>40(3): 382-6.</w:t>
      </w:r>
    </w:p>
    <w:p>
      <w:pPr>
        <w:pStyle w:val="BodyText"/>
      </w:pPr>
    </w:p>
    <w:p>
      <w:pPr>
        <w:pStyle w:val="BodyText"/>
        <w:ind w:left="220"/>
        <w:jc w:val="both"/>
      </w:pPr>
      <w:r>
        <w:rPr/>
        <w:t>Johnston,</w:t>
      </w:r>
      <w:r>
        <w:rPr>
          <w:spacing w:val="20"/>
        </w:rPr>
        <w:t> </w:t>
      </w:r>
      <w:r>
        <w:rPr/>
        <w:t>D.E.</w:t>
      </w:r>
      <w:r>
        <w:rPr>
          <w:spacing w:val="20"/>
        </w:rPr>
        <w:t> </w:t>
      </w:r>
      <w:r>
        <w:rPr/>
        <w:t>(1999):</w:t>
      </w:r>
      <w:r>
        <w:rPr>
          <w:spacing w:val="20"/>
        </w:rPr>
        <w:t> </w:t>
      </w:r>
      <w:r>
        <w:rPr/>
        <w:t>Special</w:t>
      </w:r>
      <w:r>
        <w:rPr>
          <w:spacing w:val="21"/>
        </w:rPr>
        <w:t> </w:t>
      </w:r>
      <w:r>
        <w:rPr/>
        <w:t>considerations</w:t>
      </w:r>
      <w:r>
        <w:rPr>
          <w:spacing w:val="20"/>
        </w:rPr>
        <w:t> </w:t>
      </w:r>
      <w:r>
        <w:rPr/>
        <w:t>in</w:t>
      </w:r>
      <w:r>
        <w:rPr>
          <w:spacing w:val="24"/>
        </w:rPr>
        <w:t> </w:t>
      </w:r>
      <w:r>
        <w:rPr/>
        <w:t>interpreting</w:t>
      </w:r>
      <w:r>
        <w:rPr>
          <w:spacing w:val="17"/>
        </w:rPr>
        <w:t> </w:t>
      </w:r>
      <w:r>
        <w:rPr/>
        <w:t>liver</w:t>
      </w:r>
      <w:r>
        <w:rPr>
          <w:spacing w:val="23"/>
        </w:rPr>
        <w:t> </w:t>
      </w:r>
      <w:r>
        <w:rPr/>
        <w:t>function</w:t>
      </w:r>
      <w:r>
        <w:rPr>
          <w:spacing w:val="20"/>
        </w:rPr>
        <w:t> </w:t>
      </w:r>
      <w:r>
        <w:rPr/>
        <w:t>tests.</w:t>
      </w:r>
      <w:r>
        <w:rPr>
          <w:spacing w:val="24"/>
        </w:rPr>
        <w:t> </w:t>
      </w:r>
      <w:r>
        <w:rPr>
          <w:i/>
        </w:rPr>
        <w:t>American</w:t>
      </w:r>
      <w:r>
        <w:rPr/>
        <w:t>.</w:t>
      </w:r>
    </w:p>
    <w:p>
      <w:pPr>
        <w:spacing w:before="0"/>
        <w:ind w:left="671" w:right="0" w:firstLine="0"/>
        <w:jc w:val="left"/>
        <w:rPr>
          <w:sz w:val="24"/>
        </w:rPr>
      </w:pPr>
      <w:r>
        <w:rPr>
          <w:i/>
          <w:sz w:val="24"/>
        </w:rPr>
        <w:t>Family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Physician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59:2223-2230.</w:t>
      </w:r>
    </w:p>
    <w:p>
      <w:pPr>
        <w:pStyle w:val="BodyText"/>
      </w:pPr>
    </w:p>
    <w:p>
      <w:pPr>
        <w:spacing w:before="0"/>
        <w:ind w:left="220" w:right="0" w:firstLine="0"/>
        <w:jc w:val="both"/>
        <w:rPr>
          <w:i/>
          <w:sz w:val="24"/>
        </w:rPr>
      </w:pPr>
      <w:r>
        <w:rPr>
          <w:sz w:val="24"/>
        </w:rPr>
        <w:t>Johnston,</w:t>
      </w:r>
      <w:r>
        <w:rPr>
          <w:spacing w:val="8"/>
          <w:sz w:val="24"/>
        </w:rPr>
        <w:t> </w:t>
      </w:r>
      <w:r>
        <w:rPr>
          <w:sz w:val="24"/>
        </w:rPr>
        <w:t>G.A.R.</w:t>
      </w:r>
      <w:r>
        <w:rPr>
          <w:spacing w:val="9"/>
          <w:sz w:val="24"/>
        </w:rPr>
        <w:t> </w:t>
      </w:r>
      <w:r>
        <w:rPr>
          <w:sz w:val="24"/>
        </w:rPr>
        <w:t>(1996).</w:t>
      </w:r>
      <w:r>
        <w:rPr>
          <w:spacing w:val="8"/>
          <w:sz w:val="24"/>
        </w:rPr>
        <w:t> </w:t>
      </w:r>
      <w:r>
        <w:rPr>
          <w:sz w:val="24"/>
        </w:rPr>
        <w:t>GABA</w:t>
      </w:r>
      <w:r>
        <w:rPr>
          <w:sz w:val="24"/>
          <w:vertAlign w:val="subscript"/>
        </w:rPr>
        <w:t>A</w:t>
      </w:r>
      <w:r>
        <w:rPr>
          <w:spacing w:val="6"/>
          <w:sz w:val="24"/>
          <w:vertAlign w:val="baseline"/>
        </w:rPr>
        <w:t> </w:t>
      </w:r>
      <w:r>
        <w:rPr>
          <w:sz w:val="24"/>
          <w:vertAlign w:val="baseline"/>
        </w:rPr>
        <w:t>Receptor</w:t>
      </w:r>
      <w:r>
        <w:rPr>
          <w:spacing w:val="10"/>
          <w:sz w:val="24"/>
          <w:vertAlign w:val="baseline"/>
        </w:rPr>
        <w:t> </w:t>
      </w:r>
      <w:r>
        <w:rPr>
          <w:sz w:val="24"/>
          <w:vertAlign w:val="baseline"/>
        </w:rPr>
        <w:t>Pharmacology.</w:t>
      </w:r>
      <w:r>
        <w:rPr>
          <w:spacing w:val="14"/>
          <w:sz w:val="24"/>
          <w:vertAlign w:val="baseline"/>
        </w:rPr>
        <w:t> </w:t>
      </w:r>
      <w:r>
        <w:rPr>
          <w:i/>
          <w:sz w:val="24"/>
          <w:vertAlign w:val="baseline"/>
        </w:rPr>
        <w:t>Pharmacology</w:t>
      </w:r>
      <w:r>
        <w:rPr>
          <w:i/>
          <w:spacing w:val="8"/>
          <w:sz w:val="24"/>
          <w:vertAlign w:val="baseline"/>
        </w:rPr>
        <w:t> </w:t>
      </w:r>
      <w:r>
        <w:rPr>
          <w:i/>
          <w:sz w:val="24"/>
          <w:vertAlign w:val="baseline"/>
        </w:rPr>
        <w:t>and</w:t>
      </w:r>
      <w:r>
        <w:rPr>
          <w:i/>
          <w:spacing w:val="9"/>
          <w:sz w:val="24"/>
          <w:vertAlign w:val="baseline"/>
        </w:rPr>
        <w:t> </w:t>
      </w:r>
      <w:r>
        <w:rPr>
          <w:i/>
          <w:sz w:val="24"/>
          <w:vertAlign w:val="baseline"/>
        </w:rPr>
        <w:t>Therapeutics</w:t>
      </w:r>
    </w:p>
    <w:p>
      <w:pPr>
        <w:pStyle w:val="BodyText"/>
        <w:ind w:left="671"/>
      </w:pPr>
      <w:r>
        <w:rPr/>
        <w:t>69,</w:t>
      </w:r>
      <w:r>
        <w:rPr>
          <w:spacing w:val="-1"/>
        </w:rPr>
        <w:t> </w:t>
      </w:r>
      <w:r>
        <w:rPr/>
        <w:t>173-198.</w:t>
      </w:r>
    </w:p>
    <w:p>
      <w:pPr>
        <w:pStyle w:val="BodyText"/>
        <w:spacing w:before="1"/>
      </w:pPr>
    </w:p>
    <w:p>
      <w:pPr>
        <w:pStyle w:val="BodyText"/>
        <w:ind w:left="671" w:right="116" w:hanging="452"/>
        <w:jc w:val="both"/>
      </w:pPr>
      <w:r>
        <w:rPr/>
        <w:t>Jung M.J;</w:t>
      </w:r>
      <w:r>
        <w:rPr>
          <w:spacing w:val="1"/>
        </w:rPr>
        <w:t> </w:t>
      </w:r>
      <w:r>
        <w:rPr/>
        <w:t>Lippert,</w:t>
      </w:r>
      <w:r>
        <w:rPr>
          <w:spacing w:val="1"/>
        </w:rPr>
        <w:t> </w:t>
      </w:r>
      <w:r>
        <w:rPr/>
        <w:t>B;</w:t>
      </w:r>
      <w:r>
        <w:rPr>
          <w:spacing w:val="1"/>
        </w:rPr>
        <w:t> </w:t>
      </w:r>
      <w:r>
        <w:rPr/>
        <w:t>Metkalf,</w:t>
      </w:r>
      <w:r>
        <w:rPr>
          <w:spacing w:val="1"/>
        </w:rPr>
        <w:t> </w:t>
      </w:r>
      <w:r>
        <w:rPr/>
        <w:t>B;</w:t>
      </w:r>
      <w:r>
        <w:rPr>
          <w:spacing w:val="1"/>
        </w:rPr>
        <w:t> </w:t>
      </w:r>
      <w:r>
        <w:rPr/>
        <w:t>Bohlen,</w:t>
      </w:r>
      <w:r>
        <w:rPr>
          <w:spacing w:val="1"/>
        </w:rPr>
        <w:t> </w:t>
      </w:r>
      <w:r>
        <w:rPr/>
        <w:t>P.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Schechter,</w:t>
      </w:r>
      <w:r>
        <w:rPr>
          <w:spacing w:val="1"/>
        </w:rPr>
        <w:t> </w:t>
      </w:r>
      <w:r>
        <w:rPr/>
        <w:t>P.J</w:t>
      </w:r>
      <w:r>
        <w:rPr>
          <w:spacing w:val="1"/>
        </w:rPr>
        <w:t> </w:t>
      </w:r>
      <w:r>
        <w:rPr/>
        <w:t>(1977):</w:t>
      </w:r>
      <w:r>
        <w:rPr>
          <w:spacing w:val="60"/>
        </w:rPr>
        <w:t> </w:t>
      </w:r>
      <w:r>
        <w:rPr/>
        <w:t>Gamma-vinyl</w:t>
      </w:r>
      <w:r>
        <w:rPr>
          <w:spacing w:val="1"/>
        </w:rPr>
        <w:t> </w:t>
      </w:r>
      <w:r>
        <w:rPr/>
        <w:t>GABA (4-amino-hex-5-enoic acid) a new irreversible inhibitor of GABA-T effects on</w:t>
      </w:r>
      <w:r>
        <w:rPr>
          <w:spacing w:val="1"/>
        </w:rPr>
        <w:t> </w:t>
      </w:r>
      <w:r>
        <w:rPr/>
        <w:t>brain</w:t>
      </w:r>
      <w:r>
        <w:rPr>
          <w:spacing w:val="-1"/>
        </w:rPr>
        <w:t> </w:t>
      </w:r>
      <w:r>
        <w:rPr/>
        <w:t>GABA metabolism in</w:t>
      </w:r>
      <w:r>
        <w:rPr>
          <w:spacing w:val="-1"/>
        </w:rPr>
        <w:t> </w:t>
      </w:r>
      <w:r>
        <w:rPr/>
        <w:t>mice.</w:t>
      </w:r>
      <w:r>
        <w:rPr>
          <w:spacing w:val="2"/>
        </w:rPr>
        <w:t> </w:t>
      </w:r>
      <w:r>
        <w:rPr>
          <w:i/>
        </w:rPr>
        <w:t>Journal of</w:t>
      </w:r>
      <w:r>
        <w:rPr>
          <w:i/>
          <w:spacing w:val="-1"/>
        </w:rPr>
        <w:t> </w:t>
      </w:r>
      <w:r>
        <w:rPr>
          <w:i/>
        </w:rPr>
        <w:t>Neurochem</w:t>
      </w:r>
      <w:r>
        <w:rPr/>
        <w:t>istry</w:t>
      </w:r>
      <w:r>
        <w:rPr>
          <w:spacing w:val="-4"/>
        </w:rPr>
        <w:t> </w:t>
      </w:r>
      <w:r>
        <w:rPr/>
        <w:t>29:797-802.</w:t>
      </w:r>
    </w:p>
    <w:p>
      <w:pPr>
        <w:pStyle w:val="BodyText"/>
      </w:pPr>
    </w:p>
    <w:p>
      <w:pPr>
        <w:pStyle w:val="BodyText"/>
        <w:ind w:left="220"/>
        <w:jc w:val="both"/>
      </w:pPr>
      <w:r>
        <w:rPr/>
        <w:t>Kaplowitz,</w:t>
      </w:r>
      <w:r>
        <w:rPr>
          <w:spacing w:val="-1"/>
        </w:rPr>
        <w:t> </w:t>
      </w:r>
      <w:r>
        <w:rPr/>
        <w:t>N.</w:t>
      </w:r>
      <w:r>
        <w:rPr>
          <w:spacing w:val="-1"/>
        </w:rPr>
        <w:t> </w:t>
      </w:r>
      <w:r>
        <w:rPr/>
        <w:t>(2007):</w:t>
      </w:r>
      <w:r>
        <w:rPr>
          <w:spacing w:val="-1"/>
        </w:rPr>
        <w:t> </w:t>
      </w:r>
      <w:r>
        <w:rPr/>
        <w:t>Drug</w:t>
      </w:r>
      <w:r>
        <w:rPr>
          <w:spacing w:val="-4"/>
        </w:rPr>
        <w:t> </w:t>
      </w:r>
      <w:r>
        <w:rPr/>
        <w:t>induced</w:t>
      </w:r>
      <w:r>
        <w:rPr>
          <w:spacing w:val="-1"/>
        </w:rPr>
        <w:t> </w:t>
      </w:r>
      <w:r>
        <w:rPr/>
        <w:t>liver</w:t>
      </w:r>
      <w:r>
        <w:rPr>
          <w:spacing w:val="-1"/>
        </w:rPr>
        <w:t> </w:t>
      </w:r>
      <w:r>
        <w:rPr/>
        <w:t>Disease 2</w:t>
      </w:r>
      <w:r>
        <w:rPr>
          <w:vertAlign w:val="superscript"/>
        </w:rPr>
        <w:t>nd</w:t>
      </w:r>
      <w:r>
        <w:rPr>
          <w:vertAlign w:val="baseline"/>
        </w:rPr>
        <w:t> Ed.</w:t>
      </w:r>
      <w:r>
        <w:rPr>
          <w:spacing w:val="-1"/>
          <w:vertAlign w:val="baseline"/>
        </w:rPr>
        <w:t> </w:t>
      </w:r>
      <w:r>
        <w:rPr>
          <w:vertAlign w:val="baseline"/>
        </w:rPr>
        <w:t>New</w:t>
      </w:r>
      <w:r>
        <w:rPr>
          <w:spacing w:val="-1"/>
          <w:vertAlign w:val="baseline"/>
        </w:rPr>
        <w:t> </w:t>
      </w:r>
      <w:r>
        <w:rPr>
          <w:vertAlign w:val="baseline"/>
        </w:rPr>
        <w:t>York:</w:t>
      </w:r>
      <w:r>
        <w:rPr>
          <w:spacing w:val="1"/>
          <w:vertAlign w:val="baseline"/>
        </w:rPr>
        <w:t> </w:t>
      </w:r>
      <w:r>
        <w:rPr>
          <w:vertAlign w:val="baseline"/>
        </w:rPr>
        <w:t>Informa.</w:t>
      </w:r>
    </w:p>
    <w:p>
      <w:pPr>
        <w:pStyle w:val="BodyText"/>
        <w:ind w:left="220"/>
        <w:jc w:val="both"/>
      </w:pPr>
      <w:r>
        <w:rPr/>
        <w:t>Katzung, BG</w:t>
      </w:r>
      <w:r>
        <w:rPr>
          <w:spacing w:val="-1"/>
        </w:rPr>
        <w:t> </w:t>
      </w:r>
      <w:r>
        <w:rPr/>
        <w:t>(2004):</w:t>
      </w:r>
      <w:r>
        <w:rPr>
          <w:spacing w:val="1"/>
        </w:rPr>
        <w:t> </w:t>
      </w:r>
      <w:r>
        <w:rPr/>
        <w:t>Basic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Clinical</w:t>
      </w:r>
      <w:r>
        <w:rPr>
          <w:spacing w:val="-1"/>
        </w:rPr>
        <w:t> </w:t>
      </w:r>
      <w:r>
        <w:rPr/>
        <w:t>Pharmacology.</w:t>
      </w:r>
      <w:r>
        <w:rPr>
          <w:spacing w:val="-1"/>
        </w:rPr>
        <w:t> </w:t>
      </w:r>
      <w:r>
        <w:rPr/>
        <w:t>9</w:t>
      </w:r>
      <w:r>
        <w:rPr>
          <w:vertAlign w:val="superscript"/>
        </w:rPr>
        <w:t>th</w:t>
      </w:r>
      <w:r>
        <w:rPr>
          <w:vertAlign w:val="baseline"/>
        </w:rPr>
        <w:t> Ed.</w:t>
      </w:r>
      <w:r>
        <w:rPr>
          <w:spacing w:val="-1"/>
          <w:vertAlign w:val="baseline"/>
        </w:rPr>
        <w:t> </w:t>
      </w:r>
      <w:r>
        <w:rPr>
          <w:vertAlign w:val="baseline"/>
        </w:rPr>
        <w:t>McGraw</w:t>
      </w:r>
      <w:r>
        <w:rPr>
          <w:spacing w:val="-2"/>
          <w:vertAlign w:val="baseline"/>
        </w:rPr>
        <w:t> </w:t>
      </w:r>
      <w:r>
        <w:rPr>
          <w:vertAlign w:val="baseline"/>
        </w:rPr>
        <w:t>Hill</w:t>
      </w:r>
      <w:r>
        <w:rPr>
          <w:spacing w:val="-1"/>
          <w:vertAlign w:val="baseline"/>
        </w:rPr>
        <w:t> </w:t>
      </w:r>
      <w:r>
        <w:rPr>
          <w:vertAlign w:val="baseline"/>
        </w:rPr>
        <w:t>USA</w:t>
      </w:r>
      <w:r>
        <w:rPr>
          <w:spacing w:val="-1"/>
          <w:vertAlign w:val="baseline"/>
        </w:rPr>
        <w:t> </w:t>
      </w:r>
      <w:r>
        <w:rPr>
          <w:vertAlign w:val="baseline"/>
        </w:rPr>
        <w:t>Pp.</w:t>
      </w:r>
      <w:r>
        <w:rPr>
          <w:spacing w:val="-1"/>
          <w:vertAlign w:val="baseline"/>
        </w:rPr>
        <w:t> </w:t>
      </w:r>
      <w:r>
        <w:rPr>
          <w:vertAlign w:val="baseline"/>
        </w:rPr>
        <w:t>396.</w:t>
      </w:r>
    </w:p>
    <w:p>
      <w:pPr>
        <w:pStyle w:val="BodyText"/>
      </w:pPr>
    </w:p>
    <w:p>
      <w:pPr>
        <w:pStyle w:val="BodyText"/>
        <w:ind w:left="220"/>
        <w:jc w:val="both"/>
      </w:pPr>
      <w:r>
        <w:rPr/>
        <w:t>Kelley,</w:t>
      </w:r>
      <w:r>
        <w:rPr>
          <w:spacing w:val="16"/>
        </w:rPr>
        <w:t> </w:t>
      </w:r>
      <w:r>
        <w:rPr/>
        <w:t>K.</w:t>
      </w:r>
      <w:r>
        <w:rPr>
          <w:spacing w:val="77"/>
        </w:rPr>
        <w:t> </w:t>
      </w:r>
      <w:r>
        <w:rPr/>
        <w:t>and</w:t>
      </w:r>
      <w:r>
        <w:rPr>
          <w:spacing w:val="78"/>
        </w:rPr>
        <w:t> </w:t>
      </w:r>
      <w:r>
        <w:rPr/>
        <w:t>Theodore,</w:t>
      </w:r>
      <w:r>
        <w:rPr>
          <w:spacing w:val="75"/>
        </w:rPr>
        <w:t> </w:t>
      </w:r>
      <w:r>
        <w:rPr/>
        <w:t>W.H.</w:t>
      </w:r>
      <w:r>
        <w:rPr>
          <w:spacing w:val="76"/>
        </w:rPr>
        <w:t> </w:t>
      </w:r>
      <w:r>
        <w:rPr/>
        <w:t>(2005):</w:t>
      </w:r>
      <w:r>
        <w:rPr>
          <w:spacing w:val="76"/>
        </w:rPr>
        <w:t> </w:t>
      </w:r>
      <w:r>
        <w:rPr/>
        <w:t>Prognosis</w:t>
      </w:r>
      <w:r>
        <w:rPr>
          <w:spacing w:val="75"/>
        </w:rPr>
        <w:t> </w:t>
      </w:r>
      <w:r>
        <w:rPr/>
        <w:t>30</w:t>
      </w:r>
      <w:r>
        <w:rPr>
          <w:spacing w:val="78"/>
        </w:rPr>
        <w:t> </w:t>
      </w:r>
      <w:r>
        <w:rPr/>
        <w:t>years</w:t>
      </w:r>
      <w:r>
        <w:rPr>
          <w:spacing w:val="76"/>
        </w:rPr>
        <w:t> </w:t>
      </w:r>
      <w:r>
        <w:rPr/>
        <w:t>after</w:t>
      </w:r>
      <w:r>
        <w:rPr>
          <w:spacing w:val="74"/>
        </w:rPr>
        <w:t> </w:t>
      </w:r>
      <w:r>
        <w:rPr/>
        <w:t>temporal</w:t>
      </w:r>
      <w:r>
        <w:rPr>
          <w:spacing w:val="77"/>
        </w:rPr>
        <w:t> </w:t>
      </w:r>
      <w:r>
        <w:rPr/>
        <w:t>lobectomy</w:t>
      </w:r>
    </w:p>
    <w:p>
      <w:pPr>
        <w:spacing w:before="0"/>
        <w:ind w:left="671" w:right="0" w:firstLine="0"/>
        <w:jc w:val="left"/>
        <w:rPr>
          <w:sz w:val="24"/>
        </w:rPr>
      </w:pPr>
      <w:r>
        <w:rPr>
          <w:i/>
          <w:sz w:val="24"/>
        </w:rPr>
        <w:t>Neurology</w:t>
      </w:r>
      <w:r>
        <w:rPr>
          <w:i/>
          <w:spacing w:val="-1"/>
          <w:sz w:val="24"/>
        </w:rPr>
        <w:t> </w:t>
      </w:r>
      <w:r>
        <w:rPr>
          <w:sz w:val="24"/>
        </w:rPr>
        <w:t>64(11):</w:t>
      </w:r>
      <w:r>
        <w:rPr>
          <w:spacing w:val="-1"/>
          <w:sz w:val="24"/>
        </w:rPr>
        <w:t> </w:t>
      </w:r>
      <w:r>
        <w:rPr>
          <w:sz w:val="24"/>
        </w:rPr>
        <w:t>1974-6.</w:t>
      </w:r>
    </w:p>
    <w:p>
      <w:pPr>
        <w:pStyle w:val="BodyText"/>
      </w:pPr>
    </w:p>
    <w:p>
      <w:pPr>
        <w:pStyle w:val="BodyText"/>
        <w:ind w:left="220"/>
        <w:jc w:val="both"/>
      </w:pPr>
      <w:r>
        <w:rPr/>
        <w:t>Kenechuckwu,</w:t>
      </w:r>
      <w:r>
        <w:rPr>
          <w:spacing w:val="41"/>
        </w:rPr>
        <w:t> </w:t>
      </w:r>
      <w:r>
        <w:rPr/>
        <w:t>F.C;</w:t>
      </w:r>
      <w:r>
        <w:rPr>
          <w:spacing w:val="42"/>
        </w:rPr>
        <w:t> </w:t>
      </w:r>
      <w:r>
        <w:rPr/>
        <w:t>Mbah,</w:t>
      </w:r>
      <w:r>
        <w:rPr>
          <w:spacing w:val="41"/>
        </w:rPr>
        <w:t> </w:t>
      </w:r>
      <w:r>
        <w:rPr/>
        <w:t>C.J;</w:t>
      </w:r>
      <w:r>
        <w:rPr>
          <w:spacing w:val="40"/>
        </w:rPr>
        <w:t> </w:t>
      </w:r>
      <w:r>
        <w:rPr/>
        <w:t>Momoh,</w:t>
      </w:r>
      <w:r>
        <w:rPr>
          <w:spacing w:val="41"/>
        </w:rPr>
        <w:t> </w:t>
      </w:r>
      <w:r>
        <w:rPr/>
        <w:t>M.A,</w:t>
      </w:r>
      <w:r>
        <w:rPr>
          <w:spacing w:val="36"/>
        </w:rPr>
        <w:t> </w:t>
      </w:r>
      <w:r>
        <w:rPr/>
        <w:t>Chime,</w:t>
      </w:r>
      <w:r>
        <w:rPr>
          <w:spacing w:val="41"/>
        </w:rPr>
        <w:t> </w:t>
      </w:r>
      <w:r>
        <w:rPr/>
        <w:t>S.A.</w:t>
      </w:r>
      <w:r>
        <w:rPr>
          <w:spacing w:val="42"/>
        </w:rPr>
        <w:t> </w:t>
      </w:r>
      <w:r>
        <w:rPr/>
        <w:t>Umeyor,</w:t>
      </w:r>
      <w:r>
        <w:rPr>
          <w:spacing w:val="41"/>
        </w:rPr>
        <w:t> </w:t>
      </w:r>
      <w:r>
        <w:rPr/>
        <w:t>C.E;</w:t>
      </w:r>
      <w:r>
        <w:rPr>
          <w:spacing w:val="42"/>
        </w:rPr>
        <w:t> </w:t>
      </w:r>
      <w:r>
        <w:rPr/>
        <w:t>and</w:t>
      </w:r>
      <w:r>
        <w:rPr>
          <w:spacing w:val="41"/>
        </w:rPr>
        <w:t> </w:t>
      </w:r>
      <w:r>
        <w:rPr/>
        <w:t>Ogbonna,</w:t>
      </w:r>
    </w:p>
    <w:p>
      <w:pPr>
        <w:spacing w:before="1"/>
        <w:ind w:left="671" w:right="115" w:firstLine="0"/>
        <w:jc w:val="both"/>
        <w:rPr>
          <w:sz w:val="24"/>
        </w:rPr>
      </w:pPr>
      <w:r>
        <w:rPr>
          <w:sz w:val="24"/>
        </w:rPr>
        <w:t>J.D.N.</w:t>
      </w:r>
      <w:r>
        <w:rPr>
          <w:spacing w:val="1"/>
          <w:sz w:val="24"/>
        </w:rPr>
        <w:t> </w:t>
      </w:r>
      <w:r>
        <w:rPr>
          <w:sz w:val="24"/>
        </w:rPr>
        <w:t>(2012):</w:t>
      </w:r>
      <w:r>
        <w:rPr>
          <w:spacing w:val="1"/>
          <w:sz w:val="24"/>
        </w:rPr>
        <w:t> </w:t>
      </w:r>
      <w:r>
        <w:rPr>
          <w:sz w:val="24"/>
        </w:rPr>
        <w:t>Pharmacological</w:t>
      </w:r>
      <w:r>
        <w:rPr>
          <w:spacing w:val="1"/>
          <w:sz w:val="24"/>
        </w:rPr>
        <w:t> </w:t>
      </w:r>
      <w:r>
        <w:rPr>
          <w:sz w:val="24"/>
        </w:rPr>
        <w:t>justification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ethnomedical</w:t>
      </w:r>
      <w:r>
        <w:rPr>
          <w:spacing w:val="1"/>
          <w:sz w:val="24"/>
        </w:rPr>
        <w:t> </w:t>
      </w:r>
      <w:r>
        <w:rPr>
          <w:sz w:val="24"/>
        </w:rPr>
        <w:t>use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i/>
          <w:sz w:val="24"/>
        </w:rPr>
        <w:t>Clausena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anisata</w:t>
      </w:r>
      <w:r>
        <w:rPr>
          <w:i/>
          <w:spacing w:val="1"/>
          <w:sz w:val="24"/>
        </w:rPr>
        <w:t> </w:t>
      </w:r>
      <w:r>
        <w:rPr>
          <w:sz w:val="24"/>
        </w:rPr>
        <w:t>root</w:t>
      </w:r>
      <w:r>
        <w:rPr>
          <w:spacing w:val="1"/>
          <w:sz w:val="24"/>
        </w:rPr>
        <w:t> </w:t>
      </w:r>
      <w:r>
        <w:rPr>
          <w:sz w:val="24"/>
        </w:rPr>
        <w:t>bark</w:t>
      </w:r>
      <w:r>
        <w:rPr>
          <w:spacing w:val="1"/>
          <w:sz w:val="24"/>
        </w:rPr>
        <w:t> </w:t>
      </w:r>
      <w:r>
        <w:rPr>
          <w:sz w:val="24"/>
        </w:rPr>
        <w:t>extract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management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epilepsy.</w:t>
      </w:r>
      <w:r>
        <w:rPr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Applied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Pharmaceutical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Science</w:t>
      </w:r>
      <w:r>
        <w:rPr>
          <w:i/>
          <w:spacing w:val="2"/>
          <w:sz w:val="24"/>
        </w:rPr>
        <w:t> </w:t>
      </w:r>
      <w:r>
        <w:rPr>
          <w:b/>
          <w:sz w:val="24"/>
        </w:rPr>
        <w:t>2</w:t>
      </w:r>
      <w:r>
        <w:rPr>
          <w:sz w:val="24"/>
        </w:rPr>
        <w:t>(9): 36-40.</w:t>
      </w:r>
    </w:p>
    <w:p>
      <w:pPr>
        <w:pStyle w:val="BodyText"/>
      </w:pPr>
    </w:p>
    <w:p>
      <w:pPr>
        <w:pStyle w:val="BodyText"/>
        <w:ind w:left="220"/>
        <w:jc w:val="both"/>
        <w:rPr>
          <w:i/>
        </w:rPr>
      </w:pPr>
      <w:r>
        <w:rPr/>
        <w:t>Khan, M.R; Nkunya,</w:t>
      </w:r>
      <w:r>
        <w:rPr>
          <w:spacing w:val="1"/>
        </w:rPr>
        <w:t> </w:t>
      </w:r>
      <w:r>
        <w:rPr/>
        <w:t>M.H.H, and Wevers, H.</w:t>
      </w:r>
      <w:r>
        <w:rPr>
          <w:spacing w:val="-1"/>
        </w:rPr>
        <w:t> </w:t>
      </w:r>
      <w:r>
        <w:rPr/>
        <w:t>(1980): Triterpenoids from leaves</w:t>
      </w:r>
      <w:r>
        <w:rPr>
          <w:spacing w:val="7"/>
        </w:rPr>
        <w:t> </w:t>
      </w:r>
      <w:r>
        <w:rPr/>
        <w:t>of</w:t>
      </w:r>
      <w:r>
        <w:rPr>
          <w:spacing w:val="-1"/>
        </w:rPr>
        <w:t> </w:t>
      </w:r>
      <w:r>
        <w:rPr>
          <w:i/>
        </w:rPr>
        <w:t>Diospyros</w:t>
      </w:r>
    </w:p>
    <w:p>
      <w:pPr>
        <w:spacing w:before="0"/>
        <w:ind w:left="671" w:right="0" w:firstLine="0"/>
        <w:jc w:val="left"/>
        <w:rPr>
          <w:sz w:val="24"/>
        </w:rPr>
      </w:pPr>
      <w:r>
        <w:rPr>
          <w:sz w:val="24"/>
        </w:rPr>
        <w:t>species.</w:t>
      </w:r>
      <w:r>
        <w:rPr>
          <w:spacing w:val="-1"/>
          <w:sz w:val="24"/>
        </w:rPr>
        <w:t> </w:t>
      </w:r>
      <w:r>
        <w:rPr>
          <w:i/>
          <w:sz w:val="24"/>
        </w:rPr>
        <w:t>Plant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Medicine</w:t>
      </w:r>
      <w:r>
        <w:rPr>
          <w:i/>
          <w:spacing w:val="1"/>
          <w:sz w:val="24"/>
        </w:rPr>
        <w:t> </w:t>
      </w:r>
      <w:r>
        <w:rPr>
          <w:sz w:val="24"/>
        </w:rPr>
        <w:t>38:389-381.</w:t>
      </w:r>
    </w:p>
    <w:p>
      <w:pPr>
        <w:pStyle w:val="BodyText"/>
      </w:pPr>
    </w:p>
    <w:p>
      <w:pPr>
        <w:pStyle w:val="BodyText"/>
        <w:ind w:left="671" w:right="114" w:hanging="452"/>
        <w:jc w:val="both"/>
      </w:pPr>
      <w:r>
        <w:rPr/>
        <w:t>Kirchain, W.R. and Allen, R.E. (2008): Drug induced liver disease. In: Pharmacotherapy, a</w:t>
      </w:r>
      <w:r>
        <w:rPr>
          <w:spacing w:val="1"/>
        </w:rPr>
        <w:t> </w:t>
      </w:r>
      <w:r>
        <w:rPr/>
        <w:t>pathophysiologic approach: Edited by Joseph T. Dipiro </w:t>
      </w:r>
      <w:r>
        <w:rPr>
          <w:i/>
        </w:rPr>
        <w:t>et al</w:t>
      </w:r>
      <w:r>
        <w:rPr/>
        <w:t>, 7</w:t>
      </w:r>
      <w:r>
        <w:rPr>
          <w:vertAlign w:val="superscript"/>
        </w:rPr>
        <w:t>th</w:t>
      </w:r>
      <w:r>
        <w:rPr>
          <w:vertAlign w:val="baseline"/>
        </w:rPr>
        <w:t> Ed McGraw Hill NY Pp</w:t>
      </w:r>
      <w:r>
        <w:rPr>
          <w:spacing w:val="-57"/>
          <w:vertAlign w:val="baseline"/>
        </w:rPr>
        <w:t> </w:t>
      </w:r>
      <w:r>
        <w:rPr>
          <w:vertAlign w:val="baseline"/>
        </w:rPr>
        <w:t>651-658.</w:t>
      </w:r>
    </w:p>
    <w:p>
      <w:pPr>
        <w:pStyle w:val="BodyText"/>
      </w:pPr>
    </w:p>
    <w:p>
      <w:pPr>
        <w:spacing w:before="0"/>
        <w:ind w:left="671" w:right="114" w:hanging="452"/>
        <w:jc w:val="both"/>
        <w:rPr>
          <w:sz w:val="24"/>
        </w:rPr>
      </w:pPr>
      <w:r>
        <w:rPr>
          <w:sz w:val="24"/>
        </w:rPr>
        <w:t>Konate,A; Sawadoq, W. R;</w:t>
      </w:r>
      <w:r>
        <w:rPr>
          <w:spacing w:val="1"/>
          <w:sz w:val="24"/>
        </w:rPr>
        <w:t> </w:t>
      </w:r>
      <w:r>
        <w:rPr>
          <w:sz w:val="24"/>
        </w:rPr>
        <w:t>Dubruc, F; Caillard, O; and Guissou, I.P; (2012): Anticonvulsant</w:t>
      </w:r>
      <w:r>
        <w:rPr>
          <w:spacing w:val="-57"/>
          <w:sz w:val="24"/>
        </w:rPr>
        <w:t> </w:t>
      </w:r>
      <w:r>
        <w:rPr>
          <w:sz w:val="24"/>
        </w:rPr>
        <w:t>effects of the stem bark extract of</w:t>
      </w:r>
      <w:r>
        <w:rPr>
          <w:spacing w:val="1"/>
          <w:sz w:val="24"/>
        </w:rPr>
        <w:t> </w:t>
      </w:r>
      <w:r>
        <w:rPr>
          <w:i/>
          <w:sz w:val="24"/>
        </w:rPr>
        <w:t>Annona senegalensis Pers</w:t>
      </w:r>
      <w:r>
        <w:rPr>
          <w:sz w:val="24"/>
        </w:rPr>
        <w:t>: </w:t>
      </w:r>
      <w:r>
        <w:rPr>
          <w:i/>
          <w:sz w:val="24"/>
        </w:rPr>
        <w:t>molecular &amp; clinical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pharmacology </w:t>
      </w:r>
      <w:r>
        <w:rPr>
          <w:sz w:val="24"/>
        </w:rPr>
        <w:t>3(1),</w:t>
      </w:r>
      <w:r>
        <w:rPr>
          <w:spacing w:val="-1"/>
          <w:sz w:val="24"/>
        </w:rPr>
        <w:t> </w:t>
      </w:r>
      <w:r>
        <w:rPr>
          <w:sz w:val="24"/>
        </w:rPr>
        <w:t>62-72.</w:t>
      </w:r>
    </w:p>
    <w:p>
      <w:pPr>
        <w:pStyle w:val="BodyText"/>
      </w:pPr>
    </w:p>
    <w:p>
      <w:pPr>
        <w:pStyle w:val="BodyText"/>
        <w:spacing w:before="1"/>
        <w:ind w:left="671" w:right="116" w:hanging="452"/>
        <w:jc w:val="both"/>
      </w:pPr>
      <w:r>
        <w:rPr/>
        <w:t>Kostopoulos, G.K. (2001). Involvement of the thalamocortical system in epileptic loss of</w:t>
      </w:r>
      <w:r>
        <w:rPr>
          <w:spacing w:val="1"/>
        </w:rPr>
        <w:t> </w:t>
      </w:r>
      <w:r>
        <w:rPr/>
        <w:t>consciousness. </w:t>
      </w:r>
      <w:r>
        <w:rPr>
          <w:i/>
        </w:rPr>
        <w:t>Epilepsia</w:t>
      </w:r>
      <w:r>
        <w:rPr/>
        <w:t>, </w:t>
      </w:r>
      <w:r>
        <w:rPr>
          <w:b/>
        </w:rPr>
        <w:t>42 </w:t>
      </w:r>
      <w:r>
        <w:rPr/>
        <w:t>Suppl. 3:13-19.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671" w:right="116" w:hanging="452"/>
        <w:jc w:val="both"/>
      </w:pPr>
      <w:r>
        <w:rPr/>
        <w:t>Koutroumanidis, M; Koepp, M.J; Richardson, M.P. Camfield, C; Agathonikou, A; Ried, S; </w:t>
      </w:r>
      <w:r>
        <w:rPr>
          <w:i/>
        </w:rPr>
        <w:t>et</w:t>
      </w:r>
      <w:r>
        <w:rPr>
          <w:i/>
          <w:spacing w:val="-57"/>
        </w:rPr>
        <w:t> </w:t>
      </w:r>
      <w:r>
        <w:rPr>
          <w:i/>
        </w:rPr>
        <w:t>al </w:t>
      </w:r>
      <w:r>
        <w:rPr/>
        <w:t>(1998). The variants of reading epilepsy. A clinical and video-EEG study of 17</w:t>
      </w:r>
      <w:r>
        <w:rPr>
          <w:spacing w:val="1"/>
        </w:rPr>
        <w:t> </w:t>
      </w:r>
      <w:r>
        <w:rPr/>
        <w:t>patients</w:t>
      </w:r>
      <w:r>
        <w:rPr>
          <w:spacing w:val="-1"/>
        </w:rPr>
        <w:t> </w:t>
      </w:r>
      <w:r>
        <w:rPr/>
        <w:t>with reading</w:t>
      </w:r>
      <w:r>
        <w:rPr>
          <w:spacing w:val="-3"/>
        </w:rPr>
        <w:t> </w:t>
      </w:r>
      <w:r>
        <w:rPr/>
        <w:t>induced seizures.</w:t>
      </w:r>
      <w:r>
        <w:rPr>
          <w:spacing w:val="1"/>
        </w:rPr>
        <w:t> </w:t>
      </w:r>
      <w:r>
        <w:rPr>
          <w:i/>
        </w:rPr>
        <w:t>Brain </w:t>
      </w:r>
      <w:r>
        <w:rPr/>
        <w:t>121(8): 1409-1427.</w:t>
      </w:r>
    </w:p>
    <w:p>
      <w:pPr>
        <w:spacing w:after="0"/>
        <w:jc w:val="both"/>
        <w:sectPr>
          <w:pgSz w:w="12240" w:h="15840"/>
          <w:pgMar w:header="0" w:footer="792" w:top="1360" w:bottom="980" w:left="1580" w:right="1320"/>
        </w:sectPr>
      </w:pPr>
    </w:p>
    <w:p>
      <w:pPr>
        <w:spacing w:before="72"/>
        <w:ind w:left="671" w:right="124" w:hanging="452"/>
        <w:jc w:val="both"/>
        <w:rPr>
          <w:sz w:val="24"/>
        </w:rPr>
      </w:pPr>
      <w:r>
        <w:rPr>
          <w:sz w:val="24"/>
        </w:rPr>
        <w:t>Kuo,C,C, and Lu,L.(1997).Characterisation of lamotrigine inhibition of Na+</w:t>
      </w:r>
      <w:r>
        <w:rPr>
          <w:spacing w:val="1"/>
          <w:sz w:val="24"/>
        </w:rPr>
        <w:t> </w:t>
      </w:r>
      <w:r>
        <w:rPr>
          <w:sz w:val="24"/>
        </w:rPr>
        <w:t>channels in rat</w:t>
      </w:r>
      <w:r>
        <w:rPr>
          <w:spacing w:val="1"/>
          <w:sz w:val="24"/>
        </w:rPr>
        <w:t> </w:t>
      </w:r>
      <w:r>
        <w:rPr>
          <w:sz w:val="24"/>
        </w:rPr>
        <w:t>hippocampal</w:t>
      </w:r>
      <w:r>
        <w:rPr>
          <w:spacing w:val="-1"/>
          <w:sz w:val="24"/>
        </w:rPr>
        <w:t> </w:t>
      </w:r>
      <w:r>
        <w:rPr>
          <w:sz w:val="24"/>
        </w:rPr>
        <w:t>neurones.</w:t>
      </w:r>
      <w:r>
        <w:rPr>
          <w:i/>
          <w:sz w:val="24"/>
        </w:rPr>
        <w:t>British Journal of Pharmacology,</w:t>
      </w:r>
      <w:r>
        <w:rPr>
          <w:sz w:val="24"/>
        </w:rPr>
        <w:t>121</w:t>
      </w:r>
      <w:r>
        <w:rPr>
          <w:spacing w:val="-1"/>
          <w:sz w:val="24"/>
        </w:rPr>
        <w:t> </w:t>
      </w:r>
      <w:r>
        <w:rPr>
          <w:sz w:val="24"/>
        </w:rPr>
        <w:t>,1231-1238.</w:t>
      </w:r>
    </w:p>
    <w:p>
      <w:pPr>
        <w:pStyle w:val="BodyText"/>
      </w:pPr>
    </w:p>
    <w:p>
      <w:pPr>
        <w:pStyle w:val="BodyText"/>
        <w:ind w:left="207" w:right="102"/>
        <w:jc w:val="center"/>
      </w:pPr>
      <w:r>
        <w:rPr/>
        <w:t>Kwan,</w:t>
      </w:r>
      <w:r>
        <w:rPr>
          <w:spacing w:val="17"/>
        </w:rPr>
        <w:t> </w:t>
      </w:r>
      <w:r>
        <w:rPr/>
        <w:t>P.</w:t>
      </w:r>
      <w:r>
        <w:rPr>
          <w:spacing w:val="17"/>
        </w:rPr>
        <w:t> </w:t>
      </w:r>
      <w:r>
        <w:rPr/>
        <w:t>and</w:t>
      </w:r>
      <w:r>
        <w:rPr>
          <w:spacing w:val="17"/>
        </w:rPr>
        <w:t> </w:t>
      </w:r>
      <w:r>
        <w:rPr/>
        <w:t>Brodie,</w:t>
      </w:r>
      <w:r>
        <w:rPr>
          <w:spacing w:val="17"/>
        </w:rPr>
        <w:t> </w:t>
      </w:r>
      <w:r>
        <w:rPr/>
        <w:t>M.J.</w:t>
      </w:r>
      <w:r>
        <w:rPr>
          <w:spacing w:val="17"/>
        </w:rPr>
        <w:t> </w:t>
      </w:r>
      <w:r>
        <w:rPr/>
        <w:t>(2006).</w:t>
      </w:r>
      <w:r>
        <w:rPr>
          <w:spacing w:val="20"/>
        </w:rPr>
        <w:t> </w:t>
      </w:r>
      <w:r>
        <w:rPr/>
        <w:t>Refractory</w:t>
      </w:r>
      <w:r>
        <w:rPr>
          <w:spacing w:val="13"/>
        </w:rPr>
        <w:t> </w:t>
      </w:r>
      <w:r>
        <w:rPr/>
        <w:t>epilepsy:</w:t>
      </w:r>
      <w:r>
        <w:rPr>
          <w:spacing w:val="18"/>
        </w:rPr>
        <w:t> </w:t>
      </w:r>
      <w:r>
        <w:rPr/>
        <w:t>Mechanisms</w:t>
      </w:r>
      <w:r>
        <w:rPr>
          <w:spacing w:val="18"/>
        </w:rPr>
        <w:t> </w:t>
      </w:r>
      <w:r>
        <w:rPr/>
        <w:t>and</w:t>
      </w:r>
      <w:r>
        <w:rPr>
          <w:spacing w:val="17"/>
        </w:rPr>
        <w:t> </w:t>
      </w:r>
      <w:r>
        <w:rPr/>
        <w:t>Solutions.</w:t>
      </w:r>
      <w:r>
        <w:rPr>
          <w:spacing w:val="21"/>
        </w:rPr>
        <w:t> </w:t>
      </w:r>
      <w:r>
        <w:rPr>
          <w:i/>
        </w:rPr>
        <w:t>Expert</w:t>
      </w:r>
      <w:r>
        <w:rPr/>
        <w:t>.</w:t>
      </w:r>
    </w:p>
    <w:p>
      <w:pPr>
        <w:spacing w:before="0"/>
        <w:ind w:left="671" w:right="0" w:firstLine="0"/>
        <w:jc w:val="left"/>
        <w:rPr>
          <w:sz w:val="24"/>
        </w:rPr>
      </w:pPr>
      <w:r>
        <w:rPr>
          <w:i/>
          <w:sz w:val="24"/>
        </w:rPr>
        <w:t>Rev</w:t>
      </w:r>
      <w:r>
        <w:rPr>
          <w:sz w:val="24"/>
        </w:rPr>
        <w:t>iew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i/>
          <w:sz w:val="24"/>
        </w:rPr>
        <w:t>Neurotherapeutics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6:397-406.</w:t>
      </w:r>
    </w:p>
    <w:p>
      <w:pPr>
        <w:pStyle w:val="BodyText"/>
      </w:pPr>
    </w:p>
    <w:p>
      <w:pPr>
        <w:pStyle w:val="BodyText"/>
        <w:ind w:left="671" w:right="121" w:hanging="452"/>
        <w:jc w:val="both"/>
      </w:pPr>
      <w:r>
        <w:rPr/>
        <w:t>Kwan, P., Sills, G.J., and Brodie, M.J. (2001).The mechanisms of action of commonly used</w:t>
      </w:r>
      <w:r>
        <w:rPr>
          <w:spacing w:val="1"/>
        </w:rPr>
        <w:t> </w:t>
      </w:r>
      <w:r>
        <w:rPr/>
        <w:t>antiepileptic</w:t>
      </w:r>
      <w:r>
        <w:rPr>
          <w:spacing w:val="-2"/>
        </w:rPr>
        <w:t> </w:t>
      </w:r>
      <w:r>
        <w:rPr/>
        <w:t>drugs.  </w:t>
      </w:r>
      <w:r>
        <w:rPr>
          <w:i/>
        </w:rPr>
        <w:t>Pharmacology and therapeutics</w:t>
      </w:r>
      <w:r>
        <w:rPr>
          <w:i/>
          <w:spacing w:val="1"/>
        </w:rPr>
        <w:t> </w:t>
      </w:r>
      <w:r>
        <w:rPr/>
        <w:t>90:21-24.</w:t>
      </w:r>
    </w:p>
    <w:p>
      <w:pPr>
        <w:pStyle w:val="BodyText"/>
      </w:pPr>
    </w:p>
    <w:p>
      <w:pPr>
        <w:pStyle w:val="BodyText"/>
        <w:ind w:left="203" w:right="104"/>
        <w:jc w:val="center"/>
      </w:pPr>
      <w:r>
        <w:rPr/>
        <w:t>Kyllerman,</w:t>
      </w:r>
      <w:r>
        <w:rPr>
          <w:spacing w:val="15"/>
        </w:rPr>
        <w:t> </w:t>
      </w:r>
      <w:r>
        <w:rPr/>
        <w:t>M.</w:t>
      </w:r>
      <w:r>
        <w:rPr>
          <w:spacing w:val="15"/>
        </w:rPr>
        <w:t> </w:t>
      </w:r>
      <w:r>
        <w:rPr/>
        <w:t>and</w:t>
      </w:r>
      <w:r>
        <w:rPr>
          <w:spacing w:val="15"/>
        </w:rPr>
        <w:t> </w:t>
      </w:r>
      <w:r>
        <w:rPr/>
        <w:t>Ben-Menachem,</w:t>
      </w:r>
      <w:r>
        <w:rPr>
          <w:spacing w:val="15"/>
        </w:rPr>
        <w:t> </w:t>
      </w:r>
      <w:r>
        <w:rPr/>
        <w:t>E.</w:t>
      </w:r>
      <w:r>
        <w:rPr>
          <w:spacing w:val="15"/>
        </w:rPr>
        <w:t> </w:t>
      </w:r>
      <w:r>
        <w:rPr/>
        <w:t>(1998).</w:t>
      </w:r>
      <w:r>
        <w:rPr>
          <w:spacing w:val="15"/>
        </w:rPr>
        <w:t> </w:t>
      </w:r>
      <w:r>
        <w:rPr/>
        <w:t>Zonisamide</w:t>
      </w:r>
      <w:r>
        <w:rPr>
          <w:spacing w:val="14"/>
        </w:rPr>
        <w:t> </w:t>
      </w:r>
      <w:r>
        <w:rPr/>
        <w:t>for</w:t>
      </w:r>
      <w:r>
        <w:rPr>
          <w:spacing w:val="14"/>
        </w:rPr>
        <w:t> </w:t>
      </w:r>
      <w:r>
        <w:rPr/>
        <w:t>progressive</w:t>
      </w:r>
      <w:r>
        <w:rPr>
          <w:spacing w:val="14"/>
        </w:rPr>
        <w:t> </w:t>
      </w:r>
      <w:r>
        <w:rPr/>
        <w:t>myoclonus</w:t>
      </w:r>
      <w:r>
        <w:rPr>
          <w:spacing w:val="-57"/>
        </w:rPr>
        <w:t> </w:t>
      </w:r>
      <w:r>
        <w:rPr/>
        <w:t>epilepsy:</w:t>
      </w:r>
      <w:r>
        <w:rPr>
          <w:spacing w:val="1"/>
        </w:rPr>
        <w:t> </w:t>
      </w:r>
      <w:r>
        <w:rPr/>
        <w:t>Long</w:t>
      </w:r>
      <w:r>
        <w:rPr>
          <w:spacing w:val="-3"/>
        </w:rPr>
        <w:t> </w:t>
      </w:r>
      <w:r>
        <w:rPr/>
        <w:t>term</w:t>
      </w:r>
      <w:r>
        <w:rPr>
          <w:spacing w:val="-1"/>
        </w:rPr>
        <w:t> </w:t>
      </w:r>
      <w:r>
        <w:rPr/>
        <w:t>observations in seven</w:t>
      </w:r>
      <w:r>
        <w:rPr>
          <w:spacing w:val="-1"/>
        </w:rPr>
        <w:t> </w:t>
      </w:r>
      <w:r>
        <w:rPr/>
        <w:t>patients.</w:t>
      </w:r>
      <w:r>
        <w:rPr>
          <w:spacing w:val="3"/>
        </w:rPr>
        <w:t> </w:t>
      </w:r>
      <w:r>
        <w:rPr>
          <w:i/>
        </w:rPr>
        <w:t>Epilepsy</w:t>
      </w:r>
      <w:r>
        <w:rPr>
          <w:i/>
          <w:spacing w:val="-2"/>
        </w:rPr>
        <w:t> </w:t>
      </w:r>
      <w:r>
        <w:rPr>
          <w:i/>
        </w:rPr>
        <w:t>Research</w:t>
      </w:r>
      <w:r>
        <w:rPr>
          <w:i/>
          <w:spacing w:val="-1"/>
        </w:rPr>
        <w:t> </w:t>
      </w:r>
      <w:r>
        <w:rPr/>
        <w:t>29:109-114.</w:t>
      </w:r>
    </w:p>
    <w:p>
      <w:pPr>
        <w:pStyle w:val="BodyText"/>
      </w:pPr>
    </w:p>
    <w:p>
      <w:pPr>
        <w:spacing w:before="0"/>
        <w:ind w:left="671" w:right="113" w:hanging="452"/>
        <w:jc w:val="both"/>
        <w:rPr>
          <w:sz w:val="24"/>
        </w:rPr>
      </w:pPr>
      <w:r>
        <w:rPr>
          <w:sz w:val="24"/>
        </w:rPr>
        <w:t>Laessig, R.H., Indrikson, A.A., Hassemer, D.J. et al (1976). Changes in serum chemical</w:t>
      </w:r>
      <w:r>
        <w:rPr>
          <w:spacing w:val="1"/>
          <w:sz w:val="24"/>
        </w:rPr>
        <w:t> </w:t>
      </w:r>
      <w:r>
        <w:rPr>
          <w:sz w:val="24"/>
        </w:rPr>
        <w:t>values</w:t>
      </w:r>
      <w:r>
        <w:rPr>
          <w:spacing w:val="1"/>
          <w:sz w:val="24"/>
        </w:rPr>
        <w:t> </w:t>
      </w:r>
      <w:r>
        <w:rPr>
          <w:sz w:val="24"/>
        </w:rPr>
        <w:t>as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result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prolonged</w:t>
      </w:r>
      <w:r>
        <w:rPr>
          <w:spacing w:val="1"/>
          <w:sz w:val="24"/>
        </w:rPr>
        <w:t> </w:t>
      </w:r>
      <w:r>
        <w:rPr>
          <w:sz w:val="24"/>
        </w:rPr>
        <w:t>contact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1"/>
          <w:sz w:val="24"/>
        </w:rPr>
        <w:t> </w:t>
      </w:r>
      <w:r>
        <w:rPr>
          <w:sz w:val="24"/>
        </w:rPr>
        <w:t>clot.</w:t>
      </w:r>
      <w:r>
        <w:rPr>
          <w:spacing w:val="1"/>
          <w:sz w:val="24"/>
        </w:rPr>
        <w:t> </w:t>
      </w:r>
      <w:r>
        <w:rPr>
          <w:i/>
          <w:sz w:val="24"/>
        </w:rPr>
        <w:t>American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Clinical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Pathology.</w:t>
      </w:r>
      <w:r>
        <w:rPr>
          <w:i/>
          <w:spacing w:val="-1"/>
          <w:sz w:val="24"/>
        </w:rPr>
        <w:t> </w:t>
      </w:r>
      <w:r>
        <w:rPr>
          <w:sz w:val="24"/>
        </w:rPr>
        <w:t>66:598-604.</w:t>
      </w:r>
    </w:p>
    <w:p>
      <w:pPr>
        <w:pStyle w:val="BodyText"/>
        <w:spacing w:before="1"/>
      </w:pPr>
    </w:p>
    <w:p>
      <w:pPr>
        <w:pStyle w:val="BodyText"/>
        <w:ind w:left="671" w:right="114" w:hanging="452"/>
        <w:jc w:val="both"/>
      </w:pPr>
      <w:r>
        <w:rPr/>
        <w:t>Lajubutu, B.A; Pinney, R.J; Robert, M.F; Odelola, H.A. and Oso, B.A. (1995): Antibacterial</w:t>
      </w:r>
      <w:r>
        <w:rPr>
          <w:spacing w:val="1"/>
        </w:rPr>
        <w:t> </w:t>
      </w:r>
      <w:r>
        <w:rPr/>
        <w:t>activity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diosquinone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plumbagin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root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>
          <w:i/>
        </w:rPr>
        <w:t>D.mespiliformis</w:t>
      </w:r>
      <w:r>
        <w:rPr>
          <w:i/>
          <w:spacing w:val="1"/>
        </w:rPr>
        <w:t> </w:t>
      </w:r>
      <w:r>
        <w:rPr/>
        <w:t>(Hostch)</w:t>
      </w:r>
      <w:r>
        <w:rPr>
          <w:spacing w:val="1"/>
        </w:rPr>
        <w:t> </w:t>
      </w:r>
      <w:r>
        <w:rPr/>
        <w:t>(Ebenaceae).</w:t>
      </w:r>
      <w:r>
        <w:rPr>
          <w:spacing w:val="-2"/>
        </w:rPr>
        <w:t> </w:t>
      </w:r>
      <w:r>
        <w:rPr>
          <w:i/>
        </w:rPr>
        <w:t>Phytotherapy</w:t>
      </w:r>
      <w:r>
        <w:rPr>
          <w:i/>
          <w:spacing w:val="-1"/>
        </w:rPr>
        <w:t> </w:t>
      </w:r>
      <w:r>
        <w:rPr>
          <w:i/>
        </w:rPr>
        <w:t>Research</w:t>
      </w:r>
      <w:r>
        <w:rPr/>
        <w:t>.</w:t>
      </w:r>
      <w:r>
        <w:rPr>
          <w:spacing w:val="2"/>
        </w:rPr>
        <w:t> </w:t>
      </w:r>
      <w:r>
        <w:rPr/>
        <w:t>9:246-300.</w:t>
      </w:r>
    </w:p>
    <w:p>
      <w:pPr>
        <w:pStyle w:val="BodyText"/>
      </w:pPr>
    </w:p>
    <w:p>
      <w:pPr>
        <w:pStyle w:val="BodyText"/>
        <w:ind w:left="671" w:right="120" w:hanging="452"/>
        <w:jc w:val="both"/>
      </w:pPr>
      <w:r>
        <w:rPr/>
        <w:t>Lazarowski, A; Czornyj, L; Lubienieke, F; Girardi, E; Vazquez, S. and D‟Giano, C. (2007).</w:t>
      </w:r>
      <w:r>
        <w:rPr>
          <w:spacing w:val="1"/>
        </w:rPr>
        <w:t> </w:t>
      </w:r>
      <w:r>
        <w:rPr/>
        <w:t>ABC transporters during epilepsy and mechanisms underlying multidrug resistance in</w:t>
      </w:r>
      <w:r>
        <w:rPr>
          <w:spacing w:val="1"/>
        </w:rPr>
        <w:t> </w:t>
      </w:r>
      <w:r>
        <w:rPr/>
        <w:t>refractory</w:t>
      </w:r>
      <w:r>
        <w:rPr>
          <w:spacing w:val="-4"/>
        </w:rPr>
        <w:t> </w:t>
      </w:r>
      <w:r>
        <w:rPr/>
        <w:t>epilepsy.</w:t>
      </w:r>
      <w:r>
        <w:rPr>
          <w:spacing w:val="4"/>
        </w:rPr>
        <w:t> </w:t>
      </w:r>
      <w:r>
        <w:rPr>
          <w:i/>
        </w:rPr>
        <w:t>Epilepsia</w:t>
      </w:r>
      <w:r>
        <w:rPr>
          <w:i/>
          <w:spacing w:val="1"/>
        </w:rPr>
        <w:t> </w:t>
      </w:r>
      <w:r>
        <w:rPr/>
        <w:t>48 Suppl. 5:140-9.</w:t>
      </w:r>
    </w:p>
    <w:p>
      <w:pPr>
        <w:pStyle w:val="BodyText"/>
      </w:pPr>
    </w:p>
    <w:p>
      <w:pPr>
        <w:pStyle w:val="BodyText"/>
        <w:ind w:left="220"/>
        <w:jc w:val="both"/>
      </w:pPr>
      <w:r>
        <w:rPr/>
        <w:t>Leach,</w:t>
      </w:r>
      <w:r>
        <w:rPr>
          <w:spacing w:val="-2"/>
        </w:rPr>
        <w:t> </w:t>
      </w:r>
      <w:r>
        <w:rPr/>
        <w:t>J.P.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Brodie, M.J.</w:t>
      </w:r>
      <w:r>
        <w:rPr>
          <w:spacing w:val="-1"/>
        </w:rPr>
        <w:t> </w:t>
      </w:r>
      <w:r>
        <w:rPr/>
        <w:t>(1998).Tiagabine.</w:t>
      </w:r>
      <w:r>
        <w:rPr>
          <w:spacing w:val="59"/>
        </w:rPr>
        <w:t> </w:t>
      </w:r>
      <w:r>
        <w:rPr>
          <w:i/>
        </w:rPr>
        <w:t>Lancet</w:t>
      </w:r>
      <w:r>
        <w:rPr>
          <w:i/>
          <w:spacing w:val="-1"/>
        </w:rPr>
        <w:t> </w:t>
      </w:r>
      <w:r>
        <w:rPr/>
        <w:t>351:203-207.</w:t>
      </w:r>
    </w:p>
    <w:p>
      <w:pPr>
        <w:pStyle w:val="BodyText"/>
      </w:pPr>
    </w:p>
    <w:p>
      <w:pPr>
        <w:pStyle w:val="BodyText"/>
        <w:spacing w:before="1"/>
        <w:ind w:left="220"/>
        <w:jc w:val="both"/>
      </w:pPr>
      <w:r>
        <w:rPr/>
        <w:t>Leach,</w:t>
      </w:r>
      <w:r>
        <w:rPr>
          <w:spacing w:val="2"/>
        </w:rPr>
        <w:t> </w:t>
      </w:r>
      <w:r>
        <w:rPr/>
        <w:t>J.P., and Brodie,</w:t>
      </w:r>
      <w:r>
        <w:rPr>
          <w:spacing w:val="2"/>
        </w:rPr>
        <w:t> </w:t>
      </w:r>
      <w:r>
        <w:rPr/>
        <w:t>M.J. (1995.</w:t>
      </w:r>
      <w:r>
        <w:rPr>
          <w:spacing w:val="5"/>
        </w:rPr>
        <w:t> </w:t>
      </w:r>
      <w:r>
        <w:rPr/>
        <w:t>Lamotrigine:</w:t>
      </w:r>
      <w:r>
        <w:rPr>
          <w:spacing w:val="3"/>
        </w:rPr>
        <w:t> </w:t>
      </w:r>
      <w:r>
        <w:rPr/>
        <w:t>clinical use.</w:t>
      </w:r>
      <w:r>
        <w:rPr>
          <w:spacing w:val="4"/>
        </w:rPr>
        <w:t> </w:t>
      </w:r>
      <w:r>
        <w:rPr/>
        <w:t>In R.</w:t>
      </w:r>
      <w:r>
        <w:rPr>
          <w:spacing w:val="2"/>
        </w:rPr>
        <w:t> </w:t>
      </w:r>
      <w:r>
        <w:rPr/>
        <w:t>Levy,</w:t>
      </w:r>
      <w:r>
        <w:rPr>
          <w:spacing w:val="4"/>
        </w:rPr>
        <w:t> </w:t>
      </w:r>
      <w:r>
        <w:rPr/>
        <w:t>R.H.</w:t>
      </w:r>
      <w:r>
        <w:rPr>
          <w:spacing w:val="-1"/>
        </w:rPr>
        <w:t> </w:t>
      </w:r>
      <w:r>
        <w:rPr/>
        <w:t>Mattson,</w:t>
      </w:r>
      <w:r>
        <w:rPr>
          <w:spacing w:val="1"/>
        </w:rPr>
        <w:t> </w:t>
      </w:r>
      <w:r>
        <w:rPr/>
        <w:t>and</w:t>
      </w:r>
    </w:p>
    <w:p>
      <w:pPr>
        <w:pStyle w:val="BodyText"/>
        <w:ind w:left="671"/>
      </w:pPr>
      <w:r>
        <w:rPr/>
        <w:t>J.K.</w:t>
      </w:r>
      <w:r>
        <w:rPr>
          <w:spacing w:val="-1"/>
        </w:rPr>
        <w:t> </w:t>
      </w:r>
      <w:r>
        <w:rPr/>
        <w:t>Penry</w:t>
      </w:r>
      <w:r>
        <w:rPr>
          <w:spacing w:val="-6"/>
        </w:rPr>
        <w:t> </w:t>
      </w:r>
      <w:r>
        <w:rPr/>
        <w:t>(Eds), Antiepileptic Drugs,</w:t>
      </w:r>
      <w:r>
        <w:rPr>
          <w:spacing w:val="-1"/>
        </w:rPr>
        <w:t> </w:t>
      </w:r>
      <w:r>
        <w:rPr/>
        <w:t>4</w:t>
      </w:r>
      <w:r>
        <w:rPr>
          <w:vertAlign w:val="superscript"/>
        </w:rPr>
        <w:t>th</w:t>
      </w:r>
      <w:r>
        <w:rPr>
          <w:spacing w:val="1"/>
          <w:vertAlign w:val="baseline"/>
        </w:rPr>
        <w:t> </w:t>
      </w:r>
      <w:r>
        <w:rPr>
          <w:vertAlign w:val="baseline"/>
        </w:rPr>
        <w:t>Edn Pp.</w:t>
      </w:r>
      <w:r>
        <w:rPr>
          <w:spacing w:val="-3"/>
          <w:vertAlign w:val="baseline"/>
        </w:rPr>
        <w:t> </w:t>
      </w:r>
      <w:r>
        <w:rPr>
          <w:vertAlign w:val="baseline"/>
        </w:rPr>
        <w:t>889-985.</w:t>
      </w:r>
      <w:r>
        <w:rPr>
          <w:spacing w:val="-1"/>
          <w:vertAlign w:val="baseline"/>
        </w:rPr>
        <w:t> </w:t>
      </w:r>
      <w:r>
        <w:rPr>
          <w:vertAlign w:val="baseline"/>
        </w:rPr>
        <w:t>Raven Press New York.</w:t>
      </w:r>
    </w:p>
    <w:p>
      <w:pPr>
        <w:pStyle w:val="BodyText"/>
      </w:pPr>
    </w:p>
    <w:p>
      <w:pPr>
        <w:pStyle w:val="BodyText"/>
        <w:ind w:left="671" w:right="116" w:hanging="452"/>
        <w:jc w:val="both"/>
      </w:pPr>
      <w:r>
        <w:rPr/>
        <w:t>Leach, J.P., Sills, G.., Majid, A., Buttler E., Carswell, A.,Thompson, G.G. &amp; Brodie, M.J.</w:t>
      </w:r>
      <w:r>
        <w:rPr>
          <w:spacing w:val="1"/>
        </w:rPr>
        <w:t> </w:t>
      </w:r>
      <w:r>
        <w:rPr/>
        <w:t>(1996).</w:t>
      </w:r>
      <w:r>
        <w:rPr>
          <w:spacing w:val="11"/>
        </w:rPr>
        <w:t> </w:t>
      </w:r>
      <w:r>
        <w:rPr/>
        <w:t>Effects</w:t>
      </w:r>
      <w:r>
        <w:rPr>
          <w:spacing w:val="13"/>
        </w:rPr>
        <w:t> </w:t>
      </w:r>
      <w:r>
        <w:rPr/>
        <w:t>of</w:t>
      </w:r>
      <w:r>
        <w:rPr>
          <w:spacing w:val="14"/>
        </w:rPr>
        <w:t> </w:t>
      </w:r>
      <w:r>
        <w:rPr/>
        <w:t>tiagabine</w:t>
      </w:r>
      <w:r>
        <w:rPr>
          <w:spacing w:val="12"/>
        </w:rPr>
        <w:t> </w:t>
      </w:r>
      <w:r>
        <w:rPr/>
        <w:t>and</w:t>
      </w:r>
      <w:r>
        <w:rPr>
          <w:spacing w:val="15"/>
        </w:rPr>
        <w:t> </w:t>
      </w:r>
      <w:r>
        <w:rPr/>
        <w:t>vigabatrin</w:t>
      </w:r>
      <w:r>
        <w:rPr>
          <w:spacing w:val="13"/>
        </w:rPr>
        <w:t> </w:t>
      </w:r>
      <w:r>
        <w:rPr/>
        <w:t>on</w:t>
      </w:r>
      <w:r>
        <w:rPr>
          <w:spacing w:val="15"/>
        </w:rPr>
        <w:t> </w:t>
      </w:r>
      <w:r>
        <w:rPr/>
        <w:t>GABA</w:t>
      </w:r>
      <w:r>
        <w:rPr>
          <w:spacing w:val="14"/>
        </w:rPr>
        <w:t> </w:t>
      </w:r>
      <w:r>
        <w:rPr/>
        <w:t>uptake</w:t>
      </w:r>
      <w:r>
        <w:rPr>
          <w:spacing w:val="13"/>
        </w:rPr>
        <w:t> </w:t>
      </w:r>
      <w:r>
        <w:rPr/>
        <w:t>into</w:t>
      </w:r>
      <w:r>
        <w:rPr>
          <w:spacing w:val="13"/>
        </w:rPr>
        <w:t> </w:t>
      </w:r>
      <w:r>
        <w:rPr/>
        <w:t>rat</w:t>
      </w:r>
      <w:r>
        <w:rPr>
          <w:spacing w:val="15"/>
        </w:rPr>
        <w:t> </w:t>
      </w:r>
      <w:r>
        <w:rPr/>
        <w:t>cortical</w:t>
      </w:r>
      <w:r>
        <w:rPr>
          <w:spacing w:val="13"/>
        </w:rPr>
        <w:t> </w:t>
      </w:r>
      <w:r>
        <w:rPr/>
        <w:t>astrocytes</w:t>
      </w:r>
      <w:r>
        <w:rPr>
          <w:spacing w:val="-58"/>
        </w:rPr>
        <w:t> </w:t>
      </w:r>
      <w:r>
        <w:rPr/>
        <w:t>in</w:t>
      </w:r>
      <w:r>
        <w:rPr>
          <w:spacing w:val="-1"/>
        </w:rPr>
        <w:t> </w:t>
      </w:r>
      <w:r>
        <w:rPr/>
        <w:t>primary</w:t>
      </w:r>
      <w:r>
        <w:rPr>
          <w:spacing w:val="-3"/>
        </w:rPr>
        <w:t> </w:t>
      </w:r>
      <w:r>
        <w:rPr/>
        <w:t>culture.</w:t>
      </w:r>
      <w:r>
        <w:rPr>
          <w:spacing w:val="1"/>
        </w:rPr>
        <w:t> </w:t>
      </w:r>
      <w:r>
        <w:rPr>
          <w:i/>
        </w:rPr>
        <w:t>Seizure</w:t>
      </w:r>
      <w:r>
        <w:rPr>
          <w:i/>
          <w:spacing w:val="-1"/>
        </w:rPr>
        <w:t> </w:t>
      </w:r>
      <w:r>
        <w:rPr/>
        <w:t>5:229-234.</w:t>
      </w:r>
    </w:p>
    <w:p>
      <w:pPr>
        <w:pStyle w:val="BodyText"/>
      </w:pPr>
    </w:p>
    <w:p>
      <w:pPr>
        <w:spacing w:before="0"/>
        <w:ind w:left="671" w:right="119" w:hanging="452"/>
        <w:jc w:val="both"/>
        <w:rPr>
          <w:sz w:val="24"/>
        </w:rPr>
      </w:pPr>
      <w:r>
        <w:rPr>
          <w:sz w:val="24"/>
        </w:rPr>
        <w:t>LeBlanc,</w:t>
      </w:r>
      <w:r>
        <w:rPr>
          <w:spacing w:val="1"/>
          <w:sz w:val="24"/>
        </w:rPr>
        <w:t> </w:t>
      </w:r>
      <w:r>
        <w:rPr>
          <w:sz w:val="24"/>
        </w:rPr>
        <w:t>GA</w:t>
      </w:r>
      <w:r>
        <w:rPr>
          <w:spacing w:val="1"/>
          <w:sz w:val="24"/>
        </w:rPr>
        <w:t> </w:t>
      </w:r>
      <w:r>
        <w:rPr>
          <w:sz w:val="24"/>
        </w:rPr>
        <w:t>(1994).</w:t>
      </w:r>
      <w:r>
        <w:rPr>
          <w:spacing w:val="1"/>
          <w:sz w:val="24"/>
        </w:rPr>
        <w:t> </w:t>
      </w:r>
      <w:r>
        <w:rPr>
          <w:sz w:val="24"/>
        </w:rPr>
        <w:t>Hepatic</w:t>
      </w:r>
      <w:r>
        <w:rPr>
          <w:spacing w:val="1"/>
          <w:sz w:val="24"/>
        </w:rPr>
        <w:t> </w:t>
      </w:r>
      <w:r>
        <w:rPr>
          <w:sz w:val="24"/>
        </w:rPr>
        <w:t>vectorial</w:t>
      </w:r>
      <w:r>
        <w:rPr>
          <w:spacing w:val="1"/>
          <w:sz w:val="24"/>
        </w:rPr>
        <w:t> </w:t>
      </w:r>
      <w:r>
        <w:rPr>
          <w:sz w:val="24"/>
        </w:rPr>
        <w:t>transport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Xenobiotics.</w:t>
      </w:r>
      <w:r>
        <w:rPr>
          <w:spacing w:val="1"/>
          <w:sz w:val="24"/>
        </w:rPr>
        <w:t> </w:t>
      </w:r>
      <w:r>
        <w:rPr>
          <w:i/>
          <w:sz w:val="24"/>
        </w:rPr>
        <w:t>Chem.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Biol.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Interact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90:101.</w:t>
      </w:r>
    </w:p>
    <w:p>
      <w:pPr>
        <w:pStyle w:val="BodyText"/>
      </w:pPr>
    </w:p>
    <w:p>
      <w:pPr>
        <w:pStyle w:val="BodyText"/>
        <w:ind w:left="671" w:right="116" w:hanging="452"/>
        <w:jc w:val="both"/>
      </w:pPr>
      <w:r>
        <w:rPr/>
        <w:t>Leclair,</w:t>
      </w:r>
      <w:r>
        <w:rPr>
          <w:spacing w:val="1"/>
        </w:rPr>
        <w:t> </w:t>
      </w:r>
      <w:r>
        <w:rPr/>
        <w:t>J.M.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Willard,</w:t>
      </w:r>
      <w:r>
        <w:rPr>
          <w:spacing w:val="1"/>
        </w:rPr>
        <w:t> </w:t>
      </w:r>
      <w:r>
        <w:rPr/>
        <w:t>J.W.</w:t>
      </w:r>
      <w:r>
        <w:rPr>
          <w:spacing w:val="1"/>
        </w:rPr>
        <w:t> </w:t>
      </w:r>
      <w:r>
        <w:rPr/>
        <w:t>(1970).</w:t>
      </w:r>
      <w:r>
        <w:rPr>
          <w:spacing w:val="1"/>
        </w:rPr>
        <w:t> </w:t>
      </w:r>
      <w:r>
        <w:rPr/>
        <w:t>Guide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preparation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submissions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tolerances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incidental</w:t>
      </w:r>
      <w:r>
        <w:rPr>
          <w:spacing w:val="1"/>
        </w:rPr>
        <w:t> </w:t>
      </w:r>
      <w:r>
        <w:rPr/>
        <w:t>contaminants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agricultural</w:t>
      </w:r>
      <w:r>
        <w:rPr>
          <w:spacing w:val="1"/>
        </w:rPr>
        <w:t> </w:t>
      </w:r>
      <w:r>
        <w:rPr/>
        <w:t>chemicals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food.</w:t>
      </w:r>
      <w:r>
        <w:rPr>
          <w:spacing w:val="1"/>
        </w:rPr>
        <w:t> </w:t>
      </w:r>
      <w:r>
        <w:rPr/>
        <w:t>Ottawa,</w:t>
      </w:r>
      <w:r>
        <w:rPr>
          <w:spacing w:val="1"/>
        </w:rPr>
        <w:t> </w:t>
      </w:r>
      <w:r>
        <w:rPr/>
        <w:t>Canada,</w:t>
      </w:r>
      <w:r>
        <w:rPr>
          <w:spacing w:val="1"/>
        </w:rPr>
        <w:t> </w:t>
      </w:r>
      <w:r>
        <w:rPr/>
        <w:t>Food and</w:t>
      </w:r>
      <w:r>
        <w:rPr>
          <w:spacing w:val="-1"/>
        </w:rPr>
        <w:t> </w:t>
      </w:r>
      <w:r>
        <w:rPr/>
        <w:t>Drug</w:t>
      </w:r>
      <w:r>
        <w:rPr>
          <w:spacing w:val="-1"/>
        </w:rPr>
        <w:t> </w:t>
      </w:r>
      <w:r>
        <w:rPr/>
        <w:t>Directorate,</w:t>
      </w:r>
      <w:r>
        <w:rPr>
          <w:spacing w:val="-1"/>
        </w:rPr>
        <w:t> </w:t>
      </w:r>
      <w:r>
        <w:rPr/>
        <w:t>Dept of National Health</w:t>
      </w:r>
      <w:r>
        <w:rPr>
          <w:spacing w:val="-1"/>
        </w:rPr>
        <w:t> </w:t>
      </w:r>
      <w:r>
        <w:rPr/>
        <w:t>and Welfare.</w:t>
      </w:r>
    </w:p>
    <w:p>
      <w:pPr>
        <w:spacing w:line="550" w:lineRule="atLeast" w:before="3"/>
        <w:ind w:left="220" w:right="118" w:firstLine="0"/>
        <w:jc w:val="both"/>
        <w:rPr>
          <w:sz w:val="24"/>
        </w:rPr>
      </w:pPr>
      <w:r>
        <w:rPr>
          <w:sz w:val="24"/>
        </w:rPr>
        <w:t>Lee WM (2003): Drug induced Hepatotoxicity. </w:t>
      </w:r>
      <w:r>
        <w:rPr>
          <w:i/>
          <w:sz w:val="24"/>
        </w:rPr>
        <w:t>New England Journal of Medicine </w:t>
      </w:r>
      <w:r>
        <w:rPr>
          <w:sz w:val="24"/>
        </w:rPr>
        <w:t>349:474.</w:t>
      </w:r>
      <w:r>
        <w:rPr>
          <w:spacing w:val="1"/>
          <w:sz w:val="24"/>
        </w:rPr>
        <w:t> </w:t>
      </w:r>
      <w:r>
        <w:rPr>
          <w:sz w:val="24"/>
        </w:rPr>
        <w:t>Leonard,</w:t>
      </w:r>
      <w:r>
        <w:rPr>
          <w:spacing w:val="65"/>
          <w:sz w:val="24"/>
        </w:rPr>
        <w:t> </w:t>
      </w:r>
      <w:r>
        <w:rPr>
          <w:sz w:val="24"/>
        </w:rPr>
        <w:t>P.A.,</w:t>
      </w:r>
      <w:r>
        <w:rPr>
          <w:spacing w:val="69"/>
          <w:sz w:val="24"/>
        </w:rPr>
        <w:t> </w:t>
      </w:r>
      <w:r>
        <w:rPr>
          <w:sz w:val="24"/>
        </w:rPr>
        <w:t>Clegg,</w:t>
      </w:r>
      <w:r>
        <w:rPr>
          <w:spacing w:val="70"/>
          <w:sz w:val="24"/>
        </w:rPr>
        <w:t> </w:t>
      </w:r>
      <w:r>
        <w:rPr>
          <w:sz w:val="24"/>
        </w:rPr>
        <w:t>D.O;</w:t>
      </w:r>
      <w:r>
        <w:rPr>
          <w:spacing w:val="66"/>
          <w:sz w:val="24"/>
        </w:rPr>
        <w:t> </w:t>
      </w:r>
      <w:r>
        <w:rPr>
          <w:sz w:val="24"/>
        </w:rPr>
        <w:t>Carson,</w:t>
      </w:r>
      <w:r>
        <w:rPr>
          <w:spacing w:val="66"/>
          <w:sz w:val="24"/>
        </w:rPr>
        <w:t> </w:t>
      </w:r>
      <w:r>
        <w:rPr>
          <w:sz w:val="24"/>
        </w:rPr>
        <w:t>C.C</w:t>
      </w:r>
      <w:r>
        <w:rPr>
          <w:spacing w:val="69"/>
          <w:sz w:val="24"/>
        </w:rPr>
        <w:t> </w:t>
      </w:r>
      <w:r>
        <w:rPr>
          <w:i/>
          <w:sz w:val="24"/>
        </w:rPr>
        <w:t>et</w:t>
      </w:r>
      <w:r>
        <w:rPr>
          <w:i/>
          <w:spacing w:val="66"/>
          <w:sz w:val="24"/>
        </w:rPr>
        <w:t> </w:t>
      </w:r>
      <w:r>
        <w:rPr>
          <w:i/>
          <w:sz w:val="24"/>
        </w:rPr>
        <w:t>al</w:t>
      </w:r>
      <w:r>
        <w:rPr>
          <w:i/>
          <w:spacing w:val="67"/>
          <w:sz w:val="24"/>
        </w:rPr>
        <w:t> </w:t>
      </w:r>
      <w:r>
        <w:rPr>
          <w:sz w:val="24"/>
        </w:rPr>
        <w:t>(1987).</w:t>
      </w:r>
      <w:r>
        <w:rPr>
          <w:spacing w:val="67"/>
          <w:sz w:val="24"/>
        </w:rPr>
        <w:t> </w:t>
      </w:r>
      <w:r>
        <w:rPr>
          <w:sz w:val="24"/>
        </w:rPr>
        <w:t>Low</w:t>
      </w:r>
      <w:r>
        <w:rPr>
          <w:spacing w:val="66"/>
          <w:sz w:val="24"/>
        </w:rPr>
        <w:t> </w:t>
      </w:r>
      <w:r>
        <w:rPr>
          <w:sz w:val="24"/>
        </w:rPr>
        <w:t>dose</w:t>
      </w:r>
      <w:r>
        <w:rPr>
          <w:spacing w:val="65"/>
          <w:sz w:val="24"/>
        </w:rPr>
        <w:t> </w:t>
      </w:r>
      <w:r>
        <w:rPr>
          <w:sz w:val="24"/>
        </w:rPr>
        <w:t>pulse</w:t>
      </w:r>
      <w:r>
        <w:rPr>
          <w:spacing w:val="65"/>
          <w:sz w:val="24"/>
        </w:rPr>
        <w:t> </w:t>
      </w:r>
      <w:r>
        <w:rPr>
          <w:sz w:val="24"/>
        </w:rPr>
        <w:t>methotreate</w:t>
      </w:r>
      <w:r>
        <w:rPr>
          <w:spacing w:val="67"/>
          <w:sz w:val="24"/>
        </w:rPr>
        <w:t> </w:t>
      </w:r>
      <w:r>
        <w:rPr>
          <w:sz w:val="24"/>
        </w:rPr>
        <w:t>in</w:t>
      </w:r>
    </w:p>
    <w:p>
      <w:pPr>
        <w:spacing w:before="2"/>
        <w:ind w:left="671" w:right="0" w:firstLine="0"/>
        <w:jc w:val="left"/>
        <w:rPr>
          <w:i/>
          <w:sz w:val="24"/>
        </w:rPr>
      </w:pPr>
      <w:r>
        <w:rPr>
          <w:sz w:val="24"/>
        </w:rPr>
        <w:t>Rheumatoid</w:t>
      </w:r>
      <w:r>
        <w:rPr>
          <w:spacing w:val="12"/>
          <w:sz w:val="24"/>
        </w:rPr>
        <w:t> </w:t>
      </w:r>
      <w:r>
        <w:rPr>
          <w:sz w:val="24"/>
        </w:rPr>
        <w:t>arthritis:</w:t>
      </w:r>
      <w:r>
        <w:rPr>
          <w:spacing w:val="13"/>
          <w:sz w:val="24"/>
        </w:rPr>
        <w:t> </w:t>
      </w:r>
      <w:r>
        <w:rPr>
          <w:sz w:val="24"/>
        </w:rPr>
        <w:t>An</w:t>
      </w:r>
      <w:r>
        <w:rPr>
          <w:spacing w:val="14"/>
          <w:sz w:val="24"/>
        </w:rPr>
        <w:t> </w:t>
      </w:r>
      <w:r>
        <w:rPr>
          <w:sz w:val="24"/>
        </w:rPr>
        <w:t>8</w:t>
      </w:r>
      <w:r>
        <w:rPr>
          <w:spacing w:val="16"/>
          <w:sz w:val="24"/>
        </w:rPr>
        <w:t> </w:t>
      </w:r>
      <w:r>
        <w:rPr>
          <w:sz w:val="24"/>
        </w:rPr>
        <w:t>year</w:t>
      </w:r>
      <w:r>
        <w:rPr>
          <w:spacing w:val="13"/>
          <w:sz w:val="24"/>
        </w:rPr>
        <w:t> </w:t>
      </w:r>
      <w:r>
        <w:rPr>
          <w:sz w:val="24"/>
        </w:rPr>
        <w:t>experience</w:t>
      </w:r>
      <w:r>
        <w:rPr>
          <w:spacing w:val="13"/>
          <w:sz w:val="24"/>
        </w:rPr>
        <w:t> </w:t>
      </w:r>
      <w:r>
        <w:rPr>
          <w:sz w:val="24"/>
        </w:rPr>
        <w:t>with</w:t>
      </w:r>
      <w:r>
        <w:rPr>
          <w:spacing w:val="15"/>
          <w:sz w:val="24"/>
        </w:rPr>
        <w:t> </w:t>
      </w:r>
      <w:r>
        <w:rPr>
          <w:sz w:val="24"/>
        </w:rPr>
        <w:t>hepatotoxicity.</w:t>
      </w:r>
      <w:r>
        <w:rPr>
          <w:spacing w:val="16"/>
          <w:sz w:val="24"/>
        </w:rPr>
        <w:t> </w:t>
      </w:r>
      <w:r>
        <w:rPr>
          <w:i/>
          <w:sz w:val="24"/>
        </w:rPr>
        <w:t>Clinical</w:t>
      </w:r>
      <w:r>
        <w:rPr>
          <w:i/>
          <w:spacing w:val="12"/>
          <w:sz w:val="24"/>
        </w:rPr>
        <w:t> </w:t>
      </w:r>
      <w:r>
        <w:rPr>
          <w:i/>
          <w:sz w:val="24"/>
        </w:rPr>
        <w:t>Rheumatology</w:t>
      </w:r>
    </w:p>
    <w:p>
      <w:pPr>
        <w:pStyle w:val="BodyText"/>
        <w:ind w:left="671"/>
      </w:pPr>
      <w:r>
        <w:rPr/>
        <w:t>6:575-582.</w:t>
      </w:r>
    </w:p>
    <w:p>
      <w:pPr>
        <w:spacing w:after="0"/>
        <w:sectPr>
          <w:pgSz w:w="12240" w:h="15840"/>
          <w:pgMar w:header="0" w:footer="792" w:top="1360" w:bottom="980" w:left="1580" w:right="1320"/>
        </w:sectPr>
      </w:pPr>
    </w:p>
    <w:p>
      <w:pPr>
        <w:pStyle w:val="BodyText"/>
        <w:spacing w:before="72"/>
        <w:ind w:left="671" w:right="115" w:hanging="452"/>
        <w:jc w:val="both"/>
      </w:pPr>
      <w:r>
        <w:rPr/>
        <w:t>Lippert, B., Metcalf, B.W., Jung, M.J. &amp; Casara, P (1977). 4-amino-hex-5-eonic acid, a</w:t>
      </w:r>
      <w:r>
        <w:rPr>
          <w:spacing w:val="1"/>
        </w:rPr>
        <w:t> </w:t>
      </w:r>
      <w:r>
        <w:rPr/>
        <w:t>selective</w:t>
      </w:r>
      <w:r>
        <w:rPr>
          <w:spacing w:val="1"/>
        </w:rPr>
        <w:t> </w:t>
      </w:r>
      <w:r>
        <w:rPr/>
        <w:t>catalytic</w:t>
      </w:r>
      <w:r>
        <w:rPr>
          <w:spacing w:val="1"/>
        </w:rPr>
        <w:t> </w:t>
      </w:r>
      <w:r>
        <w:rPr/>
        <w:t>inhibitor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4-aminobutyric-acid</w:t>
      </w:r>
      <w:r>
        <w:rPr>
          <w:spacing w:val="1"/>
        </w:rPr>
        <w:t> </w:t>
      </w:r>
      <w:r>
        <w:rPr/>
        <w:t>aminotransferase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mammalian</w:t>
      </w:r>
      <w:r>
        <w:rPr>
          <w:spacing w:val="1"/>
        </w:rPr>
        <w:t> </w:t>
      </w:r>
      <w:r>
        <w:rPr/>
        <w:t>brain.</w:t>
      </w:r>
      <w:r>
        <w:rPr>
          <w:spacing w:val="-1"/>
        </w:rPr>
        <w:t> </w:t>
      </w:r>
      <w:r>
        <w:rPr>
          <w:i/>
        </w:rPr>
        <w:t>European Journal</w:t>
      </w:r>
      <w:r>
        <w:rPr>
          <w:i/>
          <w:spacing w:val="2"/>
        </w:rPr>
        <w:t> </w:t>
      </w:r>
      <w:r>
        <w:rPr>
          <w:i/>
        </w:rPr>
        <w:t>of</w:t>
      </w:r>
      <w:r>
        <w:rPr>
          <w:i/>
          <w:spacing w:val="1"/>
        </w:rPr>
        <w:t> </w:t>
      </w:r>
      <w:r>
        <w:rPr>
          <w:i/>
        </w:rPr>
        <w:t>Pharmacology</w:t>
      </w:r>
      <w:r>
        <w:rPr>
          <w:i/>
          <w:spacing w:val="-1"/>
        </w:rPr>
        <w:t> </w:t>
      </w:r>
      <w:r>
        <w:rPr/>
        <w:t>4:441-445.</w:t>
      </w:r>
    </w:p>
    <w:p>
      <w:pPr>
        <w:pStyle w:val="BodyText"/>
      </w:pPr>
    </w:p>
    <w:p>
      <w:pPr>
        <w:pStyle w:val="BodyText"/>
        <w:ind w:left="671" w:right="117" w:hanging="452"/>
        <w:jc w:val="both"/>
      </w:pPr>
      <w:r>
        <w:rPr/>
        <w:t>Lodish, H., Berk, A., Zipursky S. Matsudaira, P., Baltimore, D., Darnell J. (2000). Molecular</w:t>
      </w:r>
      <w:r>
        <w:rPr>
          <w:spacing w:val="-57"/>
        </w:rPr>
        <w:t> </w:t>
      </w:r>
      <w:r>
        <w:rPr/>
        <w:t>Cell</w:t>
      </w:r>
      <w:r>
        <w:rPr>
          <w:spacing w:val="-1"/>
        </w:rPr>
        <w:t> </w:t>
      </w:r>
      <w:r>
        <w:rPr/>
        <w:t>Biology. 4ed</w:t>
      </w:r>
      <w:r>
        <w:rPr>
          <w:spacing w:val="2"/>
        </w:rPr>
        <w:t> </w:t>
      </w:r>
      <w:r>
        <w:rPr/>
        <w:t>New</w:t>
      </w:r>
      <w:r>
        <w:rPr>
          <w:spacing w:val="-1"/>
        </w:rPr>
        <w:t> </w:t>
      </w:r>
      <w:r>
        <w:rPr/>
        <w:t>York: W.H. Freeman</w:t>
      </w:r>
      <w:r>
        <w:rPr>
          <w:spacing w:val="-1"/>
        </w:rPr>
        <w:t> </w:t>
      </w:r>
      <w:r>
        <w:rPr/>
        <w:t>and</w:t>
      </w:r>
      <w:r>
        <w:rPr>
          <w:spacing w:val="2"/>
        </w:rPr>
        <w:t> </w:t>
      </w:r>
      <w:r>
        <w:rPr/>
        <w:t>Company.</w:t>
      </w:r>
    </w:p>
    <w:p>
      <w:pPr>
        <w:pStyle w:val="BodyText"/>
      </w:pPr>
    </w:p>
    <w:p>
      <w:pPr>
        <w:spacing w:before="0"/>
        <w:ind w:left="220" w:right="0" w:firstLine="0"/>
        <w:jc w:val="left"/>
        <w:rPr>
          <w:i/>
          <w:sz w:val="24"/>
        </w:rPr>
      </w:pPr>
      <w:r>
        <w:rPr>
          <w:sz w:val="24"/>
        </w:rPr>
        <w:t>Lorke,</w:t>
      </w:r>
      <w:r>
        <w:rPr>
          <w:spacing w:val="15"/>
          <w:sz w:val="24"/>
        </w:rPr>
        <w:t> </w:t>
      </w:r>
      <w:r>
        <w:rPr>
          <w:sz w:val="24"/>
        </w:rPr>
        <w:t>D.</w:t>
      </w:r>
      <w:r>
        <w:rPr>
          <w:spacing w:val="17"/>
          <w:sz w:val="24"/>
        </w:rPr>
        <w:t> </w:t>
      </w:r>
      <w:r>
        <w:rPr>
          <w:sz w:val="24"/>
        </w:rPr>
        <w:t>(1983).A</w:t>
      </w:r>
      <w:r>
        <w:rPr>
          <w:spacing w:val="17"/>
          <w:sz w:val="24"/>
        </w:rPr>
        <w:t> </w:t>
      </w:r>
      <w:r>
        <w:rPr>
          <w:sz w:val="24"/>
        </w:rPr>
        <w:t>new</w:t>
      </w:r>
      <w:r>
        <w:rPr>
          <w:spacing w:val="19"/>
          <w:sz w:val="24"/>
        </w:rPr>
        <w:t> </w:t>
      </w:r>
      <w:r>
        <w:rPr>
          <w:sz w:val="24"/>
        </w:rPr>
        <w:t>approach</w:t>
      </w:r>
      <w:r>
        <w:rPr>
          <w:spacing w:val="18"/>
          <w:sz w:val="24"/>
        </w:rPr>
        <w:t> </w:t>
      </w:r>
      <w:r>
        <w:rPr>
          <w:sz w:val="24"/>
        </w:rPr>
        <w:t>to</w:t>
      </w:r>
      <w:r>
        <w:rPr>
          <w:spacing w:val="16"/>
          <w:sz w:val="24"/>
        </w:rPr>
        <w:t> </w:t>
      </w:r>
      <w:r>
        <w:rPr>
          <w:sz w:val="24"/>
        </w:rPr>
        <w:t>practical</w:t>
      </w:r>
      <w:r>
        <w:rPr>
          <w:spacing w:val="18"/>
          <w:sz w:val="24"/>
        </w:rPr>
        <w:t> </w:t>
      </w:r>
      <w:r>
        <w:rPr>
          <w:sz w:val="24"/>
        </w:rPr>
        <w:t>acute</w:t>
      </w:r>
      <w:r>
        <w:rPr>
          <w:spacing w:val="15"/>
          <w:sz w:val="24"/>
        </w:rPr>
        <w:t> </w:t>
      </w:r>
      <w:r>
        <w:rPr>
          <w:sz w:val="24"/>
        </w:rPr>
        <w:t>toxicity</w:t>
      </w:r>
      <w:r>
        <w:rPr>
          <w:spacing w:val="8"/>
          <w:sz w:val="24"/>
        </w:rPr>
        <w:t> </w:t>
      </w:r>
      <w:r>
        <w:rPr>
          <w:sz w:val="24"/>
        </w:rPr>
        <w:t>testing;</w:t>
      </w:r>
      <w:r>
        <w:rPr>
          <w:spacing w:val="22"/>
          <w:sz w:val="24"/>
        </w:rPr>
        <w:t> </w:t>
      </w:r>
      <w:r>
        <w:rPr>
          <w:i/>
          <w:sz w:val="24"/>
        </w:rPr>
        <w:t>Archives</w:t>
      </w:r>
      <w:r>
        <w:rPr>
          <w:i/>
          <w:spacing w:val="15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6"/>
          <w:sz w:val="24"/>
        </w:rPr>
        <w:t> </w:t>
      </w:r>
      <w:r>
        <w:rPr>
          <w:i/>
          <w:sz w:val="24"/>
        </w:rPr>
        <w:t>Toxicology</w:t>
      </w:r>
    </w:p>
    <w:p>
      <w:pPr>
        <w:pStyle w:val="BodyText"/>
        <w:ind w:left="671"/>
      </w:pPr>
      <w:r>
        <w:rPr/>
        <w:t>54:275-287.</w:t>
      </w:r>
    </w:p>
    <w:p>
      <w:pPr>
        <w:pStyle w:val="BodyText"/>
      </w:pPr>
    </w:p>
    <w:p>
      <w:pPr>
        <w:pStyle w:val="BodyText"/>
        <w:ind w:left="671" w:right="118" w:hanging="452"/>
        <w:jc w:val="both"/>
      </w:pPr>
      <w:r>
        <w:rPr/>
        <w:t>Loscher W, Honack, D. Fassbender, and C.P., Notting B. (1991). The role of technical,</w:t>
      </w:r>
      <w:r>
        <w:rPr>
          <w:spacing w:val="1"/>
        </w:rPr>
        <w:t> </w:t>
      </w:r>
      <w:r>
        <w:rPr/>
        <w:t>biological and pharmacological factors in the laboratory evaluation of anticonvulsant</w:t>
      </w:r>
      <w:r>
        <w:rPr>
          <w:spacing w:val="1"/>
        </w:rPr>
        <w:t> </w:t>
      </w:r>
      <w:r>
        <w:rPr/>
        <w:t>drugs</w:t>
      </w:r>
      <w:r>
        <w:rPr>
          <w:spacing w:val="3"/>
        </w:rPr>
        <w:t> </w:t>
      </w:r>
      <w:r>
        <w:rPr/>
        <w:t>Ill:</w:t>
      </w:r>
      <w:r>
        <w:rPr>
          <w:spacing w:val="-1"/>
        </w:rPr>
        <w:t> </w:t>
      </w:r>
      <w:r>
        <w:rPr/>
        <w:t>Pentylenetetrazole seizure</w:t>
      </w:r>
      <w:r>
        <w:rPr>
          <w:spacing w:val="-2"/>
        </w:rPr>
        <w:t> </w:t>
      </w:r>
      <w:r>
        <w:rPr/>
        <w:t>models.</w:t>
      </w:r>
      <w:r>
        <w:rPr>
          <w:spacing w:val="3"/>
        </w:rPr>
        <w:t> </w:t>
      </w:r>
      <w:r>
        <w:rPr>
          <w:i/>
        </w:rPr>
        <w:t>Epilepsy</w:t>
      </w:r>
      <w:r>
        <w:rPr>
          <w:i/>
          <w:spacing w:val="-2"/>
        </w:rPr>
        <w:t> </w:t>
      </w:r>
      <w:r>
        <w:rPr>
          <w:i/>
        </w:rPr>
        <w:t>Research</w:t>
      </w:r>
      <w:r>
        <w:rPr/>
        <w:t>.</w:t>
      </w:r>
      <w:r>
        <w:rPr>
          <w:spacing w:val="-1"/>
        </w:rPr>
        <w:t> </w:t>
      </w:r>
      <w:r>
        <w:rPr/>
        <w:t>8:171–189.</w:t>
      </w:r>
    </w:p>
    <w:p>
      <w:pPr>
        <w:pStyle w:val="BodyText"/>
        <w:spacing w:before="1"/>
      </w:pPr>
    </w:p>
    <w:p>
      <w:pPr>
        <w:pStyle w:val="BodyText"/>
        <w:ind w:left="671" w:right="116" w:hanging="452"/>
        <w:jc w:val="both"/>
      </w:pPr>
      <w:r>
        <w:rPr/>
        <w:t>Loscher, W. and Honack, D. (1993). Profile of ucb L059, a novel anticonvulsant drug, in</w:t>
      </w:r>
      <w:r>
        <w:rPr>
          <w:spacing w:val="1"/>
        </w:rPr>
        <w:t> </w:t>
      </w:r>
      <w:r>
        <w:rPr/>
        <w:t>models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partial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generalized</w:t>
      </w:r>
      <w:r>
        <w:rPr>
          <w:spacing w:val="1"/>
        </w:rPr>
        <w:t> </w:t>
      </w:r>
      <w:r>
        <w:rPr/>
        <w:t>epilepsy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mice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rats.</w:t>
      </w:r>
      <w:r>
        <w:rPr>
          <w:spacing w:val="1"/>
        </w:rPr>
        <w:t> </w:t>
      </w:r>
      <w:r>
        <w:rPr>
          <w:i/>
        </w:rPr>
        <w:t>European</w:t>
      </w:r>
      <w:r>
        <w:rPr>
          <w:i/>
          <w:spacing w:val="1"/>
        </w:rPr>
        <w:t> </w:t>
      </w:r>
      <w:r>
        <w:rPr>
          <w:i/>
        </w:rPr>
        <w:t>Journal</w:t>
      </w:r>
      <w:r>
        <w:rPr>
          <w:i/>
          <w:spacing w:val="1"/>
        </w:rPr>
        <w:t> </w:t>
      </w:r>
      <w:r>
        <w:rPr>
          <w:i/>
        </w:rPr>
        <w:t>of</w:t>
      </w:r>
      <w:r>
        <w:rPr>
          <w:i/>
          <w:spacing w:val="1"/>
        </w:rPr>
        <w:t> </w:t>
      </w:r>
      <w:r>
        <w:rPr>
          <w:i/>
        </w:rPr>
        <w:t>Pharmacology</w:t>
      </w:r>
      <w:r>
        <w:rPr>
          <w:i/>
          <w:spacing w:val="-1"/>
        </w:rPr>
        <w:t> </w:t>
      </w:r>
      <w:r>
        <w:rPr/>
        <w:t>232:147-158.</w:t>
      </w:r>
    </w:p>
    <w:p>
      <w:pPr>
        <w:spacing w:before="0"/>
        <w:ind w:left="671" w:right="117" w:hanging="452"/>
        <w:jc w:val="both"/>
        <w:rPr>
          <w:sz w:val="24"/>
        </w:rPr>
      </w:pPr>
      <w:r>
        <w:rPr>
          <w:sz w:val="24"/>
        </w:rPr>
        <w:t>Loscher, W. (1998): New Visions in the pharmacology of anticonvulsion. </w:t>
      </w:r>
      <w:r>
        <w:rPr>
          <w:i/>
          <w:sz w:val="24"/>
        </w:rPr>
        <w:t>European 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 Pharmacol</w:t>
      </w:r>
      <w:r>
        <w:rPr>
          <w:sz w:val="24"/>
        </w:rPr>
        <w:t>ogy</w:t>
      </w:r>
      <w:r>
        <w:rPr>
          <w:spacing w:val="-5"/>
          <w:sz w:val="24"/>
        </w:rPr>
        <w:t> </w:t>
      </w:r>
      <w:r>
        <w:rPr>
          <w:sz w:val="24"/>
        </w:rPr>
        <w:t>342:1-13.</w:t>
      </w:r>
    </w:p>
    <w:p>
      <w:pPr>
        <w:pStyle w:val="BodyText"/>
      </w:pPr>
    </w:p>
    <w:p>
      <w:pPr>
        <w:pStyle w:val="BodyText"/>
        <w:ind w:left="671" w:right="121" w:hanging="452"/>
        <w:jc w:val="both"/>
      </w:pPr>
      <w:r>
        <w:rPr/>
        <w:t>Loscher,</w:t>
      </w:r>
      <w:r>
        <w:rPr>
          <w:spacing w:val="1"/>
        </w:rPr>
        <w:t> </w:t>
      </w:r>
      <w:r>
        <w:rPr/>
        <w:t>W.</w:t>
      </w:r>
      <w:r>
        <w:rPr>
          <w:spacing w:val="1"/>
        </w:rPr>
        <w:t> </w:t>
      </w:r>
      <w:r>
        <w:rPr/>
        <w:t>(1999):</w:t>
      </w:r>
      <w:r>
        <w:rPr>
          <w:spacing w:val="1"/>
        </w:rPr>
        <w:t> </w:t>
      </w:r>
      <w:r>
        <w:rPr/>
        <w:t>Valproate: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reappraisal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pharmacodynamic</w:t>
      </w:r>
      <w:r>
        <w:rPr>
          <w:spacing w:val="1"/>
        </w:rPr>
        <w:t> </w:t>
      </w:r>
      <w:r>
        <w:rPr/>
        <w:t>properties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mechanisms</w:t>
      </w:r>
      <w:r>
        <w:rPr>
          <w:spacing w:val="-1"/>
        </w:rPr>
        <w:t> </w:t>
      </w:r>
      <w:r>
        <w:rPr/>
        <w:t>of action.</w:t>
      </w:r>
      <w:r>
        <w:rPr>
          <w:spacing w:val="1"/>
        </w:rPr>
        <w:t> </w:t>
      </w:r>
      <w:r>
        <w:rPr>
          <w:i/>
        </w:rPr>
        <w:t>Progress in Neurobiology</w:t>
      </w:r>
      <w:r>
        <w:rPr>
          <w:i/>
          <w:spacing w:val="-1"/>
        </w:rPr>
        <w:t> </w:t>
      </w:r>
      <w:r>
        <w:rPr/>
        <w:t>58, 31-59.</w:t>
      </w:r>
    </w:p>
    <w:p>
      <w:pPr>
        <w:pStyle w:val="BodyText"/>
      </w:pPr>
    </w:p>
    <w:p>
      <w:pPr>
        <w:pStyle w:val="BodyText"/>
        <w:ind w:left="671" w:right="113" w:hanging="452"/>
        <w:jc w:val="both"/>
      </w:pPr>
      <w:r>
        <w:rPr/>
        <w:t>Loscher, W. and Siemes, H. (1985). Cerebrospinal fluid gamma-amino butyric acid levels in</w:t>
      </w:r>
      <w:r>
        <w:rPr>
          <w:spacing w:val="1"/>
        </w:rPr>
        <w:t> </w:t>
      </w:r>
      <w:r>
        <w:rPr/>
        <w:t>children with different types of epilepsy: effect of anticonvulsant treatment. </w:t>
      </w:r>
      <w:r>
        <w:rPr>
          <w:i/>
        </w:rPr>
        <w:t>Epilepsia</w:t>
      </w:r>
      <w:r>
        <w:rPr/>
        <w:t>,</w:t>
      </w:r>
      <w:r>
        <w:rPr>
          <w:spacing w:val="1"/>
        </w:rPr>
        <w:t> </w:t>
      </w:r>
      <w:r>
        <w:rPr/>
        <w:t>26:314-319.</w:t>
      </w:r>
    </w:p>
    <w:p>
      <w:pPr>
        <w:pStyle w:val="BodyText"/>
      </w:pPr>
    </w:p>
    <w:p>
      <w:pPr>
        <w:pStyle w:val="BodyText"/>
        <w:spacing w:before="1"/>
        <w:ind w:left="671" w:right="121" w:hanging="452"/>
        <w:jc w:val="both"/>
      </w:pPr>
      <w:r>
        <w:rPr/>
        <w:t>Loscher, W., and Schmidt, D. (1988). Which animal models should be used in the search for</w:t>
      </w:r>
      <w:r>
        <w:rPr>
          <w:spacing w:val="1"/>
        </w:rPr>
        <w:t> </w:t>
      </w:r>
      <w:r>
        <w:rPr/>
        <w:t>new antiepileptic drugs? A proposal based on experimental and clinical considerations.</w:t>
      </w:r>
      <w:r>
        <w:rPr>
          <w:spacing w:val="1"/>
        </w:rPr>
        <w:t> </w:t>
      </w:r>
      <w:r>
        <w:rPr>
          <w:i/>
        </w:rPr>
        <w:t>Epilepsy</w:t>
      </w:r>
      <w:r>
        <w:rPr>
          <w:i/>
          <w:spacing w:val="-2"/>
        </w:rPr>
        <w:t> </w:t>
      </w:r>
      <w:r>
        <w:rPr>
          <w:i/>
        </w:rPr>
        <w:t>Research. </w:t>
      </w:r>
      <w:r>
        <w:rPr/>
        <w:t>2(3):</w:t>
      </w:r>
      <w:r>
        <w:rPr>
          <w:spacing w:val="2"/>
        </w:rPr>
        <w:t> </w:t>
      </w:r>
      <w:r>
        <w:rPr/>
        <w:t>145-81.</w:t>
      </w:r>
    </w:p>
    <w:p>
      <w:pPr>
        <w:pStyle w:val="BodyText"/>
      </w:pPr>
    </w:p>
    <w:p>
      <w:pPr>
        <w:spacing w:before="0"/>
        <w:ind w:left="671" w:right="116" w:hanging="452"/>
        <w:jc w:val="both"/>
        <w:rPr>
          <w:sz w:val="24"/>
        </w:rPr>
      </w:pPr>
      <w:r>
        <w:rPr>
          <w:sz w:val="24"/>
        </w:rPr>
        <w:t>Losser,</w:t>
      </w:r>
      <w:r>
        <w:rPr>
          <w:spacing w:val="1"/>
          <w:sz w:val="24"/>
        </w:rPr>
        <w:t> </w:t>
      </w:r>
      <w:r>
        <w:rPr>
          <w:sz w:val="24"/>
        </w:rPr>
        <w:t>M.R.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Payen,</w:t>
      </w:r>
      <w:r>
        <w:rPr>
          <w:spacing w:val="1"/>
          <w:sz w:val="24"/>
        </w:rPr>
        <w:t> </w:t>
      </w:r>
      <w:r>
        <w:rPr>
          <w:sz w:val="24"/>
        </w:rPr>
        <w:t>D.</w:t>
      </w:r>
      <w:r>
        <w:rPr>
          <w:spacing w:val="1"/>
          <w:sz w:val="24"/>
        </w:rPr>
        <w:t> </w:t>
      </w:r>
      <w:r>
        <w:rPr>
          <w:sz w:val="24"/>
        </w:rPr>
        <w:t>(1996).</w:t>
      </w:r>
      <w:r>
        <w:rPr>
          <w:spacing w:val="1"/>
          <w:sz w:val="24"/>
        </w:rPr>
        <w:t> </w:t>
      </w:r>
      <w:r>
        <w:rPr>
          <w:sz w:val="24"/>
        </w:rPr>
        <w:t>Mechanisms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liver</w:t>
      </w:r>
      <w:r>
        <w:rPr>
          <w:spacing w:val="1"/>
          <w:sz w:val="24"/>
        </w:rPr>
        <w:t> </w:t>
      </w:r>
      <w:r>
        <w:rPr>
          <w:sz w:val="24"/>
        </w:rPr>
        <w:t>Damage.</w:t>
      </w:r>
      <w:r>
        <w:rPr>
          <w:spacing w:val="1"/>
          <w:sz w:val="24"/>
        </w:rPr>
        <w:t> </w:t>
      </w:r>
      <w:r>
        <w:rPr>
          <w:i/>
          <w:sz w:val="24"/>
        </w:rPr>
        <w:t>Seminar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on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Liver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Disease;</w:t>
      </w:r>
      <w:r>
        <w:rPr>
          <w:i/>
          <w:spacing w:val="-2"/>
          <w:sz w:val="24"/>
        </w:rPr>
        <w:t> </w:t>
      </w:r>
      <w:r>
        <w:rPr>
          <w:sz w:val="24"/>
        </w:rPr>
        <w:t>16:357-367.</w:t>
      </w:r>
    </w:p>
    <w:p>
      <w:pPr>
        <w:pStyle w:val="BodyText"/>
      </w:pPr>
    </w:p>
    <w:p>
      <w:pPr>
        <w:spacing w:before="0"/>
        <w:ind w:left="671" w:right="113" w:hanging="452"/>
        <w:jc w:val="both"/>
        <w:rPr>
          <w:sz w:val="24"/>
        </w:rPr>
      </w:pPr>
      <w:r>
        <w:rPr>
          <w:sz w:val="24"/>
        </w:rPr>
        <w:t>Lynch, B.A; Lambeng, N; Nocka, K </w:t>
      </w:r>
      <w:r>
        <w:rPr>
          <w:i/>
          <w:sz w:val="24"/>
        </w:rPr>
        <w:t>et al </w:t>
      </w:r>
      <w:r>
        <w:rPr>
          <w:sz w:val="24"/>
        </w:rPr>
        <w:t>(2004): The synaptic vesicle protein SV2A in the</w:t>
      </w:r>
      <w:r>
        <w:rPr>
          <w:spacing w:val="1"/>
          <w:sz w:val="24"/>
        </w:rPr>
        <w:t> </w:t>
      </w:r>
      <w:r>
        <w:rPr>
          <w:sz w:val="24"/>
        </w:rPr>
        <w:t>binding</w:t>
      </w:r>
      <w:r>
        <w:rPr>
          <w:spacing w:val="1"/>
          <w:sz w:val="24"/>
        </w:rPr>
        <w:t> </w:t>
      </w:r>
      <w:r>
        <w:rPr>
          <w:sz w:val="24"/>
        </w:rPr>
        <w:t>site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antiepileptic</w:t>
      </w:r>
      <w:r>
        <w:rPr>
          <w:spacing w:val="1"/>
          <w:sz w:val="24"/>
        </w:rPr>
        <w:t> </w:t>
      </w:r>
      <w:r>
        <w:rPr>
          <w:sz w:val="24"/>
        </w:rPr>
        <w:t>drug</w:t>
      </w:r>
      <w:r>
        <w:rPr>
          <w:spacing w:val="1"/>
          <w:sz w:val="24"/>
        </w:rPr>
        <w:t> </w:t>
      </w:r>
      <w:r>
        <w:rPr>
          <w:sz w:val="24"/>
        </w:rPr>
        <w:t>levetiracetam.</w:t>
      </w:r>
      <w:r>
        <w:rPr>
          <w:spacing w:val="1"/>
          <w:sz w:val="24"/>
        </w:rPr>
        <w:t> </w:t>
      </w:r>
      <w:r>
        <w:rPr>
          <w:i/>
          <w:sz w:val="24"/>
        </w:rPr>
        <w:t>Proc</w:t>
      </w:r>
      <w:r>
        <w:rPr>
          <w:sz w:val="24"/>
        </w:rPr>
        <w:t>eedings</w:t>
      </w:r>
      <w:r>
        <w:rPr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Acad</w:t>
      </w:r>
      <w:r>
        <w:rPr>
          <w:sz w:val="24"/>
        </w:rPr>
        <w:t>emy</w:t>
      </w:r>
      <w:r>
        <w:rPr>
          <w:spacing w:val="-5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Science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USA</w:t>
      </w:r>
      <w:r>
        <w:rPr>
          <w:sz w:val="24"/>
        </w:rPr>
        <w:t>: 101:9861-9866.</w:t>
      </w:r>
    </w:p>
    <w:p>
      <w:pPr>
        <w:pStyle w:val="BodyText"/>
      </w:pPr>
    </w:p>
    <w:p>
      <w:pPr>
        <w:pStyle w:val="BodyText"/>
        <w:spacing w:before="1"/>
        <w:ind w:left="220"/>
        <w:rPr>
          <w:i/>
        </w:rPr>
      </w:pPr>
      <w:r>
        <w:rPr/>
        <w:t>Macdonald,</w:t>
      </w:r>
      <w:r>
        <w:rPr>
          <w:spacing w:val="4"/>
        </w:rPr>
        <w:t> </w:t>
      </w:r>
      <w:r>
        <w:rPr/>
        <w:t>R.L</w:t>
      </w:r>
      <w:r>
        <w:rPr>
          <w:spacing w:val="1"/>
        </w:rPr>
        <w:t> </w:t>
      </w:r>
      <w:r>
        <w:rPr/>
        <w:t>and</w:t>
      </w:r>
      <w:r>
        <w:rPr>
          <w:spacing w:val="5"/>
        </w:rPr>
        <w:t> </w:t>
      </w:r>
      <w:r>
        <w:rPr/>
        <w:t>Kelly,</w:t>
      </w:r>
      <w:r>
        <w:rPr>
          <w:spacing w:val="4"/>
        </w:rPr>
        <w:t> </w:t>
      </w:r>
      <w:r>
        <w:rPr/>
        <w:t>K.M.</w:t>
      </w:r>
      <w:r>
        <w:rPr>
          <w:spacing w:val="3"/>
        </w:rPr>
        <w:t> </w:t>
      </w:r>
      <w:r>
        <w:rPr/>
        <w:t>(1995).</w:t>
      </w:r>
      <w:r>
        <w:rPr>
          <w:spacing w:val="7"/>
        </w:rPr>
        <w:t> </w:t>
      </w:r>
      <w:r>
        <w:rPr/>
        <w:t>Antiepileptic</w:t>
      </w:r>
      <w:r>
        <w:rPr>
          <w:spacing w:val="2"/>
        </w:rPr>
        <w:t> </w:t>
      </w:r>
      <w:r>
        <w:rPr/>
        <w:t>drug</w:t>
      </w:r>
      <w:r>
        <w:rPr>
          <w:spacing w:val="2"/>
        </w:rPr>
        <w:t> </w:t>
      </w:r>
      <w:r>
        <w:rPr/>
        <w:t>mechanisms</w:t>
      </w:r>
      <w:r>
        <w:rPr>
          <w:spacing w:val="3"/>
        </w:rPr>
        <w:t> </w:t>
      </w:r>
      <w:r>
        <w:rPr/>
        <w:t>of</w:t>
      </w:r>
      <w:r>
        <w:rPr>
          <w:spacing w:val="3"/>
        </w:rPr>
        <w:t> </w:t>
      </w:r>
      <w:r>
        <w:rPr/>
        <w:t>action.</w:t>
      </w:r>
      <w:r>
        <w:rPr>
          <w:spacing w:val="7"/>
        </w:rPr>
        <w:t> </w:t>
      </w:r>
      <w:r>
        <w:rPr>
          <w:i/>
        </w:rPr>
        <w:t>Epilepsia</w:t>
      </w:r>
    </w:p>
    <w:p>
      <w:pPr>
        <w:pStyle w:val="BodyText"/>
        <w:ind w:left="671"/>
      </w:pPr>
      <w:r>
        <w:rPr/>
        <w:t>36</w:t>
      </w:r>
      <w:r>
        <w:rPr>
          <w:spacing w:val="-1"/>
        </w:rPr>
        <w:t> </w:t>
      </w:r>
      <w:r>
        <w:rPr/>
        <w:t>(Suppl. 2), S2-S12.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671" w:right="117" w:hanging="452"/>
        <w:jc w:val="both"/>
      </w:pPr>
      <w:r>
        <w:rPr/>
        <w:t>Macdonald, R.L.,Rogers, C.J. and Twyman, R.E. (1989). Barbiturate regulation of kinetic</w:t>
      </w:r>
      <w:r>
        <w:rPr>
          <w:spacing w:val="1"/>
        </w:rPr>
        <w:t> </w:t>
      </w:r>
      <w:r>
        <w:rPr/>
        <w:t>properties of GABA</w:t>
      </w:r>
      <w:r>
        <w:rPr>
          <w:vertAlign w:val="subscript"/>
        </w:rPr>
        <w:t>A</w:t>
      </w:r>
      <w:r>
        <w:rPr>
          <w:vertAlign w:val="baseline"/>
        </w:rPr>
        <w:t> receptor channel of mouse spinal neurones in culture. </w:t>
      </w:r>
      <w:r>
        <w:rPr>
          <w:i/>
          <w:vertAlign w:val="baseline"/>
        </w:rPr>
        <w:t>Journal of</w:t>
      </w:r>
      <w:r>
        <w:rPr>
          <w:i/>
          <w:spacing w:val="1"/>
          <w:vertAlign w:val="baseline"/>
        </w:rPr>
        <w:t> </w:t>
      </w:r>
      <w:r>
        <w:rPr>
          <w:i/>
          <w:vertAlign w:val="baseline"/>
        </w:rPr>
        <w:t>Physiology.</w:t>
      </w:r>
      <w:r>
        <w:rPr>
          <w:i/>
          <w:spacing w:val="-1"/>
          <w:vertAlign w:val="baseline"/>
        </w:rPr>
        <w:t> </w:t>
      </w:r>
      <w:r>
        <w:rPr>
          <w:vertAlign w:val="baseline"/>
        </w:rPr>
        <w:t>417:4832-500.</w:t>
      </w:r>
    </w:p>
    <w:p>
      <w:pPr>
        <w:spacing w:after="0"/>
        <w:jc w:val="both"/>
        <w:sectPr>
          <w:pgSz w:w="12240" w:h="15840"/>
          <w:pgMar w:header="0" w:footer="792" w:top="1360" w:bottom="980" w:left="1580" w:right="1320"/>
        </w:sectPr>
      </w:pPr>
    </w:p>
    <w:p>
      <w:pPr>
        <w:pStyle w:val="BodyText"/>
        <w:spacing w:before="72"/>
        <w:ind w:left="671" w:right="118" w:hanging="452"/>
        <w:jc w:val="both"/>
      </w:pPr>
      <w:r>
        <w:rPr/>
        <w:t>Mares,</w:t>
      </w:r>
      <w:r>
        <w:rPr>
          <w:spacing w:val="1"/>
        </w:rPr>
        <w:t> </w:t>
      </w:r>
      <w:r>
        <w:rPr/>
        <w:t>P.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Kubova,</w:t>
      </w:r>
      <w:r>
        <w:rPr>
          <w:spacing w:val="1"/>
        </w:rPr>
        <w:t> </w:t>
      </w:r>
      <w:r>
        <w:rPr/>
        <w:t>H.</w:t>
      </w:r>
      <w:r>
        <w:rPr>
          <w:spacing w:val="1"/>
        </w:rPr>
        <w:t> </w:t>
      </w:r>
      <w:r>
        <w:rPr/>
        <w:t>(2006).</w:t>
      </w:r>
      <w:r>
        <w:rPr>
          <w:spacing w:val="1"/>
        </w:rPr>
        <w:t> </w:t>
      </w:r>
      <w:r>
        <w:rPr/>
        <w:t>Electrical</w:t>
      </w:r>
      <w:r>
        <w:rPr>
          <w:spacing w:val="1"/>
        </w:rPr>
        <w:t> </w:t>
      </w:r>
      <w:r>
        <w:rPr/>
        <w:t>stimulation</w:t>
      </w:r>
      <w:r>
        <w:rPr>
          <w:spacing w:val="1"/>
        </w:rPr>
        <w:t> </w:t>
      </w:r>
      <w:r>
        <w:rPr/>
        <w:t>induced</w:t>
      </w:r>
      <w:r>
        <w:rPr>
          <w:spacing w:val="1"/>
        </w:rPr>
        <w:t> </w:t>
      </w:r>
      <w:r>
        <w:rPr/>
        <w:t>model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seizures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Epilepsy. Pitkanen, A; Schwartzkroin, P.A; Moshe, S.L (Eds). Elsevier Academic Press.</w:t>
      </w:r>
      <w:r>
        <w:rPr>
          <w:spacing w:val="-57"/>
        </w:rPr>
        <w:t> </w:t>
      </w:r>
      <w:r>
        <w:rPr/>
        <w:t>USA Chapter</w:t>
      </w:r>
      <w:r>
        <w:rPr>
          <w:spacing w:val="-2"/>
        </w:rPr>
        <w:t> </w:t>
      </w:r>
      <w:r>
        <w:rPr/>
        <w:t>12: 153-159.</w:t>
      </w:r>
    </w:p>
    <w:p>
      <w:pPr>
        <w:pStyle w:val="BodyText"/>
      </w:pPr>
    </w:p>
    <w:p>
      <w:pPr>
        <w:pStyle w:val="BodyText"/>
        <w:ind w:left="671" w:right="117" w:hanging="452"/>
        <w:jc w:val="both"/>
      </w:pPr>
      <w:r>
        <w:rPr/>
        <w:t>McAuley, J.W. and Lott, R.S. (2008). Seizure Disorders. In: Applied Therapeutics. The</w:t>
      </w:r>
      <w:r>
        <w:rPr>
          <w:spacing w:val="1"/>
        </w:rPr>
        <w:t> </w:t>
      </w:r>
      <w:r>
        <w:rPr/>
        <w:t>clinical use of drugs. Edited by Mary Anne Koda-Kimble et al 9</w:t>
      </w:r>
      <w:r>
        <w:rPr>
          <w:vertAlign w:val="superscript"/>
        </w:rPr>
        <w:t>th</w:t>
      </w:r>
      <w:r>
        <w:rPr>
          <w:vertAlign w:val="baseline"/>
        </w:rPr>
        <w:t> Edition. Lippincott</w:t>
      </w:r>
      <w:r>
        <w:rPr>
          <w:spacing w:val="1"/>
          <w:vertAlign w:val="baseline"/>
        </w:rPr>
        <w:t> </w:t>
      </w:r>
      <w:r>
        <w:rPr>
          <w:vertAlign w:val="baseline"/>
        </w:rPr>
        <w:t>Williams</w:t>
      </w:r>
      <w:r>
        <w:rPr>
          <w:spacing w:val="-1"/>
          <w:vertAlign w:val="baseline"/>
        </w:rPr>
        <w:t> </w:t>
      </w:r>
      <w:r>
        <w:rPr>
          <w:vertAlign w:val="baseline"/>
        </w:rPr>
        <w:t>and</w:t>
      </w:r>
      <w:r>
        <w:rPr>
          <w:spacing w:val="-3"/>
          <w:vertAlign w:val="baseline"/>
        </w:rPr>
        <w:t> </w:t>
      </w:r>
      <w:r>
        <w:rPr>
          <w:vertAlign w:val="baseline"/>
        </w:rPr>
        <w:t>Wilkins. Maryland USA Ch. 54 Pp. 1-33.</w:t>
      </w:r>
    </w:p>
    <w:p>
      <w:pPr>
        <w:pStyle w:val="BodyText"/>
      </w:pPr>
    </w:p>
    <w:p>
      <w:pPr>
        <w:pStyle w:val="BodyText"/>
        <w:ind w:left="220"/>
      </w:pPr>
      <w:r>
        <w:rPr/>
        <w:t>McLean,</w:t>
      </w:r>
      <w:r>
        <w:rPr>
          <w:spacing w:val="8"/>
        </w:rPr>
        <w:t> </w:t>
      </w:r>
      <w:r>
        <w:rPr/>
        <w:t>M.J.,</w:t>
      </w:r>
      <w:r>
        <w:rPr>
          <w:spacing w:val="5"/>
        </w:rPr>
        <w:t> </w:t>
      </w:r>
      <w:r>
        <w:rPr/>
        <w:t>Schmutz,</w:t>
      </w:r>
      <w:r>
        <w:rPr>
          <w:spacing w:val="4"/>
        </w:rPr>
        <w:t> </w:t>
      </w:r>
      <w:r>
        <w:rPr/>
        <w:t>M.,</w:t>
      </w:r>
      <w:r>
        <w:rPr>
          <w:spacing w:val="9"/>
        </w:rPr>
        <w:t> </w:t>
      </w:r>
      <w:r>
        <w:rPr/>
        <w:t>Wamil,</w:t>
      </w:r>
      <w:r>
        <w:rPr>
          <w:spacing w:val="6"/>
        </w:rPr>
        <w:t> </w:t>
      </w:r>
      <w:r>
        <w:rPr/>
        <w:t>A.W.</w:t>
      </w:r>
      <w:r>
        <w:rPr>
          <w:spacing w:val="5"/>
        </w:rPr>
        <w:t> </w:t>
      </w:r>
      <w:r>
        <w:rPr/>
        <w:t>Olpe,</w:t>
      </w:r>
      <w:r>
        <w:rPr>
          <w:spacing w:val="8"/>
        </w:rPr>
        <w:t> </w:t>
      </w:r>
      <w:r>
        <w:rPr/>
        <w:t>H.R.,</w:t>
      </w:r>
      <w:r>
        <w:rPr>
          <w:spacing w:val="8"/>
        </w:rPr>
        <w:t> </w:t>
      </w:r>
      <w:r>
        <w:rPr/>
        <w:t>Porter,</w:t>
      </w:r>
      <w:r>
        <w:rPr>
          <w:spacing w:val="5"/>
        </w:rPr>
        <w:t> </w:t>
      </w:r>
      <w:r>
        <w:rPr/>
        <w:t>C.,</w:t>
      </w:r>
      <w:r>
        <w:rPr>
          <w:spacing w:val="9"/>
        </w:rPr>
        <w:t> </w:t>
      </w:r>
      <w:r>
        <w:rPr/>
        <w:t>&amp;</w:t>
      </w:r>
      <w:r>
        <w:rPr>
          <w:spacing w:val="7"/>
        </w:rPr>
        <w:t> </w:t>
      </w:r>
      <w:r>
        <w:rPr/>
        <w:t>Feldmann,</w:t>
      </w:r>
      <w:r>
        <w:rPr>
          <w:spacing w:val="5"/>
        </w:rPr>
        <w:t> </w:t>
      </w:r>
      <w:r>
        <w:rPr/>
        <w:t>K.F.</w:t>
      </w:r>
      <w:r>
        <w:rPr>
          <w:spacing w:val="9"/>
        </w:rPr>
        <w:t> </w:t>
      </w:r>
      <w:r>
        <w:rPr/>
        <w:t>(1994).</w:t>
      </w:r>
    </w:p>
    <w:p>
      <w:pPr>
        <w:pStyle w:val="BodyText"/>
        <w:ind w:left="671"/>
      </w:pPr>
      <w:r>
        <w:rPr/>
        <w:t>Oxcarbazepine:</w:t>
      </w:r>
      <w:r>
        <w:rPr>
          <w:spacing w:val="-1"/>
        </w:rPr>
        <w:t> </w:t>
      </w:r>
      <w:r>
        <w:rPr/>
        <w:t>Mechanisms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action. </w:t>
      </w:r>
      <w:r>
        <w:rPr>
          <w:i/>
        </w:rPr>
        <w:t>Epilepsia</w:t>
      </w:r>
      <w:r>
        <w:rPr>
          <w:i/>
          <w:spacing w:val="-1"/>
        </w:rPr>
        <w:t> </w:t>
      </w:r>
      <w:r>
        <w:rPr/>
        <w:t>35.Suppl.</w:t>
      </w:r>
      <w:r>
        <w:rPr>
          <w:spacing w:val="-1"/>
        </w:rPr>
        <w:t> </w:t>
      </w:r>
      <w:r>
        <w:rPr/>
        <w:t>3)</w:t>
      </w:r>
      <w:r>
        <w:rPr>
          <w:spacing w:val="-1"/>
        </w:rPr>
        <w:t> </w:t>
      </w:r>
      <w:r>
        <w:rPr/>
        <w:t>S5-S9.</w:t>
      </w:r>
    </w:p>
    <w:p>
      <w:pPr>
        <w:pStyle w:val="BodyText"/>
      </w:pPr>
    </w:p>
    <w:p>
      <w:pPr>
        <w:pStyle w:val="BodyText"/>
        <w:ind w:left="671" w:right="113" w:hanging="452"/>
        <w:jc w:val="both"/>
      </w:pPr>
      <w:r>
        <w:rPr/>
        <w:t>McLean,</w:t>
      </w:r>
      <w:r>
        <w:rPr>
          <w:spacing w:val="1"/>
        </w:rPr>
        <w:t> </w:t>
      </w:r>
      <w:r>
        <w:rPr/>
        <w:t>M.J.,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Macdonald,</w:t>
      </w:r>
      <w:r>
        <w:rPr>
          <w:spacing w:val="1"/>
        </w:rPr>
        <w:t> </w:t>
      </w:r>
      <w:r>
        <w:rPr/>
        <w:t>R.L.</w:t>
      </w:r>
      <w:r>
        <w:rPr>
          <w:spacing w:val="1"/>
        </w:rPr>
        <w:t> </w:t>
      </w:r>
      <w:r>
        <w:rPr/>
        <w:t>(1986).</w:t>
      </w:r>
      <w:r>
        <w:rPr>
          <w:spacing w:val="1"/>
        </w:rPr>
        <w:t> </w:t>
      </w:r>
      <w:r>
        <w:rPr/>
        <w:t>Sodium</w:t>
      </w:r>
      <w:r>
        <w:rPr>
          <w:spacing w:val="1"/>
        </w:rPr>
        <w:t> </w:t>
      </w:r>
      <w:r>
        <w:rPr/>
        <w:t>valproate,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ethosuximide,</w:t>
      </w:r>
      <w:r>
        <w:rPr>
          <w:spacing w:val="1"/>
        </w:rPr>
        <w:t> </w:t>
      </w:r>
      <w:r>
        <w:rPr/>
        <w:t>produces use and voltage-dependent limitation of high frequency repetitive firing of</w:t>
      </w:r>
      <w:r>
        <w:rPr>
          <w:spacing w:val="1"/>
        </w:rPr>
        <w:t> </w:t>
      </w:r>
      <w:r>
        <w:rPr/>
        <w:t>action potentials of mouse central neurons in cell culture. </w:t>
      </w:r>
      <w:r>
        <w:rPr>
          <w:i/>
        </w:rPr>
        <w:t>Journal of Pharmacology and</w:t>
      </w:r>
      <w:r>
        <w:rPr>
          <w:i/>
          <w:spacing w:val="1"/>
        </w:rPr>
        <w:t> </w:t>
      </w:r>
      <w:r>
        <w:rPr>
          <w:i/>
        </w:rPr>
        <w:t>Experimental Therapeutics, </w:t>
      </w:r>
      <w:r>
        <w:rPr/>
        <w:t>237:1001-1011.</w:t>
      </w:r>
    </w:p>
    <w:p>
      <w:pPr>
        <w:pStyle w:val="BodyText"/>
        <w:spacing w:before="1"/>
      </w:pPr>
    </w:p>
    <w:p>
      <w:pPr>
        <w:pStyle w:val="BodyText"/>
        <w:ind w:left="671" w:right="115" w:hanging="452"/>
        <w:jc w:val="both"/>
      </w:pPr>
      <w:r>
        <w:rPr/>
        <w:t>Meldrum,B.S.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Rogawski,</w:t>
      </w:r>
      <w:r>
        <w:rPr>
          <w:spacing w:val="1"/>
        </w:rPr>
        <w:t> </w:t>
      </w:r>
      <w:r>
        <w:rPr/>
        <w:t>M.A.</w:t>
      </w:r>
      <w:r>
        <w:rPr>
          <w:spacing w:val="1"/>
        </w:rPr>
        <w:t> </w:t>
      </w:r>
      <w:r>
        <w:rPr/>
        <w:t>(2007).</w:t>
      </w:r>
      <w:r>
        <w:rPr>
          <w:spacing w:val="1"/>
        </w:rPr>
        <w:t> </w:t>
      </w:r>
      <w:r>
        <w:rPr/>
        <w:t>Molecular</w:t>
      </w:r>
      <w:r>
        <w:rPr>
          <w:spacing w:val="1"/>
        </w:rPr>
        <w:t> </w:t>
      </w:r>
      <w:r>
        <w:rPr/>
        <w:t>targets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antiepileptic</w:t>
      </w:r>
      <w:r>
        <w:rPr>
          <w:spacing w:val="1"/>
        </w:rPr>
        <w:t> </w:t>
      </w:r>
      <w:r>
        <w:rPr/>
        <w:t>drug</w:t>
      </w:r>
      <w:r>
        <w:rPr>
          <w:spacing w:val="1"/>
        </w:rPr>
        <w:t> </w:t>
      </w:r>
      <w:r>
        <w:rPr/>
        <w:t>development. </w:t>
      </w:r>
      <w:r>
        <w:rPr>
          <w:i/>
        </w:rPr>
        <w:t>Neurotherapeutics</w:t>
      </w:r>
      <w:r>
        <w:rPr>
          <w:i/>
          <w:spacing w:val="1"/>
        </w:rPr>
        <w:t> </w:t>
      </w:r>
      <w:r>
        <w:rPr/>
        <w:t>4:18-61.</w:t>
      </w:r>
    </w:p>
    <w:p>
      <w:pPr>
        <w:pStyle w:val="BodyText"/>
        <w:ind w:left="671" w:right="118" w:hanging="452"/>
        <w:jc w:val="both"/>
      </w:pPr>
      <w:r>
        <w:rPr/>
        <w:t>Meldrum, B.S. and Chapman, A.G. (1999).Glutamate receptors and transporters in genetic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acquired models of epilepsy.</w:t>
      </w:r>
      <w:r>
        <w:rPr>
          <w:spacing w:val="1"/>
        </w:rPr>
        <w:t> </w:t>
      </w:r>
      <w:r>
        <w:rPr>
          <w:i/>
        </w:rPr>
        <w:t>Epilepsy</w:t>
      </w:r>
      <w:r>
        <w:rPr>
          <w:i/>
          <w:spacing w:val="-1"/>
        </w:rPr>
        <w:t> </w:t>
      </w:r>
      <w:r>
        <w:rPr>
          <w:i/>
        </w:rPr>
        <w:t>Research</w:t>
      </w:r>
      <w:r>
        <w:rPr>
          <w:i/>
          <w:spacing w:val="-1"/>
        </w:rPr>
        <w:t> </w:t>
      </w:r>
      <w:r>
        <w:rPr/>
        <w:t>362:189-294.</w:t>
      </w:r>
    </w:p>
    <w:p>
      <w:pPr>
        <w:pStyle w:val="BodyText"/>
      </w:pPr>
    </w:p>
    <w:p>
      <w:pPr>
        <w:pStyle w:val="BodyText"/>
        <w:ind w:left="220"/>
        <w:rPr>
          <w:i/>
        </w:rPr>
      </w:pPr>
      <w:r>
        <w:rPr/>
        <w:t>Meldrum,</w:t>
      </w:r>
      <w:r>
        <w:rPr>
          <w:spacing w:val="8"/>
        </w:rPr>
        <w:t> </w:t>
      </w:r>
      <w:r>
        <w:rPr/>
        <w:t>B.S.</w:t>
      </w:r>
      <w:r>
        <w:rPr>
          <w:spacing w:val="10"/>
        </w:rPr>
        <w:t> </w:t>
      </w:r>
      <w:r>
        <w:rPr/>
        <w:t>(1996).</w:t>
      </w:r>
      <w:r>
        <w:rPr>
          <w:spacing w:val="11"/>
        </w:rPr>
        <w:t> </w:t>
      </w:r>
      <w:r>
        <w:rPr/>
        <w:t>Update</w:t>
      </w:r>
      <w:r>
        <w:rPr>
          <w:spacing w:val="7"/>
        </w:rPr>
        <w:t> </w:t>
      </w:r>
      <w:r>
        <w:rPr/>
        <w:t>on</w:t>
      </w:r>
      <w:r>
        <w:rPr>
          <w:spacing w:val="10"/>
        </w:rPr>
        <w:t> </w:t>
      </w:r>
      <w:r>
        <w:rPr/>
        <w:t>the</w:t>
      </w:r>
      <w:r>
        <w:rPr>
          <w:spacing w:val="7"/>
        </w:rPr>
        <w:t> </w:t>
      </w:r>
      <w:r>
        <w:rPr/>
        <w:t>mechanisms</w:t>
      </w:r>
      <w:r>
        <w:rPr>
          <w:spacing w:val="10"/>
        </w:rPr>
        <w:t> </w:t>
      </w:r>
      <w:r>
        <w:rPr/>
        <w:t>of</w:t>
      </w:r>
      <w:r>
        <w:rPr>
          <w:spacing w:val="10"/>
        </w:rPr>
        <w:t> </w:t>
      </w:r>
      <w:r>
        <w:rPr/>
        <w:t>action</w:t>
      </w:r>
      <w:r>
        <w:rPr>
          <w:spacing w:val="8"/>
        </w:rPr>
        <w:t> </w:t>
      </w:r>
      <w:r>
        <w:rPr/>
        <w:t>of</w:t>
      </w:r>
      <w:r>
        <w:rPr>
          <w:spacing w:val="9"/>
        </w:rPr>
        <w:t> </w:t>
      </w:r>
      <w:r>
        <w:rPr/>
        <w:t>antiepileptic</w:t>
      </w:r>
      <w:r>
        <w:rPr>
          <w:spacing w:val="9"/>
        </w:rPr>
        <w:t> </w:t>
      </w:r>
      <w:r>
        <w:rPr/>
        <w:t>drugs.</w:t>
      </w:r>
      <w:r>
        <w:rPr>
          <w:spacing w:val="15"/>
        </w:rPr>
        <w:t> </w:t>
      </w:r>
      <w:r>
        <w:rPr>
          <w:i/>
        </w:rPr>
        <w:t>Epilepsia</w:t>
      </w:r>
    </w:p>
    <w:p>
      <w:pPr>
        <w:pStyle w:val="BodyText"/>
        <w:ind w:left="671"/>
      </w:pPr>
      <w:r>
        <w:rPr/>
        <w:t>37(Suppl.6):</w:t>
      </w:r>
      <w:r>
        <w:rPr>
          <w:spacing w:val="-1"/>
        </w:rPr>
        <w:t> </w:t>
      </w:r>
      <w:r>
        <w:rPr/>
        <w:t>S4-S11.</w:t>
      </w:r>
    </w:p>
    <w:p>
      <w:pPr>
        <w:pStyle w:val="BodyText"/>
      </w:pPr>
    </w:p>
    <w:p>
      <w:pPr>
        <w:pStyle w:val="BodyText"/>
        <w:ind w:left="671" w:right="117" w:hanging="452"/>
        <w:jc w:val="both"/>
      </w:pPr>
      <w:r>
        <w:rPr/>
        <w:t>Meldrum,</w:t>
      </w:r>
      <w:r>
        <w:rPr>
          <w:spacing w:val="29"/>
        </w:rPr>
        <w:t> </w:t>
      </w:r>
      <w:r>
        <w:rPr/>
        <w:t>B.S.</w:t>
      </w:r>
      <w:r>
        <w:rPr>
          <w:spacing w:val="29"/>
        </w:rPr>
        <w:t> </w:t>
      </w:r>
      <w:r>
        <w:rPr/>
        <w:t>(2000).</w:t>
      </w:r>
      <w:r>
        <w:rPr>
          <w:spacing w:val="30"/>
        </w:rPr>
        <w:t> </w:t>
      </w:r>
      <w:r>
        <w:rPr/>
        <w:t>Glutamate</w:t>
      </w:r>
      <w:r>
        <w:rPr>
          <w:spacing w:val="29"/>
        </w:rPr>
        <w:t> </w:t>
      </w:r>
      <w:r>
        <w:rPr/>
        <w:t>as</w:t>
      </w:r>
      <w:r>
        <w:rPr>
          <w:spacing w:val="30"/>
        </w:rPr>
        <w:t> </w:t>
      </w:r>
      <w:r>
        <w:rPr/>
        <w:t>a</w:t>
      </w:r>
      <w:r>
        <w:rPr>
          <w:spacing w:val="29"/>
        </w:rPr>
        <w:t> </w:t>
      </w:r>
      <w:r>
        <w:rPr/>
        <w:t>neurotransmitter</w:t>
      </w:r>
      <w:r>
        <w:rPr>
          <w:spacing w:val="29"/>
        </w:rPr>
        <w:t> </w:t>
      </w:r>
      <w:r>
        <w:rPr/>
        <w:t>in</w:t>
      </w:r>
      <w:r>
        <w:rPr>
          <w:spacing w:val="28"/>
        </w:rPr>
        <w:t> </w:t>
      </w:r>
      <w:r>
        <w:rPr/>
        <w:t>the</w:t>
      </w:r>
      <w:r>
        <w:rPr>
          <w:spacing w:val="29"/>
        </w:rPr>
        <w:t> </w:t>
      </w:r>
      <w:r>
        <w:rPr/>
        <w:t>brain:</w:t>
      </w:r>
      <w:r>
        <w:rPr>
          <w:spacing w:val="30"/>
        </w:rPr>
        <w:t> </w:t>
      </w:r>
      <w:r>
        <w:rPr/>
        <w:t>review</w:t>
      </w:r>
      <w:r>
        <w:rPr>
          <w:spacing w:val="29"/>
        </w:rPr>
        <w:t> </w:t>
      </w:r>
      <w:r>
        <w:rPr/>
        <w:t>of</w:t>
      </w:r>
      <w:r>
        <w:rPr>
          <w:spacing w:val="29"/>
        </w:rPr>
        <w:t> </w:t>
      </w:r>
      <w:r>
        <w:rPr/>
        <w:t>physiology</w:t>
      </w:r>
      <w:r>
        <w:rPr>
          <w:spacing w:val="-57"/>
        </w:rPr>
        <w:t> </w:t>
      </w:r>
      <w:r>
        <w:rPr/>
        <w:t>and</w:t>
      </w:r>
      <w:r>
        <w:rPr>
          <w:spacing w:val="-1"/>
        </w:rPr>
        <w:t> </w:t>
      </w:r>
      <w:r>
        <w:rPr/>
        <w:t>pathology,</w:t>
      </w:r>
      <w:r>
        <w:rPr>
          <w:spacing w:val="3"/>
        </w:rPr>
        <w:t> </w:t>
      </w:r>
      <w:r>
        <w:rPr>
          <w:i/>
        </w:rPr>
        <w:t>Journal of Nutrition</w:t>
      </w:r>
      <w:r>
        <w:rPr>
          <w:i/>
          <w:spacing w:val="1"/>
        </w:rPr>
        <w:t> </w:t>
      </w:r>
      <w:r>
        <w:rPr/>
        <w:t>130, 10075-10155.</w:t>
      </w:r>
    </w:p>
    <w:p>
      <w:pPr>
        <w:pStyle w:val="BodyText"/>
      </w:pPr>
    </w:p>
    <w:p>
      <w:pPr>
        <w:pStyle w:val="BodyText"/>
        <w:spacing w:before="1"/>
        <w:ind w:left="220"/>
      </w:pPr>
      <w:r>
        <w:rPr/>
        <w:t>Meldrum,</w:t>
      </w:r>
      <w:r>
        <w:rPr>
          <w:spacing w:val="-2"/>
        </w:rPr>
        <w:t> </w:t>
      </w:r>
      <w:r>
        <w:rPr/>
        <w:t>B.S.,</w:t>
      </w:r>
      <w:r>
        <w:rPr>
          <w:spacing w:val="-1"/>
        </w:rPr>
        <w:t> </w:t>
      </w:r>
      <w:r>
        <w:rPr/>
        <w:t>(1995).</w:t>
      </w:r>
      <w:r>
        <w:rPr>
          <w:spacing w:val="1"/>
        </w:rPr>
        <w:t> </w:t>
      </w:r>
      <w:r>
        <w:rPr/>
        <w:t>Neurotransmission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epilepsy. </w:t>
      </w:r>
      <w:r>
        <w:rPr>
          <w:i/>
        </w:rPr>
        <w:t>Epilepsia</w:t>
      </w:r>
      <w:r>
        <w:rPr>
          <w:i/>
          <w:spacing w:val="-1"/>
        </w:rPr>
        <w:t> </w:t>
      </w:r>
      <w:r>
        <w:rPr/>
        <w:t>36(Suppl.1)</w:t>
      </w:r>
      <w:r>
        <w:rPr>
          <w:spacing w:val="-2"/>
        </w:rPr>
        <w:t> </w:t>
      </w:r>
      <w:r>
        <w:rPr/>
        <w:t>S30-S35.</w:t>
      </w:r>
    </w:p>
    <w:p>
      <w:pPr>
        <w:pStyle w:val="BodyText"/>
      </w:pPr>
    </w:p>
    <w:p>
      <w:pPr>
        <w:pStyle w:val="BodyText"/>
        <w:ind w:left="671" w:right="118" w:hanging="452"/>
        <w:jc w:val="both"/>
      </w:pPr>
      <w:r>
        <w:rPr/>
        <w:t>Meldrum,</w:t>
      </w:r>
      <w:r>
        <w:rPr>
          <w:spacing w:val="1"/>
        </w:rPr>
        <w:t> </w:t>
      </w:r>
      <w:r>
        <w:rPr/>
        <w:t>B.S.,</w:t>
      </w:r>
      <w:r>
        <w:rPr>
          <w:spacing w:val="1"/>
        </w:rPr>
        <w:t> </w:t>
      </w:r>
      <w:r>
        <w:rPr/>
        <w:t>Akbar,</w:t>
      </w:r>
      <w:r>
        <w:rPr>
          <w:spacing w:val="1"/>
        </w:rPr>
        <w:t> </w:t>
      </w:r>
      <w:r>
        <w:rPr/>
        <w:t>M.T.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Chapman,</w:t>
      </w:r>
      <w:r>
        <w:rPr>
          <w:spacing w:val="1"/>
        </w:rPr>
        <w:t> </w:t>
      </w:r>
      <w:r>
        <w:rPr/>
        <w:t>A.G.</w:t>
      </w:r>
      <w:r>
        <w:rPr>
          <w:spacing w:val="1"/>
        </w:rPr>
        <w:t> </w:t>
      </w:r>
      <w:r>
        <w:rPr/>
        <w:t>(1999).</w:t>
      </w:r>
      <w:r>
        <w:rPr>
          <w:spacing w:val="1"/>
        </w:rPr>
        <w:t> </w:t>
      </w:r>
      <w:r>
        <w:rPr/>
        <w:t>Glutamate</w:t>
      </w:r>
      <w:r>
        <w:rPr>
          <w:spacing w:val="1"/>
        </w:rPr>
        <w:t> </w:t>
      </w:r>
      <w:r>
        <w:rPr/>
        <w:t>receptors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transporters</w:t>
      </w:r>
      <w:r>
        <w:rPr>
          <w:spacing w:val="-2"/>
        </w:rPr>
        <w:t> </w:t>
      </w:r>
      <w:r>
        <w:rPr/>
        <w:t>in</w:t>
      </w:r>
      <w:r>
        <w:rPr>
          <w:spacing w:val="1"/>
        </w:rPr>
        <w:t> </w:t>
      </w:r>
      <w:r>
        <w:rPr/>
        <w:t>genetic</w:t>
      </w:r>
      <w:r>
        <w:rPr>
          <w:spacing w:val="-3"/>
        </w:rPr>
        <w:t> </w:t>
      </w:r>
      <w:r>
        <w:rPr/>
        <w:t>and</w:t>
      </w:r>
      <w:r>
        <w:rPr>
          <w:spacing w:val="-1"/>
        </w:rPr>
        <w:t> </w:t>
      </w:r>
      <w:r>
        <w:rPr/>
        <w:t>acquired</w:t>
      </w:r>
      <w:r>
        <w:rPr>
          <w:spacing w:val="-1"/>
        </w:rPr>
        <w:t> </w:t>
      </w:r>
      <w:r>
        <w:rPr/>
        <w:t>models</w:t>
      </w:r>
      <w:r>
        <w:rPr>
          <w:spacing w:val="-2"/>
        </w:rPr>
        <w:t> </w:t>
      </w:r>
      <w:r>
        <w:rPr/>
        <w:t>of epilepsy. </w:t>
      </w:r>
      <w:r>
        <w:rPr>
          <w:i/>
        </w:rPr>
        <w:t>Epilepsy</w:t>
      </w:r>
      <w:r>
        <w:rPr>
          <w:i/>
          <w:spacing w:val="-2"/>
        </w:rPr>
        <w:t> </w:t>
      </w:r>
      <w:r>
        <w:rPr>
          <w:i/>
        </w:rPr>
        <w:t>Research</w:t>
      </w:r>
      <w:r>
        <w:rPr>
          <w:i/>
          <w:spacing w:val="1"/>
        </w:rPr>
        <w:t> </w:t>
      </w:r>
      <w:r>
        <w:rPr/>
        <w:t>362:189-204.</w:t>
      </w:r>
    </w:p>
    <w:p>
      <w:pPr>
        <w:pStyle w:val="BodyText"/>
      </w:pPr>
    </w:p>
    <w:p>
      <w:pPr>
        <w:pStyle w:val="BodyText"/>
        <w:ind w:left="671" w:right="119" w:hanging="452"/>
        <w:jc w:val="both"/>
      </w:pPr>
      <w:r>
        <w:rPr/>
        <w:t>Meldrum,</w:t>
      </w:r>
      <w:r>
        <w:rPr>
          <w:spacing w:val="1"/>
        </w:rPr>
        <w:t> </w:t>
      </w:r>
      <w:r>
        <w:rPr/>
        <w:t>B.S.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Rogawski,</w:t>
      </w:r>
      <w:r>
        <w:rPr>
          <w:spacing w:val="1"/>
        </w:rPr>
        <w:t> </w:t>
      </w:r>
      <w:r>
        <w:rPr/>
        <w:t>M.A.</w:t>
      </w:r>
      <w:r>
        <w:rPr>
          <w:spacing w:val="1"/>
        </w:rPr>
        <w:t> </w:t>
      </w:r>
      <w:r>
        <w:rPr/>
        <w:t>(2007).</w:t>
      </w:r>
      <w:r>
        <w:rPr>
          <w:spacing w:val="1"/>
        </w:rPr>
        <w:t> </w:t>
      </w:r>
      <w:r>
        <w:rPr/>
        <w:t>Molecular</w:t>
      </w:r>
      <w:r>
        <w:rPr>
          <w:spacing w:val="1"/>
        </w:rPr>
        <w:t> </w:t>
      </w:r>
      <w:r>
        <w:rPr/>
        <w:t>targets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antiepileptic</w:t>
      </w:r>
      <w:r>
        <w:rPr>
          <w:spacing w:val="1"/>
        </w:rPr>
        <w:t> </w:t>
      </w:r>
      <w:r>
        <w:rPr/>
        <w:t>drug</w:t>
      </w:r>
      <w:r>
        <w:rPr>
          <w:spacing w:val="1"/>
        </w:rPr>
        <w:t> </w:t>
      </w:r>
      <w:r>
        <w:rPr/>
        <w:t>development. </w:t>
      </w:r>
      <w:r>
        <w:rPr>
          <w:i/>
        </w:rPr>
        <w:t>Neurotherapeutics</w:t>
      </w:r>
      <w:r>
        <w:rPr>
          <w:i/>
          <w:spacing w:val="1"/>
        </w:rPr>
        <w:t> </w:t>
      </w:r>
      <w:r>
        <w:rPr/>
        <w:t>4</w:t>
      </w:r>
      <w:r>
        <w:rPr>
          <w:b/>
        </w:rPr>
        <w:t>:</w:t>
      </w:r>
      <w:r>
        <w:rPr/>
        <w:t>18-61.</w:t>
      </w:r>
    </w:p>
    <w:p>
      <w:pPr>
        <w:pStyle w:val="BodyText"/>
      </w:pPr>
    </w:p>
    <w:p>
      <w:pPr>
        <w:spacing w:before="0"/>
        <w:ind w:left="671" w:right="119" w:hanging="452"/>
        <w:jc w:val="both"/>
        <w:rPr>
          <w:sz w:val="24"/>
        </w:rPr>
      </w:pPr>
      <w:r>
        <w:rPr>
          <w:sz w:val="24"/>
        </w:rPr>
        <w:t>Merritt, H.H. and Putnam, J.J. (1938). Sodium diphenyl hydantoinate in the treatment of</w:t>
      </w:r>
      <w:r>
        <w:rPr>
          <w:spacing w:val="1"/>
          <w:sz w:val="24"/>
        </w:rPr>
        <w:t> </w:t>
      </w:r>
      <w:r>
        <w:rPr>
          <w:sz w:val="24"/>
        </w:rPr>
        <w:t>convulsive</w:t>
      </w:r>
      <w:r>
        <w:rPr>
          <w:spacing w:val="-1"/>
          <w:sz w:val="24"/>
        </w:rPr>
        <w:t> </w:t>
      </w:r>
      <w:r>
        <w:rPr>
          <w:sz w:val="24"/>
        </w:rPr>
        <w:t>disorders.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American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Medical Association III</w:t>
      </w:r>
      <w:r>
        <w:rPr>
          <w:sz w:val="24"/>
        </w:rPr>
        <w:t>: 1068-1073.</w:t>
      </w:r>
    </w:p>
    <w:p>
      <w:pPr>
        <w:pStyle w:val="BodyText"/>
      </w:pPr>
    </w:p>
    <w:p>
      <w:pPr>
        <w:pStyle w:val="BodyText"/>
        <w:spacing w:before="1"/>
        <w:ind w:left="671" w:right="114" w:hanging="452"/>
        <w:jc w:val="both"/>
      </w:pPr>
      <w:r>
        <w:rPr/>
        <w:t>Meunier,</w:t>
      </w:r>
      <w:r>
        <w:rPr>
          <w:spacing w:val="1"/>
        </w:rPr>
        <w:t> </w:t>
      </w:r>
      <w:r>
        <w:rPr/>
        <w:t>H.,</w:t>
      </w:r>
      <w:r>
        <w:rPr>
          <w:spacing w:val="1"/>
        </w:rPr>
        <w:t> </w:t>
      </w:r>
      <w:r>
        <w:rPr/>
        <w:t>Carraz,</w:t>
      </w:r>
      <w:r>
        <w:rPr>
          <w:spacing w:val="1"/>
        </w:rPr>
        <w:t> </w:t>
      </w:r>
      <w:r>
        <w:rPr/>
        <w:t>G.,</w:t>
      </w:r>
      <w:r>
        <w:rPr>
          <w:spacing w:val="1"/>
        </w:rPr>
        <w:t> </w:t>
      </w:r>
      <w:r>
        <w:rPr/>
        <w:t>Meunier,</w:t>
      </w:r>
      <w:r>
        <w:rPr>
          <w:spacing w:val="1"/>
        </w:rPr>
        <w:t> </w:t>
      </w:r>
      <w:r>
        <w:rPr/>
        <w:t>Y.,</w:t>
      </w:r>
      <w:r>
        <w:rPr>
          <w:spacing w:val="1"/>
        </w:rPr>
        <w:t> </w:t>
      </w:r>
      <w:r>
        <w:rPr/>
        <w:t>Eymard,</w:t>
      </w:r>
      <w:r>
        <w:rPr>
          <w:spacing w:val="1"/>
        </w:rPr>
        <w:t> </w:t>
      </w:r>
      <w:r>
        <w:rPr/>
        <w:t>P.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Aimard,</w:t>
      </w:r>
      <w:r>
        <w:rPr>
          <w:spacing w:val="1"/>
        </w:rPr>
        <w:t> </w:t>
      </w:r>
      <w:r>
        <w:rPr/>
        <w:t>M.,</w:t>
      </w:r>
      <w:r>
        <w:rPr>
          <w:spacing w:val="1"/>
        </w:rPr>
        <w:t> </w:t>
      </w:r>
      <w:r>
        <w:rPr/>
        <w:t>(1963).</w:t>
      </w:r>
      <w:r>
        <w:rPr>
          <w:spacing w:val="1"/>
        </w:rPr>
        <w:t> </w:t>
      </w:r>
      <w:r>
        <w:rPr/>
        <w:t>Proprietes</w:t>
      </w:r>
      <w:r>
        <w:rPr>
          <w:spacing w:val="1"/>
        </w:rPr>
        <w:t> </w:t>
      </w:r>
      <w:r>
        <w:rPr/>
        <w:t>pharmacodynamiques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l‟acide</w:t>
      </w:r>
      <w:r>
        <w:rPr>
          <w:spacing w:val="1"/>
        </w:rPr>
        <w:t> </w:t>
      </w:r>
      <w:r>
        <w:rPr/>
        <w:t>n-propylacetique.</w:t>
      </w:r>
      <w:r>
        <w:rPr>
          <w:spacing w:val="1"/>
        </w:rPr>
        <w:t> </w:t>
      </w:r>
      <w:r>
        <w:rPr/>
        <w:t>1</w:t>
      </w:r>
      <w:r>
        <w:rPr>
          <w:vertAlign w:val="superscript"/>
        </w:rPr>
        <w:t>st</w:t>
      </w:r>
      <w:r>
        <w:rPr>
          <w:spacing w:val="1"/>
          <w:vertAlign w:val="baseline"/>
        </w:rPr>
        <w:t> </w:t>
      </w:r>
      <w:r>
        <w:rPr>
          <w:vertAlign w:val="baseline"/>
        </w:rPr>
        <w:t>memoire:</w:t>
      </w:r>
      <w:r>
        <w:rPr>
          <w:spacing w:val="1"/>
          <w:vertAlign w:val="baseline"/>
        </w:rPr>
        <w:t> </w:t>
      </w:r>
      <w:r>
        <w:rPr>
          <w:vertAlign w:val="baseline"/>
        </w:rPr>
        <w:t>Proprietes</w:t>
      </w:r>
      <w:r>
        <w:rPr>
          <w:spacing w:val="1"/>
          <w:vertAlign w:val="baseline"/>
        </w:rPr>
        <w:t> </w:t>
      </w:r>
      <w:r>
        <w:rPr>
          <w:vertAlign w:val="baseline"/>
        </w:rPr>
        <w:t>antiepileptique. </w:t>
      </w:r>
      <w:r>
        <w:rPr>
          <w:i/>
          <w:vertAlign w:val="baseline"/>
        </w:rPr>
        <w:t>Therapie</w:t>
      </w:r>
      <w:r>
        <w:rPr>
          <w:i/>
          <w:spacing w:val="-1"/>
          <w:vertAlign w:val="baseline"/>
        </w:rPr>
        <w:t> </w:t>
      </w:r>
      <w:r>
        <w:rPr>
          <w:vertAlign w:val="baseline"/>
        </w:rPr>
        <w:t>18:435-438.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671" w:right="115" w:hanging="452"/>
        <w:jc w:val="both"/>
      </w:pPr>
      <w:r>
        <w:rPr/>
        <w:t>Monjauze, C., Tuller, L., Hommet, C., Barthez, M.A. &amp; Khomsi, A.(2005). Language in</w:t>
      </w:r>
      <w:r>
        <w:rPr>
          <w:spacing w:val="1"/>
        </w:rPr>
        <w:t> </w:t>
      </w:r>
      <w:r>
        <w:rPr/>
        <w:t>benign</w:t>
      </w:r>
      <w:r>
        <w:rPr>
          <w:spacing w:val="1"/>
        </w:rPr>
        <w:t> </w:t>
      </w:r>
      <w:r>
        <w:rPr/>
        <w:t>childhood</w:t>
      </w:r>
      <w:r>
        <w:rPr>
          <w:spacing w:val="1"/>
        </w:rPr>
        <w:t> </w:t>
      </w:r>
      <w:r>
        <w:rPr/>
        <w:t>epilepsy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centro-temporal</w:t>
      </w:r>
      <w:r>
        <w:rPr>
          <w:spacing w:val="1"/>
        </w:rPr>
        <w:t> </w:t>
      </w:r>
      <w:r>
        <w:rPr/>
        <w:t>spikes</w:t>
      </w:r>
      <w:r>
        <w:rPr>
          <w:spacing w:val="1"/>
        </w:rPr>
        <w:t> </w:t>
      </w:r>
      <w:r>
        <w:rPr/>
        <w:t>abbreviated</w:t>
      </w:r>
      <w:r>
        <w:rPr>
          <w:spacing w:val="1"/>
        </w:rPr>
        <w:t> </w:t>
      </w:r>
      <w:r>
        <w:rPr/>
        <w:t>form:</w:t>
      </w:r>
      <w:r>
        <w:rPr>
          <w:spacing w:val="1"/>
        </w:rPr>
        <w:t> </w:t>
      </w:r>
      <w:r>
        <w:rPr/>
        <w:t>Rolandic</w:t>
      </w:r>
      <w:r>
        <w:rPr>
          <w:spacing w:val="1"/>
        </w:rPr>
        <w:t> </w:t>
      </w:r>
      <w:r>
        <w:rPr/>
        <w:t>epilepsy</w:t>
      </w:r>
      <w:r>
        <w:rPr>
          <w:spacing w:val="-4"/>
        </w:rPr>
        <w:t> </w:t>
      </w:r>
      <w:r>
        <w:rPr/>
        <w:t>and language.</w:t>
      </w:r>
      <w:r>
        <w:rPr>
          <w:spacing w:val="2"/>
        </w:rPr>
        <w:t> </w:t>
      </w:r>
      <w:r>
        <w:rPr>
          <w:i/>
        </w:rPr>
        <w:t>Brain Language</w:t>
      </w:r>
      <w:r>
        <w:rPr/>
        <w:t>. 92(3): 300-308.</w:t>
      </w:r>
    </w:p>
    <w:p>
      <w:pPr>
        <w:spacing w:after="0"/>
        <w:jc w:val="both"/>
        <w:sectPr>
          <w:pgSz w:w="12240" w:h="15840"/>
          <w:pgMar w:header="0" w:footer="792" w:top="1360" w:bottom="980" w:left="1580" w:right="1320"/>
        </w:sectPr>
      </w:pPr>
    </w:p>
    <w:p>
      <w:pPr>
        <w:pStyle w:val="BodyText"/>
        <w:spacing w:before="3"/>
        <w:rPr>
          <w:sz w:val="10"/>
        </w:rPr>
      </w:pPr>
    </w:p>
    <w:p>
      <w:pPr>
        <w:spacing w:before="90"/>
        <w:ind w:left="671" w:right="117" w:hanging="452"/>
        <w:jc w:val="both"/>
        <w:rPr>
          <w:sz w:val="24"/>
        </w:rPr>
      </w:pPr>
      <w:r>
        <w:rPr>
          <w:sz w:val="24"/>
        </w:rPr>
        <w:t>Muazu, J and Kaita, A.H. (2008): A review of traditional plants used in the treatment of</w:t>
      </w:r>
      <w:r>
        <w:rPr>
          <w:spacing w:val="1"/>
          <w:sz w:val="24"/>
        </w:rPr>
        <w:t> </w:t>
      </w:r>
      <w:r>
        <w:rPr>
          <w:sz w:val="24"/>
        </w:rPr>
        <w:t>Epilepsy Amongst the Hausa/Fulani Tribes of Northern Nigeria: </w:t>
      </w:r>
      <w:r>
        <w:rPr>
          <w:i/>
          <w:sz w:val="24"/>
        </w:rPr>
        <w:t>African Journal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Traditional,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Complimentary and alternative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medicines</w:t>
      </w:r>
      <w:r>
        <w:rPr>
          <w:i/>
          <w:spacing w:val="3"/>
          <w:sz w:val="24"/>
        </w:rPr>
        <w:t> </w:t>
      </w:r>
      <w:r>
        <w:rPr>
          <w:sz w:val="24"/>
        </w:rPr>
        <w:t>5(4): 387-390.</w:t>
      </w:r>
    </w:p>
    <w:p>
      <w:pPr>
        <w:pStyle w:val="BodyText"/>
      </w:pPr>
    </w:p>
    <w:p>
      <w:pPr>
        <w:pStyle w:val="BodyText"/>
        <w:ind w:left="671" w:right="124" w:hanging="452"/>
        <w:jc w:val="both"/>
      </w:pPr>
      <w:r>
        <w:rPr/>
        <w:t>Nakese, T. and Naus, C.C. (2004). Gap Junction and neurological disorders of the central</w:t>
      </w:r>
      <w:r>
        <w:rPr>
          <w:spacing w:val="1"/>
        </w:rPr>
        <w:t> </w:t>
      </w:r>
      <w:r>
        <w:rPr/>
        <w:t>nervous</w:t>
      </w:r>
      <w:r>
        <w:rPr>
          <w:spacing w:val="-1"/>
        </w:rPr>
        <w:t> </w:t>
      </w:r>
      <w:r>
        <w:rPr/>
        <w:t>system.</w:t>
      </w:r>
      <w:r>
        <w:rPr>
          <w:spacing w:val="1"/>
        </w:rPr>
        <w:t> </w:t>
      </w:r>
      <w:r>
        <w:rPr>
          <w:i/>
        </w:rPr>
        <w:t>Biochemistry</w:t>
      </w:r>
      <w:r>
        <w:rPr>
          <w:i/>
          <w:spacing w:val="-1"/>
        </w:rPr>
        <w:t> </w:t>
      </w:r>
      <w:r>
        <w:rPr>
          <w:i/>
        </w:rPr>
        <w:t>Biophysics Acta</w:t>
      </w:r>
      <w:r>
        <w:rPr/>
        <w:t>, 1662:149-158.</w:t>
      </w:r>
    </w:p>
    <w:p>
      <w:pPr>
        <w:pStyle w:val="BodyText"/>
      </w:pPr>
    </w:p>
    <w:p>
      <w:pPr>
        <w:spacing w:before="0"/>
        <w:ind w:left="671" w:right="117" w:hanging="452"/>
        <w:jc w:val="both"/>
        <w:rPr>
          <w:sz w:val="24"/>
        </w:rPr>
      </w:pPr>
      <w:r>
        <w:rPr>
          <w:sz w:val="24"/>
        </w:rPr>
        <w:t>Navarro, V. and Senior, J. (2006). Drug related hepatotoxicity. </w:t>
      </w:r>
      <w:r>
        <w:rPr>
          <w:i/>
          <w:sz w:val="24"/>
        </w:rPr>
        <w:t>N.ew England Journal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Medicine</w:t>
      </w:r>
      <w:r>
        <w:rPr>
          <w:i/>
          <w:spacing w:val="-2"/>
          <w:sz w:val="24"/>
        </w:rPr>
        <w:t> </w:t>
      </w:r>
      <w:r>
        <w:rPr>
          <w:sz w:val="24"/>
        </w:rPr>
        <w:t>354:731-739.</w:t>
      </w:r>
    </w:p>
    <w:p>
      <w:pPr>
        <w:pStyle w:val="BodyText"/>
      </w:pPr>
    </w:p>
    <w:p>
      <w:pPr>
        <w:spacing w:before="0"/>
        <w:ind w:left="220" w:right="0" w:firstLine="0"/>
        <w:jc w:val="left"/>
        <w:rPr>
          <w:sz w:val="24"/>
        </w:rPr>
      </w:pPr>
      <w:r>
        <w:rPr>
          <w:sz w:val="24"/>
        </w:rPr>
        <w:t>Ndoye,</w:t>
      </w:r>
      <w:r>
        <w:rPr>
          <w:spacing w:val="-1"/>
          <w:sz w:val="24"/>
        </w:rPr>
        <w:t> </w:t>
      </w:r>
      <w:r>
        <w:rPr>
          <w:sz w:val="24"/>
        </w:rPr>
        <w:t>N.F.</w:t>
      </w:r>
      <w:r>
        <w:rPr>
          <w:spacing w:val="2"/>
          <w:sz w:val="24"/>
        </w:rPr>
        <w:t> </w:t>
      </w:r>
      <w:r>
        <w:rPr>
          <w:sz w:val="24"/>
        </w:rPr>
        <w:t>(2005).</w:t>
      </w:r>
      <w:r>
        <w:rPr>
          <w:spacing w:val="-1"/>
          <w:sz w:val="24"/>
        </w:rPr>
        <w:t> </w:t>
      </w:r>
      <w:r>
        <w:rPr>
          <w:i/>
          <w:sz w:val="24"/>
        </w:rPr>
        <w:t>European J</w:t>
      </w:r>
      <w:r>
        <w:rPr>
          <w:sz w:val="24"/>
        </w:rPr>
        <w:t>ournal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i/>
          <w:sz w:val="24"/>
        </w:rPr>
        <w:t>Epilepsy</w:t>
      </w:r>
      <w:r>
        <w:rPr>
          <w:i/>
          <w:spacing w:val="-2"/>
          <w:sz w:val="24"/>
        </w:rPr>
        <w:t> </w:t>
      </w:r>
      <w:r>
        <w:rPr>
          <w:sz w:val="24"/>
        </w:rPr>
        <w:t>14, 7.</w:t>
      </w:r>
    </w:p>
    <w:p>
      <w:pPr>
        <w:pStyle w:val="BodyText"/>
        <w:spacing w:before="1"/>
      </w:pPr>
    </w:p>
    <w:p>
      <w:pPr>
        <w:pStyle w:val="BodyText"/>
        <w:ind w:left="671" w:right="114" w:hanging="452"/>
        <w:jc w:val="both"/>
      </w:pPr>
      <w:r>
        <w:rPr/>
        <w:t>Nobile,</w:t>
      </w:r>
      <w:r>
        <w:rPr>
          <w:spacing w:val="1"/>
        </w:rPr>
        <w:t> </w:t>
      </w:r>
      <w:r>
        <w:rPr/>
        <w:t>M.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Vercellino,</w:t>
      </w:r>
      <w:r>
        <w:rPr>
          <w:spacing w:val="1"/>
        </w:rPr>
        <w:t> </w:t>
      </w:r>
      <w:r>
        <w:rPr/>
        <w:t>P.</w:t>
      </w:r>
      <w:r>
        <w:rPr>
          <w:spacing w:val="1"/>
        </w:rPr>
        <w:t> </w:t>
      </w:r>
      <w:r>
        <w:rPr/>
        <w:t>(1997).</w:t>
      </w:r>
      <w:r>
        <w:rPr>
          <w:spacing w:val="1"/>
        </w:rPr>
        <w:t> </w:t>
      </w:r>
      <w:r>
        <w:rPr/>
        <w:t>Inhibition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delayed</w:t>
      </w:r>
      <w:r>
        <w:rPr>
          <w:spacing w:val="1"/>
        </w:rPr>
        <w:t> </w:t>
      </w:r>
      <w:r>
        <w:rPr/>
        <w:t>rectifier</w:t>
      </w:r>
      <w:r>
        <w:rPr>
          <w:spacing w:val="1"/>
        </w:rPr>
        <w:t> </w:t>
      </w:r>
      <w:r>
        <w:rPr/>
        <w:t>K</w:t>
      </w:r>
      <w:r>
        <w:rPr>
          <w:vertAlign w:val="superscript"/>
        </w:rPr>
        <w:t>+</w:t>
      </w:r>
      <w:r>
        <w:rPr>
          <w:spacing w:val="1"/>
          <w:vertAlign w:val="baseline"/>
        </w:rPr>
        <w:t> </w:t>
      </w:r>
      <w:r>
        <w:rPr>
          <w:vertAlign w:val="baseline"/>
        </w:rPr>
        <w:t>channels</w:t>
      </w:r>
      <w:r>
        <w:rPr>
          <w:spacing w:val="60"/>
          <w:vertAlign w:val="baseline"/>
        </w:rPr>
        <w:t> </w:t>
      </w:r>
      <w:r>
        <w:rPr>
          <w:vertAlign w:val="baseline"/>
        </w:rPr>
        <w:t>by</w:t>
      </w:r>
      <w:r>
        <w:rPr>
          <w:spacing w:val="1"/>
          <w:vertAlign w:val="baseline"/>
        </w:rPr>
        <w:t> </w:t>
      </w:r>
      <w:r>
        <w:rPr>
          <w:vertAlign w:val="baseline"/>
        </w:rPr>
        <w:t>phenytoin</w:t>
      </w:r>
      <w:r>
        <w:rPr>
          <w:spacing w:val="-1"/>
          <w:vertAlign w:val="baseline"/>
        </w:rPr>
        <w:t> </w:t>
      </w:r>
      <w:r>
        <w:rPr>
          <w:vertAlign w:val="baseline"/>
        </w:rPr>
        <w:t>in</w:t>
      </w:r>
      <w:r>
        <w:rPr>
          <w:spacing w:val="-1"/>
          <w:vertAlign w:val="baseline"/>
        </w:rPr>
        <w:t> </w:t>
      </w:r>
      <w:r>
        <w:rPr>
          <w:vertAlign w:val="baseline"/>
        </w:rPr>
        <w:t>rat</w:t>
      </w:r>
      <w:r>
        <w:rPr>
          <w:spacing w:val="-1"/>
          <w:vertAlign w:val="baseline"/>
        </w:rPr>
        <w:t> </w:t>
      </w:r>
      <w:r>
        <w:rPr>
          <w:vertAlign w:val="baseline"/>
        </w:rPr>
        <w:t>neuroblastoma</w:t>
      </w:r>
      <w:r>
        <w:rPr>
          <w:spacing w:val="-1"/>
          <w:vertAlign w:val="baseline"/>
        </w:rPr>
        <w:t> </w:t>
      </w:r>
      <w:r>
        <w:rPr>
          <w:vertAlign w:val="baseline"/>
        </w:rPr>
        <w:t>cells.</w:t>
      </w:r>
      <w:r>
        <w:rPr>
          <w:spacing w:val="3"/>
          <w:vertAlign w:val="baseline"/>
        </w:rPr>
        <w:t> </w:t>
      </w:r>
      <w:r>
        <w:rPr>
          <w:i/>
          <w:vertAlign w:val="baseline"/>
        </w:rPr>
        <w:t>British</w:t>
      </w:r>
      <w:r>
        <w:rPr>
          <w:i/>
          <w:spacing w:val="-1"/>
          <w:vertAlign w:val="baseline"/>
        </w:rPr>
        <w:t> </w:t>
      </w:r>
      <w:r>
        <w:rPr>
          <w:i/>
          <w:vertAlign w:val="baseline"/>
        </w:rPr>
        <w:t>Journal</w:t>
      </w:r>
      <w:r>
        <w:rPr>
          <w:i/>
          <w:spacing w:val="-1"/>
          <w:vertAlign w:val="baseline"/>
        </w:rPr>
        <w:t> </w:t>
      </w:r>
      <w:r>
        <w:rPr>
          <w:i/>
          <w:vertAlign w:val="baseline"/>
        </w:rPr>
        <w:t>of  Pharmacology</w:t>
      </w:r>
      <w:r>
        <w:rPr>
          <w:i/>
          <w:spacing w:val="-2"/>
          <w:vertAlign w:val="baseline"/>
        </w:rPr>
        <w:t> </w:t>
      </w:r>
      <w:r>
        <w:rPr>
          <w:vertAlign w:val="baseline"/>
        </w:rPr>
        <w:t>120:647-652.</w:t>
      </w:r>
    </w:p>
    <w:p>
      <w:pPr>
        <w:pStyle w:val="BodyText"/>
      </w:pPr>
    </w:p>
    <w:p>
      <w:pPr>
        <w:pStyle w:val="BodyText"/>
        <w:ind w:left="671" w:right="116" w:hanging="452"/>
        <w:jc w:val="both"/>
      </w:pPr>
      <w:r>
        <w:rPr/>
        <w:t>Nolin, T.D. and Himmelfarb, J. (2008).Drug Induced Kidney disease. In Pharmacotherapy, a</w:t>
      </w:r>
      <w:r>
        <w:rPr>
          <w:spacing w:val="1"/>
        </w:rPr>
        <w:t> </w:t>
      </w:r>
      <w:r>
        <w:rPr/>
        <w:t>pathophysiologic approach. Edited by Joseph T. Dipiro </w:t>
      </w:r>
      <w:r>
        <w:rPr>
          <w:i/>
        </w:rPr>
        <w:t>et al</w:t>
      </w:r>
      <w:r>
        <w:rPr/>
        <w:t>, 7</w:t>
      </w:r>
      <w:r>
        <w:rPr>
          <w:vertAlign w:val="superscript"/>
        </w:rPr>
        <w:t>th</w:t>
      </w:r>
      <w:r>
        <w:rPr>
          <w:vertAlign w:val="baseline"/>
        </w:rPr>
        <w:t> Ed. McGraw Hill NY</w:t>
      </w:r>
      <w:r>
        <w:rPr>
          <w:spacing w:val="1"/>
          <w:vertAlign w:val="baseline"/>
        </w:rPr>
        <w:t> </w:t>
      </w:r>
      <w:r>
        <w:rPr>
          <w:vertAlign w:val="baseline"/>
        </w:rPr>
        <w:t>PP 795-810.</w:t>
      </w:r>
    </w:p>
    <w:p>
      <w:pPr>
        <w:pStyle w:val="BodyText"/>
      </w:pPr>
    </w:p>
    <w:p>
      <w:pPr>
        <w:pStyle w:val="BodyText"/>
        <w:ind w:left="671" w:right="119" w:hanging="452"/>
        <w:jc w:val="both"/>
      </w:pPr>
      <w:r>
        <w:rPr/>
        <w:t>Noyer,</w:t>
      </w:r>
      <w:r>
        <w:rPr>
          <w:spacing w:val="1"/>
        </w:rPr>
        <w:t> </w:t>
      </w:r>
      <w:r>
        <w:rPr/>
        <w:t>M.,</w:t>
      </w:r>
      <w:r>
        <w:rPr>
          <w:spacing w:val="1"/>
        </w:rPr>
        <w:t> </w:t>
      </w:r>
      <w:r>
        <w:rPr/>
        <w:t>Gillard,</w:t>
      </w:r>
      <w:r>
        <w:rPr>
          <w:spacing w:val="1"/>
        </w:rPr>
        <w:t> </w:t>
      </w:r>
      <w:r>
        <w:rPr/>
        <w:t>M.,</w:t>
      </w:r>
      <w:r>
        <w:rPr>
          <w:spacing w:val="1"/>
        </w:rPr>
        <w:t> </w:t>
      </w:r>
      <w:r>
        <w:rPr/>
        <w:t>Matogne,</w:t>
      </w:r>
      <w:r>
        <w:rPr>
          <w:spacing w:val="1"/>
        </w:rPr>
        <w:t> </w:t>
      </w:r>
      <w:r>
        <w:rPr/>
        <w:t>A.,</w:t>
      </w:r>
      <w:r>
        <w:rPr>
          <w:spacing w:val="1"/>
        </w:rPr>
        <w:t> </w:t>
      </w:r>
      <w:r>
        <w:rPr/>
        <w:t>Henichart,</w:t>
      </w:r>
      <w:r>
        <w:rPr>
          <w:spacing w:val="1"/>
        </w:rPr>
        <w:t> </w:t>
      </w:r>
      <w:r>
        <w:rPr/>
        <w:t>J.P.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Wulfert,</w:t>
      </w:r>
      <w:r>
        <w:rPr>
          <w:spacing w:val="1"/>
        </w:rPr>
        <w:t> </w:t>
      </w:r>
      <w:r>
        <w:rPr/>
        <w:t>E.</w:t>
      </w:r>
      <w:r>
        <w:rPr>
          <w:spacing w:val="1"/>
        </w:rPr>
        <w:t> </w:t>
      </w:r>
      <w:r>
        <w:rPr/>
        <w:t>(1995).The</w:t>
      </w:r>
      <w:r>
        <w:rPr>
          <w:spacing w:val="1"/>
        </w:rPr>
        <w:t> </w:t>
      </w:r>
      <w:r>
        <w:rPr/>
        <w:t>novel</w:t>
      </w:r>
      <w:r>
        <w:rPr>
          <w:spacing w:val="1"/>
        </w:rPr>
        <w:t> </w:t>
      </w:r>
      <w:r>
        <w:rPr/>
        <w:t>antiepileptic drug levetiracetam (ucb L059) appears to act via a specific binding site in</w:t>
      </w:r>
      <w:r>
        <w:rPr>
          <w:spacing w:val="1"/>
        </w:rPr>
        <w:t> </w:t>
      </w:r>
      <w:r>
        <w:rPr/>
        <w:t>CNS</w:t>
      </w:r>
      <w:r>
        <w:rPr>
          <w:spacing w:val="-1"/>
        </w:rPr>
        <w:t> </w:t>
      </w:r>
      <w:r>
        <w:rPr/>
        <w:t>membranes.</w:t>
      </w:r>
      <w:r>
        <w:rPr>
          <w:spacing w:val="1"/>
        </w:rPr>
        <w:t> </w:t>
      </w:r>
      <w:r>
        <w:rPr>
          <w:i/>
        </w:rPr>
        <w:t>European Journal</w:t>
      </w:r>
      <w:r>
        <w:rPr>
          <w:i/>
          <w:spacing w:val="1"/>
        </w:rPr>
        <w:t> </w:t>
      </w:r>
      <w:r>
        <w:rPr>
          <w:i/>
        </w:rPr>
        <w:t>of Pharmacology. </w:t>
      </w:r>
      <w:r>
        <w:rPr/>
        <w:t>286,</w:t>
      </w:r>
      <w:r>
        <w:rPr>
          <w:spacing w:val="-1"/>
        </w:rPr>
        <w:t> </w:t>
      </w:r>
      <w:r>
        <w:rPr/>
        <w:t>137-146.</w:t>
      </w:r>
    </w:p>
    <w:p>
      <w:pPr>
        <w:pStyle w:val="BodyText"/>
      </w:pPr>
    </w:p>
    <w:p>
      <w:pPr>
        <w:spacing w:before="0"/>
        <w:ind w:left="671" w:right="113" w:hanging="452"/>
        <w:jc w:val="both"/>
        <w:rPr>
          <w:sz w:val="24"/>
        </w:rPr>
      </w:pPr>
      <w:r>
        <w:rPr>
          <w:sz w:val="24"/>
        </w:rPr>
        <w:t>Obembe, A. and Ahmed, M.H. (1988).Epilepsy in Kaduna: A study of 164 Youths. </w:t>
      </w:r>
      <w:r>
        <w:rPr>
          <w:i/>
          <w:sz w:val="24"/>
        </w:rPr>
        <w:t>Nigerian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Medical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Practitioner. </w:t>
      </w:r>
      <w:r>
        <w:rPr>
          <w:sz w:val="24"/>
        </w:rPr>
        <w:t>16(2): 45-8.</w:t>
      </w:r>
    </w:p>
    <w:p>
      <w:pPr>
        <w:pStyle w:val="BodyText"/>
      </w:pPr>
    </w:p>
    <w:p>
      <w:pPr>
        <w:pStyle w:val="BodyText"/>
        <w:spacing w:before="1"/>
        <w:ind w:left="671" w:right="122" w:hanging="452"/>
        <w:jc w:val="both"/>
      </w:pPr>
      <w:r>
        <w:rPr/>
        <w:t>OECD, (2008). Test guideline 452: Chronic Toxicity studies, In Draft OECD Guideline for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testing</w:t>
      </w:r>
      <w:r>
        <w:rPr>
          <w:spacing w:val="-3"/>
        </w:rPr>
        <w:t> </w:t>
      </w:r>
      <w:r>
        <w:rPr/>
        <w:t>of</w:t>
      </w:r>
      <w:r>
        <w:rPr>
          <w:spacing w:val="1"/>
        </w:rPr>
        <w:t> </w:t>
      </w:r>
      <w:r>
        <w:rPr/>
        <w:t>chemicals</w:t>
      </w:r>
      <w:r>
        <w:rPr>
          <w:spacing w:val="-1"/>
        </w:rPr>
        <w:t> </w:t>
      </w:r>
      <w:r>
        <w:rPr/>
        <w:t>(Draft consultant Proposal</w:t>
      </w:r>
      <w:r>
        <w:rPr>
          <w:spacing w:val="1"/>
        </w:rPr>
        <w:t> </w:t>
      </w:r>
      <w:r>
        <w:rPr/>
        <w:t>version 8 OECD</w:t>
      </w:r>
      <w:r>
        <w:rPr>
          <w:spacing w:val="-1"/>
        </w:rPr>
        <w:t> </w:t>
      </w:r>
      <w:r>
        <w:rPr/>
        <w:t>TG</w:t>
      </w:r>
      <w:r>
        <w:rPr>
          <w:spacing w:val="-2"/>
        </w:rPr>
        <w:t> </w:t>
      </w:r>
      <w:r>
        <w:rPr/>
        <w:t>452).</w:t>
      </w:r>
    </w:p>
    <w:p>
      <w:pPr>
        <w:pStyle w:val="BodyText"/>
      </w:pPr>
    </w:p>
    <w:p>
      <w:pPr>
        <w:spacing w:before="0"/>
        <w:ind w:left="671" w:right="118" w:hanging="452"/>
        <w:jc w:val="both"/>
        <w:rPr>
          <w:sz w:val="24"/>
        </w:rPr>
      </w:pPr>
      <w:r>
        <w:rPr>
          <w:sz w:val="24"/>
        </w:rPr>
        <w:t>Ogunrin,</w:t>
      </w:r>
      <w:r>
        <w:rPr>
          <w:spacing w:val="1"/>
          <w:sz w:val="24"/>
        </w:rPr>
        <w:t> </w:t>
      </w:r>
      <w:r>
        <w:rPr>
          <w:sz w:val="24"/>
        </w:rPr>
        <w:t>A.O.</w:t>
      </w:r>
      <w:r>
        <w:rPr>
          <w:spacing w:val="1"/>
          <w:sz w:val="24"/>
        </w:rPr>
        <w:t> </w:t>
      </w:r>
      <w:r>
        <w:rPr>
          <w:sz w:val="24"/>
        </w:rPr>
        <w:t>(2006).</w:t>
      </w:r>
      <w:r>
        <w:rPr>
          <w:spacing w:val="1"/>
          <w:sz w:val="24"/>
        </w:rPr>
        <w:t> </w:t>
      </w:r>
      <w:r>
        <w:rPr>
          <w:sz w:val="24"/>
        </w:rPr>
        <w:t>Epilepsy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Nigeria.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review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etiology,</w:t>
      </w:r>
      <w:r>
        <w:rPr>
          <w:spacing w:val="1"/>
          <w:sz w:val="24"/>
        </w:rPr>
        <w:t> </w:t>
      </w:r>
      <w:r>
        <w:rPr>
          <w:sz w:val="24"/>
        </w:rPr>
        <w:t>epidemiology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management.</w:t>
      </w:r>
      <w:r>
        <w:rPr>
          <w:spacing w:val="-1"/>
          <w:sz w:val="24"/>
        </w:rPr>
        <w:t> </w:t>
      </w:r>
      <w:r>
        <w:rPr>
          <w:i/>
          <w:sz w:val="24"/>
        </w:rPr>
        <w:t>Benin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Journal 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Postgraduate Medicine.</w:t>
      </w:r>
      <w:r>
        <w:rPr>
          <w:i/>
          <w:spacing w:val="1"/>
          <w:sz w:val="24"/>
        </w:rPr>
        <w:t> </w:t>
      </w:r>
      <w:r>
        <w:rPr>
          <w:sz w:val="24"/>
        </w:rPr>
        <w:t>8(1):27-51.</w:t>
      </w:r>
    </w:p>
    <w:p>
      <w:pPr>
        <w:pStyle w:val="BodyText"/>
      </w:pPr>
    </w:p>
    <w:p>
      <w:pPr>
        <w:pStyle w:val="BodyText"/>
        <w:ind w:left="671" w:right="116" w:hanging="452"/>
        <w:jc w:val="both"/>
      </w:pPr>
      <w:r>
        <w:rPr/>
        <w:t>Ojewole,</w:t>
      </w:r>
      <w:r>
        <w:rPr>
          <w:spacing w:val="1"/>
        </w:rPr>
        <w:t> </w:t>
      </w:r>
      <w:r>
        <w:rPr/>
        <w:t>J.A.O.</w:t>
      </w:r>
      <w:r>
        <w:rPr>
          <w:spacing w:val="1"/>
        </w:rPr>
        <w:t> </w:t>
      </w:r>
      <w:r>
        <w:rPr/>
        <w:t>(2004).</w:t>
      </w:r>
      <w:r>
        <w:rPr>
          <w:spacing w:val="1"/>
        </w:rPr>
        <w:t> </w:t>
      </w:r>
      <w:r>
        <w:rPr/>
        <w:t>Evaluation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anti</w:t>
      </w:r>
      <w:r>
        <w:rPr>
          <w:spacing w:val="1"/>
        </w:rPr>
        <w:t> </w:t>
      </w:r>
      <w:r>
        <w:rPr/>
        <w:t>diabetic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anti-inflammatory properties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>
          <w:i/>
        </w:rPr>
        <w:t>sclerocarya birrea</w:t>
      </w:r>
      <w:r>
        <w:rPr>
          <w:i/>
          <w:spacing w:val="1"/>
        </w:rPr>
        <w:t> </w:t>
      </w:r>
      <w:r>
        <w:rPr/>
        <w:t>(A.</w:t>
      </w:r>
      <w:r>
        <w:rPr>
          <w:spacing w:val="1"/>
        </w:rPr>
        <w:t> </w:t>
      </w:r>
      <w:r>
        <w:rPr/>
        <w:t>Rich.) Hochst.</w:t>
      </w:r>
      <w:r>
        <w:rPr>
          <w:spacing w:val="1"/>
        </w:rPr>
        <w:t> </w:t>
      </w:r>
      <w:r>
        <w:rPr/>
        <w:t>Stem</w:t>
      </w:r>
      <w:r>
        <w:rPr>
          <w:spacing w:val="1"/>
        </w:rPr>
        <w:t> </w:t>
      </w:r>
      <w:r>
        <w:rPr/>
        <w:t>bark aqueous</w:t>
      </w:r>
      <w:r>
        <w:rPr>
          <w:spacing w:val="1"/>
        </w:rPr>
        <w:t> </w:t>
      </w:r>
      <w:r>
        <w:rPr/>
        <w:t>extract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mice and</w:t>
      </w:r>
      <w:r>
        <w:rPr>
          <w:spacing w:val="1"/>
        </w:rPr>
        <w:t> </w:t>
      </w:r>
      <w:r>
        <w:rPr/>
        <w:t>rats.</w:t>
      </w:r>
      <w:r>
        <w:rPr>
          <w:spacing w:val="1"/>
        </w:rPr>
        <w:t> </w:t>
      </w:r>
      <w:r>
        <w:rPr>
          <w:i/>
        </w:rPr>
        <w:t>Phytotheraphy</w:t>
      </w:r>
      <w:r>
        <w:rPr>
          <w:i/>
          <w:spacing w:val="-2"/>
        </w:rPr>
        <w:t> </w:t>
      </w:r>
      <w:r>
        <w:rPr>
          <w:i/>
        </w:rPr>
        <w:t>research</w:t>
      </w:r>
      <w:r>
        <w:rPr/>
        <w:t>,</w:t>
      </w:r>
      <w:r>
        <w:rPr>
          <w:spacing w:val="2"/>
        </w:rPr>
        <w:t> </w:t>
      </w:r>
      <w:r>
        <w:rPr/>
        <w:t>18: 601-608.</w:t>
      </w:r>
    </w:p>
    <w:p>
      <w:pPr>
        <w:pStyle w:val="BodyText"/>
      </w:pPr>
    </w:p>
    <w:p>
      <w:pPr>
        <w:spacing w:before="0"/>
        <w:ind w:left="671" w:right="115" w:hanging="452"/>
        <w:jc w:val="both"/>
        <w:rPr>
          <w:sz w:val="24"/>
        </w:rPr>
      </w:pPr>
      <w:r>
        <w:rPr>
          <w:sz w:val="24"/>
        </w:rPr>
        <w:t>Okoli,</w:t>
      </w:r>
      <w:r>
        <w:rPr>
          <w:spacing w:val="1"/>
          <w:sz w:val="24"/>
        </w:rPr>
        <w:t> </w:t>
      </w:r>
      <w:r>
        <w:rPr>
          <w:sz w:val="24"/>
        </w:rPr>
        <w:t>C.O.,</w:t>
      </w:r>
      <w:r>
        <w:rPr>
          <w:spacing w:val="1"/>
          <w:sz w:val="24"/>
        </w:rPr>
        <w:t> </w:t>
      </w:r>
      <w:r>
        <w:rPr>
          <w:sz w:val="24"/>
        </w:rPr>
        <w:t>Onyeto,</w:t>
      </w:r>
      <w:r>
        <w:rPr>
          <w:spacing w:val="1"/>
          <w:sz w:val="24"/>
        </w:rPr>
        <w:t> </w:t>
      </w:r>
      <w:r>
        <w:rPr>
          <w:sz w:val="24"/>
        </w:rPr>
        <w:t>C.A.,</w:t>
      </w:r>
      <w:r>
        <w:rPr>
          <w:spacing w:val="1"/>
          <w:sz w:val="24"/>
        </w:rPr>
        <w:t> </w:t>
      </w:r>
      <w:r>
        <w:rPr>
          <w:sz w:val="24"/>
        </w:rPr>
        <w:t>Akpa,</w:t>
      </w:r>
      <w:r>
        <w:rPr>
          <w:spacing w:val="1"/>
          <w:sz w:val="24"/>
        </w:rPr>
        <w:t> </w:t>
      </w:r>
      <w:r>
        <w:rPr>
          <w:sz w:val="24"/>
        </w:rPr>
        <w:t>B.P.,</w:t>
      </w:r>
      <w:r>
        <w:rPr>
          <w:spacing w:val="1"/>
          <w:sz w:val="24"/>
        </w:rPr>
        <w:t> </w:t>
      </w:r>
      <w:r>
        <w:rPr>
          <w:sz w:val="24"/>
        </w:rPr>
        <w:t>Ezike,</w:t>
      </w:r>
      <w:r>
        <w:rPr>
          <w:spacing w:val="1"/>
          <w:sz w:val="24"/>
        </w:rPr>
        <w:t> </w:t>
      </w:r>
      <w:r>
        <w:rPr>
          <w:sz w:val="24"/>
        </w:rPr>
        <w:t>A.C.,</w:t>
      </w:r>
      <w:r>
        <w:rPr>
          <w:spacing w:val="1"/>
          <w:sz w:val="24"/>
        </w:rPr>
        <w:t> </w:t>
      </w:r>
      <w:r>
        <w:rPr>
          <w:sz w:val="24"/>
        </w:rPr>
        <w:t>Akah,</w:t>
      </w:r>
      <w:r>
        <w:rPr>
          <w:spacing w:val="1"/>
          <w:sz w:val="24"/>
        </w:rPr>
        <w:t> </w:t>
      </w:r>
      <w:r>
        <w:rPr>
          <w:sz w:val="24"/>
        </w:rPr>
        <w:t>P.A.,</w:t>
      </w:r>
      <w:r>
        <w:rPr>
          <w:spacing w:val="1"/>
          <w:sz w:val="24"/>
        </w:rPr>
        <w:t> </w:t>
      </w:r>
      <w:r>
        <w:rPr>
          <w:sz w:val="24"/>
        </w:rPr>
        <w:t>&amp;</w:t>
      </w:r>
      <w:r>
        <w:rPr>
          <w:spacing w:val="1"/>
          <w:sz w:val="24"/>
        </w:rPr>
        <w:t> </w:t>
      </w:r>
      <w:r>
        <w:rPr>
          <w:sz w:val="24"/>
        </w:rPr>
        <w:t>Okoye,</w:t>
      </w:r>
      <w:r>
        <w:rPr>
          <w:spacing w:val="1"/>
          <w:sz w:val="24"/>
        </w:rPr>
        <w:t> </w:t>
      </w:r>
      <w:r>
        <w:rPr>
          <w:sz w:val="24"/>
        </w:rPr>
        <w:t>T.C</w:t>
      </w:r>
      <w:r>
        <w:rPr>
          <w:spacing w:val="1"/>
          <w:sz w:val="24"/>
        </w:rPr>
        <w:t> </w:t>
      </w:r>
      <w:r>
        <w:rPr>
          <w:sz w:val="24"/>
        </w:rPr>
        <w:t>(2010).Neuropharmacological</w:t>
      </w:r>
      <w:r>
        <w:rPr>
          <w:spacing w:val="1"/>
          <w:sz w:val="24"/>
        </w:rPr>
        <w:t> </w:t>
      </w:r>
      <w:r>
        <w:rPr>
          <w:sz w:val="24"/>
        </w:rPr>
        <w:t>evaluation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i/>
          <w:sz w:val="24"/>
        </w:rPr>
        <w:t>Annona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senegalensis</w:t>
      </w:r>
      <w:r>
        <w:rPr>
          <w:i/>
          <w:spacing w:val="1"/>
          <w:sz w:val="24"/>
        </w:rPr>
        <w:t> </w:t>
      </w:r>
      <w:r>
        <w:rPr>
          <w:sz w:val="24"/>
        </w:rPr>
        <w:t>leaves.</w:t>
      </w:r>
      <w:r>
        <w:rPr>
          <w:spacing w:val="61"/>
          <w:sz w:val="24"/>
        </w:rPr>
        <w:t> </w:t>
      </w:r>
      <w:r>
        <w:rPr>
          <w:i/>
          <w:sz w:val="24"/>
        </w:rPr>
        <w:t>African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Biotechnology </w:t>
      </w:r>
      <w:r>
        <w:rPr>
          <w:sz w:val="24"/>
        </w:rPr>
        <w:t>9(49):</w:t>
      </w:r>
      <w:r>
        <w:rPr>
          <w:spacing w:val="-1"/>
          <w:sz w:val="24"/>
        </w:rPr>
        <w:t> </w:t>
      </w:r>
      <w:r>
        <w:rPr>
          <w:sz w:val="24"/>
        </w:rPr>
        <w:t>8435-8444.</w:t>
      </w:r>
    </w:p>
    <w:p>
      <w:pPr>
        <w:pStyle w:val="BodyText"/>
      </w:pPr>
    </w:p>
    <w:p>
      <w:pPr>
        <w:spacing w:line="480" w:lineRule="auto" w:before="1"/>
        <w:ind w:left="220" w:right="0" w:firstLine="0"/>
        <w:jc w:val="left"/>
        <w:rPr>
          <w:sz w:val="24"/>
        </w:rPr>
      </w:pPr>
      <w:r>
        <w:rPr>
          <w:sz w:val="24"/>
        </w:rPr>
        <w:t>Olsen, R.W. and Avoli, M. (1997). GABA and Epileptogenesis. </w:t>
      </w:r>
      <w:r>
        <w:rPr>
          <w:i/>
          <w:sz w:val="24"/>
        </w:rPr>
        <w:t>Epilepsia </w:t>
      </w:r>
      <w:r>
        <w:rPr>
          <w:sz w:val="24"/>
        </w:rPr>
        <w:t>38, 399-407.</w:t>
      </w:r>
      <w:r>
        <w:rPr>
          <w:spacing w:val="1"/>
          <w:sz w:val="24"/>
        </w:rPr>
        <w:t> </w:t>
      </w:r>
      <w:r>
        <w:rPr>
          <w:sz w:val="24"/>
        </w:rPr>
        <w:t>Osuntokun, B.O. (1978).Epilepsy in Africa. </w:t>
      </w:r>
      <w:r>
        <w:rPr>
          <w:i/>
          <w:sz w:val="24"/>
        </w:rPr>
        <w:t>Tropical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 Geographical Med</w:t>
      </w:r>
      <w:r>
        <w:rPr>
          <w:sz w:val="24"/>
        </w:rPr>
        <w:t>icine. 31:24-31.</w:t>
      </w:r>
      <w:r>
        <w:rPr>
          <w:spacing w:val="-57"/>
          <w:sz w:val="24"/>
        </w:rPr>
        <w:t> </w:t>
      </w:r>
      <w:r>
        <w:rPr>
          <w:sz w:val="24"/>
        </w:rPr>
        <w:t>Oyeka,</w:t>
      </w:r>
      <w:r>
        <w:rPr>
          <w:spacing w:val="-1"/>
          <w:sz w:val="24"/>
        </w:rPr>
        <w:t> </w:t>
      </w:r>
      <w:r>
        <w:rPr>
          <w:sz w:val="24"/>
        </w:rPr>
        <w:t>C. (1981).</w:t>
      </w:r>
      <w:r>
        <w:rPr>
          <w:spacing w:val="3"/>
          <w:sz w:val="24"/>
        </w:rPr>
        <w:t> </w:t>
      </w:r>
      <w:r>
        <w:rPr>
          <w:i/>
          <w:sz w:val="24"/>
        </w:rPr>
        <w:t>Interciencia </w:t>
      </w:r>
      <w:r>
        <w:rPr>
          <w:sz w:val="24"/>
        </w:rPr>
        <w:t>6, 156.</w:t>
      </w:r>
    </w:p>
    <w:p>
      <w:pPr>
        <w:spacing w:after="0" w:line="480" w:lineRule="auto"/>
        <w:jc w:val="left"/>
        <w:rPr>
          <w:sz w:val="24"/>
        </w:rPr>
        <w:sectPr>
          <w:pgSz w:w="12240" w:h="15840"/>
          <w:pgMar w:header="0" w:footer="792" w:top="1500" w:bottom="980" w:left="1580" w:right="1320"/>
        </w:sectPr>
      </w:pPr>
    </w:p>
    <w:p>
      <w:pPr>
        <w:pStyle w:val="BodyText"/>
        <w:spacing w:before="72"/>
        <w:ind w:left="671" w:right="117" w:hanging="452"/>
        <w:jc w:val="both"/>
      </w:pPr>
      <w:r>
        <w:rPr/>
        <w:t>Perez-</w:t>
      </w:r>
      <w:r>
        <w:rPr>
          <w:spacing w:val="1"/>
        </w:rPr>
        <w:t> </w:t>
      </w:r>
      <w:r>
        <w:rPr/>
        <w:t>Reyes,</w:t>
      </w:r>
      <w:r>
        <w:rPr>
          <w:spacing w:val="1"/>
        </w:rPr>
        <w:t> </w:t>
      </w:r>
      <w:r>
        <w:rPr/>
        <w:t>E.</w:t>
      </w:r>
      <w:r>
        <w:rPr>
          <w:spacing w:val="1"/>
        </w:rPr>
        <w:t> </w:t>
      </w:r>
      <w:r>
        <w:rPr/>
        <w:t>(2003).</w:t>
      </w:r>
      <w:r>
        <w:rPr>
          <w:spacing w:val="1"/>
        </w:rPr>
        <w:t> </w:t>
      </w:r>
      <w:r>
        <w:rPr/>
        <w:t>Molecular</w:t>
      </w:r>
      <w:r>
        <w:rPr>
          <w:spacing w:val="1"/>
        </w:rPr>
        <w:t> </w:t>
      </w:r>
      <w:r>
        <w:rPr/>
        <w:t>physiology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low-voltage</w:t>
      </w:r>
      <w:r>
        <w:rPr>
          <w:spacing w:val="1"/>
        </w:rPr>
        <w:t> </w:t>
      </w:r>
      <w:r>
        <w:rPr/>
        <w:t>activated</w:t>
      </w:r>
      <w:r>
        <w:rPr>
          <w:spacing w:val="1"/>
        </w:rPr>
        <w:t> </w:t>
      </w:r>
      <w:r>
        <w:rPr/>
        <w:t>t-type</w:t>
      </w:r>
      <w:r>
        <w:rPr>
          <w:spacing w:val="1"/>
        </w:rPr>
        <w:t> </w:t>
      </w:r>
      <w:r>
        <w:rPr/>
        <w:t>calcium</w:t>
      </w:r>
      <w:r>
        <w:rPr>
          <w:spacing w:val="-57"/>
        </w:rPr>
        <w:t> </w:t>
      </w:r>
      <w:r>
        <w:rPr/>
        <w:t>channels.</w:t>
      </w:r>
      <w:r>
        <w:rPr>
          <w:spacing w:val="-1"/>
        </w:rPr>
        <w:t> </w:t>
      </w:r>
      <w:r>
        <w:rPr>
          <w:i/>
        </w:rPr>
        <w:t>Physiology</w:t>
      </w:r>
      <w:r>
        <w:rPr>
          <w:i/>
          <w:spacing w:val="-1"/>
        </w:rPr>
        <w:t> </w:t>
      </w:r>
      <w:r>
        <w:rPr>
          <w:i/>
        </w:rPr>
        <w:t>Review. </w:t>
      </w:r>
      <w:r>
        <w:rPr/>
        <w:t>83:117-61.</w:t>
      </w:r>
    </w:p>
    <w:p>
      <w:pPr>
        <w:pStyle w:val="BodyText"/>
      </w:pPr>
    </w:p>
    <w:p>
      <w:pPr>
        <w:pStyle w:val="BodyText"/>
        <w:ind w:left="220"/>
      </w:pPr>
      <w:r>
        <w:rPr/>
        <w:t>Perrucca,</w:t>
      </w:r>
      <w:r>
        <w:rPr>
          <w:spacing w:val="53"/>
        </w:rPr>
        <w:t> </w:t>
      </w:r>
      <w:r>
        <w:rPr/>
        <w:t>E.,</w:t>
      </w:r>
      <w:r>
        <w:rPr>
          <w:spacing w:val="52"/>
        </w:rPr>
        <w:t> </w:t>
      </w:r>
      <w:r>
        <w:rPr/>
        <w:t>French,</w:t>
      </w:r>
      <w:r>
        <w:rPr>
          <w:spacing w:val="52"/>
        </w:rPr>
        <w:t> </w:t>
      </w:r>
      <w:r>
        <w:rPr/>
        <w:t>J.,</w:t>
      </w:r>
      <w:r>
        <w:rPr>
          <w:spacing w:val="50"/>
        </w:rPr>
        <w:t> </w:t>
      </w:r>
      <w:r>
        <w:rPr/>
        <w:t>and</w:t>
      </w:r>
      <w:r>
        <w:rPr>
          <w:spacing w:val="52"/>
        </w:rPr>
        <w:t> </w:t>
      </w:r>
      <w:r>
        <w:rPr/>
        <w:t>Bialer,</w:t>
      </w:r>
      <w:r>
        <w:rPr>
          <w:spacing w:val="53"/>
        </w:rPr>
        <w:t> </w:t>
      </w:r>
      <w:r>
        <w:rPr/>
        <w:t>M.(2007).</w:t>
      </w:r>
      <w:r>
        <w:rPr>
          <w:spacing w:val="58"/>
        </w:rPr>
        <w:t> </w:t>
      </w:r>
      <w:r>
        <w:rPr/>
        <w:t>Development</w:t>
      </w:r>
      <w:r>
        <w:rPr>
          <w:spacing w:val="53"/>
        </w:rPr>
        <w:t> </w:t>
      </w:r>
      <w:r>
        <w:rPr/>
        <w:t>of</w:t>
      </w:r>
      <w:r>
        <w:rPr>
          <w:spacing w:val="52"/>
        </w:rPr>
        <w:t> </w:t>
      </w:r>
      <w:r>
        <w:rPr/>
        <w:t>new</w:t>
      </w:r>
      <w:r>
        <w:rPr>
          <w:spacing w:val="52"/>
        </w:rPr>
        <w:t> </w:t>
      </w:r>
      <w:r>
        <w:rPr/>
        <w:t>antiepileptic</w:t>
      </w:r>
      <w:r>
        <w:rPr>
          <w:spacing w:val="53"/>
        </w:rPr>
        <w:t> </w:t>
      </w:r>
      <w:r>
        <w:rPr/>
        <w:t>drugs.</w:t>
      </w:r>
    </w:p>
    <w:p>
      <w:pPr>
        <w:spacing w:before="0"/>
        <w:ind w:left="671" w:right="0" w:firstLine="0"/>
        <w:jc w:val="left"/>
        <w:rPr>
          <w:sz w:val="24"/>
        </w:rPr>
      </w:pPr>
      <w:r>
        <w:rPr>
          <w:sz w:val="24"/>
        </w:rPr>
        <w:t>Challenges,</w:t>
      </w:r>
      <w:r>
        <w:rPr>
          <w:spacing w:val="-2"/>
          <w:sz w:val="24"/>
        </w:rPr>
        <w:t> </w:t>
      </w:r>
      <w:r>
        <w:rPr>
          <w:sz w:val="24"/>
        </w:rPr>
        <w:t>incentives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recent</w:t>
      </w:r>
      <w:r>
        <w:rPr>
          <w:spacing w:val="1"/>
          <w:sz w:val="24"/>
        </w:rPr>
        <w:t> </w:t>
      </w:r>
      <w:r>
        <w:rPr>
          <w:sz w:val="24"/>
        </w:rPr>
        <w:t>advances.</w:t>
      </w:r>
      <w:r>
        <w:rPr>
          <w:spacing w:val="2"/>
          <w:sz w:val="24"/>
        </w:rPr>
        <w:t> </w:t>
      </w:r>
      <w:r>
        <w:rPr>
          <w:i/>
          <w:sz w:val="24"/>
        </w:rPr>
        <w:t>Lancet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Neurology</w:t>
      </w:r>
      <w:r>
        <w:rPr>
          <w:i/>
          <w:spacing w:val="-3"/>
          <w:sz w:val="24"/>
        </w:rPr>
        <w:t> </w:t>
      </w:r>
      <w:r>
        <w:rPr>
          <w:sz w:val="24"/>
        </w:rPr>
        <w:t>6(9):</w:t>
      </w:r>
      <w:r>
        <w:rPr>
          <w:spacing w:val="-1"/>
          <w:sz w:val="24"/>
        </w:rPr>
        <w:t> </w:t>
      </w:r>
      <w:r>
        <w:rPr>
          <w:sz w:val="24"/>
        </w:rPr>
        <w:t>793-804.</w:t>
      </w:r>
    </w:p>
    <w:p>
      <w:pPr>
        <w:pStyle w:val="BodyText"/>
      </w:pPr>
    </w:p>
    <w:p>
      <w:pPr>
        <w:pStyle w:val="BodyText"/>
        <w:ind w:left="671" w:right="114" w:hanging="452"/>
        <w:jc w:val="both"/>
      </w:pPr>
      <w:r>
        <w:rPr/>
        <w:t>Pisani,</w:t>
      </w:r>
      <w:r>
        <w:rPr>
          <w:spacing w:val="1"/>
        </w:rPr>
        <w:t> </w:t>
      </w:r>
      <w:r>
        <w:rPr/>
        <w:t>A.,</w:t>
      </w:r>
      <w:r>
        <w:rPr>
          <w:spacing w:val="1"/>
        </w:rPr>
        <w:t> </w:t>
      </w:r>
      <w:r>
        <w:rPr/>
        <w:t>Stefani,</w:t>
      </w:r>
      <w:r>
        <w:rPr>
          <w:spacing w:val="1"/>
        </w:rPr>
        <w:t> </w:t>
      </w:r>
      <w:r>
        <w:rPr/>
        <w:t>A.,</w:t>
      </w:r>
      <w:r>
        <w:rPr>
          <w:spacing w:val="1"/>
        </w:rPr>
        <w:t> </w:t>
      </w:r>
      <w:r>
        <w:rPr/>
        <w:t>Siniscalchi,</w:t>
      </w:r>
      <w:r>
        <w:rPr>
          <w:spacing w:val="1"/>
        </w:rPr>
        <w:t> </w:t>
      </w:r>
      <w:r>
        <w:rPr/>
        <w:t>A.,</w:t>
      </w:r>
      <w:r>
        <w:rPr>
          <w:spacing w:val="1"/>
        </w:rPr>
        <w:t> </w:t>
      </w:r>
      <w:r>
        <w:rPr/>
        <w:t>Mercuri,</w:t>
      </w:r>
      <w:r>
        <w:rPr>
          <w:spacing w:val="1"/>
        </w:rPr>
        <w:t> </w:t>
      </w:r>
      <w:r>
        <w:rPr/>
        <w:t>N.B.,</w:t>
      </w:r>
      <w:r>
        <w:rPr>
          <w:spacing w:val="1"/>
        </w:rPr>
        <w:t> </w:t>
      </w:r>
      <w:r>
        <w:rPr/>
        <w:t>Bernadi,</w:t>
      </w:r>
      <w:r>
        <w:rPr>
          <w:spacing w:val="1"/>
        </w:rPr>
        <w:t> </w:t>
      </w:r>
      <w:r>
        <w:rPr/>
        <w:t>G .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Calabresi,</w:t>
      </w:r>
      <w:r>
        <w:rPr>
          <w:spacing w:val="1"/>
        </w:rPr>
        <w:t> </w:t>
      </w:r>
      <w:r>
        <w:rPr/>
        <w:t>P.</w:t>
      </w:r>
      <w:r>
        <w:rPr>
          <w:spacing w:val="1"/>
        </w:rPr>
        <w:t> </w:t>
      </w:r>
      <w:r>
        <w:rPr/>
        <w:t>(1995).Electrophysiological actions of felbamate on rat striatal neurones. </w:t>
      </w:r>
      <w:r>
        <w:rPr>
          <w:i/>
        </w:rPr>
        <w:t>British Journal</w:t>
      </w:r>
      <w:r>
        <w:rPr>
          <w:i/>
          <w:spacing w:val="-57"/>
        </w:rPr>
        <w:t> </w:t>
      </w:r>
      <w:r>
        <w:rPr>
          <w:i/>
        </w:rPr>
        <w:t>of</w:t>
      </w:r>
      <w:r>
        <w:rPr>
          <w:i/>
          <w:spacing w:val="-1"/>
        </w:rPr>
        <w:t> </w:t>
      </w:r>
      <w:r>
        <w:rPr>
          <w:i/>
        </w:rPr>
        <w:t>Pharmacolology</w:t>
      </w:r>
      <w:r>
        <w:rPr>
          <w:i/>
          <w:spacing w:val="-1"/>
        </w:rPr>
        <w:t> </w:t>
      </w:r>
      <w:r>
        <w:rPr/>
        <w:t>16:2053-2061.</w:t>
      </w:r>
    </w:p>
    <w:p>
      <w:pPr>
        <w:pStyle w:val="BodyText"/>
      </w:pPr>
    </w:p>
    <w:p>
      <w:pPr>
        <w:pStyle w:val="BodyText"/>
        <w:ind w:left="220"/>
      </w:pPr>
      <w:r>
        <w:rPr/>
        <w:t>Pongs,</w:t>
      </w:r>
      <w:r>
        <w:rPr>
          <w:spacing w:val="42"/>
        </w:rPr>
        <w:t> </w:t>
      </w:r>
      <w:r>
        <w:rPr/>
        <w:t>O.</w:t>
      </w:r>
      <w:r>
        <w:rPr>
          <w:spacing w:val="43"/>
        </w:rPr>
        <w:t> </w:t>
      </w:r>
      <w:r>
        <w:rPr/>
        <w:t>(1999).Voltage</w:t>
      </w:r>
      <w:r>
        <w:rPr>
          <w:spacing w:val="43"/>
        </w:rPr>
        <w:t> </w:t>
      </w:r>
      <w:r>
        <w:rPr/>
        <w:t>gated</w:t>
      </w:r>
      <w:r>
        <w:rPr>
          <w:spacing w:val="44"/>
        </w:rPr>
        <w:t> </w:t>
      </w:r>
      <w:r>
        <w:rPr/>
        <w:t>potassium</w:t>
      </w:r>
      <w:r>
        <w:rPr>
          <w:spacing w:val="42"/>
        </w:rPr>
        <w:t> </w:t>
      </w:r>
      <w:r>
        <w:rPr/>
        <w:t>channels:</w:t>
      </w:r>
      <w:r>
        <w:rPr>
          <w:spacing w:val="42"/>
        </w:rPr>
        <w:t> </w:t>
      </w:r>
      <w:r>
        <w:rPr/>
        <w:t>from</w:t>
      </w:r>
      <w:r>
        <w:rPr>
          <w:spacing w:val="42"/>
        </w:rPr>
        <w:t> </w:t>
      </w:r>
      <w:r>
        <w:rPr/>
        <w:t>hyperexcitabilty</w:t>
      </w:r>
      <w:r>
        <w:rPr>
          <w:spacing w:val="38"/>
        </w:rPr>
        <w:t> </w:t>
      </w:r>
      <w:r>
        <w:rPr/>
        <w:t>to</w:t>
      </w:r>
      <w:r>
        <w:rPr>
          <w:spacing w:val="42"/>
        </w:rPr>
        <w:t> </w:t>
      </w:r>
      <w:r>
        <w:rPr/>
        <w:t>excitement,</w:t>
      </w:r>
    </w:p>
    <w:p>
      <w:pPr>
        <w:spacing w:before="0"/>
        <w:ind w:left="671" w:right="0" w:firstLine="0"/>
        <w:jc w:val="left"/>
        <w:rPr>
          <w:sz w:val="24"/>
        </w:rPr>
      </w:pPr>
      <w:r>
        <w:rPr>
          <w:i/>
          <w:sz w:val="24"/>
        </w:rPr>
        <w:t>FEBS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Lett </w:t>
      </w:r>
      <w:r>
        <w:rPr>
          <w:sz w:val="24"/>
        </w:rPr>
        <w:t>452,</w:t>
      </w:r>
      <w:r>
        <w:rPr>
          <w:spacing w:val="-1"/>
          <w:sz w:val="24"/>
        </w:rPr>
        <w:t> </w:t>
      </w:r>
      <w:r>
        <w:rPr>
          <w:sz w:val="24"/>
        </w:rPr>
        <w:t>31-35.</w:t>
      </w:r>
    </w:p>
    <w:p>
      <w:pPr>
        <w:pStyle w:val="BodyText"/>
        <w:spacing w:before="1"/>
      </w:pPr>
    </w:p>
    <w:p>
      <w:pPr>
        <w:pStyle w:val="BodyText"/>
        <w:ind w:left="671" w:right="120" w:hanging="452"/>
        <w:jc w:val="both"/>
      </w:pPr>
      <w:r>
        <w:rPr/>
        <w:t>Porter,</w:t>
      </w:r>
      <w:r>
        <w:rPr>
          <w:spacing w:val="1"/>
        </w:rPr>
        <w:t> </w:t>
      </w:r>
      <w:r>
        <w:rPr/>
        <w:t>R.J.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Rogawski,</w:t>
      </w:r>
      <w:r>
        <w:rPr>
          <w:spacing w:val="1"/>
        </w:rPr>
        <w:t> </w:t>
      </w:r>
      <w:r>
        <w:rPr/>
        <w:t>M.A.</w:t>
      </w:r>
      <w:r>
        <w:rPr>
          <w:spacing w:val="1"/>
        </w:rPr>
        <w:t> </w:t>
      </w:r>
      <w:r>
        <w:rPr/>
        <w:t>(1992).</w:t>
      </w:r>
      <w:r>
        <w:rPr>
          <w:spacing w:val="1"/>
        </w:rPr>
        <w:t> </w:t>
      </w:r>
      <w:r>
        <w:rPr/>
        <w:t>New</w:t>
      </w:r>
      <w:r>
        <w:rPr>
          <w:spacing w:val="1"/>
        </w:rPr>
        <w:t> </w:t>
      </w:r>
      <w:r>
        <w:rPr/>
        <w:t>antiepileptic</w:t>
      </w:r>
      <w:r>
        <w:rPr>
          <w:spacing w:val="1"/>
        </w:rPr>
        <w:t> </w:t>
      </w:r>
      <w:r>
        <w:rPr/>
        <w:t>drugs: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serendipity</w:t>
      </w:r>
      <w:r>
        <w:rPr>
          <w:spacing w:val="60"/>
        </w:rPr>
        <w:t> </w:t>
      </w:r>
      <w:r>
        <w:rPr/>
        <w:t>to</w:t>
      </w:r>
      <w:r>
        <w:rPr>
          <w:spacing w:val="1"/>
        </w:rPr>
        <w:t> </w:t>
      </w:r>
      <w:r>
        <w:rPr/>
        <w:t>rational</w:t>
      </w:r>
      <w:r>
        <w:rPr>
          <w:spacing w:val="-1"/>
        </w:rPr>
        <w:t> </w:t>
      </w:r>
      <w:r>
        <w:rPr/>
        <w:t>discovery.</w:t>
      </w:r>
      <w:r>
        <w:rPr>
          <w:spacing w:val="1"/>
        </w:rPr>
        <w:t> </w:t>
      </w:r>
      <w:r>
        <w:rPr>
          <w:i/>
        </w:rPr>
        <w:t>Epilepsia</w:t>
      </w:r>
      <w:r>
        <w:rPr>
          <w:i/>
          <w:spacing w:val="1"/>
        </w:rPr>
        <w:t> </w:t>
      </w:r>
      <w:r>
        <w:rPr/>
        <w:t>33(suppl. 1), 51-56.</w:t>
      </w:r>
    </w:p>
    <w:p>
      <w:pPr>
        <w:pStyle w:val="BodyText"/>
      </w:pPr>
    </w:p>
    <w:p>
      <w:pPr>
        <w:pStyle w:val="BodyText"/>
        <w:ind w:left="671" w:right="119" w:hanging="452"/>
        <w:jc w:val="both"/>
      </w:pPr>
      <w:r>
        <w:rPr/>
        <w:t>Porter, R.J., Cereghino, J.J., and Gladding, G.D. (1984). Antiepileptic drug development</w:t>
      </w:r>
      <w:r>
        <w:rPr>
          <w:spacing w:val="1"/>
        </w:rPr>
        <w:t> </w:t>
      </w:r>
      <w:r>
        <w:rPr/>
        <w:t>program.</w:t>
      </w:r>
      <w:r>
        <w:rPr>
          <w:spacing w:val="-1"/>
        </w:rPr>
        <w:t> </w:t>
      </w:r>
      <w:r>
        <w:rPr>
          <w:i/>
        </w:rPr>
        <w:t>Cleveland</w:t>
      </w:r>
      <w:r>
        <w:rPr>
          <w:i/>
          <w:spacing w:val="2"/>
        </w:rPr>
        <w:t> </w:t>
      </w:r>
      <w:r>
        <w:rPr>
          <w:i/>
        </w:rPr>
        <w:t>clinics  </w:t>
      </w:r>
      <w:r>
        <w:rPr/>
        <w:t>51:293-305.</w:t>
      </w:r>
    </w:p>
    <w:p>
      <w:pPr>
        <w:pStyle w:val="BodyText"/>
      </w:pPr>
    </w:p>
    <w:p>
      <w:pPr>
        <w:pStyle w:val="BodyText"/>
        <w:ind w:left="671" w:right="117" w:hanging="452"/>
        <w:jc w:val="both"/>
      </w:pPr>
      <w:r>
        <w:rPr/>
        <w:t>Pragay, D.A., Edwards, L;.,Toppin, M. et al (1974).Evaluation of an improved pneumatic-</w:t>
      </w:r>
      <w:r>
        <w:rPr>
          <w:spacing w:val="1"/>
        </w:rPr>
        <w:t> </w:t>
      </w:r>
      <w:r>
        <w:rPr/>
        <w:t>tube</w:t>
      </w:r>
      <w:r>
        <w:rPr>
          <w:spacing w:val="-1"/>
        </w:rPr>
        <w:t> </w:t>
      </w:r>
      <w:r>
        <w:rPr/>
        <w:t>system</w:t>
      </w:r>
      <w:r>
        <w:rPr>
          <w:spacing w:val="-1"/>
        </w:rPr>
        <w:t> </w:t>
      </w:r>
      <w:r>
        <w:rPr/>
        <w:t>suitable</w:t>
      </w:r>
      <w:r>
        <w:rPr>
          <w:spacing w:val="-2"/>
        </w:rPr>
        <w:t> </w:t>
      </w:r>
      <w:r>
        <w:rPr/>
        <w:t>for transportation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blood</w:t>
      </w:r>
      <w:r>
        <w:rPr>
          <w:spacing w:val="-1"/>
        </w:rPr>
        <w:t> </w:t>
      </w:r>
      <w:r>
        <w:rPr/>
        <w:t>specimes.</w:t>
      </w:r>
      <w:r>
        <w:rPr>
          <w:spacing w:val="3"/>
        </w:rPr>
        <w:t> </w:t>
      </w:r>
      <w:r>
        <w:rPr>
          <w:i/>
        </w:rPr>
        <w:t>Clinical</w:t>
      </w:r>
      <w:r>
        <w:rPr>
          <w:i/>
          <w:spacing w:val="-1"/>
        </w:rPr>
        <w:t> </w:t>
      </w:r>
      <w:r>
        <w:rPr>
          <w:i/>
        </w:rPr>
        <w:t>Chem</w:t>
      </w:r>
      <w:r>
        <w:rPr/>
        <w:t>istry</w:t>
      </w:r>
      <w:r>
        <w:rPr>
          <w:spacing w:val="-6"/>
        </w:rPr>
        <w:t> </w:t>
      </w:r>
      <w:r>
        <w:rPr/>
        <w:t>20:57-60.</w:t>
      </w:r>
    </w:p>
    <w:p>
      <w:pPr>
        <w:pStyle w:val="BodyText"/>
      </w:pPr>
    </w:p>
    <w:p>
      <w:pPr>
        <w:spacing w:before="0"/>
        <w:ind w:left="671" w:right="118" w:hanging="452"/>
        <w:jc w:val="both"/>
        <w:rPr>
          <w:sz w:val="24"/>
        </w:rPr>
      </w:pPr>
      <w:r>
        <w:rPr>
          <w:sz w:val="24"/>
        </w:rPr>
        <w:t>Pratt,</w:t>
      </w:r>
      <w:r>
        <w:rPr>
          <w:spacing w:val="1"/>
          <w:sz w:val="24"/>
        </w:rPr>
        <w:t> </w:t>
      </w:r>
      <w:r>
        <w:rPr>
          <w:sz w:val="24"/>
        </w:rPr>
        <w:t>D.S.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Kaplan,</w:t>
      </w:r>
      <w:r>
        <w:rPr>
          <w:spacing w:val="1"/>
          <w:sz w:val="24"/>
        </w:rPr>
        <w:t> </w:t>
      </w:r>
      <w:r>
        <w:rPr>
          <w:sz w:val="24"/>
        </w:rPr>
        <w:t>M.M.</w:t>
      </w:r>
      <w:r>
        <w:rPr>
          <w:spacing w:val="1"/>
          <w:sz w:val="24"/>
        </w:rPr>
        <w:t> </w:t>
      </w:r>
      <w:r>
        <w:rPr>
          <w:sz w:val="24"/>
        </w:rPr>
        <w:t>(2000).</w:t>
      </w:r>
      <w:r>
        <w:rPr>
          <w:spacing w:val="1"/>
          <w:sz w:val="24"/>
        </w:rPr>
        <w:t> </w:t>
      </w:r>
      <w:r>
        <w:rPr>
          <w:sz w:val="24"/>
        </w:rPr>
        <w:t>Evaluation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abnormal</w:t>
      </w:r>
      <w:r>
        <w:rPr>
          <w:spacing w:val="1"/>
          <w:sz w:val="24"/>
        </w:rPr>
        <w:t> </w:t>
      </w:r>
      <w:r>
        <w:rPr>
          <w:sz w:val="24"/>
        </w:rPr>
        <w:t>liver-enzyme</w:t>
      </w:r>
      <w:r>
        <w:rPr>
          <w:spacing w:val="1"/>
          <w:sz w:val="24"/>
        </w:rPr>
        <w:t> </w:t>
      </w:r>
      <w:r>
        <w:rPr>
          <w:sz w:val="24"/>
        </w:rPr>
        <w:t>results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asymptomatic</w:t>
      </w:r>
      <w:r>
        <w:rPr>
          <w:spacing w:val="-1"/>
          <w:sz w:val="24"/>
        </w:rPr>
        <w:t> </w:t>
      </w:r>
      <w:r>
        <w:rPr>
          <w:sz w:val="24"/>
        </w:rPr>
        <w:t>patients.</w:t>
      </w:r>
      <w:r>
        <w:rPr>
          <w:spacing w:val="2"/>
          <w:sz w:val="24"/>
        </w:rPr>
        <w:t> </w:t>
      </w:r>
      <w:r>
        <w:rPr>
          <w:i/>
          <w:sz w:val="24"/>
        </w:rPr>
        <w:t>New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England 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Medicine</w:t>
      </w:r>
      <w:r>
        <w:rPr>
          <w:i/>
          <w:spacing w:val="-1"/>
          <w:sz w:val="24"/>
        </w:rPr>
        <w:t> </w:t>
      </w:r>
      <w:r>
        <w:rPr>
          <w:sz w:val="24"/>
        </w:rPr>
        <w:t>342:1266-1271.</w:t>
      </w:r>
    </w:p>
    <w:p>
      <w:pPr>
        <w:pStyle w:val="BodyText"/>
      </w:pPr>
    </w:p>
    <w:p>
      <w:pPr>
        <w:pStyle w:val="BodyText"/>
        <w:spacing w:before="1"/>
        <w:ind w:left="671" w:right="116" w:hanging="452"/>
        <w:jc w:val="both"/>
      </w:pPr>
      <w:r>
        <w:rPr/>
        <w:t>Pugliese, A.M. and Corradetti, R. (1996). Effects of the antiepileptic drug felbamate on long</w:t>
      </w:r>
      <w:r>
        <w:rPr>
          <w:spacing w:val="1"/>
        </w:rPr>
        <w:t> </w:t>
      </w:r>
      <w:r>
        <w:rPr/>
        <w:t>term potentiation in the CA1 region of rat hippocampal slices.</w:t>
      </w:r>
      <w:r>
        <w:rPr>
          <w:spacing w:val="1"/>
        </w:rPr>
        <w:t> </w:t>
      </w:r>
      <w:r>
        <w:rPr>
          <w:i/>
        </w:rPr>
        <w:t>Neuroscience Letter</w:t>
      </w:r>
      <w:r>
        <w:rPr>
          <w:i/>
          <w:spacing w:val="1"/>
        </w:rPr>
        <w:t> </w:t>
      </w:r>
      <w:r>
        <w:rPr/>
        <w:t>215:21-24.</w:t>
      </w:r>
    </w:p>
    <w:p>
      <w:pPr>
        <w:pStyle w:val="BodyText"/>
      </w:pPr>
    </w:p>
    <w:p>
      <w:pPr>
        <w:pStyle w:val="BodyText"/>
        <w:ind w:left="671" w:right="126" w:hanging="452"/>
        <w:jc w:val="both"/>
      </w:pPr>
      <w:r>
        <w:rPr/>
        <w:t>Rabow, L.E., Russek, S.J. and Farb, D.H. (1995). From ion currents to genomic analysis:</w:t>
      </w:r>
      <w:r>
        <w:rPr>
          <w:spacing w:val="1"/>
        </w:rPr>
        <w:t> </w:t>
      </w:r>
      <w:r>
        <w:rPr/>
        <w:t>recent</w:t>
      </w:r>
      <w:r>
        <w:rPr>
          <w:spacing w:val="1"/>
        </w:rPr>
        <w:t> </w:t>
      </w:r>
      <w:r>
        <w:rPr/>
        <w:t>advances in GABA</w:t>
      </w:r>
      <w:r>
        <w:rPr>
          <w:vertAlign w:val="subscript"/>
        </w:rPr>
        <w:t>A</w:t>
      </w:r>
      <w:r>
        <w:rPr>
          <w:spacing w:val="-1"/>
          <w:vertAlign w:val="baseline"/>
        </w:rPr>
        <w:t> </w:t>
      </w:r>
      <w:r>
        <w:rPr>
          <w:vertAlign w:val="baseline"/>
        </w:rPr>
        <w:t>receptor research. </w:t>
      </w:r>
      <w:r>
        <w:rPr>
          <w:i/>
          <w:vertAlign w:val="baseline"/>
        </w:rPr>
        <w:t>Synapse</w:t>
      </w:r>
      <w:r>
        <w:rPr>
          <w:i/>
          <w:spacing w:val="-1"/>
          <w:vertAlign w:val="baseline"/>
        </w:rPr>
        <w:t> </w:t>
      </w:r>
      <w:r>
        <w:rPr>
          <w:vertAlign w:val="baseline"/>
        </w:rPr>
        <w:t>21, 189-274.</w:t>
      </w:r>
    </w:p>
    <w:p>
      <w:pPr>
        <w:pStyle w:val="BodyText"/>
      </w:pPr>
    </w:p>
    <w:p>
      <w:pPr>
        <w:pStyle w:val="BodyText"/>
        <w:ind w:left="671" w:right="117" w:hanging="452"/>
        <w:jc w:val="both"/>
      </w:pPr>
      <w:r>
        <w:rPr/>
        <w:t>Rangsdale, D.S. and Avoli, M. (1998): Sodium channels as molecular target for antiepileptic</w:t>
      </w:r>
      <w:r>
        <w:rPr>
          <w:spacing w:val="1"/>
        </w:rPr>
        <w:t> </w:t>
      </w:r>
      <w:r>
        <w:rPr/>
        <w:t>drugs.</w:t>
      </w:r>
      <w:r>
        <w:rPr>
          <w:spacing w:val="-1"/>
        </w:rPr>
        <w:t> </w:t>
      </w:r>
      <w:r>
        <w:rPr>
          <w:i/>
        </w:rPr>
        <w:t>Brain Research</w:t>
      </w:r>
      <w:r>
        <w:rPr>
          <w:i/>
          <w:spacing w:val="-1"/>
        </w:rPr>
        <w:t> </w:t>
      </w:r>
      <w:r>
        <w:rPr>
          <w:i/>
        </w:rPr>
        <w:t>Review</w:t>
      </w:r>
      <w:r>
        <w:rPr/>
        <w:t>. 26. 16-28.</w:t>
      </w:r>
    </w:p>
    <w:p>
      <w:pPr>
        <w:pStyle w:val="BodyText"/>
        <w:spacing w:line="552" w:lineRule="exact" w:before="58"/>
        <w:ind w:left="220" w:right="112"/>
      </w:pPr>
      <w:r>
        <w:rPr/>
        <w:t>Ray, S. (2004). Alternative Medicine Review </w:t>
      </w:r>
      <w:hyperlink r:id="rId34">
        <w:r>
          <w:rPr>
            <w:u w:val="single"/>
          </w:rPr>
          <w:t>http://www.articles.com/particle/mimofDN</w:t>
        </w:r>
      </w:hyperlink>
      <w:r>
        <w:rPr/>
        <w:t>.</w:t>
      </w:r>
      <w:r>
        <w:rPr>
          <w:spacing w:val="1"/>
        </w:rPr>
        <w:t> </w:t>
      </w:r>
      <w:r>
        <w:rPr/>
        <w:t>Raza,</w:t>
      </w:r>
      <w:r>
        <w:rPr>
          <w:spacing w:val="75"/>
        </w:rPr>
        <w:t> </w:t>
      </w:r>
      <w:r>
        <w:rPr/>
        <w:t>M.,</w:t>
      </w:r>
      <w:r>
        <w:rPr>
          <w:spacing w:val="76"/>
        </w:rPr>
        <w:t> </w:t>
      </w:r>
      <w:r>
        <w:rPr/>
        <w:t>Shaheen,</w:t>
      </w:r>
      <w:r>
        <w:rPr>
          <w:spacing w:val="77"/>
        </w:rPr>
        <w:t> </w:t>
      </w:r>
      <w:r>
        <w:rPr/>
        <w:t>F.,</w:t>
      </w:r>
      <w:r>
        <w:rPr>
          <w:spacing w:val="77"/>
        </w:rPr>
        <w:t> </w:t>
      </w:r>
      <w:r>
        <w:rPr/>
        <w:t>Choudhary,</w:t>
      </w:r>
      <w:r>
        <w:rPr>
          <w:spacing w:val="75"/>
        </w:rPr>
        <w:t> </w:t>
      </w:r>
      <w:r>
        <w:rPr/>
        <w:t>M.I.,</w:t>
      </w:r>
      <w:r>
        <w:rPr>
          <w:spacing w:val="75"/>
        </w:rPr>
        <w:t> </w:t>
      </w:r>
      <w:r>
        <w:rPr/>
        <w:t>Suria,</w:t>
      </w:r>
      <w:r>
        <w:rPr>
          <w:spacing w:val="75"/>
        </w:rPr>
        <w:t> </w:t>
      </w:r>
      <w:r>
        <w:rPr/>
        <w:t>A.,</w:t>
      </w:r>
      <w:r>
        <w:rPr>
          <w:spacing w:val="75"/>
        </w:rPr>
        <w:t> </w:t>
      </w:r>
      <w:r>
        <w:rPr/>
        <w:t>Atta-ur-Rahman,</w:t>
      </w:r>
      <w:r>
        <w:rPr>
          <w:spacing w:val="77"/>
        </w:rPr>
        <w:t> </w:t>
      </w:r>
      <w:r>
        <w:rPr/>
        <w:t>Sombati,</w:t>
      </w:r>
      <w:r>
        <w:rPr>
          <w:spacing w:val="76"/>
        </w:rPr>
        <w:t> </w:t>
      </w:r>
      <w:r>
        <w:rPr/>
        <w:t>S.</w:t>
      </w:r>
      <w:r>
        <w:rPr>
          <w:spacing w:val="77"/>
        </w:rPr>
        <w:t> </w:t>
      </w:r>
      <w:r>
        <w:rPr/>
        <w:t>and</w:t>
      </w:r>
    </w:p>
    <w:p>
      <w:pPr>
        <w:pStyle w:val="BodyText"/>
        <w:spacing w:line="218" w:lineRule="exact"/>
        <w:ind w:left="671"/>
      </w:pPr>
      <w:r>
        <w:rPr/>
        <w:t>Deloranzo,</w:t>
      </w:r>
      <w:r>
        <w:rPr>
          <w:spacing w:val="31"/>
        </w:rPr>
        <w:t> </w:t>
      </w:r>
      <w:r>
        <w:rPr/>
        <w:t>R.J.</w:t>
      </w:r>
      <w:r>
        <w:rPr>
          <w:spacing w:val="29"/>
        </w:rPr>
        <w:t> </w:t>
      </w:r>
      <w:r>
        <w:rPr/>
        <w:t>(2001).Anticonvulsant</w:t>
      </w:r>
      <w:r>
        <w:rPr>
          <w:spacing w:val="31"/>
        </w:rPr>
        <w:t> </w:t>
      </w:r>
      <w:r>
        <w:rPr/>
        <w:t>activities</w:t>
      </w:r>
      <w:r>
        <w:rPr>
          <w:spacing w:val="32"/>
        </w:rPr>
        <w:t> </w:t>
      </w:r>
      <w:r>
        <w:rPr/>
        <w:t>of</w:t>
      </w:r>
      <w:r>
        <w:rPr>
          <w:spacing w:val="30"/>
        </w:rPr>
        <w:t> </w:t>
      </w:r>
      <w:r>
        <w:rPr/>
        <w:t>the</w:t>
      </w:r>
      <w:r>
        <w:rPr>
          <w:spacing w:val="31"/>
        </w:rPr>
        <w:t> </w:t>
      </w:r>
      <w:r>
        <w:rPr/>
        <w:t>FS-1</w:t>
      </w:r>
      <w:r>
        <w:rPr>
          <w:spacing w:val="31"/>
        </w:rPr>
        <w:t> </w:t>
      </w:r>
      <w:r>
        <w:rPr/>
        <w:t>subfraction</w:t>
      </w:r>
      <w:r>
        <w:rPr>
          <w:spacing w:val="32"/>
        </w:rPr>
        <w:t> </w:t>
      </w:r>
      <w:r>
        <w:rPr/>
        <w:t>isolated</w:t>
      </w:r>
      <w:r>
        <w:rPr>
          <w:spacing w:val="30"/>
        </w:rPr>
        <w:t> </w:t>
      </w:r>
      <w:r>
        <w:rPr/>
        <w:t>from</w:t>
      </w:r>
    </w:p>
    <w:p>
      <w:pPr>
        <w:spacing w:before="0"/>
        <w:ind w:left="671" w:right="0" w:firstLine="0"/>
        <w:jc w:val="left"/>
        <w:rPr>
          <w:sz w:val="24"/>
        </w:rPr>
      </w:pPr>
      <w:r>
        <w:rPr>
          <w:sz w:val="24"/>
        </w:rPr>
        <w:t>roots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i/>
          <w:sz w:val="24"/>
        </w:rPr>
        <w:t>Delphinium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denudatum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i/>
          <w:sz w:val="24"/>
        </w:rPr>
        <w:t>Phytotherapy Research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15:</w:t>
      </w:r>
      <w:r>
        <w:rPr>
          <w:spacing w:val="-1"/>
          <w:sz w:val="24"/>
        </w:rPr>
        <w:t> </w:t>
      </w:r>
      <w:r>
        <w:rPr>
          <w:sz w:val="24"/>
        </w:rPr>
        <w:t>426-430.</w:t>
      </w:r>
    </w:p>
    <w:p>
      <w:pPr>
        <w:pStyle w:val="BodyText"/>
      </w:pPr>
    </w:p>
    <w:p>
      <w:pPr>
        <w:pStyle w:val="BodyText"/>
        <w:ind w:left="671" w:right="118" w:hanging="452"/>
        <w:jc w:val="both"/>
      </w:pPr>
      <w:r>
        <w:rPr/>
        <w:t>Reitman S. and Frankel, S. (1957). A Colorimetric method for the determination of serum</w:t>
      </w:r>
      <w:r>
        <w:rPr>
          <w:spacing w:val="1"/>
        </w:rPr>
        <w:t> </w:t>
      </w:r>
      <w:r>
        <w:rPr/>
        <w:t>glutamate oxaloacetate transaminase and glutamate pyruvate transaminase. </w:t>
      </w:r>
      <w:r>
        <w:rPr>
          <w:i/>
        </w:rPr>
        <w:t>American</w:t>
      </w:r>
      <w:r>
        <w:rPr>
          <w:i/>
          <w:spacing w:val="1"/>
        </w:rPr>
        <w:t> </w:t>
      </w:r>
      <w:r>
        <w:rPr>
          <w:i/>
        </w:rPr>
        <w:t>Journal</w:t>
      </w:r>
      <w:r>
        <w:rPr>
          <w:i/>
          <w:spacing w:val="-1"/>
        </w:rPr>
        <w:t> </w:t>
      </w:r>
      <w:r>
        <w:rPr>
          <w:i/>
        </w:rPr>
        <w:t>of Clinical Pathology,</w:t>
      </w:r>
      <w:r>
        <w:rPr>
          <w:i/>
          <w:spacing w:val="1"/>
        </w:rPr>
        <w:t> </w:t>
      </w:r>
      <w:r>
        <w:rPr/>
        <w:t>28:56-63.</w:t>
      </w:r>
    </w:p>
    <w:p>
      <w:pPr>
        <w:spacing w:after="0"/>
        <w:jc w:val="both"/>
        <w:sectPr>
          <w:pgSz w:w="12240" w:h="15840"/>
          <w:pgMar w:header="0" w:footer="792" w:top="1360" w:bottom="980" w:left="1580" w:right="1320"/>
        </w:sectPr>
      </w:pPr>
    </w:p>
    <w:p>
      <w:pPr>
        <w:pStyle w:val="BodyText"/>
        <w:spacing w:before="72"/>
        <w:ind w:left="671" w:right="115" w:hanging="452"/>
        <w:jc w:val="both"/>
      </w:pPr>
      <w:r>
        <w:rPr/>
        <w:t>Reynolds, E.H. (1988). Historical aspects in epilepsy, behaviour and cognitive function. John</w:t>
      </w:r>
      <w:r>
        <w:rPr>
          <w:spacing w:val="-57"/>
        </w:rPr>
        <w:t> </w:t>
      </w:r>
      <w:r>
        <w:rPr/>
        <w:t>Willey</w:t>
      </w:r>
      <w:r>
        <w:rPr>
          <w:spacing w:val="-9"/>
        </w:rPr>
        <w:t> </w:t>
      </w:r>
      <w:r>
        <w:rPr/>
        <w:t>Medical Pub. Pp. 3-8 (Trimble, M.R.</w:t>
      </w:r>
      <w:r>
        <w:rPr>
          <w:spacing w:val="-1"/>
        </w:rPr>
        <w:t> </w:t>
      </w:r>
      <w:r>
        <w:rPr/>
        <w:t>and</w:t>
      </w:r>
      <w:r>
        <w:rPr>
          <w:spacing w:val="2"/>
        </w:rPr>
        <w:t> </w:t>
      </w:r>
      <w:r>
        <w:rPr/>
        <w:t>Reynolds E.W.</w:t>
      </w:r>
      <w:r>
        <w:rPr>
          <w:spacing w:val="2"/>
        </w:rPr>
        <w:t> </w:t>
      </w:r>
      <w:r>
        <w:rPr/>
        <w:t>Ed).</w:t>
      </w:r>
    </w:p>
    <w:p>
      <w:pPr>
        <w:pStyle w:val="BodyText"/>
      </w:pPr>
    </w:p>
    <w:p>
      <w:pPr>
        <w:pStyle w:val="BodyText"/>
        <w:ind w:left="220"/>
      </w:pPr>
      <w:r>
        <w:rPr/>
        <w:t>Rho,</w:t>
      </w:r>
      <w:r>
        <w:rPr>
          <w:spacing w:val="56"/>
        </w:rPr>
        <w:t> </w:t>
      </w:r>
      <w:r>
        <w:rPr/>
        <w:t>J.M.</w:t>
      </w:r>
      <w:r>
        <w:rPr>
          <w:spacing w:val="59"/>
        </w:rPr>
        <w:t> </w:t>
      </w:r>
      <w:r>
        <w:rPr/>
        <w:t>and</w:t>
      </w:r>
      <w:r>
        <w:rPr>
          <w:spacing w:val="56"/>
        </w:rPr>
        <w:t> </w:t>
      </w:r>
      <w:r>
        <w:rPr/>
        <w:t>Sankar,</w:t>
      </w:r>
      <w:r>
        <w:rPr>
          <w:spacing w:val="58"/>
        </w:rPr>
        <w:t> </w:t>
      </w:r>
      <w:r>
        <w:rPr/>
        <w:t>R</w:t>
      </w:r>
      <w:r>
        <w:rPr>
          <w:spacing w:val="59"/>
        </w:rPr>
        <w:t> </w:t>
      </w:r>
      <w:r>
        <w:rPr/>
        <w:t>(1999).</w:t>
      </w:r>
      <w:r>
        <w:rPr>
          <w:spacing w:val="1"/>
        </w:rPr>
        <w:t> </w:t>
      </w:r>
      <w:r>
        <w:rPr/>
        <w:t>The</w:t>
      </w:r>
      <w:r>
        <w:rPr>
          <w:spacing w:val="57"/>
        </w:rPr>
        <w:t> </w:t>
      </w:r>
      <w:r>
        <w:rPr/>
        <w:t>pharmacologic</w:t>
      </w:r>
      <w:r>
        <w:rPr>
          <w:spacing w:val="58"/>
        </w:rPr>
        <w:t> </w:t>
      </w:r>
      <w:r>
        <w:rPr/>
        <w:t>basis</w:t>
      </w:r>
      <w:r>
        <w:rPr>
          <w:spacing w:val="59"/>
        </w:rPr>
        <w:t> </w:t>
      </w:r>
      <w:r>
        <w:rPr/>
        <w:t>of</w:t>
      </w:r>
      <w:r>
        <w:rPr>
          <w:spacing w:val="59"/>
        </w:rPr>
        <w:t> </w:t>
      </w:r>
      <w:r>
        <w:rPr/>
        <w:t>antiepileptic</w:t>
      </w:r>
      <w:r>
        <w:rPr>
          <w:spacing w:val="57"/>
        </w:rPr>
        <w:t> </w:t>
      </w:r>
      <w:r>
        <w:rPr/>
        <w:t>drug</w:t>
      </w:r>
      <w:r>
        <w:rPr>
          <w:spacing w:val="56"/>
        </w:rPr>
        <w:t> </w:t>
      </w:r>
      <w:r>
        <w:rPr/>
        <w:t>action.</w:t>
      </w:r>
    </w:p>
    <w:p>
      <w:pPr>
        <w:spacing w:before="0"/>
        <w:ind w:left="671" w:right="0" w:firstLine="0"/>
        <w:jc w:val="left"/>
        <w:rPr>
          <w:sz w:val="24"/>
        </w:rPr>
      </w:pPr>
      <w:r>
        <w:rPr>
          <w:i/>
          <w:sz w:val="24"/>
        </w:rPr>
        <w:t>Epilepsia</w:t>
      </w:r>
      <w:r>
        <w:rPr>
          <w:i/>
          <w:spacing w:val="-1"/>
          <w:sz w:val="24"/>
        </w:rPr>
        <w:t> </w:t>
      </w:r>
      <w:r>
        <w:rPr>
          <w:sz w:val="24"/>
        </w:rPr>
        <w:t>40:1471-1483.</w:t>
      </w:r>
    </w:p>
    <w:p>
      <w:pPr>
        <w:pStyle w:val="BodyText"/>
      </w:pPr>
    </w:p>
    <w:p>
      <w:pPr>
        <w:pStyle w:val="BodyText"/>
        <w:ind w:left="671" w:right="114" w:hanging="452"/>
        <w:jc w:val="both"/>
      </w:pPr>
      <w:r>
        <w:rPr/>
        <w:t>Rho,</w:t>
      </w:r>
      <w:r>
        <w:rPr>
          <w:spacing w:val="1"/>
        </w:rPr>
        <w:t> </w:t>
      </w:r>
      <w:r>
        <w:rPr/>
        <w:t>J.M.,</w:t>
      </w:r>
      <w:r>
        <w:rPr>
          <w:spacing w:val="1"/>
        </w:rPr>
        <w:t> </w:t>
      </w:r>
      <w:r>
        <w:rPr/>
        <w:t>Donevan,</w:t>
      </w:r>
      <w:r>
        <w:rPr>
          <w:spacing w:val="1"/>
        </w:rPr>
        <w:t> </w:t>
      </w:r>
      <w:r>
        <w:rPr/>
        <w:t>S.D.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Rogawski,</w:t>
      </w:r>
      <w:r>
        <w:rPr>
          <w:spacing w:val="1"/>
        </w:rPr>
        <w:t> </w:t>
      </w:r>
      <w:r>
        <w:rPr/>
        <w:t>M.A.</w:t>
      </w:r>
      <w:r>
        <w:rPr>
          <w:spacing w:val="1"/>
        </w:rPr>
        <w:t> </w:t>
      </w:r>
      <w:r>
        <w:rPr/>
        <w:t>(1994).</w:t>
      </w:r>
      <w:r>
        <w:rPr>
          <w:spacing w:val="1"/>
        </w:rPr>
        <w:t> </w:t>
      </w:r>
      <w:r>
        <w:rPr/>
        <w:t>Mechanism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anticonvulsant felbamate: opposing effects on NMDA and GABA</w:t>
      </w:r>
      <w:r>
        <w:rPr>
          <w:vertAlign w:val="subscript"/>
        </w:rPr>
        <w:t>A</w:t>
      </w:r>
      <w:r>
        <w:rPr>
          <w:vertAlign w:val="baseline"/>
        </w:rPr>
        <w:t> receptors. </w:t>
      </w:r>
      <w:r>
        <w:rPr>
          <w:i/>
          <w:vertAlign w:val="baseline"/>
        </w:rPr>
        <w:t>Annals of</w:t>
      </w:r>
      <w:r>
        <w:rPr>
          <w:i/>
          <w:spacing w:val="1"/>
          <w:vertAlign w:val="baseline"/>
        </w:rPr>
        <w:t> </w:t>
      </w:r>
      <w:r>
        <w:rPr>
          <w:i/>
          <w:vertAlign w:val="baseline"/>
        </w:rPr>
        <w:t>neurol</w:t>
      </w:r>
      <w:r>
        <w:rPr>
          <w:vertAlign w:val="baseline"/>
        </w:rPr>
        <w:t>ogy.</w:t>
      </w:r>
      <w:r>
        <w:rPr>
          <w:spacing w:val="-1"/>
          <w:vertAlign w:val="baseline"/>
        </w:rPr>
        <w:t> </w:t>
      </w:r>
      <w:r>
        <w:rPr>
          <w:vertAlign w:val="baseline"/>
        </w:rPr>
        <w:t>35:229-234.</w:t>
      </w:r>
    </w:p>
    <w:p>
      <w:pPr>
        <w:pStyle w:val="BodyText"/>
      </w:pPr>
    </w:p>
    <w:p>
      <w:pPr>
        <w:pStyle w:val="BodyText"/>
        <w:ind w:left="671" w:right="122" w:hanging="452"/>
        <w:jc w:val="both"/>
      </w:pPr>
      <w:r>
        <w:rPr/>
        <w:t>Ribeiro, R. (2003).Nantenine alkaloid presents anticonvulsant effect on two classical animal</w:t>
      </w:r>
      <w:r>
        <w:rPr>
          <w:spacing w:val="1"/>
        </w:rPr>
        <w:t> </w:t>
      </w:r>
      <w:r>
        <w:rPr/>
        <w:t>models.</w:t>
      </w:r>
      <w:r>
        <w:rPr>
          <w:spacing w:val="-1"/>
        </w:rPr>
        <w:t> </w:t>
      </w:r>
      <w:r>
        <w:rPr>
          <w:i/>
        </w:rPr>
        <w:t>Phytomedicine</w:t>
      </w:r>
      <w:r>
        <w:rPr/>
        <w:t>,</w:t>
      </w:r>
      <w:r>
        <w:rPr>
          <w:spacing w:val="2"/>
        </w:rPr>
        <w:t> </w:t>
      </w:r>
      <w:r>
        <w:rPr/>
        <w:t>10:563-568.</w:t>
      </w:r>
    </w:p>
    <w:p>
      <w:pPr>
        <w:pStyle w:val="BodyText"/>
        <w:spacing w:before="1"/>
      </w:pPr>
    </w:p>
    <w:p>
      <w:pPr>
        <w:spacing w:before="0"/>
        <w:ind w:left="220" w:right="0" w:firstLine="0"/>
        <w:jc w:val="left"/>
        <w:rPr>
          <w:sz w:val="24"/>
        </w:rPr>
      </w:pPr>
      <w:r>
        <w:rPr>
          <w:sz w:val="24"/>
        </w:rPr>
        <w:t>Rochling,</w:t>
      </w:r>
      <w:r>
        <w:rPr>
          <w:spacing w:val="-2"/>
          <w:sz w:val="24"/>
        </w:rPr>
        <w:t> </w:t>
      </w:r>
      <w:r>
        <w:rPr>
          <w:sz w:val="24"/>
        </w:rPr>
        <w:t>F.A.</w:t>
      </w:r>
      <w:r>
        <w:rPr>
          <w:spacing w:val="-1"/>
          <w:sz w:val="24"/>
        </w:rPr>
        <w:t> </w:t>
      </w:r>
      <w:r>
        <w:rPr>
          <w:sz w:val="24"/>
        </w:rPr>
        <w:t>(2002).</w:t>
      </w:r>
      <w:r>
        <w:rPr>
          <w:spacing w:val="-1"/>
          <w:sz w:val="24"/>
        </w:rPr>
        <w:t> </w:t>
      </w:r>
      <w:r>
        <w:rPr>
          <w:sz w:val="24"/>
        </w:rPr>
        <w:t>Evaluation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abnormal</w:t>
      </w:r>
      <w:r>
        <w:rPr>
          <w:spacing w:val="-1"/>
          <w:sz w:val="24"/>
        </w:rPr>
        <w:t> </w:t>
      </w:r>
      <w:r>
        <w:rPr>
          <w:sz w:val="24"/>
        </w:rPr>
        <w:t>liver</w:t>
      </w:r>
      <w:r>
        <w:rPr>
          <w:spacing w:val="-2"/>
          <w:sz w:val="24"/>
        </w:rPr>
        <w:t> </w:t>
      </w:r>
      <w:r>
        <w:rPr>
          <w:sz w:val="24"/>
        </w:rPr>
        <w:t>test. </w:t>
      </w:r>
      <w:r>
        <w:rPr>
          <w:i/>
          <w:sz w:val="24"/>
        </w:rPr>
        <w:t>Clinical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Cornerstone</w:t>
      </w:r>
      <w:r>
        <w:rPr>
          <w:sz w:val="24"/>
        </w:rPr>
        <w:t>,</w:t>
      </w:r>
      <w:r>
        <w:rPr>
          <w:spacing w:val="-2"/>
          <w:sz w:val="24"/>
        </w:rPr>
        <w:t> </w:t>
      </w:r>
      <w:r>
        <w:rPr>
          <w:sz w:val="24"/>
        </w:rPr>
        <w:t>3:1-12.</w:t>
      </w:r>
    </w:p>
    <w:p>
      <w:pPr>
        <w:pStyle w:val="BodyText"/>
      </w:pPr>
    </w:p>
    <w:p>
      <w:pPr>
        <w:pStyle w:val="BodyText"/>
        <w:ind w:left="671" w:right="117" w:hanging="452"/>
        <w:jc w:val="both"/>
      </w:pPr>
      <w:r>
        <w:rPr/>
        <w:t>Rock, D.M., Macdonald, R.L. and Taylor, C.P. (1989). Blockade of sustained repetive action</w:t>
      </w:r>
      <w:r>
        <w:rPr>
          <w:spacing w:val="1"/>
        </w:rPr>
        <w:t> </w:t>
      </w:r>
      <w:r>
        <w:rPr/>
        <w:t>potentials in cultured spinal cord neurons by Zonisamide (AD 810, CI 912): a novel</w:t>
      </w:r>
      <w:r>
        <w:rPr>
          <w:spacing w:val="1"/>
        </w:rPr>
        <w:t> </w:t>
      </w:r>
      <w:r>
        <w:rPr/>
        <w:t>anticonvulsant. </w:t>
      </w:r>
      <w:r>
        <w:rPr>
          <w:i/>
        </w:rPr>
        <w:t>Epilepsy</w:t>
      </w:r>
      <w:r>
        <w:rPr>
          <w:i/>
          <w:spacing w:val="1"/>
        </w:rPr>
        <w:t> </w:t>
      </w:r>
      <w:r>
        <w:rPr>
          <w:i/>
        </w:rPr>
        <w:t>Research</w:t>
      </w:r>
      <w:r>
        <w:rPr>
          <w:i/>
          <w:spacing w:val="-1"/>
        </w:rPr>
        <w:t> </w:t>
      </w:r>
      <w:r>
        <w:rPr/>
        <w:t>3, 138-143.</w:t>
      </w:r>
    </w:p>
    <w:p>
      <w:pPr>
        <w:pStyle w:val="BodyText"/>
      </w:pPr>
    </w:p>
    <w:p>
      <w:pPr>
        <w:pStyle w:val="BodyText"/>
        <w:ind w:left="671" w:right="117" w:hanging="452"/>
      </w:pPr>
      <w:r>
        <w:rPr/>
        <w:t>Rogawski,</w:t>
      </w:r>
      <w:r>
        <w:rPr>
          <w:spacing w:val="34"/>
        </w:rPr>
        <w:t> </w:t>
      </w:r>
      <w:r>
        <w:rPr/>
        <w:t>M.A.</w:t>
      </w:r>
      <w:r>
        <w:rPr>
          <w:spacing w:val="36"/>
        </w:rPr>
        <w:t> </w:t>
      </w:r>
      <w:r>
        <w:rPr/>
        <w:t>(2000).</w:t>
      </w:r>
      <w:r>
        <w:rPr>
          <w:spacing w:val="37"/>
        </w:rPr>
        <w:t> </w:t>
      </w:r>
      <w:r>
        <w:rPr/>
        <w:t>KCNQ2/KCNQ3</w:t>
      </w:r>
      <w:r>
        <w:rPr>
          <w:spacing w:val="34"/>
        </w:rPr>
        <w:t> </w:t>
      </w:r>
      <w:r>
        <w:rPr/>
        <w:t>K</w:t>
      </w:r>
      <w:r>
        <w:rPr>
          <w:vertAlign w:val="superscript"/>
        </w:rPr>
        <w:t>+</w:t>
      </w:r>
      <w:r>
        <w:rPr>
          <w:spacing w:val="34"/>
          <w:vertAlign w:val="baseline"/>
        </w:rPr>
        <w:t> </w:t>
      </w:r>
      <w:r>
        <w:rPr>
          <w:vertAlign w:val="baseline"/>
        </w:rPr>
        <w:t>channels</w:t>
      </w:r>
      <w:r>
        <w:rPr>
          <w:spacing w:val="35"/>
          <w:vertAlign w:val="baseline"/>
        </w:rPr>
        <w:t> </w:t>
      </w:r>
      <w:r>
        <w:rPr>
          <w:vertAlign w:val="baseline"/>
        </w:rPr>
        <w:t>and</w:t>
      </w:r>
      <w:r>
        <w:rPr>
          <w:spacing w:val="34"/>
          <w:vertAlign w:val="baseline"/>
        </w:rPr>
        <w:t> </w:t>
      </w:r>
      <w:r>
        <w:rPr>
          <w:vertAlign w:val="baseline"/>
        </w:rPr>
        <w:t>the</w:t>
      </w:r>
      <w:r>
        <w:rPr>
          <w:spacing w:val="36"/>
          <w:vertAlign w:val="baseline"/>
        </w:rPr>
        <w:t> </w:t>
      </w:r>
      <w:r>
        <w:rPr>
          <w:vertAlign w:val="baseline"/>
        </w:rPr>
        <w:t>molecular</w:t>
      </w:r>
      <w:r>
        <w:rPr>
          <w:spacing w:val="33"/>
          <w:vertAlign w:val="baseline"/>
        </w:rPr>
        <w:t> </w:t>
      </w:r>
      <w:r>
        <w:rPr>
          <w:vertAlign w:val="baseline"/>
        </w:rPr>
        <w:t>pathogenesis</w:t>
      </w:r>
      <w:r>
        <w:rPr>
          <w:spacing w:val="35"/>
          <w:vertAlign w:val="baseline"/>
        </w:rPr>
        <w:t> </w:t>
      </w:r>
      <w:r>
        <w:rPr>
          <w:vertAlign w:val="baseline"/>
        </w:rPr>
        <w:t>of</w:t>
      </w:r>
      <w:r>
        <w:rPr>
          <w:spacing w:val="-57"/>
          <w:vertAlign w:val="baseline"/>
        </w:rPr>
        <w:t> </w:t>
      </w:r>
      <w:r>
        <w:rPr>
          <w:vertAlign w:val="baseline"/>
        </w:rPr>
        <w:t>epilepsy:</w:t>
      </w:r>
      <w:r>
        <w:rPr>
          <w:spacing w:val="-1"/>
          <w:vertAlign w:val="baseline"/>
        </w:rPr>
        <w:t> </w:t>
      </w:r>
      <w:r>
        <w:rPr>
          <w:vertAlign w:val="baseline"/>
        </w:rPr>
        <w:t>implications for</w:t>
      </w:r>
      <w:r>
        <w:rPr>
          <w:spacing w:val="-1"/>
          <w:vertAlign w:val="baseline"/>
        </w:rPr>
        <w:t> </w:t>
      </w:r>
      <w:r>
        <w:rPr>
          <w:vertAlign w:val="baseline"/>
        </w:rPr>
        <w:t>therapy.</w:t>
      </w:r>
      <w:r>
        <w:rPr>
          <w:spacing w:val="2"/>
          <w:vertAlign w:val="baseline"/>
        </w:rPr>
        <w:t> </w:t>
      </w:r>
      <w:r>
        <w:rPr>
          <w:i/>
          <w:vertAlign w:val="baseline"/>
        </w:rPr>
        <w:t>Trends in</w:t>
      </w:r>
      <w:r>
        <w:rPr>
          <w:i/>
          <w:spacing w:val="-1"/>
          <w:vertAlign w:val="baseline"/>
        </w:rPr>
        <w:t> </w:t>
      </w:r>
      <w:r>
        <w:rPr>
          <w:i/>
          <w:vertAlign w:val="baseline"/>
        </w:rPr>
        <w:t>Neuroscience</w:t>
      </w:r>
      <w:r>
        <w:rPr>
          <w:i/>
          <w:spacing w:val="59"/>
          <w:vertAlign w:val="baseline"/>
        </w:rPr>
        <w:t> </w:t>
      </w:r>
      <w:r>
        <w:rPr>
          <w:vertAlign w:val="baseline"/>
        </w:rPr>
        <w:t>23:</w:t>
      </w:r>
      <w:r>
        <w:rPr>
          <w:spacing w:val="-1"/>
          <w:vertAlign w:val="baseline"/>
        </w:rPr>
        <w:t> </w:t>
      </w:r>
      <w:r>
        <w:rPr>
          <w:vertAlign w:val="baseline"/>
        </w:rPr>
        <w:t>393-398.</w:t>
      </w:r>
    </w:p>
    <w:p>
      <w:pPr>
        <w:pStyle w:val="BodyText"/>
        <w:spacing w:line="550" w:lineRule="atLeast" w:before="2"/>
        <w:ind w:left="220" w:right="111"/>
        <w:rPr>
          <w:i/>
        </w:rPr>
      </w:pPr>
      <w:r>
        <w:rPr/>
        <w:t>Rogawski, M.A. (2005). Astrocytes get in the act in epilepsy.</w:t>
      </w:r>
      <w:r>
        <w:rPr>
          <w:spacing w:val="1"/>
        </w:rPr>
        <w:t> </w:t>
      </w:r>
      <w:r>
        <w:rPr>
          <w:i/>
        </w:rPr>
        <w:t>Nature Medicine, </w:t>
      </w:r>
      <w:r>
        <w:rPr/>
        <w:t>11</w:t>
      </w:r>
      <w:r>
        <w:rPr>
          <w:b/>
        </w:rPr>
        <w:t>:</w:t>
      </w:r>
      <w:r>
        <w:rPr/>
        <w:t>919-920.</w:t>
      </w:r>
      <w:r>
        <w:rPr>
          <w:spacing w:val="1"/>
        </w:rPr>
        <w:t> </w:t>
      </w:r>
      <w:r>
        <w:rPr/>
        <w:t>Rogawski,</w:t>
      </w:r>
      <w:r>
        <w:rPr>
          <w:spacing w:val="5"/>
        </w:rPr>
        <w:t> </w:t>
      </w:r>
      <w:r>
        <w:rPr/>
        <w:t>M.A.</w:t>
      </w:r>
      <w:r>
        <w:rPr>
          <w:spacing w:val="4"/>
        </w:rPr>
        <w:t> </w:t>
      </w:r>
      <w:r>
        <w:rPr/>
        <w:t>(2011).</w:t>
      </w:r>
      <w:r>
        <w:rPr>
          <w:spacing w:val="8"/>
        </w:rPr>
        <w:t> </w:t>
      </w:r>
      <w:r>
        <w:rPr/>
        <w:t>Revisiting</w:t>
      </w:r>
      <w:r>
        <w:rPr>
          <w:spacing w:val="3"/>
        </w:rPr>
        <w:t> </w:t>
      </w:r>
      <w:r>
        <w:rPr/>
        <w:t>AMPA</w:t>
      </w:r>
      <w:r>
        <w:rPr>
          <w:spacing w:val="4"/>
        </w:rPr>
        <w:t> </w:t>
      </w:r>
      <w:r>
        <w:rPr/>
        <w:t>receptors</w:t>
      </w:r>
      <w:r>
        <w:rPr>
          <w:spacing w:val="5"/>
        </w:rPr>
        <w:t> </w:t>
      </w:r>
      <w:r>
        <w:rPr/>
        <w:t>as</w:t>
      </w:r>
      <w:r>
        <w:rPr>
          <w:spacing w:val="5"/>
        </w:rPr>
        <w:t> </w:t>
      </w:r>
      <w:r>
        <w:rPr/>
        <w:t>an</w:t>
      </w:r>
      <w:r>
        <w:rPr>
          <w:spacing w:val="5"/>
        </w:rPr>
        <w:t> </w:t>
      </w:r>
      <w:r>
        <w:rPr/>
        <w:t>antiepileptic</w:t>
      </w:r>
      <w:r>
        <w:rPr>
          <w:spacing w:val="4"/>
        </w:rPr>
        <w:t> </w:t>
      </w:r>
      <w:r>
        <w:rPr/>
        <w:t>drug</w:t>
      </w:r>
      <w:r>
        <w:rPr>
          <w:spacing w:val="2"/>
        </w:rPr>
        <w:t> </w:t>
      </w:r>
      <w:r>
        <w:rPr/>
        <w:t>target.</w:t>
      </w:r>
      <w:r>
        <w:rPr>
          <w:spacing w:val="12"/>
        </w:rPr>
        <w:t> </w:t>
      </w:r>
      <w:r>
        <w:rPr>
          <w:i/>
        </w:rPr>
        <w:t>Epilepsy</w:t>
      </w:r>
    </w:p>
    <w:p>
      <w:pPr>
        <w:spacing w:before="3"/>
        <w:ind w:left="671" w:right="0" w:firstLine="0"/>
        <w:jc w:val="left"/>
        <w:rPr>
          <w:sz w:val="24"/>
        </w:rPr>
      </w:pPr>
      <w:r>
        <w:rPr>
          <w:i/>
          <w:sz w:val="24"/>
        </w:rPr>
        <w:t>Curr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11:56-53.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671" w:right="116" w:hanging="452"/>
      </w:pPr>
      <w:r>
        <w:rPr/>
        <w:t>Rogawski,</w:t>
      </w:r>
      <w:r>
        <w:rPr>
          <w:spacing w:val="30"/>
        </w:rPr>
        <w:t> </w:t>
      </w:r>
      <w:r>
        <w:rPr/>
        <w:t>M.A.</w:t>
      </w:r>
      <w:r>
        <w:rPr>
          <w:spacing w:val="31"/>
        </w:rPr>
        <w:t> </w:t>
      </w:r>
      <w:r>
        <w:rPr/>
        <w:t>and</w:t>
      </w:r>
      <w:r>
        <w:rPr>
          <w:spacing w:val="32"/>
        </w:rPr>
        <w:t> </w:t>
      </w:r>
      <w:r>
        <w:rPr/>
        <w:t>Loscher,</w:t>
      </w:r>
      <w:r>
        <w:rPr>
          <w:spacing w:val="29"/>
        </w:rPr>
        <w:t> </w:t>
      </w:r>
      <w:r>
        <w:rPr/>
        <w:t>W.</w:t>
      </w:r>
      <w:r>
        <w:rPr>
          <w:spacing w:val="29"/>
        </w:rPr>
        <w:t> </w:t>
      </w:r>
      <w:r>
        <w:rPr/>
        <w:t>(2004).</w:t>
      </w:r>
      <w:r>
        <w:rPr>
          <w:spacing w:val="34"/>
        </w:rPr>
        <w:t> </w:t>
      </w:r>
      <w:r>
        <w:rPr/>
        <w:t>The</w:t>
      </w:r>
      <w:r>
        <w:rPr>
          <w:spacing w:val="28"/>
        </w:rPr>
        <w:t> </w:t>
      </w:r>
      <w:r>
        <w:rPr/>
        <w:t>neurobiology</w:t>
      </w:r>
      <w:r>
        <w:rPr>
          <w:spacing w:val="25"/>
        </w:rPr>
        <w:t> </w:t>
      </w:r>
      <w:r>
        <w:rPr/>
        <w:t>of</w:t>
      </w:r>
      <w:r>
        <w:rPr>
          <w:spacing w:val="29"/>
        </w:rPr>
        <w:t> </w:t>
      </w:r>
      <w:r>
        <w:rPr/>
        <w:t>antiepileptic</w:t>
      </w:r>
      <w:r>
        <w:rPr>
          <w:spacing w:val="29"/>
        </w:rPr>
        <w:t> </w:t>
      </w:r>
      <w:r>
        <w:rPr/>
        <w:t>drugs.</w:t>
      </w:r>
      <w:r>
        <w:rPr>
          <w:spacing w:val="37"/>
        </w:rPr>
        <w:t> </w:t>
      </w:r>
      <w:r>
        <w:rPr>
          <w:i/>
        </w:rPr>
        <w:t>Nature</w:t>
      </w:r>
      <w:r>
        <w:rPr>
          <w:i/>
          <w:spacing w:val="-57"/>
        </w:rPr>
        <w:t> </w:t>
      </w:r>
      <w:r>
        <w:rPr>
          <w:i/>
        </w:rPr>
        <w:t>Rev</w:t>
      </w:r>
      <w:r>
        <w:rPr/>
        <w:t>iew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>
          <w:i/>
        </w:rPr>
        <w:t>Neuroscience</w:t>
      </w:r>
      <w:r>
        <w:rPr/>
        <w:t>.</w:t>
      </w:r>
      <w:r>
        <w:rPr>
          <w:spacing w:val="2"/>
        </w:rPr>
        <w:t> </w:t>
      </w:r>
      <w:r>
        <w:rPr/>
        <w:t>5:553-64.</w:t>
      </w:r>
    </w:p>
    <w:p>
      <w:pPr>
        <w:pStyle w:val="BodyText"/>
      </w:pPr>
    </w:p>
    <w:p>
      <w:pPr>
        <w:pStyle w:val="BodyText"/>
        <w:ind w:left="671" w:right="119" w:hanging="452"/>
        <w:jc w:val="both"/>
      </w:pPr>
      <w:r>
        <w:rPr/>
        <w:t>Rogawski, M.A. and Porter, R.J. (1990). Antiepileptic drugs: Pharmacological mechanisms</w:t>
      </w:r>
      <w:r>
        <w:rPr>
          <w:spacing w:val="1"/>
        </w:rPr>
        <w:t> </w:t>
      </w:r>
      <w:r>
        <w:rPr/>
        <w:t>and clinical efficacy with consideration of promising developmental stage compounds.</w:t>
      </w:r>
      <w:r>
        <w:rPr>
          <w:spacing w:val="1"/>
        </w:rPr>
        <w:t> </w:t>
      </w:r>
      <w:r>
        <w:rPr>
          <w:i/>
        </w:rPr>
        <w:t>Pharmacology</w:t>
      </w:r>
      <w:r>
        <w:rPr>
          <w:i/>
          <w:spacing w:val="-2"/>
        </w:rPr>
        <w:t> </w:t>
      </w:r>
      <w:r>
        <w:rPr>
          <w:i/>
        </w:rPr>
        <w:t>Rev</w:t>
      </w:r>
      <w:r>
        <w:rPr/>
        <w:t>iew</w:t>
      </w:r>
      <w:r>
        <w:rPr>
          <w:spacing w:val="-1"/>
        </w:rPr>
        <w:t> </w:t>
      </w:r>
      <w:r>
        <w:rPr/>
        <w:t>42:223-286.</w:t>
      </w:r>
    </w:p>
    <w:p>
      <w:pPr>
        <w:pStyle w:val="BodyText"/>
      </w:pPr>
    </w:p>
    <w:p>
      <w:pPr>
        <w:pStyle w:val="BodyText"/>
        <w:ind w:left="671" w:hanging="452"/>
      </w:pPr>
      <w:r>
        <w:rPr/>
        <w:t>Rogawski,</w:t>
      </w:r>
      <w:r>
        <w:rPr>
          <w:spacing w:val="50"/>
        </w:rPr>
        <w:t> </w:t>
      </w:r>
      <w:r>
        <w:rPr/>
        <w:t>M.A.</w:t>
      </w:r>
      <w:r>
        <w:rPr>
          <w:spacing w:val="52"/>
        </w:rPr>
        <w:t> </w:t>
      </w:r>
      <w:r>
        <w:rPr/>
        <w:t>(2006).Molecular</w:t>
      </w:r>
      <w:r>
        <w:rPr>
          <w:spacing w:val="48"/>
        </w:rPr>
        <w:t> </w:t>
      </w:r>
      <w:r>
        <w:rPr/>
        <w:t>targets</w:t>
      </w:r>
      <w:r>
        <w:rPr>
          <w:spacing w:val="50"/>
        </w:rPr>
        <w:t> </w:t>
      </w:r>
      <w:r>
        <w:rPr/>
        <w:t>versus</w:t>
      </w:r>
      <w:r>
        <w:rPr>
          <w:spacing w:val="50"/>
        </w:rPr>
        <w:t> </w:t>
      </w:r>
      <w:r>
        <w:rPr/>
        <w:t>models</w:t>
      </w:r>
      <w:r>
        <w:rPr>
          <w:spacing w:val="50"/>
        </w:rPr>
        <w:t> </w:t>
      </w:r>
      <w:r>
        <w:rPr/>
        <w:t>for</w:t>
      </w:r>
      <w:r>
        <w:rPr>
          <w:spacing w:val="48"/>
        </w:rPr>
        <w:t> </w:t>
      </w:r>
      <w:r>
        <w:rPr/>
        <w:t>new</w:t>
      </w:r>
      <w:r>
        <w:rPr>
          <w:spacing w:val="52"/>
        </w:rPr>
        <w:t> </w:t>
      </w:r>
      <w:r>
        <w:rPr/>
        <w:t>antiepileptic</w:t>
      </w:r>
      <w:r>
        <w:rPr>
          <w:spacing w:val="49"/>
        </w:rPr>
        <w:t> </w:t>
      </w:r>
      <w:r>
        <w:rPr/>
        <w:t>drug</w:t>
      </w:r>
      <w:r>
        <w:rPr>
          <w:spacing w:val="-57"/>
        </w:rPr>
        <w:t> </w:t>
      </w:r>
      <w:r>
        <w:rPr/>
        <w:t>discovery.</w:t>
      </w:r>
      <w:r>
        <w:rPr>
          <w:spacing w:val="-1"/>
        </w:rPr>
        <w:t> </w:t>
      </w:r>
      <w:r>
        <w:rPr>
          <w:i/>
        </w:rPr>
        <w:t>Epilepsy</w:t>
      </w:r>
      <w:r>
        <w:rPr>
          <w:i/>
          <w:spacing w:val="-1"/>
        </w:rPr>
        <w:t> </w:t>
      </w:r>
      <w:r>
        <w:rPr>
          <w:i/>
        </w:rPr>
        <w:t>Research</w:t>
      </w:r>
      <w:r>
        <w:rPr/>
        <w:t>. 68(1): 22-28.</w:t>
      </w:r>
    </w:p>
    <w:p>
      <w:pPr>
        <w:pStyle w:val="BodyText"/>
        <w:spacing w:before="1"/>
      </w:pPr>
    </w:p>
    <w:p>
      <w:pPr>
        <w:spacing w:before="0"/>
        <w:ind w:left="671" w:right="0" w:hanging="452"/>
        <w:jc w:val="left"/>
        <w:rPr>
          <w:sz w:val="24"/>
        </w:rPr>
      </w:pPr>
      <w:r>
        <w:rPr>
          <w:sz w:val="24"/>
        </w:rPr>
        <w:t>Roger,</w:t>
      </w:r>
      <w:r>
        <w:rPr>
          <w:spacing w:val="11"/>
          <w:sz w:val="24"/>
        </w:rPr>
        <w:t> </w:t>
      </w:r>
      <w:r>
        <w:rPr>
          <w:sz w:val="24"/>
        </w:rPr>
        <w:t>J.,</w:t>
      </w:r>
      <w:r>
        <w:rPr>
          <w:spacing w:val="12"/>
          <w:sz w:val="24"/>
        </w:rPr>
        <w:t> </w:t>
      </w:r>
      <w:r>
        <w:rPr>
          <w:sz w:val="24"/>
        </w:rPr>
        <w:t>Mor,i</w:t>
      </w:r>
      <w:r>
        <w:rPr>
          <w:spacing w:val="12"/>
          <w:sz w:val="24"/>
        </w:rPr>
        <w:t> </w:t>
      </w:r>
      <w:r>
        <w:rPr>
          <w:sz w:val="24"/>
        </w:rPr>
        <w:t>S.,</w:t>
      </w:r>
      <w:r>
        <w:rPr>
          <w:spacing w:val="9"/>
          <w:sz w:val="24"/>
        </w:rPr>
        <w:t> </w:t>
      </w:r>
      <w:r>
        <w:rPr>
          <w:sz w:val="24"/>
        </w:rPr>
        <w:t>Bureau,</w:t>
      </w:r>
      <w:r>
        <w:rPr>
          <w:spacing w:val="12"/>
          <w:sz w:val="24"/>
        </w:rPr>
        <w:t> </w:t>
      </w:r>
      <w:r>
        <w:rPr>
          <w:sz w:val="24"/>
        </w:rPr>
        <w:t>M.,</w:t>
      </w:r>
      <w:r>
        <w:rPr>
          <w:spacing w:val="11"/>
          <w:sz w:val="24"/>
        </w:rPr>
        <w:t> </w:t>
      </w:r>
      <w:r>
        <w:rPr>
          <w:sz w:val="24"/>
        </w:rPr>
        <w:t>Oller-Daurella</w:t>
      </w:r>
      <w:r>
        <w:rPr>
          <w:spacing w:val="13"/>
          <w:sz w:val="24"/>
        </w:rPr>
        <w:t> </w:t>
      </w:r>
      <w:r>
        <w:rPr>
          <w:sz w:val="24"/>
        </w:rPr>
        <w:t>L,</w:t>
      </w:r>
      <w:r>
        <w:rPr>
          <w:spacing w:val="15"/>
          <w:sz w:val="24"/>
        </w:rPr>
        <w:t> </w:t>
      </w:r>
      <w:r>
        <w:rPr>
          <w:i/>
          <w:sz w:val="24"/>
        </w:rPr>
        <w:t>et</w:t>
      </w:r>
      <w:r>
        <w:rPr>
          <w:i/>
          <w:spacing w:val="12"/>
          <w:sz w:val="24"/>
        </w:rPr>
        <w:t> </w:t>
      </w:r>
      <w:r>
        <w:rPr>
          <w:i/>
          <w:sz w:val="24"/>
        </w:rPr>
        <w:t>al</w:t>
      </w:r>
      <w:r>
        <w:rPr>
          <w:i/>
          <w:spacing w:val="12"/>
          <w:sz w:val="24"/>
        </w:rPr>
        <w:t> </w:t>
      </w:r>
      <w:r>
        <w:rPr>
          <w:sz w:val="24"/>
        </w:rPr>
        <w:t>(1987).Lennox</w:t>
      </w:r>
      <w:r>
        <w:rPr>
          <w:spacing w:val="14"/>
          <w:sz w:val="24"/>
        </w:rPr>
        <w:t> </w:t>
      </w:r>
      <w:r>
        <w:rPr>
          <w:sz w:val="24"/>
        </w:rPr>
        <w:t>Gastaut</w:t>
      </w:r>
      <w:r>
        <w:rPr>
          <w:spacing w:val="12"/>
          <w:sz w:val="24"/>
        </w:rPr>
        <w:t> </w:t>
      </w:r>
      <w:r>
        <w:rPr>
          <w:sz w:val="24"/>
        </w:rPr>
        <w:t>Syndrome</w:t>
      </w:r>
      <w:r>
        <w:rPr>
          <w:spacing w:val="11"/>
          <w:sz w:val="24"/>
        </w:rPr>
        <w:t> </w:t>
      </w:r>
      <w:r>
        <w:rPr>
          <w:sz w:val="24"/>
        </w:rPr>
        <w:t>in</w:t>
      </w:r>
      <w:r>
        <w:rPr>
          <w:spacing w:val="-57"/>
          <w:sz w:val="24"/>
        </w:rPr>
        <w:t> </w:t>
      </w:r>
      <w:r>
        <w:rPr>
          <w:sz w:val="24"/>
        </w:rPr>
        <w:t>Adult.</w:t>
      </w:r>
      <w:r>
        <w:rPr>
          <w:spacing w:val="-1"/>
          <w:sz w:val="24"/>
        </w:rPr>
        <w:t> </w:t>
      </w:r>
      <w:r>
        <w:rPr>
          <w:i/>
          <w:sz w:val="24"/>
        </w:rPr>
        <w:t>Review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Neurology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(Paris)</w:t>
      </w:r>
      <w:r>
        <w:rPr>
          <w:sz w:val="24"/>
        </w:rPr>
        <w:t>, 143(5)</w:t>
      </w:r>
      <w:r>
        <w:rPr>
          <w:spacing w:val="-2"/>
          <w:sz w:val="24"/>
        </w:rPr>
        <w:t> </w:t>
      </w:r>
      <w:r>
        <w:rPr>
          <w:sz w:val="24"/>
        </w:rPr>
        <w:t>P. 401-5.</w:t>
      </w:r>
    </w:p>
    <w:p>
      <w:pPr>
        <w:pStyle w:val="BodyText"/>
      </w:pPr>
    </w:p>
    <w:p>
      <w:pPr>
        <w:pStyle w:val="BodyText"/>
        <w:ind w:left="671" w:right="114" w:hanging="452"/>
        <w:jc w:val="both"/>
      </w:pPr>
      <w:r>
        <w:rPr/>
        <w:t>Rogers,</w:t>
      </w:r>
      <w:r>
        <w:rPr>
          <w:spacing w:val="1"/>
        </w:rPr>
        <w:t> </w:t>
      </w:r>
      <w:r>
        <w:rPr/>
        <w:t>S.W.,</w:t>
      </w:r>
      <w:r>
        <w:rPr>
          <w:spacing w:val="1"/>
        </w:rPr>
        <w:t> </w:t>
      </w:r>
      <w:r>
        <w:rPr/>
        <w:t>Andrews,</w:t>
      </w:r>
      <w:r>
        <w:rPr>
          <w:spacing w:val="1"/>
        </w:rPr>
        <w:t> </w:t>
      </w:r>
      <w:r>
        <w:rPr/>
        <w:t>P.I.,</w:t>
      </w:r>
      <w:r>
        <w:rPr>
          <w:spacing w:val="1"/>
        </w:rPr>
        <w:t> </w:t>
      </w:r>
      <w:r>
        <w:rPr/>
        <w:t>Gahring,LC.,Whisenand,</w:t>
      </w:r>
      <w:r>
        <w:rPr>
          <w:spacing w:val="1"/>
        </w:rPr>
        <w:t> </w:t>
      </w:r>
      <w:r>
        <w:rPr/>
        <w:t>T.,</w:t>
      </w:r>
      <w:r>
        <w:rPr>
          <w:spacing w:val="1"/>
        </w:rPr>
        <w:t> </w:t>
      </w:r>
      <w:r>
        <w:rPr/>
        <w:t>Cauley,</w:t>
      </w:r>
      <w:r>
        <w:rPr>
          <w:spacing w:val="1"/>
        </w:rPr>
        <w:t> </w:t>
      </w:r>
      <w:r>
        <w:rPr/>
        <w:t>K.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>
          <w:i/>
          <w:spacing w:val="1"/>
        </w:rPr>
        <w:t> </w:t>
      </w:r>
      <w:r>
        <w:rPr>
          <w:i/>
        </w:rPr>
        <w:t>(</w:t>
      </w:r>
      <w:r>
        <w:rPr/>
        <w:t>1994).</w:t>
      </w:r>
      <w:r>
        <w:rPr>
          <w:spacing w:val="1"/>
        </w:rPr>
        <w:t> </w:t>
      </w:r>
      <w:r>
        <w:rPr/>
        <w:t>Autoantibodies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glutamate</w:t>
      </w:r>
      <w:r>
        <w:rPr>
          <w:spacing w:val="1"/>
        </w:rPr>
        <w:t> </w:t>
      </w:r>
      <w:r>
        <w:rPr/>
        <w:t>receptor</w:t>
      </w:r>
      <w:r>
        <w:rPr>
          <w:spacing w:val="1"/>
        </w:rPr>
        <w:t> </w:t>
      </w:r>
      <w:r>
        <w:rPr/>
        <w:t>GLuR3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Rasmussen‟s</w:t>
      </w:r>
      <w:r>
        <w:rPr>
          <w:spacing w:val="1"/>
        </w:rPr>
        <w:t> </w:t>
      </w:r>
      <w:r>
        <w:rPr/>
        <w:t>encephalitis.</w:t>
      </w:r>
      <w:r>
        <w:rPr>
          <w:spacing w:val="1"/>
        </w:rPr>
        <w:t> </w:t>
      </w:r>
      <w:r>
        <w:rPr>
          <w:i/>
        </w:rPr>
        <w:t>Science</w:t>
      </w:r>
      <w:r>
        <w:rPr>
          <w:i/>
          <w:spacing w:val="1"/>
        </w:rPr>
        <w:t> </w:t>
      </w:r>
      <w:r>
        <w:rPr/>
        <w:t>265(5172):648-651.</w:t>
      </w:r>
    </w:p>
    <w:p>
      <w:pPr>
        <w:pStyle w:val="BodyText"/>
      </w:pPr>
    </w:p>
    <w:p>
      <w:pPr>
        <w:pStyle w:val="BodyText"/>
        <w:ind w:left="671" w:hanging="452"/>
      </w:pPr>
      <w:r>
        <w:rPr/>
        <w:t>Rogers,</w:t>
      </w:r>
      <w:r>
        <w:rPr>
          <w:spacing w:val="52"/>
        </w:rPr>
        <w:t> </w:t>
      </w:r>
      <w:r>
        <w:rPr/>
        <w:t>S.J.</w:t>
      </w:r>
      <w:r>
        <w:rPr>
          <w:spacing w:val="52"/>
        </w:rPr>
        <w:t> </w:t>
      </w:r>
      <w:r>
        <w:rPr/>
        <w:t>and</w:t>
      </w:r>
      <w:r>
        <w:rPr>
          <w:spacing w:val="52"/>
        </w:rPr>
        <w:t> </w:t>
      </w:r>
      <w:r>
        <w:rPr/>
        <w:t>Cavazos,</w:t>
      </w:r>
      <w:r>
        <w:rPr>
          <w:spacing w:val="53"/>
        </w:rPr>
        <w:t> </w:t>
      </w:r>
      <w:r>
        <w:rPr/>
        <w:t>J.E.</w:t>
      </w:r>
      <w:r>
        <w:rPr>
          <w:spacing w:val="53"/>
        </w:rPr>
        <w:t> </w:t>
      </w:r>
      <w:r>
        <w:rPr/>
        <w:t>(2008).Epilepsy.</w:t>
      </w:r>
      <w:r>
        <w:rPr>
          <w:spacing w:val="55"/>
        </w:rPr>
        <w:t> </w:t>
      </w:r>
      <w:r>
        <w:rPr/>
        <w:t>In</w:t>
      </w:r>
      <w:r>
        <w:rPr>
          <w:spacing w:val="52"/>
        </w:rPr>
        <w:t> </w:t>
      </w:r>
      <w:r>
        <w:rPr/>
        <w:t>Pharmacotherapy,</w:t>
      </w:r>
      <w:r>
        <w:rPr>
          <w:spacing w:val="52"/>
        </w:rPr>
        <w:t> </w:t>
      </w:r>
      <w:r>
        <w:rPr/>
        <w:t>a</w:t>
      </w:r>
      <w:r>
        <w:rPr>
          <w:spacing w:val="55"/>
        </w:rPr>
        <w:t> </w:t>
      </w:r>
      <w:r>
        <w:rPr/>
        <w:t>pathophysiologic</w:t>
      </w:r>
      <w:r>
        <w:rPr>
          <w:spacing w:val="-57"/>
        </w:rPr>
        <w:t> </w:t>
      </w:r>
      <w:r>
        <w:rPr/>
        <w:t>approach.</w:t>
      </w:r>
      <w:r>
        <w:rPr>
          <w:spacing w:val="1"/>
        </w:rPr>
        <w:t> </w:t>
      </w:r>
      <w:r>
        <w:rPr/>
        <w:t>Dipiro, J.T. </w:t>
      </w:r>
      <w:r>
        <w:rPr>
          <w:i/>
        </w:rPr>
        <w:t>et al </w:t>
      </w:r>
      <w:r>
        <w:rPr/>
        <w:t>(Eds), 7</w:t>
      </w:r>
      <w:r>
        <w:rPr>
          <w:vertAlign w:val="superscript"/>
        </w:rPr>
        <w:t>th</w:t>
      </w:r>
      <w:r>
        <w:rPr>
          <w:spacing w:val="1"/>
          <w:vertAlign w:val="baseline"/>
        </w:rPr>
        <w:t> </w:t>
      </w:r>
      <w:r>
        <w:rPr>
          <w:vertAlign w:val="baseline"/>
        </w:rPr>
        <w:t>Ed. McGraw</w:t>
      </w:r>
      <w:r>
        <w:rPr>
          <w:spacing w:val="1"/>
          <w:vertAlign w:val="baseline"/>
        </w:rPr>
        <w:t> </w:t>
      </w:r>
      <w:r>
        <w:rPr>
          <w:vertAlign w:val="baseline"/>
        </w:rPr>
        <w:t>Hill,</w:t>
      </w:r>
      <w:r>
        <w:rPr>
          <w:spacing w:val="-1"/>
          <w:vertAlign w:val="baseline"/>
        </w:rPr>
        <w:t> </w:t>
      </w:r>
      <w:r>
        <w:rPr>
          <w:vertAlign w:val="baseline"/>
        </w:rPr>
        <w:t>NY</w:t>
      </w:r>
      <w:r>
        <w:rPr>
          <w:spacing w:val="-1"/>
          <w:vertAlign w:val="baseline"/>
        </w:rPr>
        <w:t> </w:t>
      </w:r>
      <w:r>
        <w:rPr>
          <w:vertAlign w:val="baseline"/>
        </w:rPr>
        <w:t>Pp. 927-951.</w:t>
      </w:r>
    </w:p>
    <w:p>
      <w:pPr>
        <w:spacing w:after="0"/>
        <w:sectPr>
          <w:pgSz w:w="12240" w:h="15840"/>
          <w:pgMar w:header="0" w:footer="792" w:top="1360" w:bottom="980" w:left="1580" w:right="1320"/>
        </w:sectPr>
      </w:pPr>
    </w:p>
    <w:p>
      <w:pPr>
        <w:pStyle w:val="BodyText"/>
        <w:spacing w:before="72"/>
        <w:ind w:left="671" w:right="113" w:hanging="452"/>
        <w:jc w:val="both"/>
      </w:pPr>
      <w:r>
        <w:rPr/>
        <w:t>Rostock, A., Tober, C.,Rundfelt, C., Bartsch, R.., Engel, J., Polymeropoulos, E.E. utscher, B.</w:t>
      </w:r>
      <w:r>
        <w:rPr>
          <w:spacing w:val="1"/>
        </w:rPr>
        <w:t> </w:t>
      </w:r>
      <w:r>
        <w:rPr/>
        <w:t>loscher,</w:t>
      </w:r>
      <w:r>
        <w:rPr>
          <w:spacing w:val="1"/>
        </w:rPr>
        <w:t> </w:t>
      </w:r>
      <w:r>
        <w:rPr/>
        <w:t>W.,</w:t>
      </w:r>
      <w:r>
        <w:rPr>
          <w:spacing w:val="1"/>
        </w:rPr>
        <w:t> </w:t>
      </w:r>
      <w:r>
        <w:rPr/>
        <w:t>Honack,</w:t>
      </w:r>
      <w:r>
        <w:rPr>
          <w:spacing w:val="1"/>
        </w:rPr>
        <w:t> </w:t>
      </w:r>
      <w:r>
        <w:rPr/>
        <w:t>D.,</w:t>
      </w:r>
      <w:r>
        <w:rPr>
          <w:spacing w:val="1"/>
        </w:rPr>
        <w:t> </w:t>
      </w:r>
      <w:r>
        <w:rPr/>
        <w:t>White,</w:t>
      </w:r>
      <w:r>
        <w:rPr>
          <w:spacing w:val="1"/>
        </w:rPr>
        <w:t> </w:t>
      </w:r>
      <w:r>
        <w:rPr/>
        <w:t>H.S.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Wolf,</w:t>
      </w:r>
      <w:r>
        <w:rPr>
          <w:spacing w:val="1"/>
        </w:rPr>
        <w:t> </w:t>
      </w:r>
      <w:r>
        <w:rPr/>
        <w:t>H.H.</w:t>
      </w:r>
      <w:r>
        <w:rPr>
          <w:spacing w:val="1"/>
        </w:rPr>
        <w:t> </w:t>
      </w:r>
      <w:r>
        <w:rPr/>
        <w:t>(1996).</w:t>
      </w:r>
      <w:r>
        <w:rPr>
          <w:spacing w:val="1"/>
        </w:rPr>
        <w:t> </w:t>
      </w:r>
      <w:r>
        <w:rPr/>
        <w:t>D-23129;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new</w:t>
      </w:r>
      <w:r>
        <w:rPr>
          <w:spacing w:val="1"/>
        </w:rPr>
        <w:t> </w:t>
      </w:r>
      <w:r>
        <w:rPr/>
        <w:t>anticonvulsant with a broad spectrum activity in animal models of epileptic seizures.</w:t>
      </w:r>
      <w:r>
        <w:rPr>
          <w:spacing w:val="1"/>
        </w:rPr>
        <w:t> </w:t>
      </w:r>
      <w:r>
        <w:rPr>
          <w:i/>
        </w:rPr>
        <w:t>Epilepsy</w:t>
      </w:r>
      <w:r>
        <w:rPr>
          <w:i/>
          <w:spacing w:val="-2"/>
        </w:rPr>
        <w:t> </w:t>
      </w:r>
      <w:r>
        <w:rPr>
          <w:i/>
        </w:rPr>
        <w:t>Resarch</w:t>
      </w:r>
      <w:r>
        <w:rPr>
          <w:i/>
          <w:spacing w:val="-1"/>
        </w:rPr>
        <w:t> </w:t>
      </w:r>
      <w:r>
        <w:rPr/>
        <w:t>23: 211-223.</w:t>
      </w:r>
    </w:p>
    <w:p>
      <w:pPr>
        <w:pStyle w:val="BodyText"/>
      </w:pPr>
    </w:p>
    <w:p>
      <w:pPr>
        <w:pStyle w:val="BodyText"/>
        <w:ind w:left="671" w:right="117" w:hanging="452"/>
        <w:jc w:val="both"/>
      </w:pPr>
      <w:r>
        <w:rPr/>
        <w:t>Rowley, H.L.,Marsden, C.A. and Martin, K.F. (1995). Differential effects of phenytoin, and</w:t>
      </w:r>
      <w:r>
        <w:rPr>
          <w:spacing w:val="1"/>
        </w:rPr>
        <w:t> </w:t>
      </w:r>
      <w:r>
        <w:rPr/>
        <w:t>sodium</w:t>
      </w:r>
      <w:r>
        <w:rPr>
          <w:spacing w:val="1"/>
        </w:rPr>
        <w:t> </w:t>
      </w:r>
      <w:r>
        <w:rPr/>
        <w:t>valproate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seizure</w:t>
      </w:r>
      <w:r>
        <w:rPr>
          <w:spacing w:val="1"/>
        </w:rPr>
        <w:t> </w:t>
      </w:r>
      <w:r>
        <w:rPr/>
        <w:t>induced</w:t>
      </w:r>
      <w:r>
        <w:rPr>
          <w:spacing w:val="1"/>
        </w:rPr>
        <w:t> </w:t>
      </w:r>
      <w:r>
        <w:rPr/>
        <w:t>changes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gamma</w:t>
      </w:r>
      <w:r>
        <w:rPr>
          <w:spacing w:val="1"/>
        </w:rPr>
        <w:t> </w:t>
      </w:r>
      <w:r>
        <w:rPr/>
        <w:t>aminobutyric</w:t>
      </w:r>
      <w:r>
        <w:rPr>
          <w:spacing w:val="1"/>
        </w:rPr>
        <w:t> </w:t>
      </w:r>
      <w:r>
        <w:rPr/>
        <w:t>acid</w:t>
      </w:r>
      <w:r>
        <w:rPr>
          <w:spacing w:val="60"/>
        </w:rPr>
        <w:t> </w:t>
      </w:r>
      <w:r>
        <w:rPr/>
        <w:t>and</w:t>
      </w:r>
      <w:r>
        <w:rPr>
          <w:spacing w:val="1"/>
        </w:rPr>
        <w:t> </w:t>
      </w:r>
      <w:r>
        <w:rPr/>
        <w:t>glutamate release</w:t>
      </w:r>
      <w:r>
        <w:rPr>
          <w:spacing w:val="-1"/>
        </w:rPr>
        <w:t> </w:t>
      </w:r>
      <w:r>
        <w:rPr/>
        <w:t>in vivo. </w:t>
      </w:r>
      <w:r>
        <w:rPr>
          <w:i/>
        </w:rPr>
        <w:t>European Journal of</w:t>
      </w:r>
      <w:r>
        <w:rPr>
          <w:i/>
          <w:spacing w:val="-1"/>
        </w:rPr>
        <w:t> </w:t>
      </w:r>
      <w:r>
        <w:rPr>
          <w:i/>
        </w:rPr>
        <w:t>Pharmacology</w:t>
      </w:r>
      <w:r>
        <w:rPr>
          <w:i/>
          <w:spacing w:val="-1"/>
        </w:rPr>
        <w:t> </w:t>
      </w:r>
      <w:r>
        <w:rPr/>
        <w:t>294:541-546.</w:t>
      </w:r>
    </w:p>
    <w:p>
      <w:pPr>
        <w:pStyle w:val="BodyText"/>
      </w:pPr>
    </w:p>
    <w:p>
      <w:pPr>
        <w:pStyle w:val="BodyText"/>
        <w:ind w:left="671" w:right="113" w:hanging="452"/>
        <w:jc w:val="both"/>
      </w:pPr>
      <w:r>
        <w:rPr/>
        <w:t>Rundfeldt, C.and Netzer, R. (2000). The novel anticonvulsant retigabine activates M-currents</w:t>
      </w:r>
      <w:r>
        <w:rPr>
          <w:spacing w:val="-57"/>
        </w:rPr>
        <w:t> </w:t>
      </w:r>
      <w:r>
        <w:rPr/>
        <w:t>in</w:t>
      </w:r>
      <w:r>
        <w:rPr>
          <w:spacing w:val="1"/>
        </w:rPr>
        <w:t> </w:t>
      </w:r>
      <w:r>
        <w:rPr/>
        <w:t>Chinese</w:t>
      </w:r>
      <w:r>
        <w:rPr>
          <w:spacing w:val="1"/>
        </w:rPr>
        <w:t> </w:t>
      </w:r>
      <w:r>
        <w:rPr/>
        <w:t>harmster</w:t>
      </w:r>
      <w:r>
        <w:rPr>
          <w:spacing w:val="1"/>
        </w:rPr>
        <w:t> </w:t>
      </w:r>
      <w:r>
        <w:rPr/>
        <w:t>ovary-cells</w:t>
      </w:r>
      <w:r>
        <w:rPr>
          <w:spacing w:val="1"/>
        </w:rPr>
        <w:t> </w:t>
      </w:r>
      <w:r>
        <w:rPr/>
        <w:t>transfected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human</w:t>
      </w:r>
      <w:r>
        <w:rPr>
          <w:spacing w:val="1"/>
        </w:rPr>
        <w:t> </w:t>
      </w:r>
      <w:r>
        <w:rPr/>
        <w:t>KCNQ2/3</w:t>
      </w:r>
      <w:r>
        <w:rPr>
          <w:spacing w:val="1"/>
        </w:rPr>
        <w:t> </w:t>
      </w:r>
      <w:r>
        <w:rPr/>
        <w:t>subunits.</w:t>
      </w:r>
      <w:r>
        <w:rPr>
          <w:spacing w:val="1"/>
        </w:rPr>
        <w:t> </w:t>
      </w:r>
      <w:r>
        <w:rPr>
          <w:i/>
        </w:rPr>
        <w:t>Neuroscience</w:t>
      </w:r>
      <w:r>
        <w:rPr>
          <w:i/>
          <w:spacing w:val="-2"/>
        </w:rPr>
        <w:t> </w:t>
      </w:r>
      <w:r>
        <w:rPr>
          <w:i/>
        </w:rPr>
        <w:t>Letter,</w:t>
      </w:r>
      <w:r>
        <w:rPr>
          <w:i/>
          <w:spacing w:val="-1"/>
        </w:rPr>
        <w:t> </w:t>
      </w:r>
      <w:r>
        <w:rPr/>
        <w:t>282; 73-76.</w:t>
      </w:r>
    </w:p>
    <w:p>
      <w:pPr>
        <w:pStyle w:val="BodyText"/>
        <w:spacing w:before="1"/>
      </w:pPr>
    </w:p>
    <w:p>
      <w:pPr>
        <w:pStyle w:val="BodyText"/>
        <w:ind w:left="671" w:right="114" w:hanging="452"/>
        <w:jc w:val="both"/>
      </w:pPr>
      <w:r>
        <w:rPr/>
        <w:t>Sanogo, R., Crisafi, G., Germano, M.P., Depasquela, R. &amp; Bisignano, G. (1998). Evaluation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Malian</w:t>
      </w:r>
      <w:r>
        <w:rPr>
          <w:spacing w:val="1"/>
        </w:rPr>
        <w:t> </w:t>
      </w:r>
      <w:r>
        <w:rPr/>
        <w:t>traditional</w:t>
      </w:r>
      <w:r>
        <w:rPr>
          <w:spacing w:val="1"/>
        </w:rPr>
        <w:t> </w:t>
      </w:r>
      <w:r>
        <w:rPr/>
        <w:t>medicines:</w:t>
      </w:r>
      <w:r>
        <w:rPr>
          <w:spacing w:val="1"/>
        </w:rPr>
        <w:t> </w:t>
      </w:r>
      <w:r>
        <w:rPr/>
        <w:t>screening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antimicrobial</w:t>
      </w:r>
      <w:r>
        <w:rPr>
          <w:spacing w:val="1"/>
        </w:rPr>
        <w:t> </w:t>
      </w:r>
      <w:r>
        <w:rPr/>
        <w:t>activity.</w:t>
      </w:r>
      <w:r>
        <w:rPr>
          <w:spacing w:val="1"/>
        </w:rPr>
        <w:t> </w:t>
      </w:r>
      <w:r>
        <w:rPr>
          <w:i/>
        </w:rPr>
        <w:t>Phytotheraphy</w:t>
      </w:r>
      <w:r>
        <w:rPr>
          <w:i/>
          <w:spacing w:val="-57"/>
        </w:rPr>
        <w:t> </w:t>
      </w:r>
      <w:r>
        <w:rPr>
          <w:i/>
        </w:rPr>
        <w:t>Research,</w:t>
      </w:r>
      <w:r>
        <w:rPr>
          <w:i/>
          <w:spacing w:val="-2"/>
        </w:rPr>
        <w:t> </w:t>
      </w:r>
      <w:r>
        <w:rPr/>
        <w:t>12:S154-S156.</w:t>
      </w:r>
    </w:p>
    <w:p>
      <w:pPr>
        <w:pStyle w:val="BodyText"/>
      </w:pPr>
    </w:p>
    <w:p>
      <w:pPr>
        <w:pStyle w:val="BodyText"/>
        <w:ind w:left="671" w:right="118" w:hanging="452"/>
        <w:jc w:val="both"/>
      </w:pPr>
      <w:r>
        <w:rPr/>
        <w:t>Samren, E.B., Duijin, C.M., Koch, S. et al (1997). Maternal use of antiepileptic drugs and the</w:t>
      </w:r>
      <w:r>
        <w:rPr>
          <w:spacing w:val="-57"/>
        </w:rPr>
        <w:t> </w:t>
      </w:r>
      <w:r>
        <w:rPr/>
        <w:t>risk of major congenital malformations: a joint European prospective study of Human</w:t>
      </w:r>
      <w:r>
        <w:rPr>
          <w:spacing w:val="1"/>
        </w:rPr>
        <w:t> </w:t>
      </w:r>
      <w:r>
        <w:rPr/>
        <w:t>teratogenesis</w:t>
      </w:r>
      <w:r>
        <w:rPr>
          <w:spacing w:val="-1"/>
        </w:rPr>
        <w:t> </w:t>
      </w:r>
      <w:r>
        <w:rPr/>
        <w:t>associated</w:t>
      </w:r>
      <w:r>
        <w:rPr>
          <w:spacing w:val="2"/>
        </w:rPr>
        <w:t> </w:t>
      </w:r>
      <w:r>
        <w:rPr/>
        <w:t>with</w:t>
      </w:r>
      <w:r>
        <w:rPr>
          <w:spacing w:val="-1"/>
        </w:rPr>
        <w:t> </w:t>
      </w:r>
      <w:r>
        <w:rPr/>
        <w:t>maternal epilepsy.</w:t>
      </w:r>
      <w:r>
        <w:rPr>
          <w:spacing w:val="2"/>
        </w:rPr>
        <w:t> </w:t>
      </w:r>
      <w:r>
        <w:rPr>
          <w:i/>
        </w:rPr>
        <w:t>Epilepsia </w:t>
      </w:r>
      <w:r>
        <w:rPr/>
        <w:t>38:981-990.</w:t>
      </w:r>
    </w:p>
    <w:p>
      <w:pPr>
        <w:pStyle w:val="BodyText"/>
      </w:pPr>
    </w:p>
    <w:p>
      <w:pPr>
        <w:pStyle w:val="BodyText"/>
        <w:ind w:left="671" w:right="118" w:hanging="452"/>
        <w:jc w:val="both"/>
      </w:pPr>
      <w:r>
        <w:rPr/>
        <w:t>Schauf,</w:t>
      </w:r>
      <w:r>
        <w:rPr>
          <w:spacing w:val="1"/>
        </w:rPr>
        <w:t> </w:t>
      </w:r>
      <w:r>
        <w:rPr/>
        <w:t>C.L.</w:t>
      </w:r>
      <w:r>
        <w:rPr>
          <w:spacing w:val="1"/>
        </w:rPr>
        <w:t> </w:t>
      </w:r>
      <w:r>
        <w:rPr/>
        <w:t>(1987).Zonisamide</w:t>
      </w:r>
      <w:r>
        <w:rPr>
          <w:spacing w:val="1"/>
        </w:rPr>
        <w:t> </w:t>
      </w:r>
      <w:r>
        <w:rPr/>
        <w:t>enhances</w:t>
      </w:r>
      <w:r>
        <w:rPr>
          <w:spacing w:val="1"/>
        </w:rPr>
        <w:t> </w:t>
      </w:r>
      <w:r>
        <w:rPr/>
        <w:t>slow</w:t>
      </w:r>
      <w:r>
        <w:rPr>
          <w:spacing w:val="1"/>
        </w:rPr>
        <w:t> </w:t>
      </w:r>
      <w:r>
        <w:rPr/>
        <w:t>sodium</w:t>
      </w:r>
      <w:r>
        <w:rPr>
          <w:spacing w:val="1"/>
        </w:rPr>
        <w:t> </w:t>
      </w:r>
      <w:r>
        <w:rPr/>
        <w:t>inactivation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myxicola.</w:t>
      </w:r>
      <w:r>
        <w:rPr>
          <w:spacing w:val="1"/>
        </w:rPr>
        <w:t> </w:t>
      </w:r>
      <w:r>
        <w:rPr>
          <w:i/>
        </w:rPr>
        <w:t>Brain</w:t>
      </w:r>
      <w:r>
        <w:rPr>
          <w:i/>
          <w:spacing w:val="1"/>
        </w:rPr>
        <w:t> </w:t>
      </w:r>
      <w:r>
        <w:rPr>
          <w:i/>
        </w:rPr>
        <w:t>Research</w:t>
      </w:r>
      <w:r>
        <w:rPr>
          <w:i/>
          <w:spacing w:val="-2"/>
        </w:rPr>
        <w:t> </w:t>
      </w:r>
      <w:r>
        <w:rPr/>
        <w:t>413:185-188.</w:t>
      </w:r>
    </w:p>
    <w:p>
      <w:pPr>
        <w:pStyle w:val="BodyText"/>
      </w:pPr>
    </w:p>
    <w:p>
      <w:pPr>
        <w:pStyle w:val="BodyText"/>
        <w:ind w:left="671" w:right="116" w:hanging="452"/>
        <w:jc w:val="both"/>
      </w:pPr>
      <w:r>
        <w:rPr/>
        <w:t>Schechter, P.J., Trainier Y., and Grove, J .(1978). Effects of n-dipropylacetate on amino acid</w:t>
      </w:r>
      <w:r>
        <w:rPr>
          <w:spacing w:val="1"/>
        </w:rPr>
        <w:t> </w:t>
      </w:r>
      <w:r>
        <w:rPr/>
        <w:t>concentrations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mouse</w:t>
      </w:r>
      <w:r>
        <w:rPr>
          <w:spacing w:val="1"/>
        </w:rPr>
        <w:t> </w:t>
      </w:r>
      <w:r>
        <w:rPr/>
        <w:t>brain:</w:t>
      </w:r>
      <w:r>
        <w:rPr>
          <w:spacing w:val="1"/>
        </w:rPr>
        <w:t> </w:t>
      </w:r>
      <w:r>
        <w:rPr/>
        <w:t>correlation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anticonvulsant</w:t>
      </w:r>
      <w:r>
        <w:rPr>
          <w:spacing w:val="1"/>
        </w:rPr>
        <w:t> </w:t>
      </w:r>
      <w:r>
        <w:rPr/>
        <w:t>activity.</w:t>
      </w:r>
      <w:r>
        <w:rPr>
          <w:spacing w:val="1"/>
        </w:rPr>
        <w:t> </w:t>
      </w:r>
      <w:r>
        <w:rPr>
          <w:i/>
        </w:rPr>
        <w:t>Journal</w:t>
      </w:r>
      <w:r>
        <w:rPr>
          <w:i/>
          <w:spacing w:val="1"/>
        </w:rPr>
        <w:t> </w:t>
      </w:r>
      <w:r>
        <w:rPr>
          <w:i/>
        </w:rPr>
        <w:t>of</w:t>
      </w:r>
      <w:r>
        <w:rPr>
          <w:i/>
          <w:spacing w:val="1"/>
        </w:rPr>
        <w:t> </w:t>
      </w:r>
      <w:r>
        <w:rPr>
          <w:i/>
        </w:rPr>
        <w:t>Neurochem</w:t>
      </w:r>
      <w:r>
        <w:rPr/>
        <w:t>istry</w:t>
      </w:r>
      <w:r>
        <w:rPr>
          <w:spacing w:val="-5"/>
        </w:rPr>
        <w:t> </w:t>
      </w:r>
      <w:r>
        <w:rPr/>
        <w:t>31:1325-1327.</w:t>
      </w:r>
    </w:p>
    <w:p>
      <w:pPr>
        <w:pStyle w:val="BodyText"/>
        <w:spacing w:before="1"/>
      </w:pPr>
    </w:p>
    <w:p>
      <w:pPr>
        <w:pStyle w:val="BodyText"/>
        <w:ind w:left="671" w:right="114" w:hanging="452"/>
        <w:jc w:val="both"/>
      </w:pPr>
      <w:r>
        <w:rPr/>
        <w:t>Schechter, P.J., Tranier, Y., Jung, M.J., and Bohlen, P. (1977).Audiogenic seizure protection</w:t>
      </w:r>
      <w:r>
        <w:rPr>
          <w:spacing w:val="1"/>
        </w:rPr>
        <w:t> </w:t>
      </w:r>
      <w:r>
        <w:rPr/>
        <w:t>by elevated brain GABA concentration in mice: effects of gamma-acetylenic GABA and</w:t>
      </w:r>
      <w:r>
        <w:rPr>
          <w:spacing w:val="-57"/>
        </w:rPr>
        <w:t> </w:t>
      </w:r>
      <w:r>
        <w:rPr/>
        <w:t>Gamma-vinyl</w:t>
      </w:r>
      <w:r>
        <w:rPr>
          <w:spacing w:val="1"/>
        </w:rPr>
        <w:t> </w:t>
      </w:r>
      <w:r>
        <w:rPr/>
        <w:t>GABA,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irreversible</w:t>
      </w:r>
      <w:r>
        <w:rPr>
          <w:spacing w:val="1"/>
        </w:rPr>
        <w:t> </w:t>
      </w:r>
      <w:r>
        <w:rPr/>
        <w:t>GABA-T</w:t>
      </w:r>
      <w:r>
        <w:rPr>
          <w:spacing w:val="1"/>
        </w:rPr>
        <w:t> </w:t>
      </w:r>
      <w:r>
        <w:rPr/>
        <w:t>inhibitors.</w:t>
      </w:r>
      <w:r>
        <w:rPr>
          <w:spacing w:val="1"/>
        </w:rPr>
        <w:t> </w:t>
      </w:r>
      <w:r>
        <w:rPr>
          <w:i/>
        </w:rPr>
        <w:t>European</w:t>
      </w:r>
      <w:r>
        <w:rPr>
          <w:i/>
          <w:spacing w:val="1"/>
        </w:rPr>
        <w:t> </w:t>
      </w:r>
      <w:r>
        <w:rPr>
          <w:i/>
        </w:rPr>
        <w:t>Journal</w:t>
      </w:r>
      <w:r>
        <w:rPr>
          <w:i/>
          <w:spacing w:val="1"/>
        </w:rPr>
        <w:t> </w:t>
      </w:r>
      <w:r>
        <w:rPr>
          <w:i/>
        </w:rPr>
        <w:t>of</w:t>
      </w:r>
      <w:r>
        <w:rPr>
          <w:i/>
          <w:spacing w:val="1"/>
        </w:rPr>
        <w:t> </w:t>
      </w:r>
      <w:r>
        <w:rPr>
          <w:i/>
        </w:rPr>
        <w:t>Pharmacology</w:t>
      </w:r>
      <w:r>
        <w:rPr>
          <w:i/>
          <w:spacing w:val="-1"/>
        </w:rPr>
        <w:t> </w:t>
      </w:r>
      <w:r>
        <w:rPr/>
        <w:t>45:319-328.</w:t>
      </w:r>
    </w:p>
    <w:p>
      <w:pPr>
        <w:pStyle w:val="BodyText"/>
      </w:pPr>
    </w:p>
    <w:p>
      <w:pPr>
        <w:spacing w:before="0"/>
        <w:ind w:left="671" w:right="120" w:hanging="452"/>
        <w:jc w:val="both"/>
        <w:rPr>
          <w:sz w:val="24"/>
        </w:rPr>
      </w:pPr>
      <w:r>
        <w:rPr>
          <w:sz w:val="24"/>
        </w:rPr>
        <w:t>Schoenenberger, R.A., Tanasijevic, M.J. Jha, A.</w:t>
      </w:r>
      <w:r>
        <w:rPr>
          <w:i/>
          <w:sz w:val="24"/>
        </w:rPr>
        <w:t>et al </w:t>
      </w:r>
      <w:r>
        <w:rPr>
          <w:sz w:val="24"/>
        </w:rPr>
        <w:t>(1995).Appropriateness of antiepileptic</w:t>
      </w:r>
      <w:r>
        <w:rPr>
          <w:spacing w:val="1"/>
          <w:sz w:val="24"/>
        </w:rPr>
        <w:t> </w:t>
      </w:r>
      <w:r>
        <w:rPr>
          <w:sz w:val="24"/>
        </w:rPr>
        <w:t>drug</w:t>
      </w:r>
      <w:r>
        <w:rPr>
          <w:spacing w:val="-4"/>
          <w:sz w:val="24"/>
        </w:rPr>
        <w:t> </w:t>
      </w:r>
      <w:r>
        <w:rPr>
          <w:sz w:val="24"/>
        </w:rPr>
        <w:t>level monitoring.</w:t>
      </w:r>
      <w:r>
        <w:rPr>
          <w:spacing w:val="2"/>
          <w:sz w:val="24"/>
        </w:rPr>
        <w:t> </w:t>
      </w:r>
      <w:r>
        <w:rPr>
          <w:i/>
          <w:sz w:val="24"/>
        </w:rPr>
        <w:t>Journal of American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Medical Association </w:t>
      </w:r>
      <w:r>
        <w:rPr>
          <w:sz w:val="24"/>
        </w:rPr>
        <w:t>274:1622-1626.</w:t>
      </w:r>
    </w:p>
    <w:p>
      <w:pPr>
        <w:pStyle w:val="BodyText"/>
      </w:pPr>
    </w:p>
    <w:p>
      <w:pPr>
        <w:pStyle w:val="BodyText"/>
        <w:ind w:left="671" w:right="115" w:hanging="452"/>
        <w:jc w:val="both"/>
      </w:pPr>
      <w:r>
        <w:rPr/>
        <w:t>Schumacher, T.B., Beck, H., Steinhauser, C.,Schramm, J. &amp; Elger, C.E. (1998). Effects of</w:t>
      </w:r>
      <w:r>
        <w:rPr>
          <w:spacing w:val="1"/>
        </w:rPr>
        <w:t> </w:t>
      </w:r>
      <w:r>
        <w:rPr/>
        <w:t>phenytoin, carbamazepine and gabapentin on calcium channel in hippocampal granule</w:t>
      </w:r>
      <w:r>
        <w:rPr>
          <w:spacing w:val="1"/>
        </w:rPr>
        <w:t> </w:t>
      </w:r>
      <w:r>
        <w:rPr/>
        <w:t>cells</w:t>
      </w:r>
      <w:r>
        <w:rPr>
          <w:spacing w:val="-1"/>
        </w:rPr>
        <w:t> </w:t>
      </w:r>
      <w:r>
        <w:rPr/>
        <w:t>from patients with</w:t>
      </w:r>
      <w:r>
        <w:rPr>
          <w:spacing w:val="-1"/>
        </w:rPr>
        <w:t> </w:t>
      </w:r>
      <w:r>
        <w:rPr/>
        <w:t>temporal lobe</w:t>
      </w:r>
      <w:r>
        <w:rPr>
          <w:spacing w:val="-1"/>
        </w:rPr>
        <w:t> </w:t>
      </w:r>
      <w:r>
        <w:rPr/>
        <w:t>epilepsy.</w:t>
      </w:r>
      <w:r>
        <w:rPr>
          <w:spacing w:val="2"/>
        </w:rPr>
        <w:t> </w:t>
      </w:r>
      <w:r>
        <w:rPr>
          <w:i/>
        </w:rPr>
        <w:t>Epilepsia </w:t>
      </w:r>
      <w:r>
        <w:rPr/>
        <w:t>39:355-363.</w:t>
      </w:r>
    </w:p>
    <w:p>
      <w:pPr>
        <w:pStyle w:val="BodyText"/>
      </w:pPr>
    </w:p>
    <w:p>
      <w:pPr>
        <w:spacing w:before="1"/>
        <w:ind w:left="671" w:right="115" w:hanging="452"/>
        <w:jc w:val="both"/>
        <w:rPr>
          <w:sz w:val="24"/>
        </w:rPr>
      </w:pPr>
      <w:r>
        <w:rPr>
          <w:sz w:val="24"/>
        </w:rPr>
        <w:t>Schwabe, R.F. and Brener, D.A.(2006). Mechanisms of liver injury.1,TNF-alpha-induced</w:t>
      </w:r>
      <w:r>
        <w:rPr>
          <w:spacing w:val="1"/>
          <w:sz w:val="24"/>
        </w:rPr>
        <w:t> </w:t>
      </w:r>
      <w:r>
        <w:rPr>
          <w:sz w:val="24"/>
        </w:rPr>
        <w:t>liver injury; role of IKK,JNK, and ROS pathways. </w:t>
      </w:r>
      <w:r>
        <w:rPr>
          <w:i/>
          <w:sz w:val="24"/>
        </w:rPr>
        <w:t>American Journal of Physiology 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Gastrointestinal</w:t>
      </w:r>
      <w:r>
        <w:rPr>
          <w:i/>
          <w:spacing w:val="59"/>
          <w:sz w:val="24"/>
        </w:rPr>
        <w:t> </w:t>
      </w:r>
      <w:r>
        <w:rPr>
          <w:i/>
          <w:sz w:val="24"/>
        </w:rPr>
        <w:t>liver Physiol</w:t>
      </w:r>
      <w:r>
        <w:rPr>
          <w:sz w:val="24"/>
        </w:rPr>
        <w:t>ogy</w:t>
      </w:r>
      <w:r>
        <w:rPr>
          <w:spacing w:val="-5"/>
          <w:sz w:val="24"/>
        </w:rPr>
        <w:t> </w:t>
      </w:r>
      <w:r>
        <w:rPr>
          <w:sz w:val="24"/>
        </w:rPr>
        <w:t>290: G583-G589.</w:t>
      </w:r>
    </w:p>
    <w:p>
      <w:pPr>
        <w:spacing w:after="0"/>
        <w:jc w:val="both"/>
        <w:rPr>
          <w:sz w:val="24"/>
        </w:rPr>
        <w:sectPr>
          <w:pgSz w:w="12240" w:h="15840"/>
          <w:pgMar w:header="0" w:footer="792" w:top="1360" w:bottom="980" w:left="1580" w:right="1320"/>
        </w:sectPr>
      </w:pPr>
    </w:p>
    <w:p>
      <w:pPr>
        <w:pStyle w:val="BodyText"/>
        <w:spacing w:before="72"/>
        <w:ind w:left="671" w:right="116" w:hanging="452"/>
        <w:jc w:val="both"/>
      </w:pPr>
      <w:r>
        <w:rPr/>
        <w:t>Schwartz, C.R. and Garrison, M.W (2008). Interpretation of clinical laboratory tests. In:</w:t>
      </w:r>
      <w:r>
        <w:rPr>
          <w:spacing w:val="1"/>
        </w:rPr>
        <w:t> </w:t>
      </w:r>
      <w:r>
        <w:rPr/>
        <w:t>Applied Therapeutics. The clinical use of drugs edited by Mary Anne koda-Kimble </w:t>
      </w:r>
      <w:r>
        <w:rPr>
          <w:i/>
        </w:rPr>
        <w:t>et al</w:t>
      </w:r>
      <w:r>
        <w:rPr>
          <w:i/>
          <w:spacing w:val="1"/>
        </w:rPr>
        <w:t> </w:t>
      </w:r>
      <w:r>
        <w:rPr/>
        <w:t>9</w:t>
      </w:r>
      <w:r>
        <w:rPr>
          <w:vertAlign w:val="superscript"/>
        </w:rPr>
        <w:t>th</w:t>
      </w:r>
      <w:r>
        <w:rPr>
          <w:vertAlign w:val="baseline"/>
        </w:rPr>
        <w:t> Ed.</w:t>
      </w:r>
      <w:r>
        <w:rPr>
          <w:spacing w:val="-1"/>
          <w:vertAlign w:val="baseline"/>
        </w:rPr>
        <w:t> </w:t>
      </w:r>
      <w:r>
        <w:rPr>
          <w:vertAlign w:val="baseline"/>
        </w:rPr>
        <w:t>Lippincott Williams &amp;</w:t>
      </w:r>
      <w:r>
        <w:rPr>
          <w:spacing w:val="-2"/>
          <w:vertAlign w:val="baseline"/>
        </w:rPr>
        <w:t> </w:t>
      </w:r>
      <w:r>
        <w:rPr>
          <w:vertAlign w:val="baseline"/>
        </w:rPr>
        <w:t>Wilkins Maryland USA Ch.2 Pp. 1-22.</w:t>
      </w:r>
    </w:p>
    <w:p>
      <w:pPr>
        <w:pStyle w:val="BodyText"/>
      </w:pPr>
    </w:p>
    <w:p>
      <w:pPr>
        <w:pStyle w:val="BodyText"/>
        <w:ind w:left="671" w:right="118" w:hanging="452"/>
        <w:jc w:val="both"/>
      </w:pPr>
      <w:r>
        <w:rPr/>
        <w:t>Schwartz, R.H.,Eaton, J., Aynsley-Green, A. et al (1983). Ketogenic diets in the management</w:t>
      </w:r>
      <w:r>
        <w:rPr>
          <w:spacing w:val="-57"/>
        </w:rPr>
        <w:t> </w:t>
      </w:r>
      <w:r>
        <w:rPr/>
        <w:t>of epilepsy. In “Research Progress in epilepsy” (Ed Clifford Rose) Pitman. London Pp.</w:t>
      </w:r>
      <w:r>
        <w:rPr>
          <w:spacing w:val="1"/>
        </w:rPr>
        <w:t> </w:t>
      </w:r>
      <w:r>
        <w:rPr/>
        <w:t>326-332.</w:t>
      </w:r>
    </w:p>
    <w:p>
      <w:pPr>
        <w:pStyle w:val="BodyText"/>
      </w:pPr>
    </w:p>
    <w:p>
      <w:pPr>
        <w:pStyle w:val="BodyText"/>
        <w:ind w:left="671" w:right="112" w:hanging="452"/>
        <w:jc w:val="both"/>
      </w:pPr>
      <w:r>
        <w:rPr/>
        <w:t>Sease,</w:t>
      </w:r>
      <w:r>
        <w:rPr>
          <w:spacing w:val="1"/>
        </w:rPr>
        <w:t> </w:t>
      </w:r>
      <w:r>
        <w:rPr/>
        <w:t>J.M.,</w:t>
      </w:r>
      <w:r>
        <w:rPr>
          <w:spacing w:val="1"/>
        </w:rPr>
        <w:t> </w:t>
      </w:r>
      <w:r>
        <w:rPr/>
        <w:t>Timm,</w:t>
      </w:r>
      <w:r>
        <w:rPr>
          <w:spacing w:val="1"/>
        </w:rPr>
        <w:t> </w:t>
      </w:r>
      <w:r>
        <w:rPr/>
        <w:t>G.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Stragand,</w:t>
      </w:r>
      <w:r>
        <w:rPr>
          <w:spacing w:val="1"/>
        </w:rPr>
        <w:t> </w:t>
      </w:r>
      <w:r>
        <w:rPr/>
        <w:t>J.J.(2008).</w:t>
      </w:r>
      <w:r>
        <w:rPr>
          <w:spacing w:val="1"/>
        </w:rPr>
        <w:t> </w:t>
      </w:r>
      <w:r>
        <w:rPr/>
        <w:t>Portal</w:t>
      </w:r>
      <w:r>
        <w:rPr>
          <w:spacing w:val="1"/>
        </w:rPr>
        <w:t> </w:t>
      </w:r>
      <w:r>
        <w:rPr/>
        <w:t>hypotension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cirhosis.</w:t>
      </w:r>
      <w:r>
        <w:rPr>
          <w:spacing w:val="1"/>
        </w:rPr>
        <w:t> </w:t>
      </w:r>
      <w:r>
        <w:rPr/>
        <w:t>In:</w:t>
      </w:r>
      <w:r>
        <w:rPr>
          <w:spacing w:val="1"/>
        </w:rPr>
        <w:t> </w:t>
      </w:r>
      <w:r>
        <w:rPr/>
        <w:t>Pharmacotherapy, a Pathophysiologic approach. Edited by Joseph T. Dipiro </w:t>
      </w:r>
      <w:r>
        <w:rPr>
          <w:i/>
        </w:rPr>
        <w:t>et al </w:t>
      </w:r>
      <w:r>
        <w:rPr/>
        <w:t>7</w:t>
      </w:r>
      <w:r>
        <w:rPr>
          <w:vertAlign w:val="superscript"/>
        </w:rPr>
        <w:t>th</w:t>
      </w:r>
      <w:r>
        <w:rPr>
          <w:vertAlign w:val="baseline"/>
        </w:rPr>
        <w:t> Ed</w:t>
      </w:r>
      <w:r>
        <w:rPr>
          <w:spacing w:val="1"/>
          <w:vertAlign w:val="baseline"/>
        </w:rPr>
        <w:t> </w:t>
      </w:r>
      <w:r>
        <w:rPr>
          <w:vertAlign w:val="baseline"/>
        </w:rPr>
        <w:t>McGraw Hill NY</w:t>
      </w:r>
      <w:r>
        <w:rPr>
          <w:spacing w:val="-1"/>
          <w:vertAlign w:val="baseline"/>
        </w:rPr>
        <w:t> </w:t>
      </w:r>
      <w:r>
        <w:rPr>
          <w:vertAlign w:val="baseline"/>
        </w:rPr>
        <w:t>Pp. 633-649.</w:t>
      </w:r>
    </w:p>
    <w:p>
      <w:pPr>
        <w:pStyle w:val="BodyText"/>
      </w:pPr>
    </w:p>
    <w:p>
      <w:pPr>
        <w:pStyle w:val="BodyText"/>
        <w:ind w:left="671" w:right="114" w:hanging="452"/>
        <w:jc w:val="both"/>
      </w:pPr>
      <w:r>
        <w:rPr/>
        <w:t>Segal,</w:t>
      </w:r>
      <w:r>
        <w:rPr>
          <w:spacing w:val="1"/>
        </w:rPr>
        <w:t> </w:t>
      </w:r>
      <w:r>
        <w:rPr/>
        <w:t>J.L.,</w:t>
      </w:r>
      <w:r>
        <w:rPr>
          <w:spacing w:val="1"/>
        </w:rPr>
        <w:t> </w:t>
      </w:r>
      <w:r>
        <w:rPr/>
        <w:t>Pathak,</w:t>
      </w:r>
      <w:r>
        <w:rPr>
          <w:spacing w:val="1"/>
        </w:rPr>
        <w:t> </w:t>
      </w:r>
      <w:r>
        <w:rPr/>
        <w:t>M.S.,</w:t>
      </w:r>
      <w:r>
        <w:rPr>
          <w:spacing w:val="1"/>
        </w:rPr>
        <w:t> </w:t>
      </w:r>
      <w:r>
        <w:rPr/>
        <w:t>Harmandez,</w:t>
      </w:r>
      <w:r>
        <w:rPr>
          <w:spacing w:val="1"/>
        </w:rPr>
        <w:t> </w:t>
      </w:r>
      <w:r>
        <w:rPr/>
        <w:t>J.P.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>
          <w:i/>
          <w:spacing w:val="1"/>
        </w:rPr>
        <w:t> </w:t>
      </w:r>
      <w:r>
        <w:rPr/>
        <w:t>(1999).</w:t>
      </w:r>
      <w:r>
        <w:rPr>
          <w:spacing w:val="1"/>
        </w:rPr>
        <w:t> </w:t>
      </w:r>
      <w:r>
        <w:rPr/>
        <w:t>Safety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efficacy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4-</w:t>
      </w:r>
      <w:r>
        <w:rPr>
          <w:spacing w:val="1"/>
        </w:rPr>
        <w:t> </w:t>
      </w:r>
      <w:r>
        <w:rPr/>
        <w:t>aminopyridine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humans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spinal</w:t>
      </w:r>
      <w:r>
        <w:rPr>
          <w:spacing w:val="1"/>
        </w:rPr>
        <w:t> </w:t>
      </w:r>
      <w:r>
        <w:rPr/>
        <w:t>cord</w:t>
      </w:r>
      <w:r>
        <w:rPr>
          <w:spacing w:val="1"/>
        </w:rPr>
        <w:t> </w:t>
      </w:r>
      <w:r>
        <w:rPr/>
        <w:t>injury: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long</w:t>
      </w:r>
      <w:r>
        <w:rPr>
          <w:spacing w:val="1"/>
        </w:rPr>
        <w:t> </w:t>
      </w:r>
      <w:r>
        <w:rPr/>
        <w:t>term,</w:t>
      </w:r>
      <w:r>
        <w:rPr>
          <w:spacing w:val="1"/>
        </w:rPr>
        <w:t> </w:t>
      </w:r>
      <w:r>
        <w:rPr/>
        <w:t>controlled</w:t>
      </w:r>
      <w:r>
        <w:rPr>
          <w:spacing w:val="1"/>
        </w:rPr>
        <w:t> </w:t>
      </w:r>
      <w:r>
        <w:rPr/>
        <w:t>trial.</w:t>
      </w:r>
      <w:r>
        <w:rPr>
          <w:spacing w:val="1"/>
        </w:rPr>
        <w:t> </w:t>
      </w:r>
      <w:r>
        <w:rPr>
          <w:i/>
        </w:rPr>
        <w:t>Pharmacotherapy</w:t>
      </w:r>
      <w:r>
        <w:rPr/>
        <w:t>.</w:t>
      </w:r>
      <w:r>
        <w:rPr>
          <w:spacing w:val="-1"/>
        </w:rPr>
        <w:t> </w:t>
      </w:r>
      <w:r>
        <w:rPr/>
        <w:t>19(6):</w:t>
      </w:r>
      <w:r>
        <w:rPr>
          <w:spacing w:val="1"/>
        </w:rPr>
        <w:t> </w:t>
      </w:r>
      <w:r>
        <w:rPr/>
        <w:t>713 – 723.</w:t>
      </w:r>
    </w:p>
    <w:p>
      <w:pPr>
        <w:pStyle w:val="BodyText"/>
        <w:spacing w:before="1"/>
      </w:pPr>
    </w:p>
    <w:p>
      <w:pPr>
        <w:pStyle w:val="BodyText"/>
        <w:ind w:left="671" w:right="117" w:hanging="452"/>
        <w:jc w:val="both"/>
      </w:pPr>
      <w:r>
        <w:rPr/>
        <w:t>Shank, R.P.,Gardocki, J.F.Vaught, J.L.,</w:t>
      </w:r>
      <w:r>
        <w:rPr>
          <w:spacing w:val="1"/>
        </w:rPr>
        <w:t> </w:t>
      </w:r>
      <w:r>
        <w:rPr/>
        <w:t>Davis,</w:t>
      </w:r>
      <w:r>
        <w:rPr>
          <w:spacing w:val="1"/>
        </w:rPr>
        <w:t> </w:t>
      </w:r>
      <w:r>
        <w:rPr/>
        <w:t>C.B., Schupsk,</w:t>
      </w:r>
      <w:r>
        <w:rPr>
          <w:spacing w:val="1"/>
        </w:rPr>
        <w:t> </w:t>
      </w:r>
      <w:r>
        <w:rPr/>
        <w:t>I.J., Raffa, R.B.,</w:t>
      </w:r>
      <w:r>
        <w:rPr>
          <w:spacing w:val="60"/>
        </w:rPr>
        <w:t> </w:t>
      </w:r>
      <w:r>
        <w:rPr/>
        <w:t>Dodgson,</w:t>
      </w:r>
      <w:r>
        <w:rPr>
          <w:spacing w:val="1"/>
        </w:rPr>
        <w:t> </w:t>
      </w:r>
      <w:r>
        <w:rPr/>
        <w:t>S.J., Nortey, S.O. and Maryanoff, B.I. (1994).Topiramate: preclinical evaluation of a</w:t>
      </w:r>
      <w:r>
        <w:rPr>
          <w:spacing w:val="1"/>
        </w:rPr>
        <w:t> </w:t>
      </w:r>
      <w:r>
        <w:rPr/>
        <w:t>structurally</w:t>
      </w:r>
      <w:r>
        <w:rPr>
          <w:spacing w:val="-6"/>
        </w:rPr>
        <w:t> </w:t>
      </w:r>
      <w:r>
        <w:rPr/>
        <w:t>novel anticonvulsant.</w:t>
      </w:r>
      <w:r>
        <w:rPr>
          <w:spacing w:val="1"/>
        </w:rPr>
        <w:t> </w:t>
      </w:r>
      <w:r>
        <w:rPr>
          <w:i/>
        </w:rPr>
        <w:t>Epilepsia </w:t>
      </w:r>
      <w:r>
        <w:rPr/>
        <w:t>35:450-460.</w:t>
      </w:r>
    </w:p>
    <w:p>
      <w:pPr>
        <w:pStyle w:val="BodyText"/>
        <w:ind w:left="220"/>
        <w:jc w:val="both"/>
      </w:pPr>
      <w:r>
        <w:rPr/>
        <w:t>Shomansky,</w:t>
      </w:r>
      <w:r>
        <w:rPr>
          <w:spacing w:val="-2"/>
        </w:rPr>
        <w:t> </w:t>
      </w:r>
      <w:r>
        <w:rPr/>
        <w:t>S.L.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Glaser, G.H.</w:t>
      </w:r>
      <w:r>
        <w:rPr>
          <w:spacing w:val="1"/>
        </w:rPr>
        <w:t> </w:t>
      </w:r>
      <w:r>
        <w:rPr/>
        <w:t>(1979).Socioeconomic</w:t>
      </w:r>
      <w:r>
        <w:rPr>
          <w:spacing w:val="-2"/>
        </w:rPr>
        <w:t> </w:t>
      </w:r>
      <w:r>
        <w:rPr/>
        <w:t>characteristics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seizure</w:t>
      </w:r>
      <w:r>
        <w:rPr>
          <w:spacing w:val="-2"/>
        </w:rPr>
        <w:t> </w:t>
      </w:r>
      <w:r>
        <w:rPr/>
        <w:t>disorders.</w:t>
      </w:r>
    </w:p>
    <w:p>
      <w:pPr>
        <w:spacing w:before="0"/>
        <w:ind w:left="671" w:right="0" w:firstLine="0"/>
        <w:jc w:val="both"/>
        <w:rPr>
          <w:sz w:val="24"/>
        </w:rPr>
      </w:pPr>
      <w:r>
        <w:rPr>
          <w:i/>
          <w:sz w:val="24"/>
        </w:rPr>
        <w:t>Epilepsia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20:457-74.</w:t>
      </w:r>
    </w:p>
    <w:p>
      <w:pPr>
        <w:pStyle w:val="BodyText"/>
      </w:pPr>
    </w:p>
    <w:p>
      <w:pPr>
        <w:pStyle w:val="BodyText"/>
        <w:ind w:left="220"/>
        <w:jc w:val="both"/>
      </w:pPr>
      <w:r>
        <w:rPr/>
        <w:t>Shovon,</w:t>
      </w:r>
      <w:r>
        <w:rPr>
          <w:spacing w:val="19"/>
        </w:rPr>
        <w:t> </w:t>
      </w:r>
      <w:r>
        <w:rPr/>
        <w:t>S.D.</w:t>
      </w:r>
      <w:r>
        <w:rPr>
          <w:spacing w:val="19"/>
        </w:rPr>
        <w:t> </w:t>
      </w:r>
      <w:r>
        <w:rPr/>
        <w:t>(1990).</w:t>
      </w:r>
      <w:r>
        <w:rPr>
          <w:spacing w:val="19"/>
        </w:rPr>
        <w:t> </w:t>
      </w:r>
      <w:r>
        <w:rPr/>
        <w:t>Epidemiology,</w:t>
      </w:r>
      <w:r>
        <w:rPr>
          <w:spacing w:val="19"/>
        </w:rPr>
        <w:t> </w:t>
      </w:r>
      <w:r>
        <w:rPr/>
        <w:t>classification,</w:t>
      </w:r>
      <w:r>
        <w:rPr>
          <w:spacing w:val="19"/>
        </w:rPr>
        <w:t> </w:t>
      </w:r>
      <w:r>
        <w:rPr/>
        <w:t>natural</w:t>
      </w:r>
      <w:r>
        <w:rPr>
          <w:spacing w:val="19"/>
        </w:rPr>
        <w:t> </w:t>
      </w:r>
      <w:r>
        <w:rPr/>
        <w:t>history</w:t>
      </w:r>
      <w:r>
        <w:rPr>
          <w:spacing w:val="15"/>
        </w:rPr>
        <w:t> </w:t>
      </w:r>
      <w:r>
        <w:rPr/>
        <w:t>and</w:t>
      </w:r>
      <w:r>
        <w:rPr>
          <w:spacing w:val="21"/>
        </w:rPr>
        <w:t> </w:t>
      </w:r>
      <w:r>
        <w:rPr/>
        <w:t>genetics</w:t>
      </w:r>
      <w:r>
        <w:rPr>
          <w:spacing w:val="19"/>
        </w:rPr>
        <w:t> </w:t>
      </w:r>
      <w:r>
        <w:rPr/>
        <w:t>of</w:t>
      </w:r>
      <w:r>
        <w:rPr>
          <w:spacing w:val="18"/>
        </w:rPr>
        <w:t> </w:t>
      </w:r>
      <w:r>
        <w:rPr/>
        <w:t>epilepsy.</w:t>
      </w:r>
    </w:p>
    <w:p>
      <w:pPr>
        <w:spacing w:before="0"/>
        <w:ind w:left="671" w:right="0" w:firstLine="0"/>
        <w:jc w:val="both"/>
        <w:rPr>
          <w:sz w:val="24"/>
        </w:rPr>
      </w:pPr>
      <w:r>
        <w:rPr>
          <w:i/>
          <w:sz w:val="24"/>
        </w:rPr>
        <w:t>Lancet</w:t>
      </w:r>
      <w:r>
        <w:rPr>
          <w:sz w:val="24"/>
        </w:rPr>
        <w:t>,</w:t>
      </w:r>
      <w:r>
        <w:rPr>
          <w:spacing w:val="-2"/>
          <w:sz w:val="24"/>
        </w:rPr>
        <w:t> </w:t>
      </w:r>
      <w:r>
        <w:rPr>
          <w:sz w:val="24"/>
        </w:rPr>
        <w:t>336:93-6.</w:t>
      </w:r>
    </w:p>
    <w:p>
      <w:pPr>
        <w:pStyle w:val="BodyText"/>
      </w:pPr>
    </w:p>
    <w:p>
      <w:pPr>
        <w:pStyle w:val="BodyText"/>
        <w:spacing w:before="1"/>
        <w:ind w:left="671" w:right="116" w:hanging="452"/>
        <w:jc w:val="both"/>
      </w:pPr>
      <w:r>
        <w:rPr/>
        <w:t>Sills, G.J., Burtler, F., Thompson, G.G. &amp; Brodie, M.J. (1999). Vigabatrin and Tiagabine are</w:t>
      </w:r>
      <w:r>
        <w:rPr>
          <w:spacing w:val="1"/>
        </w:rPr>
        <w:t> </w:t>
      </w:r>
      <w:r>
        <w:rPr/>
        <w:t>pharmacologically</w:t>
      </w:r>
      <w:r>
        <w:rPr>
          <w:spacing w:val="-6"/>
        </w:rPr>
        <w:t> </w:t>
      </w:r>
      <w:r>
        <w:rPr/>
        <w:t>different drugs.</w:t>
      </w:r>
      <w:r>
        <w:rPr>
          <w:spacing w:val="1"/>
        </w:rPr>
        <w:t> </w:t>
      </w:r>
      <w:r>
        <w:rPr/>
        <w:t>A preclinical</w:t>
      </w:r>
      <w:r>
        <w:rPr>
          <w:spacing w:val="-1"/>
        </w:rPr>
        <w:t> </w:t>
      </w:r>
      <w:r>
        <w:rPr/>
        <w:t>study,</w:t>
      </w:r>
      <w:r>
        <w:rPr>
          <w:spacing w:val="3"/>
        </w:rPr>
        <w:t> </w:t>
      </w:r>
      <w:r>
        <w:rPr>
          <w:i/>
        </w:rPr>
        <w:t>Seizure</w:t>
      </w:r>
      <w:r>
        <w:rPr>
          <w:i/>
          <w:spacing w:val="-1"/>
        </w:rPr>
        <w:t> </w:t>
      </w:r>
      <w:r>
        <w:rPr/>
        <w:t>8:404-411.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671" w:right="116" w:hanging="452"/>
        <w:jc w:val="both"/>
      </w:pPr>
      <w:r>
        <w:rPr/>
        <w:t>Sills, G.J., Leach, J.P., Bulter, E., Carswell, A., Thompson, G.G. &amp; Brodie, M.J. (1996).</w:t>
      </w:r>
      <w:r>
        <w:rPr>
          <w:spacing w:val="1"/>
        </w:rPr>
        <w:t> </w:t>
      </w:r>
      <w:r>
        <w:rPr/>
        <w:t>Antiepileptic</w:t>
      </w:r>
      <w:r>
        <w:rPr>
          <w:spacing w:val="1"/>
        </w:rPr>
        <w:t> </w:t>
      </w:r>
      <w:r>
        <w:rPr/>
        <w:t>drug</w:t>
      </w:r>
      <w:r>
        <w:rPr>
          <w:spacing w:val="1"/>
        </w:rPr>
        <w:t> </w:t>
      </w:r>
      <w:r>
        <w:rPr/>
        <w:t>action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primary</w:t>
      </w:r>
      <w:r>
        <w:rPr>
          <w:spacing w:val="1"/>
        </w:rPr>
        <w:t> </w:t>
      </w:r>
      <w:r>
        <w:rPr/>
        <w:t>cultures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rat</w:t>
      </w:r>
      <w:r>
        <w:rPr>
          <w:spacing w:val="1"/>
        </w:rPr>
        <w:t> </w:t>
      </w:r>
      <w:r>
        <w:rPr/>
        <w:t>cortical</w:t>
      </w:r>
      <w:r>
        <w:rPr>
          <w:spacing w:val="1"/>
        </w:rPr>
        <w:t> </w:t>
      </w:r>
      <w:r>
        <w:rPr/>
        <w:t>astrocytes.</w:t>
      </w:r>
      <w:r>
        <w:rPr>
          <w:spacing w:val="1"/>
        </w:rPr>
        <w:t> </w:t>
      </w:r>
      <w:r>
        <w:rPr>
          <w:i/>
        </w:rPr>
        <w:t>Epilepsia</w:t>
      </w:r>
      <w:r>
        <w:rPr>
          <w:i/>
          <w:spacing w:val="1"/>
        </w:rPr>
        <w:t> </w:t>
      </w:r>
      <w:r>
        <w:rPr/>
        <w:t>37(Suppl. 4)</w:t>
      </w:r>
      <w:r>
        <w:rPr>
          <w:spacing w:val="-1"/>
        </w:rPr>
        <w:t> </w:t>
      </w:r>
      <w:r>
        <w:rPr/>
        <w:t>116.</w:t>
      </w:r>
    </w:p>
    <w:p>
      <w:pPr>
        <w:pStyle w:val="BodyText"/>
      </w:pPr>
    </w:p>
    <w:p>
      <w:pPr>
        <w:pStyle w:val="BodyText"/>
        <w:ind w:left="220"/>
        <w:jc w:val="both"/>
      </w:pPr>
      <w:r>
        <w:rPr/>
        <w:t>Slot,</w:t>
      </w:r>
      <w:r>
        <w:rPr>
          <w:spacing w:val="25"/>
        </w:rPr>
        <w:t> </w:t>
      </w:r>
      <w:r>
        <w:rPr/>
        <w:t>C.</w:t>
      </w:r>
      <w:r>
        <w:rPr>
          <w:spacing w:val="25"/>
        </w:rPr>
        <w:t> </w:t>
      </w:r>
      <w:r>
        <w:rPr/>
        <w:t>(1965).</w:t>
      </w:r>
      <w:r>
        <w:rPr>
          <w:spacing w:val="26"/>
        </w:rPr>
        <w:t> </w:t>
      </w:r>
      <w:r>
        <w:rPr/>
        <w:t>Plasma</w:t>
      </w:r>
      <w:r>
        <w:rPr>
          <w:spacing w:val="22"/>
        </w:rPr>
        <w:t> </w:t>
      </w:r>
      <w:r>
        <w:rPr/>
        <w:t>creatinine</w:t>
      </w:r>
      <w:r>
        <w:rPr>
          <w:spacing w:val="24"/>
        </w:rPr>
        <w:t> </w:t>
      </w:r>
      <w:r>
        <w:rPr/>
        <w:t>determination;</w:t>
      </w:r>
      <w:r>
        <w:rPr>
          <w:spacing w:val="29"/>
        </w:rPr>
        <w:t> </w:t>
      </w:r>
      <w:r>
        <w:rPr/>
        <w:t>a</w:t>
      </w:r>
      <w:r>
        <w:rPr>
          <w:spacing w:val="24"/>
        </w:rPr>
        <w:t> </w:t>
      </w:r>
      <w:r>
        <w:rPr/>
        <w:t>new</w:t>
      </w:r>
      <w:r>
        <w:rPr>
          <w:spacing w:val="24"/>
        </w:rPr>
        <w:t> </w:t>
      </w:r>
      <w:r>
        <w:rPr/>
        <w:t>and</w:t>
      </w:r>
      <w:r>
        <w:rPr>
          <w:spacing w:val="25"/>
        </w:rPr>
        <w:t> </w:t>
      </w:r>
      <w:r>
        <w:rPr/>
        <w:t>specific</w:t>
      </w:r>
      <w:r>
        <w:rPr>
          <w:spacing w:val="24"/>
        </w:rPr>
        <w:t> </w:t>
      </w:r>
      <w:r>
        <w:rPr/>
        <w:t>Jaffe</w:t>
      </w:r>
      <w:r>
        <w:rPr>
          <w:spacing w:val="25"/>
        </w:rPr>
        <w:t> </w:t>
      </w:r>
      <w:r>
        <w:rPr/>
        <w:t>reaction</w:t>
      </w:r>
      <w:r>
        <w:rPr>
          <w:spacing w:val="25"/>
        </w:rPr>
        <w:t> </w:t>
      </w:r>
      <w:r>
        <w:rPr/>
        <w:t>method</w:t>
      </w:r>
    </w:p>
    <w:p>
      <w:pPr>
        <w:spacing w:before="0"/>
        <w:ind w:left="671" w:right="0" w:firstLine="0"/>
        <w:jc w:val="both"/>
        <w:rPr>
          <w:sz w:val="24"/>
        </w:rPr>
      </w:pPr>
      <w:r>
        <w:rPr>
          <w:i/>
          <w:sz w:val="24"/>
        </w:rPr>
        <w:t>Scandinavian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Clinical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Laboratory Investigation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sz w:val="24"/>
        </w:rPr>
        <w:t>17:381-387</w:t>
      </w:r>
    </w:p>
    <w:p>
      <w:pPr>
        <w:pStyle w:val="BodyText"/>
        <w:ind w:left="671" w:right="114" w:hanging="452"/>
        <w:jc w:val="both"/>
      </w:pPr>
      <w:r>
        <w:rPr/>
        <w:t>Sofowora,A.A. (1993).Medicinal plants in Africa.Spectrum books ltd.,Ibadan,Nigeria.2,81-</w:t>
      </w:r>
      <w:r>
        <w:rPr>
          <w:spacing w:val="1"/>
        </w:rPr>
        <w:t> </w:t>
      </w:r>
      <w:r>
        <w:rPr/>
        <w:t>85</w:t>
      </w:r>
    </w:p>
    <w:p>
      <w:pPr>
        <w:pStyle w:val="BodyText"/>
        <w:ind w:left="671" w:right="113" w:hanging="452"/>
        <w:jc w:val="both"/>
      </w:pPr>
      <w:r>
        <w:rPr/>
        <w:t>Spencer K. and Price ,C.P. (1977). Influence of reagent quality and reaction conditions on the</w:t>
      </w:r>
      <w:r>
        <w:rPr>
          <w:spacing w:val="-57"/>
        </w:rPr>
        <w:t> </w:t>
      </w:r>
      <w:r>
        <w:rPr/>
        <w:t>determination of serum albumin by the bromocresol green dye binding method.</w:t>
      </w:r>
      <w:r>
        <w:rPr>
          <w:spacing w:val="60"/>
        </w:rPr>
        <w:t> </w:t>
      </w:r>
      <w:r>
        <w:rPr>
          <w:i/>
        </w:rPr>
        <w:t>Annals</w:t>
      </w:r>
      <w:r>
        <w:rPr>
          <w:i/>
          <w:spacing w:val="1"/>
        </w:rPr>
        <w:t> </w:t>
      </w:r>
      <w:r>
        <w:rPr>
          <w:i/>
        </w:rPr>
        <w:t>of</w:t>
      </w:r>
      <w:r>
        <w:rPr>
          <w:i/>
          <w:spacing w:val="-1"/>
        </w:rPr>
        <w:t> </w:t>
      </w:r>
      <w:r>
        <w:rPr>
          <w:i/>
        </w:rPr>
        <w:t>Clinical Biochemistry,</w:t>
      </w:r>
      <w:r>
        <w:rPr>
          <w:i/>
          <w:spacing w:val="1"/>
        </w:rPr>
        <w:t> </w:t>
      </w:r>
      <w:r>
        <w:rPr/>
        <w:t>14(2):105-115.</w:t>
      </w:r>
    </w:p>
    <w:p>
      <w:pPr>
        <w:pStyle w:val="BodyText"/>
        <w:spacing w:before="1"/>
      </w:pPr>
    </w:p>
    <w:p>
      <w:pPr>
        <w:spacing w:before="0"/>
        <w:ind w:left="671" w:right="116" w:hanging="452"/>
        <w:jc w:val="both"/>
        <w:rPr>
          <w:sz w:val="24"/>
        </w:rPr>
      </w:pPr>
      <w:r>
        <w:rPr>
          <w:sz w:val="24"/>
        </w:rPr>
        <w:t>Stankovic, A.K. and Smith, S. (2004). Elevated serum potassium values. </w:t>
      </w:r>
      <w:r>
        <w:rPr>
          <w:i/>
          <w:sz w:val="24"/>
        </w:rPr>
        <w:t>American 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Clinical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Pathology</w:t>
      </w:r>
      <w:r>
        <w:rPr>
          <w:sz w:val="24"/>
        </w:rPr>
        <w:t>, 121(Suppl. 1), 5:105-112.</w:t>
      </w:r>
    </w:p>
    <w:p>
      <w:pPr>
        <w:pStyle w:val="BodyText"/>
      </w:pPr>
    </w:p>
    <w:p>
      <w:pPr>
        <w:pStyle w:val="BodyText"/>
        <w:ind w:left="671" w:right="113" w:hanging="452"/>
        <w:jc w:val="both"/>
      </w:pPr>
      <w:r>
        <w:rPr/>
        <w:t>Starzl,</w:t>
      </w:r>
      <w:r>
        <w:rPr>
          <w:spacing w:val="1"/>
        </w:rPr>
        <w:t> </w:t>
      </w:r>
      <w:r>
        <w:rPr/>
        <w:t>T.E.,</w:t>
      </w:r>
      <w:r>
        <w:rPr>
          <w:spacing w:val="1"/>
        </w:rPr>
        <w:t> </w:t>
      </w:r>
      <w:r>
        <w:rPr/>
        <w:t>Niemer,</w:t>
      </w:r>
      <w:r>
        <w:rPr>
          <w:spacing w:val="1"/>
        </w:rPr>
        <w:t> </w:t>
      </w:r>
      <w:r>
        <w:rPr/>
        <w:t>W.T.,</w:t>
      </w:r>
      <w:r>
        <w:rPr>
          <w:spacing w:val="1"/>
        </w:rPr>
        <w:t> </w:t>
      </w:r>
      <w:r>
        <w:rPr/>
        <w:t>Dell,</w:t>
      </w:r>
      <w:r>
        <w:rPr>
          <w:spacing w:val="1"/>
        </w:rPr>
        <w:t> </w:t>
      </w:r>
      <w:r>
        <w:rPr/>
        <w:t>M.,</w:t>
      </w:r>
      <w:r>
        <w:rPr>
          <w:spacing w:val="1"/>
        </w:rPr>
        <w:t> </w:t>
      </w:r>
      <w:r>
        <w:rPr/>
        <w:t>Forgrave,</w:t>
      </w:r>
      <w:r>
        <w:rPr>
          <w:spacing w:val="1"/>
        </w:rPr>
        <w:t> </w:t>
      </w:r>
      <w:r>
        <w:rPr/>
        <w:t>P.R.</w:t>
      </w:r>
      <w:r>
        <w:rPr>
          <w:spacing w:val="1"/>
        </w:rPr>
        <w:t> </w:t>
      </w:r>
      <w:r>
        <w:rPr/>
        <w:t>(1953).</w:t>
      </w:r>
      <w:r>
        <w:rPr>
          <w:spacing w:val="1"/>
        </w:rPr>
        <w:t> </w:t>
      </w:r>
      <w:r>
        <w:rPr/>
        <w:t>Cortical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Sub-cortical</w:t>
      </w:r>
      <w:r>
        <w:rPr>
          <w:spacing w:val="1"/>
        </w:rPr>
        <w:t> </w:t>
      </w:r>
      <w:r>
        <w:rPr/>
        <w:t>electrical activity in experimental seizures induced by metrazole. </w:t>
      </w:r>
      <w:r>
        <w:rPr>
          <w:i/>
        </w:rPr>
        <w:t>Neuropathology and</w:t>
      </w:r>
      <w:r>
        <w:rPr>
          <w:i/>
          <w:spacing w:val="1"/>
        </w:rPr>
        <w:t> </w:t>
      </w:r>
      <w:r>
        <w:rPr>
          <w:i/>
        </w:rPr>
        <w:t>Experimental Neurol</w:t>
      </w:r>
      <w:r>
        <w:rPr/>
        <w:t>ogy.</w:t>
      </w:r>
      <w:r>
        <w:rPr>
          <w:spacing w:val="2"/>
        </w:rPr>
        <w:t> </w:t>
      </w:r>
      <w:r>
        <w:rPr/>
        <w:t>12: 262 – 276.</w:t>
      </w:r>
    </w:p>
    <w:p>
      <w:pPr>
        <w:spacing w:after="0"/>
        <w:jc w:val="both"/>
        <w:sectPr>
          <w:pgSz w:w="12240" w:h="15840"/>
          <w:pgMar w:header="0" w:footer="792" w:top="1360" w:bottom="980" w:left="1580" w:right="1320"/>
        </w:sectPr>
      </w:pPr>
    </w:p>
    <w:p>
      <w:pPr>
        <w:pStyle w:val="BodyText"/>
        <w:spacing w:before="72"/>
        <w:ind w:left="671" w:right="114" w:hanging="452"/>
        <w:jc w:val="both"/>
      </w:pPr>
      <w:r>
        <w:rPr/>
        <w:t>Stefani,</w:t>
      </w:r>
      <w:r>
        <w:rPr>
          <w:spacing w:val="1"/>
        </w:rPr>
        <w:t> </w:t>
      </w:r>
      <w:r>
        <w:rPr/>
        <w:t>A.,</w:t>
      </w:r>
      <w:r>
        <w:rPr>
          <w:spacing w:val="1"/>
        </w:rPr>
        <w:t> </w:t>
      </w:r>
      <w:r>
        <w:rPr/>
        <w:t>Calabresi,</w:t>
      </w:r>
      <w:r>
        <w:rPr>
          <w:spacing w:val="1"/>
        </w:rPr>
        <w:t> </w:t>
      </w:r>
      <w:r>
        <w:rPr/>
        <w:t>P.,</w:t>
      </w:r>
      <w:r>
        <w:rPr>
          <w:spacing w:val="1"/>
        </w:rPr>
        <w:t> </w:t>
      </w:r>
      <w:r>
        <w:rPr/>
        <w:t>Pisani,</w:t>
      </w:r>
      <w:r>
        <w:rPr>
          <w:spacing w:val="1"/>
        </w:rPr>
        <w:t> </w:t>
      </w:r>
      <w:r>
        <w:rPr/>
        <w:t>A.,</w:t>
      </w:r>
      <w:r>
        <w:rPr>
          <w:spacing w:val="1"/>
        </w:rPr>
        <w:t> </w:t>
      </w:r>
      <w:r>
        <w:rPr/>
        <w:t>Mercuri,</w:t>
      </w:r>
      <w:r>
        <w:rPr>
          <w:spacing w:val="1"/>
        </w:rPr>
        <w:t> </w:t>
      </w:r>
      <w:r>
        <w:rPr/>
        <w:t>N.B.,</w:t>
      </w:r>
      <w:r>
        <w:rPr>
          <w:spacing w:val="1"/>
        </w:rPr>
        <w:t> </w:t>
      </w:r>
      <w:r>
        <w:rPr/>
        <w:t>Siniscalchi,</w:t>
      </w:r>
      <w:r>
        <w:rPr>
          <w:spacing w:val="1"/>
        </w:rPr>
        <w:t> </w:t>
      </w:r>
      <w:r>
        <w:rPr/>
        <w:t>A.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Bernadi,</w:t>
      </w:r>
      <w:r>
        <w:rPr>
          <w:spacing w:val="1"/>
        </w:rPr>
        <w:t> </w:t>
      </w:r>
      <w:r>
        <w:rPr/>
        <w:t>G.</w:t>
      </w:r>
      <w:r>
        <w:rPr>
          <w:spacing w:val="1"/>
        </w:rPr>
        <w:t> </w:t>
      </w:r>
      <w:r>
        <w:rPr/>
        <w:t>(1996).Felbamate inhibits dihydropyridine sensitive calcium channels in central neurons</w:t>
      </w:r>
      <w:r>
        <w:rPr>
          <w:spacing w:val="1"/>
        </w:rPr>
        <w:t> </w:t>
      </w:r>
      <w:r>
        <w:rPr>
          <w:i/>
        </w:rPr>
        <w:t>Journal</w:t>
      </w:r>
      <w:r>
        <w:rPr>
          <w:i/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Pharmacolology</w:t>
      </w:r>
      <w:r>
        <w:rPr>
          <w:spacing w:val="-4"/>
        </w:rPr>
        <w:t> </w:t>
      </w:r>
      <w:r>
        <w:rPr>
          <w:i/>
        </w:rPr>
        <w:t>and Experimental Therapeutics</w:t>
      </w:r>
      <w:r>
        <w:rPr>
          <w:i/>
          <w:spacing w:val="2"/>
        </w:rPr>
        <w:t> </w:t>
      </w:r>
      <w:r>
        <w:rPr/>
        <w:t>277:121-127.</w:t>
      </w:r>
    </w:p>
    <w:p>
      <w:pPr>
        <w:pStyle w:val="BodyText"/>
      </w:pPr>
    </w:p>
    <w:p>
      <w:pPr>
        <w:pStyle w:val="BodyText"/>
        <w:ind w:left="671" w:right="119" w:hanging="452"/>
        <w:jc w:val="both"/>
      </w:pPr>
      <w:r>
        <w:rPr/>
        <w:t>Stefani,</w:t>
      </w:r>
      <w:r>
        <w:rPr>
          <w:spacing w:val="1"/>
        </w:rPr>
        <w:t> </w:t>
      </w:r>
      <w:r>
        <w:rPr/>
        <w:t>A.,Spadoni,</w:t>
      </w:r>
      <w:r>
        <w:rPr>
          <w:spacing w:val="1"/>
        </w:rPr>
        <w:t> </w:t>
      </w:r>
      <w:r>
        <w:rPr/>
        <w:t>F. and Bernardi, G (1997).Voltage-activated calcium</w:t>
      </w:r>
      <w:r>
        <w:rPr>
          <w:spacing w:val="1"/>
        </w:rPr>
        <w:t> </w:t>
      </w:r>
      <w:r>
        <w:rPr/>
        <w:t>channels:</w:t>
      </w:r>
      <w:r>
        <w:rPr>
          <w:spacing w:val="60"/>
        </w:rPr>
        <w:t> </w:t>
      </w:r>
      <w:r>
        <w:rPr/>
        <w:t>targets</w:t>
      </w:r>
      <w:r>
        <w:rPr>
          <w:spacing w:val="-57"/>
        </w:rPr>
        <w:t> </w:t>
      </w:r>
      <w:r>
        <w:rPr/>
        <w:t>of</w:t>
      </w:r>
      <w:r>
        <w:rPr>
          <w:spacing w:val="-2"/>
        </w:rPr>
        <w:t> </w:t>
      </w:r>
      <w:r>
        <w:rPr/>
        <w:t>antiepileptic</w:t>
      </w:r>
      <w:r>
        <w:rPr>
          <w:spacing w:val="-1"/>
        </w:rPr>
        <w:t> </w:t>
      </w:r>
      <w:r>
        <w:rPr/>
        <w:t>drug</w:t>
      </w:r>
      <w:r>
        <w:rPr>
          <w:spacing w:val="-3"/>
        </w:rPr>
        <w:t> </w:t>
      </w:r>
      <w:r>
        <w:rPr/>
        <w:t>therapy.</w:t>
      </w:r>
      <w:r>
        <w:rPr>
          <w:spacing w:val="3"/>
        </w:rPr>
        <w:t> </w:t>
      </w:r>
      <w:r>
        <w:rPr>
          <w:i/>
        </w:rPr>
        <w:t>Epilepsia </w:t>
      </w:r>
      <w:r>
        <w:rPr/>
        <w:t>38, 959-965.</w:t>
      </w:r>
    </w:p>
    <w:p>
      <w:pPr>
        <w:pStyle w:val="BodyText"/>
      </w:pPr>
    </w:p>
    <w:p>
      <w:pPr>
        <w:spacing w:before="0"/>
        <w:ind w:left="671" w:right="113" w:hanging="452"/>
        <w:jc w:val="both"/>
        <w:rPr>
          <w:sz w:val="24"/>
        </w:rPr>
      </w:pPr>
      <w:r>
        <w:rPr>
          <w:sz w:val="24"/>
        </w:rPr>
        <w:t>Stevens, L.A. and Levey, A.S. (2005). Measurement of kidney function. </w:t>
      </w:r>
      <w:r>
        <w:rPr>
          <w:i/>
          <w:sz w:val="24"/>
        </w:rPr>
        <w:t>Medical Clinics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North America </w:t>
      </w:r>
      <w:r>
        <w:rPr>
          <w:sz w:val="24"/>
        </w:rPr>
        <w:t>89:457-473.</w:t>
      </w:r>
    </w:p>
    <w:p>
      <w:pPr>
        <w:pStyle w:val="BodyText"/>
      </w:pPr>
    </w:p>
    <w:p>
      <w:pPr>
        <w:pStyle w:val="BodyText"/>
        <w:ind w:left="671" w:right="117" w:hanging="452"/>
        <w:jc w:val="both"/>
      </w:pPr>
      <w:r>
        <w:rPr/>
        <w:t>Stevens, L.A., Josef Coresh, M.D.,Greene, T. and Levey, A.S. (2006): Assessing Kidney</w:t>
      </w:r>
      <w:r>
        <w:rPr>
          <w:spacing w:val="1"/>
        </w:rPr>
        <w:t> </w:t>
      </w:r>
      <w:r>
        <w:rPr/>
        <w:t>function-measured and estimated Glomerular filtration Rate. </w:t>
      </w:r>
      <w:r>
        <w:rPr>
          <w:i/>
        </w:rPr>
        <w:t>New. England Journal of</w:t>
      </w:r>
      <w:r>
        <w:rPr>
          <w:i/>
          <w:spacing w:val="1"/>
        </w:rPr>
        <w:t> </w:t>
      </w:r>
      <w:r>
        <w:rPr>
          <w:i/>
        </w:rPr>
        <w:t>Medicine.</w:t>
      </w:r>
      <w:r>
        <w:rPr>
          <w:i/>
          <w:spacing w:val="-1"/>
        </w:rPr>
        <w:t> </w:t>
      </w:r>
      <w:r>
        <w:rPr/>
        <w:t>354:23.</w:t>
      </w:r>
    </w:p>
    <w:p>
      <w:pPr>
        <w:pStyle w:val="BodyText"/>
        <w:spacing w:before="1"/>
      </w:pPr>
    </w:p>
    <w:p>
      <w:pPr>
        <w:pStyle w:val="BodyText"/>
        <w:ind w:left="220"/>
      </w:pPr>
      <w:r>
        <w:rPr/>
        <w:t>Suzuki,</w:t>
      </w:r>
      <w:r>
        <w:rPr>
          <w:spacing w:val="13"/>
        </w:rPr>
        <w:t> </w:t>
      </w:r>
      <w:r>
        <w:rPr/>
        <w:t>S.,</w:t>
      </w:r>
      <w:r>
        <w:rPr>
          <w:spacing w:val="14"/>
        </w:rPr>
        <w:t> </w:t>
      </w:r>
      <w:r>
        <w:rPr/>
        <w:t>Kawakami,</w:t>
      </w:r>
      <w:r>
        <w:rPr>
          <w:spacing w:val="16"/>
        </w:rPr>
        <w:t> </w:t>
      </w:r>
      <w:r>
        <w:rPr/>
        <w:t>K.,</w:t>
      </w:r>
      <w:r>
        <w:rPr>
          <w:spacing w:val="13"/>
        </w:rPr>
        <w:t> </w:t>
      </w:r>
      <w:r>
        <w:rPr/>
        <w:t>Nishimura,</w:t>
      </w:r>
      <w:r>
        <w:rPr>
          <w:spacing w:val="13"/>
        </w:rPr>
        <w:t> </w:t>
      </w:r>
      <w:r>
        <w:rPr/>
        <w:t>S.,</w:t>
      </w:r>
      <w:r>
        <w:rPr>
          <w:spacing w:val="14"/>
        </w:rPr>
        <w:t> </w:t>
      </w:r>
      <w:r>
        <w:rPr/>
        <w:t>Watanabe,</w:t>
      </w:r>
      <w:r>
        <w:rPr>
          <w:spacing w:val="13"/>
        </w:rPr>
        <w:t> </w:t>
      </w:r>
      <w:r>
        <w:rPr/>
        <w:t>Y.,</w:t>
      </w:r>
      <w:r>
        <w:rPr>
          <w:spacing w:val="15"/>
        </w:rPr>
        <w:t> </w:t>
      </w:r>
      <w:r>
        <w:rPr/>
        <w:t>Yagi,</w:t>
      </w:r>
      <w:r>
        <w:rPr>
          <w:spacing w:val="13"/>
        </w:rPr>
        <w:t> </w:t>
      </w:r>
      <w:r>
        <w:rPr/>
        <w:t>K.,</w:t>
      </w:r>
      <w:r>
        <w:rPr>
          <w:spacing w:val="12"/>
        </w:rPr>
        <w:t> </w:t>
      </w:r>
      <w:r>
        <w:rPr/>
        <w:t>Seino,</w:t>
      </w:r>
      <w:r>
        <w:rPr>
          <w:spacing w:val="14"/>
        </w:rPr>
        <w:t> </w:t>
      </w:r>
      <w:r>
        <w:rPr/>
        <w:t>M.,</w:t>
      </w:r>
      <w:r>
        <w:rPr>
          <w:spacing w:val="15"/>
        </w:rPr>
        <w:t> </w:t>
      </w:r>
      <w:r>
        <w:rPr/>
        <w:t>&amp;</w:t>
      </w:r>
      <w:r>
        <w:rPr>
          <w:spacing w:val="18"/>
        </w:rPr>
        <w:t> </w:t>
      </w:r>
      <w:r>
        <w:rPr/>
        <w:t>Miyamoto,</w:t>
      </w:r>
    </w:p>
    <w:p>
      <w:pPr>
        <w:pStyle w:val="BodyText"/>
        <w:ind w:left="671" w:right="117"/>
      </w:pPr>
      <w:r>
        <w:rPr/>
        <w:t>K. (1992).</w:t>
      </w:r>
      <w:r>
        <w:rPr>
          <w:spacing w:val="3"/>
        </w:rPr>
        <w:t> </w:t>
      </w:r>
      <w:r>
        <w:rPr/>
        <w:t>Zonisamide blocks</w:t>
      </w:r>
      <w:r>
        <w:rPr>
          <w:spacing w:val="1"/>
        </w:rPr>
        <w:t> </w:t>
      </w:r>
      <w:r>
        <w:rPr/>
        <w:t>T-type</w:t>
      </w:r>
      <w:r>
        <w:rPr>
          <w:spacing w:val="2"/>
        </w:rPr>
        <w:t> </w:t>
      </w:r>
      <w:r>
        <w:rPr/>
        <w:t>calcium</w:t>
      </w:r>
      <w:r>
        <w:rPr>
          <w:spacing w:val="1"/>
        </w:rPr>
        <w:t> </w:t>
      </w:r>
      <w:r>
        <w:rPr/>
        <w:t>channel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cultured</w:t>
      </w:r>
      <w:r>
        <w:rPr>
          <w:spacing w:val="1"/>
        </w:rPr>
        <w:t> </w:t>
      </w:r>
      <w:r>
        <w:rPr/>
        <w:t>neurons</w:t>
      </w:r>
      <w:r>
        <w:rPr>
          <w:spacing w:val="3"/>
        </w:rPr>
        <w:t> </w:t>
      </w:r>
      <w:r>
        <w:rPr/>
        <w:t>of</w:t>
      </w:r>
      <w:r>
        <w:rPr>
          <w:spacing w:val="1"/>
        </w:rPr>
        <w:t> </w:t>
      </w:r>
      <w:r>
        <w:rPr/>
        <w:t>rat</w:t>
      </w:r>
      <w:r>
        <w:rPr>
          <w:spacing w:val="1"/>
        </w:rPr>
        <w:t> </w:t>
      </w:r>
      <w:r>
        <w:rPr/>
        <w:t>cerebral</w:t>
      </w:r>
      <w:r>
        <w:rPr>
          <w:spacing w:val="-57"/>
        </w:rPr>
        <w:t> </w:t>
      </w:r>
      <w:r>
        <w:rPr/>
        <w:t>cortex.</w:t>
      </w:r>
      <w:r>
        <w:rPr>
          <w:spacing w:val="-1"/>
        </w:rPr>
        <w:t> </w:t>
      </w:r>
      <w:r>
        <w:rPr>
          <w:i/>
        </w:rPr>
        <w:t>Epilepsy</w:t>
      </w:r>
      <w:r>
        <w:rPr>
          <w:i/>
          <w:spacing w:val="-1"/>
        </w:rPr>
        <w:t> </w:t>
      </w:r>
      <w:r>
        <w:rPr>
          <w:i/>
        </w:rPr>
        <w:t>Reearch</w:t>
      </w:r>
      <w:r>
        <w:rPr>
          <w:i/>
          <w:spacing w:val="1"/>
        </w:rPr>
        <w:t> </w:t>
      </w:r>
      <w:r>
        <w:rPr/>
        <w:t>12:21-27.</w:t>
      </w:r>
    </w:p>
    <w:p>
      <w:pPr>
        <w:pStyle w:val="BodyText"/>
      </w:pPr>
    </w:p>
    <w:p>
      <w:pPr>
        <w:pStyle w:val="BodyText"/>
        <w:ind w:left="671" w:right="116" w:hanging="452"/>
        <w:jc w:val="both"/>
      </w:pPr>
      <w:r>
        <w:rPr/>
        <w:t>Swinyard,</w:t>
      </w:r>
      <w:r>
        <w:rPr>
          <w:spacing w:val="1"/>
        </w:rPr>
        <w:t> </w:t>
      </w:r>
      <w:r>
        <w:rPr/>
        <w:t>E.A.</w:t>
      </w:r>
      <w:r>
        <w:rPr>
          <w:spacing w:val="1"/>
        </w:rPr>
        <w:t> </w:t>
      </w:r>
      <w:r>
        <w:rPr/>
        <w:t>(1972).</w:t>
      </w:r>
      <w:r>
        <w:rPr>
          <w:spacing w:val="1"/>
        </w:rPr>
        <w:t> </w:t>
      </w:r>
      <w:r>
        <w:rPr/>
        <w:t>Electrically</w:t>
      </w:r>
      <w:r>
        <w:rPr>
          <w:spacing w:val="1"/>
        </w:rPr>
        <w:t> </w:t>
      </w:r>
      <w:r>
        <w:rPr/>
        <w:t>induced</w:t>
      </w:r>
      <w:r>
        <w:rPr>
          <w:spacing w:val="1"/>
        </w:rPr>
        <w:t> </w:t>
      </w:r>
      <w:r>
        <w:rPr/>
        <w:t>convulsions,</w:t>
      </w:r>
      <w:r>
        <w:rPr>
          <w:spacing w:val="1"/>
        </w:rPr>
        <w:t> </w:t>
      </w:r>
      <w:r>
        <w:rPr/>
        <w:t>In:</w:t>
      </w:r>
      <w:r>
        <w:rPr>
          <w:spacing w:val="1"/>
        </w:rPr>
        <w:t> </w:t>
      </w:r>
      <w:r>
        <w:rPr/>
        <w:t>Experimental</w:t>
      </w:r>
      <w:r>
        <w:rPr>
          <w:spacing w:val="1"/>
        </w:rPr>
        <w:t> </w:t>
      </w:r>
      <w:r>
        <w:rPr/>
        <w:t>models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Epilepsy.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manual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laboratory</w:t>
      </w:r>
      <w:r>
        <w:rPr>
          <w:spacing w:val="1"/>
        </w:rPr>
        <w:t> </w:t>
      </w:r>
      <w:r>
        <w:rPr/>
        <w:t>worker,</w:t>
      </w:r>
      <w:r>
        <w:rPr>
          <w:spacing w:val="1"/>
        </w:rPr>
        <w:t> </w:t>
      </w:r>
      <w:r>
        <w:rPr/>
        <w:t>(Purpura,</w:t>
      </w:r>
      <w:r>
        <w:rPr>
          <w:spacing w:val="1"/>
        </w:rPr>
        <w:t> </w:t>
      </w:r>
      <w:r>
        <w:rPr/>
        <w:t>D.P.,</w:t>
      </w:r>
      <w:r>
        <w:rPr>
          <w:spacing w:val="1"/>
        </w:rPr>
        <w:t> </w:t>
      </w:r>
      <w:r>
        <w:rPr/>
        <w:t>J.K.,</w:t>
      </w:r>
      <w:r>
        <w:rPr>
          <w:spacing w:val="1"/>
        </w:rPr>
        <w:t> </w:t>
      </w:r>
      <w:r>
        <w:rPr/>
        <w:t>Tower,</w:t>
      </w:r>
      <w:r>
        <w:rPr>
          <w:spacing w:val="1"/>
        </w:rPr>
        <w:t> </w:t>
      </w:r>
      <w:r>
        <w:rPr/>
        <w:t>D.B.,</w:t>
      </w:r>
      <w:r>
        <w:rPr>
          <w:spacing w:val="1"/>
        </w:rPr>
        <w:t> </w:t>
      </w:r>
      <w:r>
        <w:rPr/>
        <w:t>Woodhury,</w:t>
      </w:r>
      <w:r>
        <w:rPr>
          <w:spacing w:val="-1"/>
        </w:rPr>
        <w:t> </w:t>
      </w:r>
      <w:r>
        <w:rPr/>
        <w:t>D.M. and Walter, R.D. Eds),. Raven Press; New York. Pp.433-458.</w:t>
      </w:r>
    </w:p>
    <w:p>
      <w:pPr>
        <w:pStyle w:val="BodyText"/>
      </w:pPr>
    </w:p>
    <w:p>
      <w:pPr>
        <w:pStyle w:val="BodyText"/>
        <w:ind w:left="671" w:right="116" w:hanging="452"/>
        <w:jc w:val="both"/>
      </w:pPr>
      <w:r>
        <w:rPr/>
        <w:t>Swinyard, E.A. and Kupferberg, H.J. (1985). Antiepileptic drugs: detection, quantification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evaluation.</w:t>
      </w:r>
      <w:r>
        <w:rPr>
          <w:spacing w:val="1"/>
        </w:rPr>
        <w:t> </w:t>
      </w:r>
      <w:r>
        <w:rPr>
          <w:i/>
        </w:rPr>
        <w:t>Federation proceedings</w:t>
      </w:r>
      <w:r>
        <w:rPr>
          <w:i/>
          <w:spacing w:val="1"/>
        </w:rPr>
        <w:t> </w:t>
      </w:r>
      <w:r>
        <w:rPr/>
        <w:t>44(10): 2629-2633.</w:t>
      </w:r>
    </w:p>
    <w:p>
      <w:pPr>
        <w:pStyle w:val="BodyText"/>
      </w:pPr>
    </w:p>
    <w:p>
      <w:pPr>
        <w:pStyle w:val="BodyText"/>
        <w:spacing w:before="1"/>
        <w:ind w:left="671" w:right="116" w:hanging="452"/>
        <w:jc w:val="both"/>
      </w:pPr>
      <w:r>
        <w:rPr/>
        <w:t>Swinyard, E.A., Woodhead, J.H., White, H.S. &amp; Franklin, M.R. (1989). General principles:</w:t>
      </w:r>
      <w:r>
        <w:rPr>
          <w:spacing w:val="1"/>
        </w:rPr>
        <w:t> </w:t>
      </w:r>
      <w:r>
        <w:rPr/>
        <w:t>Experimental</w:t>
      </w:r>
      <w:r>
        <w:rPr>
          <w:spacing w:val="1"/>
        </w:rPr>
        <w:t> </w:t>
      </w:r>
      <w:r>
        <w:rPr/>
        <w:t>Selection,</w:t>
      </w:r>
      <w:r>
        <w:rPr>
          <w:spacing w:val="1"/>
        </w:rPr>
        <w:t> </w:t>
      </w:r>
      <w:r>
        <w:rPr/>
        <w:t>Quantification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evaluation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anticonvulsants</w:t>
      </w:r>
      <w:r>
        <w:rPr>
          <w:spacing w:val="1"/>
        </w:rPr>
        <w:t> </w:t>
      </w:r>
      <w:r>
        <w:rPr/>
        <w:t>In:</w:t>
      </w:r>
      <w:r>
        <w:rPr>
          <w:spacing w:val="1"/>
        </w:rPr>
        <w:t> </w:t>
      </w:r>
      <w:r>
        <w:rPr/>
        <w:t>Antiepileptic Drugs, 3rd eds (Levy, R.H; Mattson, B., Melrum, J.K. and Dreifuss; F.E.</w:t>
      </w:r>
      <w:r>
        <w:rPr>
          <w:spacing w:val="1"/>
        </w:rPr>
        <w:t> </w:t>
      </w:r>
      <w:r>
        <w:rPr/>
        <w:t>Eds)</w:t>
      </w:r>
      <w:r>
        <w:rPr>
          <w:spacing w:val="-2"/>
        </w:rPr>
        <w:t> </w:t>
      </w:r>
      <w:r>
        <w:rPr/>
        <w:t>Raven Press. New</w:t>
      </w:r>
      <w:r>
        <w:rPr>
          <w:spacing w:val="1"/>
        </w:rPr>
        <w:t> </w:t>
      </w:r>
      <w:r>
        <w:rPr/>
        <w:t>York Pp. 85-103.</w:t>
      </w:r>
    </w:p>
    <w:p>
      <w:pPr>
        <w:pStyle w:val="BodyText"/>
      </w:pPr>
    </w:p>
    <w:p>
      <w:pPr>
        <w:pStyle w:val="BodyText"/>
        <w:ind w:left="671" w:right="116" w:hanging="452"/>
        <w:jc w:val="both"/>
      </w:pPr>
      <w:r>
        <w:rPr/>
        <w:t>Taylor, L.A., McQuade, R.D. and Tice, M.A. (1995). Felbamate, a novel antiepileptic drug</w:t>
      </w:r>
      <w:r>
        <w:rPr>
          <w:spacing w:val="1"/>
        </w:rPr>
        <w:t> </w:t>
      </w:r>
      <w:r>
        <w:rPr/>
        <w:t>reverses</w:t>
      </w:r>
      <w:r>
        <w:rPr>
          <w:spacing w:val="1"/>
        </w:rPr>
        <w:t> </w:t>
      </w:r>
      <w:r>
        <w:rPr/>
        <w:t>NMDA/glycine-stimulated</w:t>
      </w:r>
      <w:r>
        <w:rPr>
          <w:spacing w:val="1"/>
        </w:rPr>
        <w:t> </w:t>
      </w:r>
      <w:r>
        <w:rPr/>
        <w:t>increases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intracellular</w:t>
      </w:r>
      <w:r>
        <w:rPr>
          <w:spacing w:val="1"/>
        </w:rPr>
        <w:t> </w:t>
      </w:r>
      <w:r>
        <w:rPr/>
        <w:t>Ca</w:t>
      </w:r>
      <w:r>
        <w:rPr>
          <w:vertAlign w:val="superscript"/>
        </w:rPr>
        <w:t>2+</w:t>
      </w:r>
      <w:r>
        <w:rPr>
          <w:spacing w:val="1"/>
          <w:vertAlign w:val="baseline"/>
        </w:rPr>
        <w:t> </w:t>
      </w:r>
      <w:r>
        <w:rPr>
          <w:vertAlign w:val="baseline"/>
        </w:rPr>
        <w:t>concentration.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European</w:t>
      </w:r>
      <w:r>
        <w:rPr>
          <w:i/>
          <w:spacing w:val="-1"/>
          <w:vertAlign w:val="baseline"/>
        </w:rPr>
        <w:t> </w:t>
      </w:r>
      <w:r>
        <w:rPr>
          <w:i/>
          <w:vertAlign w:val="baseline"/>
        </w:rPr>
        <w:t>Journal of Pharmacology</w:t>
      </w:r>
      <w:r>
        <w:rPr>
          <w:i/>
          <w:spacing w:val="-1"/>
          <w:vertAlign w:val="baseline"/>
        </w:rPr>
        <w:t> </w:t>
      </w:r>
      <w:r>
        <w:rPr>
          <w:vertAlign w:val="baseline"/>
        </w:rPr>
        <w:t>289:229-233.</w:t>
      </w:r>
    </w:p>
    <w:p>
      <w:pPr>
        <w:pStyle w:val="BodyText"/>
      </w:pPr>
    </w:p>
    <w:p>
      <w:pPr>
        <w:pStyle w:val="BodyText"/>
        <w:ind w:left="671" w:right="116" w:hanging="452"/>
        <w:jc w:val="both"/>
      </w:pPr>
      <w:r>
        <w:rPr/>
        <w:t>Tecoma, E.S. (1999). Oxcarbazepine. </w:t>
      </w:r>
      <w:r>
        <w:rPr>
          <w:i/>
        </w:rPr>
        <w:t>Epilepsia </w:t>
      </w:r>
      <w:r>
        <w:rPr/>
        <w:t>40(Suppl. 5), S37-S46. Editorial (1989):</w:t>
      </w:r>
      <w:r>
        <w:rPr>
          <w:spacing w:val="1"/>
        </w:rPr>
        <w:t> </w:t>
      </w:r>
      <w:r>
        <w:rPr/>
        <w:t>Oxcarbazepine.</w:t>
      </w:r>
      <w:r>
        <w:rPr>
          <w:spacing w:val="-1"/>
        </w:rPr>
        <w:t> </w:t>
      </w:r>
      <w:r>
        <w:rPr>
          <w:i/>
        </w:rPr>
        <w:t>Lancet ii</w:t>
      </w:r>
      <w:r>
        <w:rPr/>
        <w:t>, 196-198.</w:t>
      </w:r>
    </w:p>
    <w:p>
      <w:pPr>
        <w:pStyle w:val="BodyText"/>
      </w:pPr>
    </w:p>
    <w:p>
      <w:pPr>
        <w:pStyle w:val="BodyText"/>
        <w:spacing w:before="1"/>
        <w:ind w:left="671" w:right="123" w:hanging="452"/>
        <w:jc w:val="both"/>
      </w:pPr>
      <w:r>
        <w:rPr/>
        <w:t>Tecoma, E.S. and Iraqui V.J (2006).Vagus nerve stimulation use and effect in epilepsy: what</w:t>
      </w:r>
      <w:r>
        <w:rPr>
          <w:spacing w:val="1"/>
        </w:rPr>
        <w:t> </w:t>
      </w:r>
      <w:r>
        <w:rPr/>
        <w:t>have</w:t>
      </w:r>
      <w:r>
        <w:rPr>
          <w:spacing w:val="-2"/>
        </w:rPr>
        <w:t> </w:t>
      </w:r>
      <w:r>
        <w:rPr/>
        <w:t>we</w:t>
      </w:r>
      <w:r>
        <w:rPr>
          <w:spacing w:val="-2"/>
        </w:rPr>
        <w:t> </w:t>
      </w:r>
      <w:r>
        <w:rPr/>
        <w:t>learned?</w:t>
      </w:r>
      <w:r>
        <w:rPr>
          <w:spacing w:val="5"/>
        </w:rPr>
        <w:t> </w:t>
      </w:r>
      <w:r>
        <w:rPr>
          <w:i/>
        </w:rPr>
        <w:t>Epilepsy</w:t>
      </w:r>
      <w:r>
        <w:rPr>
          <w:i/>
          <w:spacing w:val="-1"/>
        </w:rPr>
        <w:t> </w:t>
      </w:r>
      <w:r>
        <w:rPr>
          <w:i/>
        </w:rPr>
        <w:t>Behaviour</w:t>
      </w:r>
      <w:r>
        <w:rPr/>
        <w:t>; 8:127-136.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671" w:right="113" w:hanging="452"/>
        <w:jc w:val="both"/>
      </w:pPr>
      <w:r>
        <w:rPr/>
        <w:t>Theodore, W.H., and Fisher, R.S. (2004): Brain Stimulation for epilepsy. </w:t>
      </w:r>
      <w:r>
        <w:rPr>
          <w:i/>
        </w:rPr>
        <w:t>Lancet Neurol</w:t>
      </w:r>
      <w:r>
        <w:rPr/>
        <w:t>ogy</w:t>
      </w:r>
      <w:r>
        <w:rPr>
          <w:spacing w:val="1"/>
        </w:rPr>
        <w:t> </w:t>
      </w:r>
      <w:r>
        <w:rPr/>
        <w:t>3(2):</w:t>
      </w:r>
      <w:r>
        <w:rPr>
          <w:spacing w:val="-1"/>
        </w:rPr>
        <w:t> </w:t>
      </w:r>
      <w:r>
        <w:rPr/>
        <w:t>111-118.</w:t>
      </w:r>
    </w:p>
    <w:p>
      <w:pPr>
        <w:pStyle w:val="BodyText"/>
      </w:pPr>
    </w:p>
    <w:p>
      <w:pPr>
        <w:pStyle w:val="BodyText"/>
        <w:ind w:left="671" w:right="122" w:hanging="452"/>
        <w:jc w:val="both"/>
      </w:pPr>
      <w:r>
        <w:rPr/>
        <w:t>Tolman, K.G.</w:t>
      </w:r>
      <w:r>
        <w:rPr>
          <w:spacing w:val="1"/>
        </w:rPr>
        <w:t> </w:t>
      </w:r>
      <w:r>
        <w:rPr/>
        <w:t>and Rej,</w:t>
      </w:r>
      <w:r>
        <w:rPr>
          <w:spacing w:val="1"/>
        </w:rPr>
        <w:t> </w:t>
      </w:r>
      <w:r>
        <w:rPr/>
        <w:t>R. (1999).Liver</w:t>
      </w:r>
      <w:r>
        <w:rPr>
          <w:spacing w:val="1"/>
        </w:rPr>
        <w:t> </w:t>
      </w:r>
      <w:r>
        <w:rPr/>
        <w:t>Function.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Burtis C.A; Ashwood, E.R;</w:t>
      </w:r>
      <w:r>
        <w:rPr>
          <w:spacing w:val="60"/>
        </w:rPr>
        <w:t> </w:t>
      </w:r>
      <w:r>
        <w:rPr/>
        <w:t>Editors.</w:t>
      </w:r>
      <w:r>
        <w:rPr>
          <w:spacing w:val="1"/>
        </w:rPr>
        <w:t> </w:t>
      </w:r>
      <w:r>
        <w:rPr/>
        <w:t>Tietz Textbook of Clinical Chemistry. Philadelphia, PA: W.B. Saunders Company, Pp.</w:t>
      </w:r>
      <w:r>
        <w:rPr>
          <w:spacing w:val="1"/>
        </w:rPr>
        <w:t> </w:t>
      </w:r>
      <w:r>
        <w:rPr/>
        <w:t>1125-1177.</w:t>
      </w:r>
    </w:p>
    <w:p>
      <w:pPr>
        <w:spacing w:after="0"/>
        <w:jc w:val="both"/>
        <w:sectPr>
          <w:pgSz w:w="12240" w:h="15840"/>
          <w:pgMar w:header="0" w:footer="792" w:top="1360" w:bottom="980" w:left="1580" w:right="1320"/>
        </w:sectPr>
      </w:pPr>
    </w:p>
    <w:p>
      <w:pPr>
        <w:pStyle w:val="BodyText"/>
        <w:spacing w:before="72"/>
        <w:ind w:left="671" w:right="115" w:hanging="452"/>
        <w:jc w:val="both"/>
      </w:pPr>
      <w:r>
        <w:rPr/>
        <w:t>Toman, J.E.P., Swinyard, E.A. &amp; Goodman, L.S. (1946). Properties of maximal Seizures and</w:t>
      </w:r>
      <w:r>
        <w:rPr>
          <w:spacing w:val="-57"/>
        </w:rPr>
        <w:t> </w:t>
      </w:r>
      <w:r>
        <w:rPr/>
        <w:t>their alteration by anticonvulsant drugs and other agents. </w:t>
      </w:r>
      <w:r>
        <w:rPr>
          <w:i/>
        </w:rPr>
        <w:t>Journal of Neurophysiology</w:t>
      </w:r>
      <w:r>
        <w:rPr>
          <w:i/>
          <w:spacing w:val="1"/>
        </w:rPr>
        <w:t> </w:t>
      </w:r>
      <w:r>
        <w:rPr/>
        <w:t>9(3):</w:t>
      </w:r>
      <w:r>
        <w:rPr>
          <w:spacing w:val="-1"/>
        </w:rPr>
        <w:t> </w:t>
      </w:r>
      <w:r>
        <w:rPr/>
        <w:t>231-</w:t>
      </w:r>
      <w:r>
        <w:rPr>
          <w:spacing w:val="-1"/>
        </w:rPr>
        <w:t> </w:t>
      </w:r>
      <w:r>
        <w:rPr/>
        <w:t>239.</w:t>
      </w:r>
    </w:p>
    <w:p>
      <w:pPr>
        <w:pStyle w:val="BodyText"/>
      </w:pPr>
    </w:p>
    <w:p>
      <w:pPr>
        <w:pStyle w:val="BodyText"/>
        <w:ind w:left="671" w:right="121" w:hanging="452"/>
        <w:jc w:val="both"/>
      </w:pPr>
      <w:r>
        <w:rPr/>
        <w:t>Trease,G.E. and Evans,M.C. (1983).Textbook of pharmacognosy.thirteenth edition,Bailier</w:t>
      </w:r>
      <w:r>
        <w:rPr>
          <w:spacing w:val="1"/>
        </w:rPr>
        <w:t> </w:t>
      </w:r>
      <w:r>
        <w:rPr/>
        <w:t>Tindal,London,pp.247-762</w:t>
      </w:r>
    </w:p>
    <w:p>
      <w:pPr>
        <w:pStyle w:val="BodyText"/>
      </w:pPr>
    </w:p>
    <w:p>
      <w:pPr>
        <w:pStyle w:val="BodyText"/>
        <w:ind w:left="671" w:right="120" w:hanging="452"/>
        <w:jc w:val="both"/>
      </w:pPr>
      <w:r>
        <w:rPr/>
        <w:t>Trease, G.E. and Evans,</w:t>
      </w:r>
      <w:r>
        <w:rPr>
          <w:spacing w:val="1"/>
        </w:rPr>
        <w:t> </w:t>
      </w:r>
      <w:r>
        <w:rPr/>
        <w:t>M.C. (2002).Phytochemistry In:</w:t>
      </w:r>
      <w:r>
        <w:rPr>
          <w:spacing w:val="1"/>
        </w:rPr>
        <w:t> </w:t>
      </w:r>
      <w:r>
        <w:rPr/>
        <w:t>Textbook</w:t>
      </w:r>
      <w:r>
        <w:rPr>
          <w:spacing w:val="60"/>
        </w:rPr>
        <w:t> </w:t>
      </w:r>
      <w:r>
        <w:rPr/>
        <w:t>of Pharmacognosy. 4th</w:t>
      </w:r>
      <w:r>
        <w:rPr>
          <w:spacing w:val="1"/>
        </w:rPr>
        <w:t> </w:t>
      </w:r>
      <w:r>
        <w:rPr/>
        <w:t>Ed</w:t>
      </w:r>
      <w:r>
        <w:rPr>
          <w:spacing w:val="-1"/>
        </w:rPr>
        <w:t> </w:t>
      </w:r>
      <w:r>
        <w:rPr/>
        <w:t>WB</w:t>
      </w:r>
      <w:r>
        <w:rPr>
          <w:spacing w:val="-2"/>
        </w:rPr>
        <w:t> </w:t>
      </w:r>
      <w:r>
        <w:rPr/>
        <w:t>Senders Company</w:t>
      </w:r>
      <w:r>
        <w:rPr>
          <w:spacing w:val="-1"/>
        </w:rPr>
        <w:t> </w:t>
      </w:r>
      <w:r>
        <w:rPr/>
        <w:t>Ltd,</w:t>
      </w:r>
      <w:r>
        <w:rPr>
          <w:spacing w:val="2"/>
        </w:rPr>
        <w:t> </w:t>
      </w:r>
      <w:r>
        <w:rPr/>
        <w:t>London UK</w:t>
      </w:r>
      <w:r>
        <w:rPr>
          <w:spacing w:val="-1"/>
        </w:rPr>
        <w:t> </w:t>
      </w:r>
      <w:r>
        <w:rPr/>
        <w:t>Pp 224-343.</w:t>
      </w:r>
    </w:p>
    <w:p>
      <w:pPr>
        <w:pStyle w:val="BodyText"/>
      </w:pPr>
    </w:p>
    <w:p>
      <w:pPr>
        <w:pStyle w:val="BodyText"/>
        <w:ind w:left="671" w:right="114" w:hanging="452"/>
        <w:jc w:val="both"/>
      </w:pPr>
      <w:r>
        <w:rPr/>
        <w:t>Trieman,</w:t>
      </w:r>
      <w:r>
        <w:rPr>
          <w:spacing w:val="1"/>
        </w:rPr>
        <w:t> </w:t>
      </w:r>
      <w:r>
        <w:rPr/>
        <w:t>D.M.,</w:t>
      </w:r>
      <w:r>
        <w:rPr>
          <w:spacing w:val="1"/>
        </w:rPr>
        <w:t> </w:t>
      </w:r>
      <w:r>
        <w:rPr/>
        <w:t>Meyers,</w:t>
      </w:r>
      <w:r>
        <w:rPr>
          <w:spacing w:val="1"/>
        </w:rPr>
        <w:t> </w:t>
      </w:r>
      <w:r>
        <w:rPr/>
        <w:t>P.D.,Walton,</w:t>
      </w:r>
      <w:r>
        <w:rPr>
          <w:spacing w:val="1"/>
        </w:rPr>
        <w:t> </w:t>
      </w:r>
      <w:r>
        <w:rPr/>
        <w:t>N.Y.,</w:t>
      </w:r>
      <w:r>
        <w:rPr>
          <w:spacing w:val="1"/>
        </w:rPr>
        <w:t> </w:t>
      </w:r>
      <w:r>
        <w:rPr/>
        <w:t>Collins,</w:t>
      </w:r>
      <w:r>
        <w:rPr>
          <w:spacing w:val="1"/>
        </w:rPr>
        <w:t> </w:t>
      </w:r>
      <w:r>
        <w:rPr/>
        <w:t>J.F.,</w:t>
      </w:r>
      <w:r>
        <w:rPr>
          <w:spacing w:val="1"/>
        </w:rPr>
        <w:t> </w:t>
      </w:r>
      <w:r>
        <w:rPr/>
        <w:t>Colling,</w:t>
      </w:r>
      <w:r>
        <w:rPr>
          <w:spacing w:val="1"/>
        </w:rPr>
        <w:t> </w:t>
      </w:r>
      <w:r>
        <w:rPr/>
        <w:t>C.,Rowan,</w:t>
      </w:r>
      <w:r>
        <w:rPr>
          <w:spacing w:val="61"/>
        </w:rPr>
        <w:t> </w:t>
      </w:r>
      <w:r>
        <w:rPr/>
        <w:t>A.J.,</w:t>
      </w:r>
      <w:r>
        <w:rPr>
          <w:spacing w:val="-57"/>
        </w:rPr>
        <w:t> </w:t>
      </w:r>
      <w:r>
        <w:rPr/>
        <w:t>Handforth, A., Faught, E., Calabrese, V.P., Uthman, B., Ramsay, R.E. and Mamdani, B.</w:t>
      </w:r>
      <w:r>
        <w:rPr>
          <w:spacing w:val="1"/>
        </w:rPr>
        <w:t> </w:t>
      </w:r>
      <w:r>
        <w:rPr/>
        <w:t>(1998). A comparison of four treatments for generalized convulsive status. </w:t>
      </w:r>
      <w:r>
        <w:rPr>
          <w:i/>
        </w:rPr>
        <w:t>New England</w:t>
      </w:r>
      <w:r>
        <w:rPr>
          <w:i/>
          <w:spacing w:val="-57"/>
        </w:rPr>
        <w:t> </w:t>
      </w:r>
      <w:r>
        <w:rPr>
          <w:i/>
        </w:rPr>
        <w:t>Journal</w:t>
      </w:r>
      <w:r>
        <w:rPr>
          <w:i/>
          <w:spacing w:val="-1"/>
        </w:rPr>
        <w:t> </w:t>
      </w:r>
      <w:r>
        <w:rPr>
          <w:i/>
        </w:rPr>
        <w:t>of Medicine </w:t>
      </w:r>
      <w:r>
        <w:rPr/>
        <w:t>339:792-798.</w:t>
      </w:r>
    </w:p>
    <w:p>
      <w:pPr>
        <w:pStyle w:val="BodyText"/>
        <w:spacing w:before="1"/>
      </w:pPr>
    </w:p>
    <w:p>
      <w:pPr>
        <w:spacing w:before="0"/>
        <w:ind w:left="671" w:right="118" w:hanging="452"/>
        <w:jc w:val="both"/>
        <w:rPr>
          <w:sz w:val="24"/>
        </w:rPr>
      </w:pPr>
      <w:r>
        <w:rPr>
          <w:sz w:val="24"/>
        </w:rPr>
        <w:t>Trinder,</w:t>
      </w:r>
      <w:r>
        <w:rPr>
          <w:spacing w:val="1"/>
          <w:sz w:val="24"/>
        </w:rPr>
        <w:t> </w:t>
      </w:r>
      <w:r>
        <w:rPr>
          <w:sz w:val="24"/>
        </w:rPr>
        <w:t>P.</w:t>
      </w:r>
      <w:r>
        <w:rPr>
          <w:spacing w:val="1"/>
          <w:sz w:val="24"/>
        </w:rPr>
        <w:t> </w:t>
      </w:r>
      <w:r>
        <w:rPr>
          <w:sz w:val="24"/>
        </w:rPr>
        <w:t>(1969).</w:t>
      </w:r>
      <w:r>
        <w:rPr>
          <w:spacing w:val="1"/>
          <w:sz w:val="24"/>
        </w:rPr>
        <w:t> </w:t>
      </w:r>
      <w:r>
        <w:rPr>
          <w:sz w:val="24"/>
        </w:rPr>
        <w:t>Determination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glucose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blood</w:t>
      </w:r>
      <w:r>
        <w:rPr>
          <w:spacing w:val="1"/>
          <w:sz w:val="24"/>
        </w:rPr>
        <w:t> </w:t>
      </w:r>
      <w:r>
        <w:rPr>
          <w:sz w:val="24"/>
        </w:rPr>
        <w:t>using</w:t>
      </w:r>
      <w:r>
        <w:rPr>
          <w:spacing w:val="1"/>
          <w:sz w:val="24"/>
        </w:rPr>
        <w:t> </w:t>
      </w:r>
      <w:r>
        <w:rPr>
          <w:sz w:val="24"/>
        </w:rPr>
        <w:t>glucose</w:t>
      </w:r>
      <w:r>
        <w:rPr>
          <w:spacing w:val="1"/>
          <w:sz w:val="24"/>
        </w:rPr>
        <w:t> </w:t>
      </w:r>
      <w:r>
        <w:rPr>
          <w:sz w:val="24"/>
        </w:rPr>
        <w:t>oxidase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1"/>
          <w:sz w:val="24"/>
        </w:rPr>
        <w:t> </w:t>
      </w:r>
      <w:r>
        <w:rPr>
          <w:sz w:val="24"/>
        </w:rPr>
        <w:t>an</w:t>
      </w:r>
      <w:r>
        <w:rPr>
          <w:spacing w:val="1"/>
          <w:sz w:val="24"/>
        </w:rPr>
        <w:t> </w:t>
      </w:r>
      <w:r>
        <w:rPr>
          <w:sz w:val="24"/>
        </w:rPr>
        <w:t>alternative</w:t>
      </w:r>
      <w:r>
        <w:rPr>
          <w:spacing w:val="-2"/>
          <w:sz w:val="24"/>
        </w:rPr>
        <w:t> </w:t>
      </w:r>
      <w:r>
        <w:rPr>
          <w:sz w:val="24"/>
        </w:rPr>
        <w:t>oxygen</w:t>
      </w:r>
      <w:r>
        <w:rPr>
          <w:spacing w:val="2"/>
          <w:sz w:val="24"/>
        </w:rPr>
        <w:t> </w:t>
      </w:r>
      <w:r>
        <w:rPr>
          <w:sz w:val="24"/>
        </w:rPr>
        <w:t>acceptor.</w:t>
      </w:r>
      <w:r>
        <w:rPr>
          <w:spacing w:val="2"/>
          <w:sz w:val="24"/>
        </w:rPr>
        <w:t> </w:t>
      </w:r>
      <w:r>
        <w:rPr>
          <w:i/>
          <w:sz w:val="24"/>
        </w:rPr>
        <w:t>Annals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Clinical Biochemistry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sz w:val="24"/>
        </w:rPr>
        <w:t>6:24-27.</w:t>
      </w:r>
    </w:p>
    <w:p>
      <w:pPr>
        <w:pStyle w:val="BodyText"/>
      </w:pPr>
    </w:p>
    <w:p>
      <w:pPr>
        <w:pStyle w:val="BodyText"/>
        <w:ind w:left="671" w:right="119" w:hanging="452"/>
        <w:jc w:val="both"/>
      </w:pPr>
      <w:r>
        <w:rPr/>
        <w:t>Tu, B., Timofeeva, O., Jiao, Y., &amp; Nadler, J.V. (2005). Spontaneous release of neuropeptide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tonically</w:t>
      </w:r>
      <w:r>
        <w:rPr>
          <w:spacing w:val="1"/>
        </w:rPr>
        <w:t> </w:t>
      </w:r>
      <w:r>
        <w:rPr/>
        <w:t>inhibits</w:t>
      </w:r>
      <w:r>
        <w:rPr>
          <w:spacing w:val="1"/>
        </w:rPr>
        <w:t> </w:t>
      </w:r>
      <w:r>
        <w:rPr/>
        <w:t>recurrent</w:t>
      </w:r>
      <w:r>
        <w:rPr>
          <w:spacing w:val="1"/>
        </w:rPr>
        <w:t> </w:t>
      </w:r>
      <w:r>
        <w:rPr/>
        <w:t>mossy</w:t>
      </w:r>
      <w:r>
        <w:rPr>
          <w:spacing w:val="1"/>
        </w:rPr>
        <w:t> </w:t>
      </w:r>
      <w:r>
        <w:rPr/>
        <w:t>fiber</w:t>
      </w:r>
      <w:r>
        <w:rPr>
          <w:spacing w:val="1"/>
        </w:rPr>
        <w:t> </w:t>
      </w:r>
      <w:r>
        <w:rPr/>
        <w:t>synaptic</w:t>
      </w:r>
      <w:r>
        <w:rPr>
          <w:spacing w:val="1"/>
        </w:rPr>
        <w:t> </w:t>
      </w:r>
      <w:r>
        <w:rPr/>
        <w:t>transmission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epileptic</w:t>
      </w:r>
      <w:r>
        <w:rPr>
          <w:spacing w:val="1"/>
        </w:rPr>
        <w:t> </w:t>
      </w:r>
      <w:r>
        <w:rPr/>
        <w:t>brain.</w:t>
      </w:r>
      <w:r>
        <w:rPr>
          <w:spacing w:val="1"/>
        </w:rPr>
        <w:t> </w:t>
      </w:r>
      <w:r>
        <w:rPr>
          <w:i/>
        </w:rPr>
        <w:t>Journal</w:t>
      </w:r>
      <w:r>
        <w:rPr>
          <w:i/>
          <w:spacing w:val="-1"/>
        </w:rPr>
        <w:t> </w:t>
      </w:r>
      <w:r>
        <w:rPr>
          <w:i/>
        </w:rPr>
        <w:t>of neuroscience,</w:t>
      </w:r>
      <w:r>
        <w:rPr>
          <w:i/>
          <w:spacing w:val="2"/>
        </w:rPr>
        <w:t> </w:t>
      </w:r>
      <w:r>
        <w:rPr/>
        <w:t>25:1718-1729.</w:t>
      </w:r>
    </w:p>
    <w:p>
      <w:pPr>
        <w:pStyle w:val="BodyText"/>
      </w:pPr>
    </w:p>
    <w:p>
      <w:pPr>
        <w:spacing w:before="0"/>
        <w:ind w:left="207" w:right="104" w:firstLine="0"/>
        <w:jc w:val="center"/>
        <w:rPr>
          <w:i/>
          <w:sz w:val="24"/>
        </w:rPr>
      </w:pPr>
      <w:r>
        <w:rPr>
          <w:sz w:val="24"/>
        </w:rPr>
        <w:t>Tunnicliff</w:t>
      </w:r>
      <w:r>
        <w:rPr>
          <w:spacing w:val="41"/>
          <w:sz w:val="24"/>
        </w:rPr>
        <w:t> </w:t>
      </w:r>
      <w:r>
        <w:rPr>
          <w:sz w:val="24"/>
        </w:rPr>
        <w:t>G.</w:t>
      </w:r>
      <w:r>
        <w:rPr>
          <w:spacing w:val="42"/>
          <w:sz w:val="24"/>
        </w:rPr>
        <w:t> </w:t>
      </w:r>
      <w:r>
        <w:rPr>
          <w:sz w:val="24"/>
        </w:rPr>
        <w:t>(1996).Basis</w:t>
      </w:r>
      <w:r>
        <w:rPr>
          <w:spacing w:val="43"/>
          <w:sz w:val="24"/>
        </w:rPr>
        <w:t> </w:t>
      </w:r>
      <w:r>
        <w:rPr>
          <w:sz w:val="24"/>
        </w:rPr>
        <w:t>of</w:t>
      </w:r>
      <w:r>
        <w:rPr>
          <w:spacing w:val="42"/>
          <w:sz w:val="24"/>
        </w:rPr>
        <w:t> </w:t>
      </w:r>
      <w:r>
        <w:rPr>
          <w:sz w:val="24"/>
        </w:rPr>
        <w:t>the</w:t>
      </w:r>
      <w:r>
        <w:rPr>
          <w:spacing w:val="41"/>
          <w:sz w:val="24"/>
        </w:rPr>
        <w:t> </w:t>
      </w:r>
      <w:r>
        <w:rPr>
          <w:sz w:val="24"/>
        </w:rPr>
        <w:t>antiseizure</w:t>
      </w:r>
      <w:r>
        <w:rPr>
          <w:spacing w:val="42"/>
          <w:sz w:val="24"/>
        </w:rPr>
        <w:t> </w:t>
      </w:r>
      <w:r>
        <w:rPr>
          <w:sz w:val="24"/>
        </w:rPr>
        <w:t>action</w:t>
      </w:r>
      <w:r>
        <w:rPr>
          <w:spacing w:val="42"/>
          <w:sz w:val="24"/>
        </w:rPr>
        <w:t> </w:t>
      </w:r>
      <w:r>
        <w:rPr>
          <w:sz w:val="24"/>
        </w:rPr>
        <w:t>of</w:t>
      </w:r>
      <w:r>
        <w:rPr>
          <w:spacing w:val="42"/>
          <w:sz w:val="24"/>
        </w:rPr>
        <w:t> </w:t>
      </w:r>
      <w:r>
        <w:rPr>
          <w:sz w:val="24"/>
        </w:rPr>
        <w:t>phenytoin.</w:t>
      </w:r>
      <w:r>
        <w:rPr>
          <w:spacing w:val="45"/>
          <w:sz w:val="24"/>
        </w:rPr>
        <w:t> </w:t>
      </w:r>
      <w:r>
        <w:rPr>
          <w:i/>
          <w:sz w:val="24"/>
        </w:rPr>
        <w:t>General</w:t>
      </w:r>
      <w:r>
        <w:rPr>
          <w:i/>
          <w:spacing w:val="43"/>
          <w:sz w:val="24"/>
        </w:rPr>
        <w:t> </w:t>
      </w:r>
      <w:r>
        <w:rPr>
          <w:i/>
          <w:sz w:val="24"/>
        </w:rPr>
        <w:t>Pharmacology</w:t>
      </w:r>
    </w:p>
    <w:p>
      <w:pPr>
        <w:pStyle w:val="BodyText"/>
        <w:ind w:left="671"/>
      </w:pPr>
      <w:r>
        <w:rPr/>
        <w:t>27:1091-1097.</w:t>
      </w:r>
    </w:p>
    <w:p>
      <w:pPr>
        <w:pStyle w:val="BodyText"/>
      </w:pPr>
    </w:p>
    <w:p>
      <w:pPr>
        <w:pStyle w:val="BodyText"/>
        <w:spacing w:before="1"/>
        <w:ind w:left="204" w:right="104"/>
        <w:jc w:val="center"/>
      </w:pPr>
      <w:r>
        <w:rPr/>
        <w:t>Twyman,</w:t>
      </w:r>
      <w:r>
        <w:rPr>
          <w:spacing w:val="26"/>
        </w:rPr>
        <w:t> </w:t>
      </w:r>
      <w:r>
        <w:rPr/>
        <w:t>R.E.,</w:t>
      </w:r>
      <w:r>
        <w:rPr>
          <w:spacing w:val="26"/>
        </w:rPr>
        <w:t> </w:t>
      </w:r>
      <w:r>
        <w:rPr/>
        <w:t>Rogers,</w:t>
      </w:r>
      <w:r>
        <w:rPr>
          <w:spacing w:val="27"/>
        </w:rPr>
        <w:t> </w:t>
      </w:r>
      <w:r>
        <w:rPr/>
        <w:t>C.J.</w:t>
      </w:r>
      <w:r>
        <w:rPr>
          <w:spacing w:val="25"/>
        </w:rPr>
        <w:t> </w:t>
      </w:r>
      <w:r>
        <w:rPr/>
        <w:t>and</w:t>
      </w:r>
      <w:r>
        <w:rPr>
          <w:spacing w:val="25"/>
        </w:rPr>
        <w:t> </w:t>
      </w:r>
      <w:r>
        <w:rPr/>
        <w:t>Macdonald</w:t>
      </w:r>
      <w:r>
        <w:rPr>
          <w:spacing w:val="25"/>
        </w:rPr>
        <w:t> </w:t>
      </w:r>
      <w:r>
        <w:rPr/>
        <w:t>R.L.</w:t>
      </w:r>
      <w:r>
        <w:rPr>
          <w:spacing w:val="24"/>
        </w:rPr>
        <w:t> </w:t>
      </w:r>
      <w:r>
        <w:rPr/>
        <w:t>(1989).</w:t>
      </w:r>
      <w:r>
        <w:rPr>
          <w:spacing w:val="29"/>
        </w:rPr>
        <w:t> </w:t>
      </w:r>
      <w:r>
        <w:rPr/>
        <w:t>Differential</w:t>
      </w:r>
      <w:r>
        <w:rPr>
          <w:spacing w:val="28"/>
        </w:rPr>
        <w:t> </w:t>
      </w:r>
      <w:r>
        <w:rPr/>
        <w:t>regulation</w:t>
      </w:r>
      <w:r>
        <w:rPr>
          <w:spacing w:val="25"/>
        </w:rPr>
        <w:t> </w:t>
      </w:r>
      <w:r>
        <w:rPr/>
        <w:t>of</w:t>
      </w:r>
      <w:r>
        <w:rPr>
          <w:spacing w:val="24"/>
        </w:rPr>
        <w:t> </w:t>
      </w:r>
      <w:r>
        <w:rPr/>
        <w:t>GABA</w:t>
      </w:r>
      <w:r>
        <w:rPr>
          <w:spacing w:val="-57"/>
        </w:rPr>
        <w:t> </w:t>
      </w:r>
      <w:r>
        <w:rPr/>
        <w:t>receptor</w:t>
      </w:r>
      <w:r>
        <w:rPr>
          <w:spacing w:val="-1"/>
        </w:rPr>
        <w:t> </w:t>
      </w:r>
      <w:r>
        <w:rPr/>
        <w:t>channels by</w:t>
      </w:r>
      <w:r>
        <w:rPr>
          <w:spacing w:val="-6"/>
        </w:rPr>
        <w:t> </w:t>
      </w:r>
      <w:r>
        <w:rPr/>
        <w:t>diazepam and Phenobarbital.</w:t>
      </w:r>
      <w:r>
        <w:rPr>
          <w:spacing w:val="3"/>
        </w:rPr>
        <w:t> </w:t>
      </w:r>
      <w:r>
        <w:rPr>
          <w:i/>
        </w:rPr>
        <w:t>Annals</w:t>
      </w:r>
      <w:r>
        <w:rPr>
          <w:i/>
          <w:spacing w:val="-1"/>
        </w:rPr>
        <w:t> </w:t>
      </w:r>
      <w:r>
        <w:rPr>
          <w:i/>
        </w:rPr>
        <w:t>of</w:t>
      </w:r>
      <w:r>
        <w:rPr>
          <w:i/>
          <w:spacing w:val="1"/>
        </w:rPr>
        <w:t> </w:t>
      </w:r>
      <w:r>
        <w:rPr>
          <w:i/>
        </w:rPr>
        <w:t>Neurol</w:t>
      </w:r>
      <w:r>
        <w:rPr/>
        <w:t>ogy. 25:213-220.</w:t>
      </w:r>
    </w:p>
    <w:p>
      <w:pPr>
        <w:pStyle w:val="BodyText"/>
        <w:spacing w:before="11"/>
        <w:rPr>
          <w:sz w:val="23"/>
        </w:rPr>
      </w:pPr>
    </w:p>
    <w:p>
      <w:pPr>
        <w:spacing w:before="0"/>
        <w:ind w:left="220" w:right="0" w:firstLine="0"/>
        <w:jc w:val="left"/>
        <w:rPr>
          <w:sz w:val="24"/>
        </w:rPr>
      </w:pPr>
      <w:r>
        <w:rPr>
          <w:sz w:val="24"/>
        </w:rPr>
        <w:t>Valiathan,</w:t>
      </w:r>
      <w:r>
        <w:rPr>
          <w:spacing w:val="-1"/>
          <w:sz w:val="24"/>
        </w:rPr>
        <w:t> </w:t>
      </w:r>
      <w:r>
        <w:rPr>
          <w:sz w:val="24"/>
        </w:rPr>
        <w:t>M.S.</w:t>
      </w:r>
      <w:r>
        <w:rPr>
          <w:spacing w:val="-1"/>
          <w:sz w:val="24"/>
        </w:rPr>
        <w:t> </w:t>
      </w:r>
      <w:r>
        <w:rPr>
          <w:sz w:val="24"/>
        </w:rPr>
        <w:t>(1998).</w:t>
      </w:r>
      <w:r>
        <w:rPr>
          <w:spacing w:val="2"/>
          <w:sz w:val="24"/>
        </w:rPr>
        <w:t> </w:t>
      </w:r>
      <w:r>
        <w:rPr>
          <w:sz w:val="24"/>
        </w:rPr>
        <w:t>Healing</w:t>
      </w:r>
      <w:r>
        <w:rPr>
          <w:spacing w:val="-4"/>
          <w:sz w:val="24"/>
        </w:rPr>
        <w:t> </w:t>
      </w:r>
      <w:r>
        <w:rPr>
          <w:sz w:val="24"/>
        </w:rPr>
        <w:t>Plants. </w:t>
      </w:r>
      <w:r>
        <w:rPr>
          <w:i/>
          <w:sz w:val="24"/>
        </w:rPr>
        <w:t>Current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Science,</w:t>
      </w:r>
      <w:r>
        <w:rPr>
          <w:i/>
          <w:spacing w:val="-1"/>
          <w:sz w:val="24"/>
        </w:rPr>
        <w:t> </w:t>
      </w:r>
      <w:r>
        <w:rPr>
          <w:sz w:val="24"/>
        </w:rPr>
        <w:t>75(10,</w:t>
      </w:r>
      <w:r>
        <w:rPr>
          <w:spacing w:val="-1"/>
          <w:sz w:val="24"/>
        </w:rPr>
        <w:t> </w:t>
      </w:r>
      <w:r>
        <w:rPr>
          <w:sz w:val="24"/>
        </w:rPr>
        <w:t>11);</w:t>
      </w:r>
      <w:r>
        <w:rPr>
          <w:spacing w:val="-1"/>
          <w:sz w:val="24"/>
        </w:rPr>
        <w:t> </w:t>
      </w:r>
      <w:r>
        <w:rPr>
          <w:sz w:val="24"/>
        </w:rPr>
        <w:t>1122-1126.</w:t>
      </w:r>
    </w:p>
    <w:p>
      <w:pPr>
        <w:pStyle w:val="BodyText"/>
      </w:pPr>
    </w:p>
    <w:p>
      <w:pPr>
        <w:pStyle w:val="BodyText"/>
        <w:ind w:left="671" w:right="113" w:hanging="452"/>
        <w:jc w:val="both"/>
      </w:pPr>
      <w:r>
        <w:rPr/>
        <w:t>Van Dongen, A.M.J.,Van Erp, M.G. and Voskyl, R.A. (1986). Valproate reduces excitability</w:t>
      </w:r>
      <w:r>
        <w:rPr>
          <w:spacing w:val="1"/>
        </w:rPr>
        <w:t> </w:t>
      </w:r>
      <w:r>
        <w:rPr/>
        <w:t>by</w:t>
      </w:r>
      <w:r>
        <w:rPr>
          <w:spacing w:val="-6"/>
        </w:rPr>
        <w:t> </w:t>
      </w:r>
      <w:r>
        <w:rPr/>
        <w:t>blockage</w:t>
      </w:r>
      <w:r>
        <w:rPr>
          <w:spacing w:val="-1"/>
        </w:rPr>
        <w:t> </w:t>
      </w:r>
      <w:r>
        <w:rPr/>
        <w:t>of sodium and potassium conductance.</w:t>
      </w:r>
      <w:r>
        <w:rPr>
          <w:spacing w:val="2"/>
        </w:rPr>
        <w:t> </w:t>
      </w:r>
      <w:r>
        <w:rPr>
          <w:i/>
        </w:rPr>
        <w:t>Epilepsia</w:t>
      </w:r>
      <w:r>
        <w:rPr>
          <w:i/>
          <w:spacing w:val="1"/>
        </w:rPr>
        <w:t> </w:t>
      </w:r>
      <w:r>
        <w:rPr/>
        <w:t>27:177-182.</w:t>
      </w:r>
    </w:p>
    <w:p>
      <w:pPr>
        <w:pStyle w:val="BodyText"/>
      </w:pPr>
    </w:p>
    <w:p>
      <w:pPr>
        <w:pStyle w:val="BodyText"/>
        <w:ind w:left="671" w:right="117" w:hanging="452"/>
        <w:jc w:val="both"/>
      </w:pPr>
      <w:r>
        <w:rPr/>
        <w:t>Velisek, L., Kusa, R., Kulovana, M. and Mares, P. (1990). Excitatory amino acid antagonists</w:t>
      </w:r>
      <w:r>
        <w:rPr>
          <w:spacing w:val="1"/>
        </w:rPr>
        <w:t> </w:t>
      </w:r>
      <w:r>
        <w:rPr/>
        <w:t>and pentylenetetrazole-induced seizures during ontogenesis 1. The effects of 2-amino-7-</w:t>
      </w:r>
      <w:r>
        <w:rPr>
          <w:spacing w:val="1"/>
        </w:rPr>
        <w:t> </w:t>
      </w:r>
      <w:r>
        <w:rPr/>
        <w:t>phosphonoheptanoate.</w:t>
      </w:r>
      <w:r>
        <w:rPr>
          <w:spacing w:val="59"/>
        </w:rPr>
        <w:t> </w:t>
      </w:r>
      <w:r>
        <w:rPr>
          <w:i/>
        </w:rPr>
        <w:t>Life</w:t>
      </w:r>
      <w:r>
        <w:rPr>
          <w:i/>
          <w:spacing w:val="-1"/>
        </w:rPr>
        <w:t> </w:t>
      </w:r>
      <w:r>
        <w:rPr>
          <w:i/>
        </w:rPr>
        <w:t>Sciences</w:t>
      </w:r>
      <w:r>
        <w:rPr/>
        <w:t>, 46:1349-1357.</w:t>
      </w:r>
    </w:p>
    <w:p>
      <w:pPr>
        <w:pStyle w:val="BodyText"/>
        <w:spacing w:before="1"/>
      </w:pPr>
    </w:p>
    <w:p>
      <w:pPr>
        <w:pStyle w:val="BodyText"/>
        <w:ind w:left="671" w:right="121" w:hanging="452"/>
        <w:jc w:val="both"/>
      </w:pPr>
      <w:r>
        <w:rPr/>
        <w:t>Venter, F. and Venter, J.A. (1996). Making the most of indigenous trees. Briza Publications,</w:t>
      </w:r>
      <w:r>
        <w:rPr>
          <w:spacing w:val="1"/>
        </w:rPr>
        <w:t> </w:t>
      </w:r>
      <w:r>
        <w:rPr/>
        <w:t>Pretoria.</w:t>
      </w:r>
    </w:p>
    <w:p>
      <w:pPr>
        <w:pStyle w:val="BodyText"/>
      </w:pPr>
    </w:p>
    <w:p>
      <w:pPr>
        <w:pStyle w:val="BodyText"/>
        <w:ind w:left="671" w:right="122" w:hanging="452"/>
        <w:jc w:val="both"/>
      </w:pPr>
      <w:r>
        <w:rPr/>
        <w:t>Vogel,</w:t>
      </w:r>
      <w:r>
        <w:rPr>
          <w:spacing w:val="1"/>
        </w:rPr>
        <w:t> </w:t>
      </w:r>
      <w:r>
        <w:rPr/>
        <w:t>G.H.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Vogel,</w:t>
      </w:r>
      <w:r>
        <w:rPr>
          <w:spacing w:val="1"/>
        </w:rPr>
        <w:t> </w:t>
      </w:r>
      <w:r>
        <w:rPr/>
        <w:t>W.H.</w:t>
      </w:r>
      <w:r>
        <w:rPr>
          <w:spacing w:val="1"/>
        </w:rPr>
        <w:t> </w:t>
      </w:r>
      <w:r>
        <w:rPr/>
        <w:t>(2002).</w:t>
      </w:r>
      <w:r>
        <w:rPr>
          <w:spacing w:val="1"/>
        </w:rPr>
        <w:t> </w:t>
      </w:r>
      <w:r>
        <w:rPr/>
        <w:t>Drug</w:t>
      </w:r>
      <w:r>
        <w:rPr>
          <w:spacing w:val="1"/>
        </w:rPr>
        <w:t> </w:t>
      </w:r>
      <w:r>
        <w:rPr/>
        <w:t>discovery and</w:t>
      </w:r>
      <w:r>
        <w:rPr>
          <w:spacing w:val="1"/>
        </w:rPr>
        <w:t> </w:t>
      </w:r>
      <w:r>
        <w:rPr/>
        <w:t>evaluation:</w:t>
      </w:r>
      <w:r>
        <w:rPr>
          <w:spacing w:val="1"/>
        </w:rPr>
        <w:t> </w:t>
      </w:r>
      <w:r>
        <w:rPr/>
        <w:t>Pharmacological</w:t>
      </w:r>
      <w:r>
        <w:rPr>
          <w:spacing w:val="1"/>
        </w:rPr>
        <w:t> </w:t>
      </w:r>
      <w:r>
        <w:rPr/>
        <w:t>assays,</w:t>
      </w:r>
      <w:r>
        <w:rPr>
          <w:spacing w:val="-1"/>
        </w:rPr>
        <w:t> </w:t>
      </w:r>
      <w:r>
        <w:rPr/>
        <w:t>2nd Edition springer-verlaag,</w:t>
      </w:r>
      <w:r>
        <w:rPr>
          <w:spacing w:val="1"/>
        </w:rPr>
        <w:t> </w:t>
      </w:r>
      <w:r>
        <w:rPr/>
        <w:t>Berling</w:t>
      </w:r>
      <w:r>
        <w:rPr>
          <w:spacing w:val="-3"/>
        </w:rPr>
        <w:t> </w:t>
      </w:r>
      <w:r>
        <w:rPr/>
        <w:t>Heidelberg. Pp 422.</w:t>
      </w:r>
    </w:p>
    <w:p>
      <w:pPr>
        <w:pStyle w:val="BodyText"/>
      </w:pPr>
    </w:p>
    <w:p>
      <w:pPr>
        <w:pStyle w:val="BodyText"/>
        <w:ind w:left="671" w:right="113" w:hanging="452"/>
        <w:jc w:val="both"/>
      </w:pPr>
      <w:r>
        <w:rPr/>
        <w:t>Waldmeier, P.C., Baumann, P.A., Wicki, P., Feldtrauer, J.J. Stierlin, C. &amp; Schmutz, M.</w:t>
      </w:r>
      <w:r>
        <w:rPr>
          <w:spacing w:val="1"/>
        </w:rPr>
        <w:t> </w:t>
      </w:r>
      <w:r>
        <w:rPr/>
        <w:t>(1995). Similar potency of carbamazepine, Oxcarbazepine and lamotrigine in inhibiting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release</w:t>
      </w:r>
      <w:r>
        <w:rPr>
          <w:spacing w:val="-1"/>
        </w:rPr>
        <w:t> </w:t>
      </w:r>
      <w:r>
        <w:rPr/>
        <w:t>of glutamate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other</w:t>
      </w:r>
      <w:r>
        <w:rPr>
          <w:spacing w:val="-2"/>
        </w:rPr>
        <w:t> </w:t>
      </w:r>
      <w:r>
        <w:rPr/>
        <w:t>neurotransmitters.</w:t>
      </w:r>
      <w:r>
        <w:rPr>
          <w:spacing w:val="1"/>
        </w:rPr>
        <w:t> </w:t>
      </w:r>
      <w:r>
        <w:rPr>
          <w:i/>
        </w:rPr>
        <w:t>Neurology </w:t>
      </w:r>
      <w:r>
        <w:rPr/>
        <w:t>45:1907-1913.</w:t>
      </w:r>
    </w:p>
    <w:p>
      <w:pPr>
        <w:spacing w:after="0"/>
        <w:jc w:val="both"/>
        <w:sectPr>
          <w:pgSz w:w="12240" w:h="15840"/>
          <w:pgMar w:header="0" w:footer="792" w:top="1360" w:bottom="980" w:left="1580" w:right="1320"/>
        </w:sectPr>
      </w:pPr>
    </w:p>
    <w:p>
      <w:pPr>
        <w:spacing w:before="72"/>
        <w:ind w:left="671" w:right="115" w:hanging="452"/>
        <w:jc w:val="both"/>
        <w:rPr>
          <w:i/>
          <w:sz w:val="24"/>
        </w:rPr>
      </w:pPr>
      <w:r>
        <w:rPr>
          <w:sz w:val="24"/>
        </w:rPr>
        <w:t>Wang,C.M.,Lang,D.G.,&amp;Cooper,B.R.(1993).Lamotrigine effects on ion channels in cultured</w:t>
      </w:r>
      <w:r>
        <w:rPr>
          <w:spacing w:val="1"/>
          <w:sz w:val="24"/>
        </w:rPr>
        <w:t> </w:t>
      </w:r>
      <w:r>
        <w:rPr>
          <w:sz w:val="24"/>
        </w:rPr>
        <w:t>neuronal</w:t>
      </w:r>
      <w:r>
        <w:rPr>
          <w:spacing w:val="-1"/>
          <w:sz w:val="24"/>
        </w:rPr>
        <w:t> </w:t>
      </w:r>
      <w:r>
        <w:rPr>
          <w:sz w:val="24"/>
        </w:rPr>
        <w:t>cells.</w:t>
      </w:r>
      <w:r>
        <w:rPr>
          <w:i/>
          <w:sz w:val="24"/>
        </w:rPr>
        <w:t>Epilepsia.34 (suppl, 6)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117-118</w:t>
      </w:r>
    </w:p>
    <w:p>
      <w:pPr>
        <w:pStyle w:val="BodyText"/>
        <w:rPr>
          <w:i/>
        </w:rPr>
      </w:pPr>
    </w:p>
    <w:p>
      <w:pPr>
        <w:pStyle w:val="BodyText"/>
        <w:ind w:left="671" w:right="116" w:hanging="452"/>
        <w:jc w:val="both"/>
      </w:pPr>
      <w:r>
        <w:rPr/>
        <w:t>Wasterlin, C.G. and Mazarati, A.M. (1997). Neuromodulators and Second messengers. In:</w:t>
      </w:r>
      <w:r>
        <w:rPr>
          <w:spacing w:val="1"/>
        </w:rPr>
        <w:t> </w:t>
      </w:r>
      <w:r>
        <w:rPr/>
        <w:t>Engel,</w:t>
      </w:r>
      <w:r>
        <w:rPr>
          <w:spacing w:val="1"/>
        </w:rPr>
        <w:t> </w:t>
      </w:r>
      <w:r>
        <w:rPr/>
        <w:t>J.Jr.</w:t>
      </w:r>
      <w:r>
        <w:rPr>
          <w:spacing w:val="1"/>
        </w:rPr>
        <w:t> </w:t>
      </w:r>
      <w:r>
        <w:rPr/>
        <w:t>Pedley,</w:t>
      </w:r>
      <w:r>
        <w:rPr>
          <w:spacing w:val="1"/>
        </w:rPr>
        <w:t> </w:t>
      </w:r>
      <w:r>
        <w:rPr/>
        <w:t>T.A.</w:t>
      </w:r>
      <w:r>
        <w:rPr>
          <w:spacing w:val="1"/>
        </w:rPr>
        <w:t> </w:t>
      </w:r>
      <w:r>
        <w:rPr/>
        <w:t>(Eds).</w:t>
      </w:r>
      <w:r>
        <w:rPr>
          <w:spacing w:val="1"/>
        </w:rPr>
        <w:t> </w:t>
      </w:r>
      <w:r>
        <w:rPr/>
        <w:t>Epilepsy: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comprehensive</w:t>
      </w:r>
      <w:r>
        <w:rPr>
          <w:spacing w:val="1"/>
        </w:rPr>
        <w:t> </w:t>
      </w:r>
      <w:r>
        <w:rPr/>
        <w:t>textbook.</w:t>
      </w:r>
      <w:r>
        <w:rPr>
          <w:spacing w:val="1"/>
        </w:rPr>
        <w:t> </w:t>
      </w:r>
      <w:r>
        <w:rPr/>
        <w:t>Philadelphia:</w:t>
      </w:r>
      <w:r>
        <w:rPr>
          <w:spacing w:val="-57"/>
        </w:rPr>
        <w:t> </w:t>
      </w:r>
      <w:r>
        <w:rPr/>
        <w:t>Lippincott-Raven</w:t>
      </w:r>
      <w:r>
        <w:rPr>
          <w:spacing w:val="-1"/>
        </w:rPr>
        <w:t> </w:t>
      </w:r>
      <w:r>
        <w:rPr/>
        <w:t>Pp. 227-289.</w:t>
      </w:r>
    </w:p>
    <w:p>
      <w:pPr>
        <w:pStyle w:val="BodyText"/>
      </w:pPr>
    </w:p>
    <w:p>
      <w:pPr>
        <w:pStyle w:val="BodyText"/>
        <w:ind w:left="671" w:right="123" w:hanging="452"/>
        <w:jc w:val="both"/>
      </w:pPr>
      <w:r>
        <w:rPr/>
        <w:t>Watkins, P. and Seeff,</w:t>
      </w:r>
      <w:r>
        <w:rPr>
          <w:spacing w:val="1"/>
        </w:rPr>
        <w:t> </w:t>
      </w:r>
      <w:r>
        <w:rPr/>
        <w:t>L.</w:t>
      </w:r>
      <w:r>
        <w:rPr>
          <w:spacing w:val="1"/>
        </w:rPr>
        <w:t> </w:t>
      </w:r>
      <w:r>
        <w:rPr/>
        <w:t>(2006).Drug induced</w:t>
      </w:r>
      <w:r>
        <w:rPr>
          <w:spacing w:val="60"/>
        </w:rPr>
        <w:t> </w:t>
      </w:r>
      <w:r>
        <w:rPr/>
        <w:t>liver injury: Summary of a single topic</w:t>
      </w:r>
      <w:r>
        <w:rPr>
          <w:spacing w:val="1"/>
        </w:rPr>
        <w:t> </w:t>
      </w:r>
      <w:r>
        <w:rPr/>
        <w:t>clinical</w:t>
      </w:r>
      <w:r>
        <w:rPr>
          <w:spacing w:val="-1"/>
        </w:rPr>
        <w:t> </w:t>
      </w:r>
      <w:r>
        <w:rPr/>
        <w:t>research</w:t>
      </w:r>
      <w:r>
        <w:rPr>
          <w:spacing w:val="2"/>
        </w:rPr>
        <w:t> </w:t>
      </w:r>
      <w:r>
        <w:rPr/>
        <w:t>conference.</w:t>
      </w:r>
      <w:r>
        <w:rPr>
          <w:spacing w:val="2"/>
        </w:rPr>
        <w:t> </w:t>
      </w:r>
      <w:r>
        <w:rPr>
          <w:i/>
        </w:rPr>
        <w:t>Hepatology</w:t>
      </w:r>
      <w:r>
        <w:rPr>
          <w:i/>
          <w:spacing w:val="-1"/>
        </w:rPr>
        <w:t> </w:t>
      </w:r>
      <w:r>
        <w:rPr/>
        <w:t>43:618-631.</w:t>
      </w:r>
    </w:p>
    <w:p>
      <w:pPr>
        <w:pStyle w:val="BodyText"/>
      </w:pPr>
    </w:p>
    <w:p>
      <w:pPr>
        <w:pStyle w:val="BodyText"/>
        <w:ind w:left="671" w:right="116" w:hanging="452"/>
        <w:jc w:val="both"/>
      </w:pPr>
      <w:r>
        <w:rPr/>
        <w:t>Watt, J.M. and Brandwijk, M.G. (1962).</w:t>
      </w:r>
      <w:r>
        <w:rPr>
          <w:spacing w:val="60"/>
        </w:rPr>
        <w:t> </w:t>
      </w:r>
      <w:r>
        <w:rPr/>
        <w:t>The Medicinal and Poisonous Plants of Southern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Eastern Africa, 2nd</w:t>
      </w:r>
      <w:r>
        <w:rPr>
          <w:spacing w:val="2"/>
        </w:rPr>
        <w:t> </w:t>
      </w:r>
      <w:r>
        <w:rPr/>
        <w:t>Edition</w:t>
      </w:r>
      <w:r>
        <w:rPr>
          <w:spacing w:val="1"/>
        </w:rPr>
        <w:t> </w:t>
      </w:r>
      <w:r>
        <w:rPr/>
        <w:t>Livingstone Edinburg</w:t>
      </w:r>
      <w:r>
        <w:rPr>
          <w:spacing w:val="-4"/>
        </w:rPr>
        <w:t> </w:t>
      </w:r>
      <w:r>
        <w:rPr/>
        <w:t>Pp 369.</w:t>
      </w:r>
    </w:p>
    <w:p>
      <w:pPr>
        <w:pStyle w:val="BodyText"/>
        <w:spacing w:before="1"/>
      </w:pPr>
    </w:p>
    <w:p>
      <w:pPr>
        <w:pStyle w:val="BodyText"/>
        <w:ind w:left="671" w:right="123" w:hanging="452"/>
        <w:jc w:val="both"/>
      </w:pPr>
      <w:r>
        <w:rPr/>
        <w:t>Webster, D. (1977).The immediate reaction between bromocresol</w:t>
      </w:r>
      <w:r>
        <w:rPr>
          <w:spacing w:val="1"/>
        </w:rPr>
        <w:t> </w:t>
      </w:r>
      <w:r>
        <w:rPr/>
        <w:t>green and serum 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measure</w:t>
      </w:r>
      <w:r>
        <w:rPr>
          <w:spacing w:val="-3"/>
        </w:rPr>
        <w:t> </w:t>
      </w:r>
      <w:r>
        <w:rPr/>
        <w:t>of</w:t>
      </w:r>
      <w:r>
        <w:rPr>
          <w:spacing w:val="1"/>
        </w:rPr>
        <w:t> </w:t>
      </w:r>
      <w:r>
        <w:rPr/>
        <w:t>albumin content.</w:t>
      </w:r>
      <w:r>
        <w:rPr>
          <w:spacing w:val="1"/>
        </w:rPr>
        <w:t> </w:t>
      </w:r>
      <w:r>
        <w:rPr>
          <w:i/>
        </w:rPr>
        <w:t>Clinical Chemistry</w:t>
      </w:r>
      <w:r>
        <w:rPr/>
        <w:t>, 23:663.</w:t>
      </w:r>
    </w:p>
    <w:p>
      <w:pPr>
        <w:pStyle w:val="BodyText"/>
      </w:pPr>
    </w:p>
    <w:p>
      <w:pPr>
        <w:spacing w:before="0"/>
        <w:ind w:left="671" w:right="116" w:hanging="452"/>
        <w:jc w:val="both"/>
        <w:rPr>
          <w:sz w:val="24"/>
        </w:rPr>
      </w:pPr>
      <w:r>
        <w:rPr>
          <w:sz w:val="24"/>
        </w:rPr>
        <w:t>Weingnand, K.,Brown G., Hall, R. </w:t>
      </w:r>
      <w:r>
        <w:rPr>
          <w:i/>
          <w:sz w:val="24"/>
        </w:rPr>
        <w:t>et al </w:t>
      </w:r>
      <w:r>
        <w:rPr>
          <w:sz w:val="24"/>
        </w:rPr>
        <w:t>(1996). Harmonisation of animal clinical pathology</w:t>
      </w:r>
      <w:r>
        <w:rPr>
          <w:spacing w:val="1"/>
          <w:sz w:val="24"/>
        </w:rPr>
        <w:t> </w:t>
      </w:r>
      <w:r>
        <w:rPr>
          <w:sz w:val="24"/>
        </w:rPr>
        <w:t>testing in toxicity and safety studies. </w:t>
      </w:r>
      <w:r>
        <w:rPr>
          <w:i/>
          <w:sz w:val="24"/>
        </w:rPr>
        <w:t>Fundamental and applied Toxicology </w:t>
      </w:r>
      <w:r>
        <w:rPr>
          <w:sz w:val="24"/>
        </w:rPr>
        <w:t>29: 198 –</w:t>
      </w:r>
      <w:r>
        <w:rPr>
          <w:spacing w:val="1"/>
          <w:sz w:val="24"/>
        </w:rPr>
        <w:t> </w:t>
      </w:r>
      <w:r>
        <w:rPr>
          <w:sz w:val="24"/>
        </w:rPr>
        <w:t>201.</w:t>
      </w:r>
    </w:p>
    <w:p>
      <w:pPr>
        <w:pStyle w:val="BodyText"/>
      </w:pPr>
    </w:p>
    <w:p>
      <w:pPr>
        <w:pStyle w:val="BodyText"/>
        <w:ind w:left="220"/>
      </w:pPr>
      <w:r>
        <w:rPr/>
        <w:t>Welty,</w:t>
      </w:r>
      <w:r>
        <w:rPr>
          <w:spacing w:val="-2"/>
        </w:rPr>
        <w:t> </w:t>
      </w:r>
      <w:r>
        <w:rPr/>
        <w:t>T.E.</w:t>
      </w:r>
      <w:r>
        <w:rPr>
          <w:spacing w:val="-1"/>
        </w:rPr>
        <w:t> </w:t>
      </w:r>
      <w:r>
        <w:rPr/>
        <w:t>(2006).</w:t>
      </w:r>
      <w:r>
        <w:rPr>
          <w:spacing w:val="1"/>
        </w:rPr>
        <w:t> </w:t>
      </w:r>
      <w:r>
        <w:rPr/>
        <w:t>Zonisamide.</w:t>
      </w:r>
      <w:r>
        <w:rPr>
          <w:spacing w:val="1"/>
        </w:rPr>
        <w:t> </w:t>
      </w:r>
      <w:r>
        <w:rPr/>
        <w:t>In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treatment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epilepsy</w:t>
      </w:r>
      <w:r>
        <w:rPr>
          <w:spacing w:val="-7"/>
        </w:rPr>
        <w:t> </w:t>
      </w:r>
      <w:r>
        <w:rPr/>
        <w:t>Wyllie</w:t>
      </w:r>
    </w:p>
    <w:p>
      <w:pPr>
        <w:pStyle w:val="BodyText"/>
        <w:ind w:left="880"/>
      </w:pPr>
      <w:r>
        <w:rPr/>
        <w:t>E;</w:t>
      </w:r>
      <w:r>
        <w:rPr>
          <w:spacing w:val="-2"/>
        </w:rPr>
        <w:t> </w:t>
      </w:r>
      <w:r>
        <w:rPr/>
        <w:t>ed.</w:t>
      </w:r>
      <w:r>
        <w:rPr>
          <w:spacing w:val="-1"/>
        </w:rPr>
        <w:t> </w:t>
      </w:r>
      <w:r>
        <w:rPr/>
        <w:t>4</w:t>
      </w:r>
      <w:r>
        <w:rPr>
          <w:vertAlign w:val="superscript"/>
        </w:rPr>
        <w:t>th</w:t>
      </w:r>
      <w:r>
        <w:rPr>
          <w:vertAlign w:val="baseline"/>
        </w:rPr>
        <w:t> Ed</w:t>
      </w:r>
      <w:r>
        <w:rPr>
          <w:spacing w:val="-1"/>
          <w:vertAlign w:val="baseline"/>
        </w:rPr>
        <w:t> </w:t>
      </w:r>
      <w:r>
        <w:rPr>
          <w:vertAlign w:val="baseline"/>
        </w:rPr>
        <w:t>Philadelphia. Lippincott</w:t>
      </w:r>
      <w:r>
        <w:rPr>
          <w:spacing w:val="-1"/>
          <w:vertAlign w:val="baseline"/>
        </w:rPr>
        <w:t> </w:t>
      </w:r>
      <w:r>
        <w:rPr>
          <w:vertAlign w:val="baseline"/>
        </w:rPr>
        <w:t>Williams</w:t>
      </w:r>
      <w:r>
        <w:rPr>
          <w:spacing w:val="-1"/>
          <w:vertAlign w:val="baseline"/>
        </w:rPr>
        <w:t> </w:t>
      </w:r>
      <w:r>
        <w:rPr>
          <w:vertAlign w:val="baseline"/>
        </w:rPr>
        <w:t>and</w:t>
      </w:r>
      <w:r>
        <w:rPr>
          <w:spacing w:val="-1"/>
          <w:vertAlign w:val="baseline"/>
        </w:rPr>
        <w:t> </w:t>
      </w:r>
      <w:r>
        <w:rPr>
          <w:vertAlign w:val="baseline"/>
        </w:rPr>
        <w:t>Wilkins,</w:t>
      </w:r>
      <w:r>
        <w:rPr>
          <w:spacing w:val="-2"/>
          <w:vertAlign w:val="baseline"/>
        </w:rPr>
        <w:t> </w:t>
      </w:r>
      <w:r>
        <w:rPr>
          <w:vertAlign w:val="baseline"/>
        </w:rPr>
        <w:t>891-899.</w:t>
      </w:r>
    </w:p>
    <w:p>
      <w:pPr>
        <w:pStyle w:val="BodyText"/>
      </w:pPr>
    </w:p>
    <w:p>
      <w:pPr>
        <w:pStyle w:val="BodyText"/>
        <w:ind w:left="671" w:right="124" w:hanging="452"/>
        <w:jc w:val="both"/>
      </w:pPr>
      <w:r>
        <w:rPr/>
        <w:t>White, H.S. (1997). New Mechanisms for antiepileptic drugs II. In: Epilepsies. Porter, R and</w:t>
      </w:r>
      <w:r>
        <w:rPr>
          <w:spacing w:val="1"/>
        </w:rPr>
        <w:t> </w:t>
      </w:r>
      <w:r>
        <w:rPr/>
        <w:t>Chadwick,</w:t>
      </w:r>
      <w:r>
        <w:rPr>
          <w:spacing w:val="-1"/>
        </w:rPr>
        <w:t> </w:t>
      </w:r>
      <w:r>
        <w:rPr/>
        <w:t>D (Eds).</w:t>
      </w:r>
      <w:r>
        <w:rPr>
          <w:spacing w:val="1"/>
        </w:rPr>
        <w:t> </w:t>
      </w:r>
      <w:r>
        <w:rPr/>
        <w:t>Butterworth Heinemann,</w:t>
      </w:r>
      <w:r>
        <w:rPr>
          <w:spacing w:val="2"/>
        </w:rPr>
        <w:t> </w:t>
      </w:r>
      <w:r>
        <w:rPr/>
        <w:t>Boston, Pp. 1-30.</w:t>
      </w:r>
    </w:p>
    <w:p>
      <w:pPr>
        <w:pStyle w:val="BodyText"/>
      </w:pPr>
    </w:p>
    <w:p>
      <w:pPr>
        <w:pStyle w:val="BodyText"/>
        <w:spacing w:before="1"/>
        <w:ind w:left="671" w:right="119" w:hanging="452"/>
        <w:jc w:val="both"/>
      </w:pPr>
      <w:r>
        <w:rPr/>
        <w:t>White, H.S. (1999).Comparative anticonvulsant and mechanistic profile of established and</w:t>
      </w:r>
      <w:r>
        <w:rPr>
          <w:spacing w:val="1"/>
        </w:rPr>
        <w:t> </w:t>
      </w:r>
      <w:r>
        <w:rPr/>
        <w:t>newer antiepileptic</w:t>
      </w:r>
      <w:r>
        <w:rPr>
          <w:spacing w:val="-1"/>
        </w:rPr>
        <w:t> </w:t>
      </w:r>
      <w:r>
        <w:rPr/>
        <w:t>drugs.</w:t>
      </w:r>
      <w:r>
        <w:rPr>
          <w:spacing w:val="2"/>
        </w:rPr>
        <w:t> </w:t>
      </w:r>
      <w:r>
        <w:rPr>
          <w:i/>
        </w:rPr>
        <w:t>Epilepsia </w:t>
      </w:r>
      <w:r>
        <w:rPr/>
        <w:t>40 (Suppl. 5), 52:510.</w:t>
      </w:r>
    </w:p>
    <w:p>
      <w:pPr>
        <w:pStyle w:val="BodyText"/>
        <w:ind w:left="671" w:right="123" w:hanging="452"/>
        <w:jc w:val="both"/>
      </w:pPr>
      <w:r>
        <w:rPr/>
        <w:t>White, H.S. (2003). Preclinical development of antiepileptic drugs, past, present and future</w:t>
      </w:r>
      <w:r>
        <w:rPr>
          <w:spacing w:val="1"/>
        </w:rPr>
        <w:t> </w:t>
      </w:r>
      <w:r>
        <w:rPr/>
        <w:t>directions. </w:t>
      </w:r>
      <w:r>
        <w:rPr>
          <w:i/>
        </w:rPr>
        <w:t>Epilepsia </w:t>
      </w:r>
      <w:r>
        <w:rPr/>
        <w:t>44(Suppl. 7): 2-8.</w:t>
      </w:r>
    </w:p>
    <w:p>
      <w:pPr>
        <w:pStyle w:val="BodyText"/>
      </w:pPr>
    </w:p>
    <w:p>
      <w:pPr>
        <w:pStyle w:val="BodyText"/>
        <w:ind w:left="671" w:right="117" w:hanging="452"/>
        <w:jc w:val="both"/>
      </w:pPr>
      <w:r>
        <w:rPr/>
        <w:t>White, H.S., Smith-Yockman, M., Srivastava, A., Wilcox, K.S. (2006). Models of seizures</w:t>
      </w:r>
      <w:r>
        <w:rPr>
          <w:spacing w:val="1"/>
        </w:rPr>
        <w:t> </w:t>
      </w:r>
      <w:r>
        <w:rPr/>
        <w:t>and epilepsy. Pitkanen, A., Schwartzkroin, P.A., Moshe, S.I. (Eds). Elsevier Academic</w:t>
      </w:r>
      <w:r>
        <w:rPr>
          <w:spacing w:val="1"/>
        </w:rPr>
        <w:t> </w:t>
      </w:r>
      <w:r>
        <w:rPr/>
        <w:t>Press.</w:t>
      </w:r>
      <w:r>
        <w:rPr>
          <w:spacing w:val="-1"/>
        </w:rPr>
        <w:t> </w:t>
      </w:r>
      <w:r>
        <w:rPr/>
        <w:t>USA Ch. 44:539-49.</w:t>
      </w:r>
    </w:p>
    <w:p>
      <w:pPr>
        <w:pStyle w:val="BodyText"/>
      </w:pPr>
    </w:p>
    <w:p>
      <w:pPr>
        <w:pStyle w:val="BodyText"/>
        <w:ind w:left="671" w:right="117" w:hanging="452"/>
        <w:jc w:val="both"/>
      </w:pPr>
      <w:r>
        <w:rPr/>
        <w:t>White, H.S., Wolf, H.H., Woodhead, J.H. &amp; Kupferberg, H.J. (1998). The National Institute</w:t>
      </w:r>
      <w:r>
        <w:rPr>
          <w:spacing w:val="1"/>
        </w:rPr>
        <w:t> </w:t>
      </w:r>
      <w:r>
        <w:rPr/>
        <w:t>of Health, Anticonvulsant drug development programme: Screening for efficacy. In:</w:t>
      </w:r>
      <w:r>
        <w:rPr>
          <w:spacing w:val="1"/>
        </w:rPr>
        <w:t> </w:t>
      </w:r>
      <w:r>
        <w:rPr/>
        <w:t>Antiepileptic</w:t>
      </w:r>
      <w:r>
        <w:rPr>
          <w:spacing w:val="2"/>
        </w:rPr>
        <w:t> </w:t>
      </w:r>
      <w:r>
        <w:rPr/>
        <w:t>Drug Development:</w:t>
      </w:r>
      <w:r>
        <w:rPr>
          <w:spacing w:val="3"/>
        </w:rPr>
        <w:t> </w:t>
      </w:r>
      <w:r>
        <w:rPr/>
        <w:t>Advances</w:t>
      </w:r>
      <w:r>
        <w:rPr>
          <w:spacing w:val="2"/>
        </w:rPr>
        <w:t> </w:t>
      </w:r>
      <w:r>
        <w:rPr/>
        <w:t>in</w:t>
      </w:r>
      <w:r>
        <w:rPr>
          <w:spacing w:val="3"/>
        </w:rPr>
        <w:t> </w:t>
      </w:r>
      <w:r>
        <w:rPr/>
        <w:t>Neurobiology,</w:t>
      </w:r>
      <w:r>
        <w:rPr>
          <w:spacing w:val="2"/>
        </w:rPr>
        <w:t> </w:t>
      </w:r>
      <w:r>
        <w:rPr/>
        <w:t>Vol.</w:t>
      </w:r>
      <w:r>
        <w:rPr>
          <w:spacing w:val="2"/>
        </w:rPr>
        <w:t> </w:t>
      </w:r>
      <w:r>
        <w:rPr/>
        <w:t>76,</w:t>
      </w:r>
      <w:r>
        <w:rPr>
          <w:spacing w:val="3"/>
        </w:rPr>
        <w:t> </w:t>
      </w:r>
      <w:r>
        <w:rPr/>
        <w:t>French</w:t>
      </w:r>
      <w:r>
        <w:rPr>
          <w:spacing w:val="2"/>
        </w:rPr>
        <w:t> </w:t>
      </w:r>
      <w:r>
        <w:rPr/>
        <w:t>J.</w:t>
      </w:r>
      <w:r>
        <w:rPr>
          <w:spacing w:val="2"/>
        </w:rPr>
        <w:t> </w:t>
      </w:r>
      <w:r>
        <w:rPr/>
        <w:t>Leppik,</w:t>
      </w:r>
    </w:p>
    <w:p>
      <w:pPr>
        <w:pStyle w:val="BodyText"/>
        <w:spacing w:before="1"/>
        <w:ind w:left="671"/>
        <w:jc w:val="both"/>
      </w:pPr>
      <w:r>
        <w:rPr/>
        <w:t>I.E.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Dichter,</w:t>
      </w:r>
      <w:r>
        <w:rPr>
          <w:spacing w:val="-1"/>
        </w:rPr>
        <w:t> </w:t>
      </w:r>
      <w:r>
        <w:rPr/>
        <w:t>M.A.</w:t>
      </w:r>
      <w:r>
        <w:rPr>
          <w:spacing w:val="-2"/>
        </w:rPr>
        <w:t> </w:t>
      </w:r>
      <w:r>
        <w:rPr/>
        <w:t>(eds). Lippinocott-Raven</w:t>
      </w:r>
      <w:r>
        <w:rPr>
          <w:spacing w:val="-1"/>
        </w:rPr>
        <w:t> </w:t>
      </w:r>
      <w:r>
        <w:rPr/>
        <w:t>Publisher,</w:t>
      </w:r>
      <w:r>
        <w:rPr>
          <w:spacing w:val="-2"/>
        </w:rPr>
        <w:t> </w:t>
      </w:r>
      <w:r>
        <w:rPr/>
        <w:t>Philadelphia,</w:t>
      </w:r>
      <w:r>
        <w:rPr>
          <w:spacing w:val="-1"/>
        </w:rPr>
        <w:t> </w:t>
      </w:r>
      <w:r>
        <w:rPr/>
        <w:t>Pp.</w:t>
      </w:r>
      <w:r>
        <w:rPr>
          <w:spacing w:val="-1"/>
        </w:rPr>
        <w:t> </w:t>
      </w:r>
      <w:r>
        <w:rPr/>
        <w:t>29-39.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671" w:right="121" w:hanging="452"/>
        <w:jc w:val="both"/>
      </w:pPr>
      <w:r>
        <w:rPr/>
        <w:t>WHO</w:t>
      </w:r>
      <w:r>
        <w:rPr>
          <w:spacing w:val="1"/>
        </w:rPr>
        <w:t> </w:t>
      </w:r>
      <w:r>
        <w:rPr/>
        <w:t>(2000).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Guidelines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evaluating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safety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efficacy</w:t>
      </w:r>
      <w:r>
        <w:rPr>
          <w:spacing w:val="1"/>
        </w:rPr>
        <w:t> </w:t>
      </w:r>
      <w:r>
        <w:rPr/>
        <w:t>of</w:t>
      </w:r>
      <w:r>
        <w:rPr>
          <w:spacing w:val="60"/>
        </w:rPr>
        <w:t> </w:t>
      </w:r>
      <w:r>
        <w:rPr/>
        <w:t>herbal</w:t>
      </w:r>
      <w:r>
        <w:rPr>
          <w:spacing w:val="1"/>
        </w:rPr>
        <w:t> </w:t>
      </w:r>
      <w:r>
        <w:rPr/>
        <w:t>medicines; In: General Guidelines for methodologies on Research and evaluation of</w:t>
      </w:r>
      <w:r>
        <w:rPr>
          <w:spacing w:val="1"/>
        </w:rPr>
        <w:t> </w:t>
      </w:r>
      <w:r>
        <w:rPr/>
        <w:t>Traditional</w:t>
      </w:r>
      <w:r>
        <w:rPr>
          <w:spacing w:val="-1"/>
        </w:rPr>
        <w:t> </w:t>
      </w:r>
      <w:r>
        <w:rPr/>
        <w:t>Medicines Pp</w:t>
      </w:r>
      <w:r>
        <w:rPr>
          <w:spacing w:val="2"/>
        </w:rPr>
        <w:t> </w:t>
      </w:r>
      <w:r>
        <w:rPr/>
        <w:t>27 (WHO/EDM/IRM</w:t>
      </w:r>
      <w:r>
        <w:rPr>
          <w:spacing w:val="-1"/>
        </w:rPr>
        <w:t> </w:t>
      </w:r>
      <w:r>
        <w:rPr/>
        <w:t>2000.1)</w:t>
      </w:r>
      <w:r>
        <w:rPr>
          <w:spacing w:val="-1"/>
        </w:rPr>
        <w:t> </w:t>
      </w:r>
      <w:r>
        <w:rPr/>
        <w:t>Geneva.</w:t>
      </w:r>
    </w:p>
    <w:p>
      <w:pPr>
        <w:pStyle w:val="BodyText"/>
      </w:pPr>
    </w:p>
    <w:p>
      <w:pPr>
        <w:pStyle w:val="BodyText"/>
        <w:ind w:left="671" w:right="118" w:hanging="452"/>
        <w:jc w:val="both"/>
      </w:pPr>
      <w:r>
        <w:rPr/>
        <w:t>WHO (2001). The Global Campaign against Epilepsy Information for the Launch of the</w:t>
      </w:r>
      <w:r>
        <w:rPr>
          <w:spacing w:val="1"/>
        </w:rPr>
        <w:t> </w:t>
      </w:r>
      <w:r>
        <w:rPr/>
        <w:t>Global</w:t>
      </w:r>
      <w:r>
        <w:rPr>
          <w:spacing w:val="-1"/>
        </w:rPr>
        <w:t> </w:t>
      </w:r>
      <w:r>
        <w:rPr/>
        <w:t>Campaigns second phase. Geneva February,</w:t>
      </w:r>
      <w:r>
        <w:rPr>
          <w:spacing w:val="2"/>
        </w:rPr>
        <w:t> </w:t>
      </w:r>
      <w:r>
        <w:rPr/>
        <w:t>2001.</w:t>
      </w:r>
    </w:p>
    <w:p>
      <w:pPr>
        <w:spacing w:after="0"/>
        <w:jc w:val="both"/>
        <w:sectPr>
          <w:pgSz w:w="12240" w:h="15840"/>
          <w:pgMar w:header="0" w:footer="792" w:top="1360" w:bottom="980" w:left="1580" w:right="1320"/>
        </w:sectPr>
      </w:pPr>
    </w:p>
    <w:p>
      <w:pPr>
        <w:pStyle w:val="BodyText"/>
        <w:spacing w:before="3"/>
        <w:rPr>
          <w:sz w:val="10"/>
        </w:rPr>
      </w:pPr>
    </w:p>
    <w:p>
      <w:pPr>
        <w:pStyle w:val="BodyText"/>
        <w:spacing w:line="480" w:lineRule="auto" w:before="90"/>
        <w:ind w:left="220" w:right="3454"/>
      </w:pPr>
      <w:r>
        <w:rPr/>
        <w:t>WHO</w:t>
      </w:r>
      <w:r>
        <w:rPr>
          <w:spacing w:val="-5"/>
        </w:rPr>
        <w:t> </w:t>
      </w:r>
      <w:r>
        <w:rPr/>
        <w:t>(2003).Traditional</w:t>
      </w:r>
      <w:r>
        <w:rPr>
          <w:spacing w:val="-1"/>
        </w:rPr>
        <w:t> </w:t>
      </w:r>
      <w:r>
        <w:rPr/>
        <w:t>Medicine</w:t>
      </w:r>
      <w:r>
        <w:rPr>
          <w:spacing w:val="-4"/>
        </w:rPr>
        <w:t> </w:t>
      </w:r>
      <w:r>
        <w:rPr/>
        <w:t>Fact</w:t>
      </w:r>
      <w:r>
        <w:rPr>
          <w:spacing w:val="-3"/>
        </w:rPr>
        <w:t> </w:t>
      </w:r>
      <w:r>
        <w:rPr/>
        <w:t>sheet</w:t>
      </w:r>
      <w:r>
        <w:rPr>
          <w:spacing w:val="-3"/>
        </w:rPr>
        <w:t> </w:t>
      </w:r>
      <w:r>
        <w:rPr/>
        <w:t>number</w:t>
      </w:r>
      <w:r>
        <w:rPr>
          <w:spacing w:val="-4"/>
        </w:rPr>
        <w:t> </w:t>
      </w:r>
      <w:r>
        <w:rPr/>
        <w:t>134.</w:t>
      </w:r>
      <w:r>
        <w:rPr>
          <w:spacing w:val="-57"/>
        </w:rPr>
        <w:t> </w:t>
      </w:r>
      <w:r>
        <w:rPr/>
        <w:t>WHO</w:t>
      </w:r>
      <w:r>
        <w:rPr>
          <w:spacing w:val="-2"/>
        </w:rPr>
        <w:t> </w:t>
      </w:r>
      <w:r>
        <w:rPr/>
        <w:t>(2008).</w:t>
      </w:r>
      <w:r>
        <w:rPr>
          <w:spacing w:val="-1"/>
        </w:rPr>
        <w:t> </w:t>
      </w:r>
      <w:r>
        <w:rPr/>
        <w:t>Traditional Medicine,</w:t>
      </w:r>
      <w:r>
        <w:rPr>
          <w:spacing w:val="-1"/>
        </w:rPr>
        <w:t> </w:t>
      </w:r>
      <w:r>
        <w:rPr/>
        <w:t>Fact sheet</w:t>
      </w:r>
      <w:r>
        <w:rPr>
          <w:spacing w:val="-1"/>
        </w:rPr>
        <w:t> </w:t>
      </w:r>
      <w:r>
        <w:rPr/>
        <w:t>No. 134.</w:t>
      </w:r>
    </w:p>
    <w:p>
      <w:pPr>
        <w:pStyle w:val="BodyText"/>
        <w:ind w:left="671" w:right="118" w:hanging="452"/>
        <w:jc w:val="both"/>
      </w:pPr>
      <w:r>
        <w:rPr/>
        <w:t>WHO (2012). Epilepsy. Fact Sheet No. 999 avaialble at </w:t>
      </w:r>
      <w:hyperlink r:id="rId35">
        <w:r>
          <w:rPr>
            <w:u w:val="single"/>
          </w:rPr>
          <w:t>http://www.who.int/mediacentre/</w:t>
        </w:r>
      </w:hyperlink>
      <w:r>
        <w:rPr>
          <w:spacing w:val="1"/>
        </w:rPr>
        <w:t> </w:t>
      </w:r>
      <w:r>
        <w:rPr/>
        <w:t>factsheet/fs999/en/index.htm.</w:t>
      </w:r>
    </w:p>
    <w:p>
      <w:pPr>
        <w:pStyle w:val="BodyText"/>
      </w:pPr>
    </w:p>
    <w:p>
      <w:pPr>
        <w:pStyle w:val="BodyText"/>
        <w:ind w:left="220"/>
      </w:pPr>
      <w:r>
        <w:rPr/>
        <w:t>Wickenden,A.D.(2002).Potassium</w:t>
      </w:r>
      <w:r>
        <w:rPr>
          <w:spacing w:val="-1"/>
        </w:rPr>
        <w:t> </w:t>
      </w:r>
      <w:r>
        <w:rPr/>
        <w:t>channels</w:t>
      </w:r>
      <w:r>
        <w:rPr>
          <w:spacing w:val="-1"/>
        </w:rPr>
        <w:t> </w:t>
      </w:r>
      <w:r>
        <w:rPr/>
        <w:t>as</w:t>
      </w:r>
      <w:r>
        <w:rPr>
          <w:spacing w:val="-1"/>
        </w:rPr>
        <w:t> </w:t>
      </w:r>
      <w:r>
        <w:rPr/>
        <w:t>antiepileptic</w:t>
      </w:r>
      <w:r>
        <w:rPr>
          <w:spacing w:val="-2"/>
        </w:rPr>
        <w:t> </w:t>
      </w:r>
      <w:r>
        <w:rPr/>
        <w:t>drug</w:t>
      </w:r>
      <w:r>
        <w:rPr>
          <w:spacing w:val="-4"/>
        </w:rPr>
        <w:t> </w:t>
      </w:r>
      <w:r>
        <w:rPr/>
        <w:t>targets.</w:t>
      </w:r>
    </w:p>
    <w:p>
      <w:pPr>
        <w:spacing w:before="0"/>
        <w:ind w:left="671" w:right="0" w:firstLine="0"/>
        <w:jc w:val="left"/>
        <w:rPr>
          <w:sz w:val="24"/>
        </w:rPr>
      </w:pPr>
      <w:r>
        <w:rPr>
          <w:i/>
          <w:sz w:val="24"/>
        </w:rPr>
        <w:t>Neuropharmacolog</w:t>
      </w:r>
      <w:r>
        <w:rPr>
          <w:sz w:val="24"/>
        </w:rPr>
        <w:t>y.43:1055-1060.</w:t>
      </w:r>
    </w:p>
    <w:p>
      <w:pPr>
        <w:pStyle w:val="BodyText"/>
      </w:pPr>
    </w:p>
    <w:p>
      <w:pPr>
        <w:pStyle w:val="BodyText"/>
        <w:ind w:left="671" w:right="114" w:hanging="452"/>
        <w:jc w:val="both"/>
      </w:pPr>
      <w:r>
        <w:rPr/>
        <w:t>Wiebe, S., Blume, WT., Girvin, J.P., &amp; Eliasziw, M. (2001). A randomized controlled trial of</w:t>
      </w:r>
      <w:r>
        <w:rPr>
          <w:spacing w:val="-57"/>
        </w:rPr>
        <w:t> </w:t>
      </w:r>
      <w:r>
        <w:rPr/>
        <w:t>surgery for temporal-lobe epilepsy.</w:t>
      </w:r>
      <w:r>
        <w:rPr>
          <w:spacing w:val="1"/>
        </w:rPr>
        <w:t> </w:t>
      </w:r>
      <w:r>
        <w:rPr>
          <w:i/>
        </w:rPr>
        <w:t>New. England Journal of Medicine. </w:t>
      </w:r>
      <w:r>
        <w:rPr/>
        <w:t>345(5): 311-</w:t>
      </w:r>
      <w:r>
        <w:rPr>
          <w:spacing w:val="1"/>
        </w:rPr>
        <w:t> </w:t>
      </w:r>
      <w:r>
        <w:rPr/>
        <w:t>318.</w:t>
      </w:r>
    </w:p>
    <w:p>
      <w:pPr>
        <w:pStyle w:val="BodyText"/>
        <w:spacing w:before="1"/>
      </w:pPr>
    </w:p>
    <w:p>
      <w:pPr>
        <w:spacing w:before="0"/>
        <w:ind w:left="671" w:right="115" w:hanging="452"/>
        <w:jc w:val="both"/>
        <w:rPr>
          <w:sz w:val="24"/>
        </w:rPr>
      </w:pPr>
      <w:r>
        <w:rPr>
          <w:sz w:val="24"/>
        </w:rPr>
        <w:t>Wilder, R.M. (1921).The effect of ketonuria on the course of epilepsy. </w:t>
      </w:r>
      <w:r>
        <w:rPr>
          <w:i/>
          <w:sz w:val="24"/>
        </w:rPr>
        <w:t>Mayo Clinic Bulletin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2:307.</w:t>
      </w:r>
    </w:p>
    <w:p>
      <w:pPr>
        <w:pStyle w:val="BodyText"/>
      </w:pPr>
    </w:p>
    <w:p>
      <w:pPr>
        <w:pStyle w:val="BodyText"/>
        <w:ind w:left="671" w:right="119" w:hanging="452"/>
        <w:jc w:val="both"/>
      </w:pPr>
      <w:r>
        <w:rPr/>
        <w:t>Wybenga, D.R.D., Glorgio, J. &amp; Pleggi, V.J. (1971). Determination of serum urea by diacetyl</w:t>
      </w:r>
      <w:r>
        <w:rPr>
          <w:spacing w:val="-57"/>
        </w:rPr>
        <w:t> </w:t>
      </w:r>
      <w:r>
        <w:rPr/>
        <w:t>monoxime</w:t>
      </w:r>
      <w:r>
        <w:rPr>
          <w:spacing w:val="-1"/>
        </w:rPr>
        <w:t> </w:t>
      </w:r>
      <w:r>
        <w:rPr/>
        <w:t>method.</w:t>
      </w:r>
      <w:r>
        <w:rPr>
          <w:spacing w:val="-1"/>
        </w:rPr>
        <w:t> </w:t>
      </w:r>
      <w:r>
        <w:rPr>
          <w:i/>
        </w:rPr>
        <w:t>Journal of Clinical Chemistry</w:t>
      </w:r>
      <w:r>
        <w:rPr/>
        <w:t>, 17:891-895.</w:t>
      </w:r>
    </w:p>
    <w:p>
      <w:pPr>
        <w:pStyle w:val="BodyText"/>
        <w:ind w:left="671" w:right="118" w:hanging="452"/>
        <w:jc w:val="both"/>
      </w:pPr>
      <w:r>
        <w:rPr/>
        <w:t>Xiong,Q., Wilson,W.K. and Pang,.J.(2007).The Liebermann-Burchard Reaction:Sulfonation,</w:t>
      </w:r>
      <w:r>
        <w:rPr>
          <w:spacing w:val="1"/>
        </w:rPr>
        <w:t> </w:t>
      </w:r>
      <w:r>
        <w:rPr/>
        <w:t>Desaturation,</w:t>
      </w:r>
      <w:r>
        <w:rPr>
          <w:spacing w:val="-1"/>
        </w:rPr>
        <w:t> </w:t>
      </w:r>
      <w:r>
        <w:rPr/>
        <w:t>and Rearrangement of</w:t>
      </w:r>
      <w:r>
        <w:rPr>
          <w:spacing w:val="-1"/>
        </w:rPr>
        <w:t> </w:t>
      </w:r>
      <w:r>
        <w:rPr/>
        <w:t>cholesterol in Acid.</w:t>
      </w:r>
      <w:r>
        <w:rPr>
          <w:spacing w:val="1"/>
        </w:rPr>
        <w:t> </w:t>
      </w:r>
      <w:r>
        <w:rPr>
          <w:i/>
        </w:rPr>
        <w:t>Lipids</w:t>
      </w:r>
      <w:r>
        <w:rPr/>
        <w:t>. 42:87-96</w:t>
      </w:r>
    </w:p>
    <w:p>
      <w:pPr>
        <w:pStyle w:val="BodyText"/>
      </w:pPr>
    </w:p>
    <w:p>
      <w:pPr>
        <w:pStyle w:val="BodyText"/>
        <w:ind w:left="671" w:right="117" w:hanging="452"/>
        <w:jc w:val="both"/>
      </w:pPr>
      <w:r>
        <w:rPr/>
        <w:t>Yamaguchi,</w:t>
      </w:r>
      <w:r>
        <w:rPr>
          <w:spacing w:val="1"/>
        </w:rPr>
        <w:t> </w:t>
      </w:r>
      <w:r>
        <w:rPr/>
        <w:t>S.I.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Rogawski,</w:t>
      </w:r>
      <w:r>
        <w:rPr>
          <w:spacing w:val="1"/>
        </w:rPr>
        <w:t> </w:t>
      </w:r>
      <w:r>
        <w:rPr/>
        <w:t>M.A.</w:t>
      </w:r>
      <w:r>
        <w:rPr>
          <w:spacing w:val="1"/>
        </w:rPr>
        <w:t> </w:t>
      </w:r>
      <w:r>
        <w:rPr/>
        <w:t>(1992).</w:t>
      </w:r>
      <w:r>
        <w:rPr>
          <w:spacing w:val="1"/>
        </w:rPr>
        <w:t> </w:t>
      </w:r>
      <w:r>
        <w:rPr/>
        <w:t>Effects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anticonvulsant</w:t>
      </w:r>
      <w:r>
        <w:rPr>
          <w:spacing w:val="1"/>
        </w:rPr>
        <w:t> </w:t>
      </w:r>
      <w:r>
        <w:rPr/>
        <w:t>drugs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4-</w:t>
      </w:r>
      <w:r>
        <w:rPr>
          <w:spacing w:val="1"/>
        </w:rPr>
        <w:t> </w:t>
      </w:r>
      <w:r>
        <w:rPr/>
        <w:t>aminopyridine-induced</w:t>
      </w:r>
      <w:r>
        <w:rPr>
          <w:spacing w:val="-1"/>
        </w:rPr>
        <w:t> </w:t>
      </w:r>
      <w:r>
        <w:rPr/>
        <w:t>seizure</w:t>
      </w:r>
      <w:r>
        <w:rPr>
          <w:spacing w:val="-1"/>
        </w:rPr>
        <w:t> </w:t>
      </w:r>
      <w:r>
        <w:rPr/>
        <w:t>in mice. </w:t>
      </w:r>
      <w:r>
        <w:rPr>
          <w:i/>
        </w:rPr>
        <w:t>Epilepsy</w:t>
      </w:r>
      <w:r>
        <w:rPr>
          <w:i/>
          <w:spacing w:val="1"/>
        </w:rPr>
        <w:t> </w:t>
      </w:r>
      <w:r>
        <w:rPr>
          <w:i/>
        </w:rPr>
        <w:t>Research </w:t>
      </w:r>
      <w:r>
        <w:rPr/>
        <w:t>11: 9-16.</w:t>
      </w:r>
    </w:p>
    <w:p>
      <w:pPr>
        <w:pStyle w:val="BodyText"/>
      </w:pPr>
    </w:p>
    <w:p>
      <w:pPr>
        <w:spacing w:before="1"/>
        <w:ind w:left="671" w:right="113" w:hanging="452"/>
        <w:jc w:val="both"/>
        <w:rPr>
          <w:sz w:val="24"/>
        </w:rPr>
      </w:pPr>
      <w:r>
        <w:rPr>
          <w:sz w:val="24"/>
        </w:rPr>
        <w:t>Yaro, A.H., Anuka, J.A., Salawu, O.A., Magaji, M.G. (2007). Anticonvulsant activities of</w:t>
      </w:r>
      <w:r>
        <w:rPr>
          <w:spacing w:val="1"/>
          <w:sz w:val="24"/>
        </w:rPr>
        <w:t> </w:t>
      </w:r>
      <w:r>
        <w:rPr>
          <w:sz w:val="24"/>
        </w:rPr>
        <w:t>methanol extract of </w:t>
      </w:r>
      <w:r>
        <w:rPr>
          <w:i/>
          <w:sz w:val="24"/>
        </w:rPr>
        <w:t>chrysanthellum Indicum Linn. </w:t>
      </w:r>
      <w:r>
        <w:rPr>
          <w:sz w:val="24"/>
        </w:rPr>
        <w:t>Vatke, in mice and chicks. </w:t>
      </w:r>
      <w:r>
        <w:rPr>
          <w:i/>
          <w:sz w:val="24"/>
        </w:rPr>
        <w:t>Nigerian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Pharmaceutical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Science</w:t>
      </w:r>
      <w:r>
        <w:rPr>
          <w:i/>
          <w:spacing w:val="-1"/>
          <w:sz w:val="24"/>
        </w:rPr>
        <w:t> </w:t>
      </w:r>
      <w:r>
        <w:rPr>
          <w:sz w:val="24"/>
        </w:rPr>
        <w:t>6(2): 22-277.</w:t>
      </w:r>
    </w:p>
    <w:p>
      <w:pPr>
        <w:pStyle w:val="BodyText"/>
      </w:pPr>
    </w:p>
    <w:p>
      <w:pPr>
        <w:pStyle w:val="BodyText"/>
        <w:ind w:left="671" w:right="118" w:hanging="452"/>
        <w:jc w:val="both"/>
      </w:pPr>
      <w:r>
        <w:rPr/>
        <w:t>Zhong, S.M., Waterman, P.G. &amp; Jeffreys, J.A.O (1984).Naphthoquinones and triterpenes</w:t>
      </w:r>
      <w:r>
        <w:rPr>
          <w:spacing w:val="1"/>
        </w:rPr>
        <w:t> </w:t>
      </w:r>
      <w:r>
        <w:rPr/>
        <w:t>from</w:t>
      </w:r>
      <w:r>
        <w:rPr>
          <w:spacing w:val="-1"/>
        </w:rPr>
        <w:t> </w:t>
      </w:r>
      <w:r>
        <w:rPr/>
        <w:t>African </w:t>
      </w:r>
      <w:r>
        <w:rPr>
          <w:i/>
        </w:rPr>
        <w:t>Diospyros</w:t>
      </w:r>
      <w:r>
        <w:rPr>
          <w:i/>
          <w:spacing w:val="2"/>
        </w:rPr>
        <w:t> </w:t>
      </w:r>
      <w:r>
        <w:rPr/>
        <w:t>species.</w:t>
      </w:r>
      <w:r>
        <w:rPr>
          <w:spacing w:val="-1"/>
        </w:rPr>
        <w:t> </w:t>
      </w:r>
      <w:r>
        <w:rPr>
          <w:i/>
        </w:rPr>
        <w:t>Phytochemistry</w:t>
      </w:r>
      <w:r>
        <w:rPr>
          <w:i/>
          <w:spacing w:val="1"/>
        </w:rPr>
        <w:t> </w:t>
      </w:r>
      <w:r>
        <w:rPr/>
        <w:t>23:1067-1072.</w:t>
      </w:r>
    </w:p>
    <w:p>
      <w:pPr>
        <w:pStyle w:val="BodyText"/>
      </w:pPr>
    </w:p>
    <w:p>
      <w:pPr>
        <w:spacing w:before="0"/>
        <w:ind w:left="220" w:right="0" w:firstLine="0"/>
        <w:jc w:val="left"/>
        <w:rPr>
          <w:sz w:val="24"/>
        </w:rPr>
      </w:pPr>
      <w:r>
        <w:rPr>
          <w:sz w:val="24"/>
        </w:rPr>
        <w:t>Zimmerman, H.J.</w:t>
      </w:r>
      <w:r>
        <w:rPr>
          <w:spacing w:val="-2"/>
          <w:sz w:val="24"/>
        </w:rPr>
        <w:t> </w:t>
      </w:r>
      <w:r>
        <w:rPr>
          <w:sz w:val="24"/>
        </w:rPr>
        <w:t>(2000).</w:t>
      </w:r>
      <w:r>
        <w:rPr>
          <w:spacing w:val="-2"/>
          <w:sz w:val="24"/>
        </w:rPr>
        <w:t> </w:t>
      </w:r>
      <w:r>
        <w:rPr>
          <w:sz w:val="24"/>
        </w:rPr>
        <w:t>Drug-induced</w:t>
      </w:r>
      <w:r>
        <w:rPr>
          <w:spacing w:val="-1"/>
          <w:sz w:val="24"/>
        </w:rPr>
        <w:t> </w:t>
      </w:r>
      <w:r>
        <w:rPr>
          <w:sz w:val="24"/>
        </w:rPr>
        <w:t>liver</w:t>
      </w:r>
      <w:r>
        <w:rPr>
          <w:spacing w:val="-2"/>
          <w:sz w:val="24"/>
        </w:rPr>
        <w:t> </w:t>
      </w:r>
      <w:r>
        <w:rPr>
          <w:sz w:val="24"/>
        </w:rPr>
        <w:t>disease.</w:t>
      </w:r>
      <w:r>
        <w:rPr>
          <w:spacing w:val="-1"/>
          <w:sz w:val="24"/>
        </w:rPr>
        <w:t> </w:t>
      </w:r>
      <w:r>
        <w:rPr>
          <w:i/>
          <w:sz w:val="24"/>
        </w:rPr>
        <w:t>Clinical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Liver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Disease;</w:t>
      </w:r>
      <w:r>
        <w:rPr>
          <w:i/>
          <w:spacing w:val="-3"/>
          <w:sz w:val="24"/>
        </w:rPr>
        <w:t> </w:t>
      </w:r>
      <w:r>
        <w:rPr>
          <w:sz w:val="24"/>
        </w:rPr>
        <w:t>473.</w:t>
      </w:r>
    </w:p>
    <w:p>
      <w:pPr>
        <w:pStyle w:val="BodyText"/>
      </w:pPr>
    </w:p>
    <w:p>
      <w:pPr>
        <w:pStyle w:val="BodyText"/>
        <w:ind w:left="671" w:right="120" w:hanging="452"/>
        <w:jc w:val="both"/>
      </w:pPr>
      <w:r>
        <w:rPr/>
        <w:t>Zoli, A.,Shey-Njila O., Assana E., </w:t>
      </w:r>
      <w:r>
        <w:rPr>
          <w:i/>
        </w:rPr>
        <w:t>et al </w:t>
      </w:r>
      <w:r>
        <w:rPr/>
        <w:t>(2003) .Regional Status, epidemiology and impact of</w:t>
      </w:r>
      <w:r>
        <w:rPr>
          <w:spacing w:val="1"/>
        </w:rPr>
        <w:t> </w:t>
      </w:r>
      <w:r>
        <w:rPr/>
        <w:t>taenia</w:t>
      </w:r>
      <w:r>
        <w:rPr>
          <w:spacing w:val="-1"/>
        </w:rPr>
        <w:t> </w:t>
      </w:r>
      <w:r>
        <w:rPr/>
        <w:t>solium</w:t>
      </w:r>
      <w:r>
        <w:rPr>
          <w:spacing w:val="-1"/>
        </w:rPr>
        <w:t> </w:t>
      </w:r>
      <w:r>
        <w:rPr/>
        <w:t>cysticercosis in</w:t>
      </w:r>
      <w:r>
        <w:rPr>
          <w:spacing w:val="-1"/>
        </w:rPr>
        <w:t> </w:t>
      </w:r>
      <w:r>
        <w:rPr/>
        <w:t>Western</w:t>
      </w:r>
      <w:r>
        <w:rPr>
          <w:spacing w:val="-1"/>
        </w:rPr>
        <w:t> </w:t>
      </w:r>
      <w:r>
        <w:rPr/>
        <w:t>and Central</w:t>
      </w:r>
      <w:r>
        <w:rPr>
          <w:spacing w:val="-1"/>
        </w:rPr>
        <w:t> </w:t>
      </w:r>
      <w:r>
        <w:rPr/>
        <w:t>Africa.</w:t>
      </w:r>
      <w:r>
        <w:rPr>
          <w:spacing w:val="1"/>
        </w:rPr>
        <w:t> </w:t>
      </w:r>
      <w:r>
        <w:rPr>
          <w:i/>
        </w:rPr>
        <w:t>Acta Trop</w:t>
      </w:r>
      <w:r>
        <w:rPr/>
        <w:t>.</w:t>
      </w:r>
      <w:r>
        <w:rPr>
          <w:spacing w:val="-1"/>
        </w:rPr>
        <w:t> </w:t>
      </w:r>
      <w:r>
        <w:rPr/>
        <w:t>87(1):</w:t>
      </w:r>
      <w:r>
        <w:rPr>
          <w:spacing w:val="-1"/>
        </w:rPr>
        <w:t> </w:t>
      </w:r>
      <w:r>
        <w:rPr/>
        <w:t>35-42.</w:t>
      </w:r>
    </w:p>
    <w:p>
      <w:pPr>
        <w:pStyle w:val="BodyText"/>
      </w:pPr>
    </w:p>
    <w:p>
      <w:pPr>
        <w:pStyle w:val="BodyText"/>
        <w:spacing w:before="1"/>
        <w:ind w:left="671" w:right="113" w:hanging="452"/>
        <w:jc w:val="both"/>
      </w:pPr>
      <w:r>
        <w:rPr/>
        <w:t>Zona, C and Avoli, M. (1990). Effects induced by the antiepileptic drug valproic acid upon</w:t>
      </w:r>
      <w:r>
        <w:rPr>
          <w:spacing w:val="1"/>
        </w:rPr>
        <w:t> </w:t>
      </w:r>
      <w:r>
        <w:rPr/>
        <w:t>the lonic currents recorded in rat neocortical neurons in cell culture. </w:t>
      </w:r>
      <w:r>
        <w:rPr>
          <w:i/>
        </w:rPr>
        <w:t>Experimental</w:t>
      </w:r>
      <w:r>
        <w:rPr>
          <w:i/>
          <w:spacing w:val="1"/>
        </w:rPr>
        <w:t> </w:t>
      </w:r>
      <w:r>
        <w:rPr>
          <w:i/>
        </w:rPr>
        <w:t>Brain</w:t>
      </w:r>
      <w:r>
        <w:rPr>
          <w:i/>
          <w:spacing w:val="-57"/>
        </w:rPr>
        <w:t> </w:t>
      </w:r>
      <w:r>
        <w:rPr>
          <w:i/>
        </w:rPr>
        <w:t>Research</w:t>
      </w:r>
      <w:r>
        <w:rPr>
          <w:i/>
          <w:spacing w:val="-1"/>
        </w:rPr>
        <w:t> </w:t>
      </w:r>
      <w:r>
        <w:rPr/>
        <w:t>81:313-317.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671" w:right="120" w:hanging="452"/>
        <w:jc w:val="both"/>
      </w:pPr>
      <w:r>
        <w:rPr/>
        <w:t>Zona, C; and Avoli, M. (1997). Lamotrigine reduces voltage-gated sodium currents in rat</w:t>
      </w:r>
      <w:r>
        <w:rPr>
          <w:spacing w:val="1"/>
        </w:rPr>
        <w:t> </w:t>
      </w:r>
      <w:r>
        <w:rPr/>
        <w:t>central</w:t>
      </w:r>
      <w:r>
        <w:rPr>
          <w:spacing w:val="-1"/>
        </w:rPr>
        <w:t> </w:t>
      </w:r>
      <w:r>
        <w:rPr/>
        <w:t>neurons in culture.</w:t>
      </w:r>
      <w:r>
        <w:rPr>
          <w:spacing w:val="1"/>
        </w:rPr>
        <w:t> </w:t>
      </w:r>
      <w:r>
        <w:rPr>
          <w:i/>
        </w:rPr>
        <w:t>Epilepsia </w:t>
      </w:r>
      <w:r>
        <w:rPr/>
        <w:t>38:522-525.</w:t>
      </w:r>
    </w:p>
    <w:p>
      <w:pPr>
        <w:spacing w:after="0"/>
        <w:jc w:val="both"/>
        <w:sectPr>
          <w:pgSz w:w="12240" w:h="15840"/>
          <w:pgMar w:header="0" w:footer="792" w:top="1500" w:bottom="980" w:left="1580" w:right="1320"/>
        </w:sectPr>
      </w:pPr>
    </w:p>
    <w:p>
      <w:pPr>
        <w:pStyle w:val="Heading1"/>
        <w:spacing w:before="76"/>
        <w:ind w:left="204" w:right="104"/>
        <w:jc w:val="center"/>
      </w:pPr>
      <w:r>
        <w:rPr/>
        <w:t>APPENDIX</w:t>
      </w:r>
      <w:r>
        <w:rPr>
          <w:spacing w:val="57"/>
        </w:rPr>
        <w:t> </w:t>
      </w:r>
      <w:r>
        <w:rPr/>
        <w:t>I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20"/>
        </w:rPr>
      </w:pPr>
    </w:p>
    <w:p>
      <w:pPr>
        <w:spacing w:before="90"/>
        <w:ind w:left="220" w:right="0" w:firstLine="0"/>
        <w:jc w:val="left"/>
        <w:rPr>
          <w:b/>
          <w:sz w:val="24"/>
        </w:rPr>
      </w:pPr>
      <w:r>
        <w:rPr>
          <w:b/>
          <w:sz w:val="24"/>
        </w:rPr>
        <w:t>Percentage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Yield</w:t>
      </w:r>
    </w:p>
    <w:p>
      <w:pPr>
        <w:pStyle w:val="BodyText"/>
        <w:spacing w:before="6"/>
        <w:rPr>
          <w:b/>
          <w:sz w:val="23"/>
        </w:rPr>
      </w:pPr>
    </w:p>
    <w:p>
      <w:pPr>
        <w:spacing w:line="480" w:lineRule="auto" w:before="1"/>
        <w:ind w:left="220" w:right="116" w:firstLine="0"/>
        <w:jc w:val="left"/>
        <w:rPr>
          <w:sz w:val="24"/>
        </w:rPr>
      </w:pPr>
      <w:r>
        <w:rPr/>
        <w:pict>
          <v:group style="position:absolute;margin-left:209.76004pt;margin-top:62.625366pt;width:137.050pt;height:14.75pt;mso-position-horizontal-relative:page;mso-position-vertical-relative:paragraph;z-index:-18353664" coordorigin="4195,1253" coordsize="2741,295">
            <v:line style="position:absolute" from="4195,1434" to="6624,1434" stroked="true" strokeweight=".498571pt" strokecolor="#000000">
              <v:stroke dashstyle="solid"/>
            </v:line>
            <v:shape style="position:absolute;left:6683;top:1252;width:252;height:295" type="#_x0000_t75" stroked="false">
              <v:imagedata r:id="rId36" o:title=""/>
            </v:shape>
            <w10:wrap type="none"/>
          </v:group>
        </w:pict>
      </w:r>
      <w:r>
        <w:rPr>
          <w:sz w:val="24"/>
        </w:rPr>
        <w:t>Weight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2"/>
          <w:sz w:val="24"/>
        </w:rPr>
        <w:t> </w:t>
      </w:r>
      <w:r>
        <w:rPr>
          <w:sz w:val="24"/>
        </w:rPr>
        <w:t>crushed</w:t>
      </w:r>
      <w:r>
        <w:rPr>
          <w:spacing w:val="3"/>
          <w:sz w:val="24"/>
        </w:rPr>
        <w:t> </w:t>
      </w:r>
      <w:r>
        <w:rPr>
          <w:sz w:val="24"/>
        </w:rPr>
        <w:t>leaves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3"/>
          <w:sz w:val="24"/>
        </w:rPr>
        <w:t> </w:t>
      </w:r>
      <w:r>
        <w:rPr>
          <w:i/>
          <w:sz w:val="24"/>
        </w:rPr>
        <w:t>Diospyros</w:t>
      </w:r>
      <w:r>
        <w:rPr>
          <w:i/>
          <w:spacing w:val="4"/>
          <w:sz w:val="24"/>
        </w:rPr>
        <w:t> </w:t>
      </w:r>
      <w:r>
        <w:rPr>
          <w:i/>
          <w:sz w:val="24"/>
        </w:rPr>
        <w:t>mespiloformis</w:t>
      </w:r>
      <w:r>
        <w:rPr>
          <w:i/>
          <w:spacing w:val="1"/>
          <w:sz w:val="24"/>
        </w:rPr>
        <w:t> </w:t>
      </w:r>
      <w:r>
        <w:rPr>
          <w:sz w:val="24"/>
        </w:rPr>
        <w:t>before</w:t>
      </w:r>
      <w:r>
        <w:rPr>
          <w:spacing w:val="1"/>
          <w:sz w:val="24"/>
        </w:rPr>
        <w:t> </w:t>
      </w:r>
      <w:r>
        <w:rPr>
          <w:sz w:val="24"/>
        </w:rPr>
        <w:t>maceration</w:t>
      </w:r>
      <w:r>
        <w:rPr>
          <w:spacing w:val="1"/>
          <w:sz w:val="24"/>
        </w:rPr>
        <w:t> </w:t>
      </w:r>
      <w:r>
        <w:rPr>
          <w:sz w:val="24"/>
        </w:rPr>
        <w:t>=</w:t>
      </w:r>
      <w:r>
        <w:rPr>
          <w:spacing w:val="2"/>
          <w:sz w:val="24"/>
        </w:rPr>
        <w:t> </w:t>
      </w:r>
      <w:r>
        <w:rPr>
          <w:sz w:val="24"/>
        </w:rPr>
        <w:t>1326</w:t>
      </w:r>
      <w:r>
        <w:rPr>
          <w:spacing w:val="1"/>
          <w:sz w:val="24"/>
        </w:rPr>
        <w:t> </w:t>
      </w:r>
      <w:r>
        <w:rPr>
          <w:sz w:val="24"/>
        </w:rPr>
        <w:t>g.</w:t>
      </w:r>
      <w:r>
        <w:rPr>
          <w:spacing w:val="3"/>
          <w:sz w:val="24"/>
        </w:rPr>
        <w:t> </w:t>
      </w:r>
      <w:r>
        <w:rPr>
          <w:sz w:val="24"/>
        </w:rPr>
        <w:t>Weight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-57"/>
          <w:sz w:val="24"/>
        </w:rPr>
        <w:t> </w:t>
      </w:r>
      <w:r>
        <w:rPr>
          <w:sz w:val="24"/>
        </w:rPr>
        <w:t>extract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i/>
          <w:sz w:val="24"/>
        </w:rPr>
        <w:t>Diospyros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mespiliformis</w:t>
      </w:r>
      <w:r>
        <w:rPr>
          <w:i/>
          <w:spacing w:val="2"/>
          <w:sz w:val="24"/>
        </w:rPr>
        <w:t> </w:t>
      </w:r>
      <w:r>
        <w:rPr>
          <w:sz w:val="24"/>
        </w:rPr>
        <w:t>after filteration</w:t>
      </w:r>
      <w:r>
        <w:rPr>
          <w:spacing w:val="-1"/>
          <w:sz w:val="24"/>
        </w:rPr>
        <w:t> </w:t>
      </w:r>
      <w:r>
        <w:rPr>
          <w:sz w:val="24"/>
        </w:rPr>
        <w:t>and evaporation =</w:t>
      </w:r>
      <w:r>
        <w:rPr>
          <w:spacing w:val="-2"/>
          <w:sz w:val="24"/>
        </w:rPr>
        <w:t> </w:t>
      </w:r>
      <w:r>
        <w:rPr>
          <w:sz w:val="24"/>
        </w:rPr>
        <w:t>63g.</w:t>
      </w:r>
    </w:p>
    <w:p>
      <w:pPr>
        <w:spacing w:after="0" w:line="480" w:lineRule="auto"/>
        <w:jc w:val="left"/>
        <w:rPr>
          <w:sz w:val="24"/>
        </w:rPr>
        <w:sectPr>
          <w:pgSz w:w="12240" w:h="15840"/>
          <w:pgMar w:header="0" w:footer="792" w:top="1360" w:bottom="980" w:left="1580" w:right="1320"/>
        </w:sectPr>
      </w:pPr>
    </w:p>
    <w:p>
      <w:pPr>
        <w:pStyle w:val="BodyText"/>
        <w:tabs>
          <w:tab w:pos="2380" w:val="left" w:leader="none"/>
        </w:tabs>
        <w:spacing w:before="163"/>
        <w:ind w:left="940"/>
      </w:pPr>
      <w:r>
        <w:rPr/>
        <w:t>%</w:t>
      </w:r>
      <w:r>
        <w:rPr>
          <w:spacing w:val="-2"/>
        </w:rPr>
        <w:t> </w:t>
      </w:r>
      <w:r>
        <w:rPr/>
        <w:t>Yield</w:t>
        <w:tab/>
      </w:r>
      <w:r>
        <w:rPr>
          <w:spacing w:val="-6"/>
        </w:rPr>
        <w:t>=</w:t>
      </w:r>
    </w:p>
    <w:p>
      <w:pPr>
        <w:spacing w:line="292" w:lineRule="auto" w:before="14"/>
        <w:ind w:left="52" w:right="-7" w:firstLine="383"/>
        <w:jc w:val="left"/>
        <w:rPr>
          <w:i/>
          <w:sz w:val="24"/>
        </w:rPr>
      </w:pPr>
      <w:r>
        <w:rPr/>
        <w:br w:type="column"/>
      </w:r>
      <w:r>
        <w:rPr>
          <w:i/>
          <w:spacing w:val="-2"/>
          <w:sz w:val="24"/>
        </w:rPr>
        <w:t>Weight of extract</w:t>
      </w:r>
      <w:r>
        <w:rPr>
          <w:i/>
          <w:spacing w:val="-1"/>
          <w:sz w:val="24"/>
        </w:rPr>
        <w:t> Weight</w:t>
      </w:r>
      <w:r>
        <w:rPr>
          <w:i/>
          <w:spacing w:val="4"/>
          <w:sz w:val="24"/>
        </w:rPr>
        <w:t> </w:t>
      </w:r>
      <w:r>
        <w:rPr>
          <w:i/>
          <w:spacing w:val="-1"/>
          <w:sz w:val="24"/>
        </w:rPr>
        <w:t>of</w:t>
      </w:r>
      <w:r>
        <w:rPr>
          <w:i/>
          <w:spacing w:val="18"/>
          <w:sz w:val="24"/>
        </w:rPr>
        <w:t> </w:t>
      </w:r>
      <w:r>
        <w:rPr>
          <w:i/>
          <w:spacing w:val="-1"/>
          <w:sz w:val="24"/>
        </w:rPr>
        <w:t>crushed</w:t>
      </w:r>
      <w:r>
        <w:rPr>
          <w:i/>
          <w:spacing w:val="-12"/>
          <w:sz w:val="24"/>
        </w:rPr>
        <w:t> </w:t>
      </w:r>
      <w:r>
        <w:rPr>
          <w:i/>
          <w:spacing w:val="-1"/>
          <w:sz w:val="24"/>
        </w:rPr>
        <w:t>leaves</w:t>
      </w:r>
    </w:p>
    <w:p>
      <w:pPr>
        <w:spacing w:before="164"/>
        <w:ind w:left="252" w:right="0" w:firstLine="0"/>
        <w:jc w:val="left"/>
        <w:rPr>
          <w:sz w:val="24"/>
        </w:rPr>
      </w:pPr>
      <w:r>
        <w:rPr/>
        <w:br w:type="column"/>
      </w:r>
      <w:r>
        <w:rPr>
          <w:sz w:val="24"/>
        </w:rPr>
        <w:t>100</w:t>
      </w:r>
    </w:p>
    <w:p>
      <w:pPr>
        <w:spacing w:after="0"/>
        <w:jc w:val="left"/>
        <w:rPr>
          <w:sz w:val="24"/>
        </w:rPr>
        <w:sectPr>
          <w:type w:val="continuous"/>
          <w:pgSz w:w="12240" w:h="15840"/>
          <w:pgMar w:top="1360" w:bottom="980" w:left="1580" w:right="1320"/>
          <w:cols w:num="3" w:equalWidth="0">
            <w:col w:w="2517" w:space="40"/>
            <w:col w:w="2460" w:space="39"/>
            <w:col w:w="4284"/>
          </w:cols>
        </w:sectPr>
      </w:pPr>
    </w:p>
    <w:p>
      <w:pPr>
        <w:pStyle w:val="BodyText"/>
        <w:spacing w:before="8"/>
        <w:rPr>
          <w:sz w:val="16"/>
        </w:rPr>
      </w:pPr>
    </w:p>
    <w:p>
      <w:pPr>
        <w:spacing w:after="0"/>
        <w:rPr>
          <w:sz w:val="16"/>
        </w:rPr>
        <w:sectPr>
          <w:type w:val="continuous"/>
          <w:pgSz w:w="12240" w:h="15840"/>
          <w:pgMar w:top="1360" w:bottom="980" w:left="1580" w:right="1320"/>
        </w:sectPr>
      </w:pPr>
    </w:p>
    <w:p>
      <w:pPr>
        <w:pStyle w:val="BodyText"/>
        <w:tabs>
          <w:tab w:pos="358" w:val="left" w:leader="none"/>
        </w:tabs>
        <w:spacing w:line="184" w:lineRule="auto" w:before="105"/>
        <w:ind w:right="90"/>
        <w:jc w:val="right"/>
      </w:pPr>
      <w:r>
        <w:rPr/>
        <w:pict>
          <v:group style="position:absolute;margin-left:209.764984pt;margin-top:11.115051pt;width:39.5pt;height:14.65pt;mso-position-horizontal-relative:page;mso-position-vertical-relative:paragraph;z-index:-18353152" coordorigin="4195,222" coordsize="790,293">
            <v:line style="position:absolute" from="4195,402" to="4673,402" stroked="true" strokeweight=".499958pt" strokecolor="#000000">
              <v:stroke dashstyle="solid"/>
            </v:line>
            <v:shape style="position:absolute;left:4732;top:222;width:253;height:293" type="#_x0000_t75" stroked="false">
              <v:imagedata r:id="rId37" o:title=""/>
            </v:shape>
            <w10:wrap type="none"/>
          </v:group>
        </w:pict>
      </w:r>
      <w:r>
        <w:rPr>
          <w:position w:val="-14"/>
        </w:rPr>
        <w:t>=</w:t>
        <w:tab/>
      </w:r>
      <w:r>
        <w:rPr/>
        <w:t>63</w:t>
      </w:r>
    </w:p>
    <w:p>
      <w:pPr>
        <w:pStyle w:val="BodyText"/>
        <w:spacing w:line="230" w:lineRule="exact"/>
        <w:jc w:val="right"/>
      </w:pPr>
      <w:r>
        <w:rPr/>
        <w:t>1326</w:t>
      </w:r>
    </w:p>
    <w:p>
      <w:pPr>
        <w:pStyle w:val="BodyText"/>
        <w:spacing w:before="8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ind w:left="256"/>
      </w:pPr>
      <w:r>
        <w:rPr>
          <w:spacing w:val="-7"/>
        </w:rPr>
        <w:t>100</w:t>
      </w:r>
    </w:p>
    <w:p>
      <w:pPr>
        <w:pStyle w:val="BodyText"/>
        <w:spacing w:before="8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ind w:left="240"/>
      </w:pPr>
      <w:r>
        <w:rPr/>
        <w:drawing>
          <wp:anchor distT="0" distB="0" distL="0" distR="0" allowOverlap="1" layoutInCell="1" locked="0" behindDoc="1" simplePos="0" relativeHeight="484963840">
            <wp:simplePos x="0" y="0"/>
            <wp:positionH relativeFrom="page">
              <wp:posOffset>3402450</wp:posOffset>
            </wp:positionH>
            <wp:positionV relativeFrom="paragraph">
              <wp:posOffset>-10113</wp:posOffset>
            </wp:positionV>
            <wp:extent cx="160144" cy="185649"/>
            <wp:effectExtent l="0" t="0" r="0" b="0"/>
            <wp:wrapNone/>
            <wp:docPr id="13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20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4" cy="1856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4.75%</w:t>
      </w:r>
    </w:p>
    <w:p>
      <w:pPr>
        <w:spacing w:after="0"/>
        <w:sectPr>
          <w:type w:val="continuous"/>
          <w:pgSz w:w="12240" w:h="15840"/>
          <w:pgMar w:top="1360" w:bottom="980" w:left="1580" w:right="1320"/>
          <w:cols w:num="3" w:equalWidth="0">
            <w:col w:w="3060" w:space="40"/>
            <w:col w:w="597" w:space="39"/>
            <w:col w:w="5604"/>
          </w:cols>
        </w:sectPr>
      </w:pPr>
    </w:p>
    <w:p>
      <w:pPr>
        <w:pStyle w:val="Heading1"/>
        <w:spacing w:before="76"/>
        <w:ind w:left="203" w:right="104"/>
        <w:jc w:val="center"/>
      </w:pPr>
      <w:r>
        <w:rPr/>
        <w:t>APPENDIX</w:t>
      </w:r>
      <w:r>
        <w:rPr>
          <w:spacing w:val="-3"/>
        </w:rPr>
        <w:t> </w:t>
      </w:r>
      <w:r>
        <w:rPr/>
        <w:t>II</w:t>
      </w:r>
    </w:p>
    <w:p>
      <w:pPr>
        <w:pStyle w:val="BodyText"/>
        <w:spacing w:before="1"/>
        <w:rPr>
          <w:b/>
        </w:rPr>
      </w:pPr>
    </w:p>
    <w:p>
      <w:pPr>
        <w:spacing w:before="0"/>
        <w:ind w:left="220" w:right="112" w:firstLine="0"/>
        <w:jc w:val="left"/>
        <w:rPr>
          <w:b/>
          <w:sz w:val="24"/>
        </w:rPr>
      </w:pPr>
      <w:r>
        <w:rPr>
          <w:b/>
          <w:sz w:val="24"/>
        </w:rPr>
        <w:t>LD</w:t>
      </w:r>
      <w:r>
        <w:rPr>
          <w:b/>
          <w:sz w:val="24"/>
          <w:vertAlign w:val="subscript"/>
        </w:rPr>
        <w:t>50</w:t>
      </w:r>
      <w:r>
        <w:rPr>
          <w:b/>
          <w:spacing w:val="31"/>
          <w:sz w:val="24"/>
          <w:vertAlign w:val="baseline"/>
        </w:rPr>
        <w:t> </w:t>
      </w:r>
      <w:r>
        <w:rPr>
          <w:b/>
          <w:sz w:val="24"/>
          <w:vertAlign w:val="baseline"/>
        </w:rPr>
        <w:t>Determination</w:t>
      </w:r>
      <w:r>
        <w:rPr>
          <w:b/>
          <w:spacing w:val="32"/>
          <w:sz w:val="24"/>
          <w:vertAlign w:val="baseline"/>
        </w:rPr>
        <w:t> </w:t>
      </w:r>
      <w:r>
        <w:rPr>
          <w:b/>
          <w:sz w:val="24"/>
          <w:vertAlign w:val="baseline"/>
        </w:rPr>
        <w:t>in</w:t>
      </w:r>
      <w:r>
        <w:rPr>
          <w:b/>
          <w:spacing w:val="31"/>
          <w:sz w:val="24"/>
          <w:vertAlign w:val="baseline"/>
        </w:rPr>
        <w:t> </w:t>
      </w:r>
      <w:r>
        <w:rPr>
          <w:b/>
          <w:sz w:val="24"/>
          <w:vertAlign w:val="baseline"/>
        </w:rPr>
        <w:t>Rats,</w:t>
      </w:r>
      <w:r>
        <w:rPr>
          <w:b/>
          <w:spacing w:val="31"/>
          <w:sz w:val="24"/>
          <w:vertAlign w:val="baseline"/>
        </w:rPr>
        <w:t> </w:t>
      </w:r>
      <w:r>
        <w:rPr>
          <w:b/>
          <w:sz w:val="24"/>
          <w:vertAlign w:val="baseline"/>
        </w:rPr>
        <w:t>Mice</w:t>
      </w:r>
      <w:r>
        <w:rPr>
          <w:b/>
          <w:spacing w:val="29"/>
          <w:sz w:val="24"/>
          <w:vertAlign w:val="baseline"/>
        </w:rPr>
        <w:t> </w:t>
      </w:r>
      <w:r>
        <w:rPr>
          <w:b/>
          <w:sz w:val="24"/>
          <w:vertAlign w:val="baseline"/>
        </w:rPr>
        <w:t>and</w:t>
      </w:r>
      <w:r>
        <w:rPr>
          <w:b/>
          <w:spacing w:val="31"/>
          <w:sz w:val="24"/>
          <w:vertAlign w:val="baseline"/>
        </w:rPr>
        <w:t> </w:t>
      </w:r>
      <w:r>
        <w:rPr>
          <w:b/>
          <w:sz w:val="24"/>
          <w:vertAlign w:val="baseline"/>
        </w:rPr>
        <w:t>Chicks</w:t>
      </w:r>
      <w:r>
        <w:rPr>
          <w:b/>
          <w:spacing w:val="31"/>
          <w:sz w:val="24"/>
          <w:vertAlign w:val="baseline"/>
        </w:rPr>
        <w:t> </w:t>
      </w:r>
      <w:r>
        <w:rPr>
          <w:b/>
          <w:sz w:val="24"/>
          <w:vertAlign w:val="baseline"/>
        </w:rPr>
        <w:t>by</w:t>
      </w:r>
      <w:r>
        <w:rPr>
          <w:b/>
          <w:spacing w:val="29"/>
          <w:sz w:val="24"/>
          <w:vertAlign w:val="baseline"/>
        </w:rPr>
        <w:t> </w:t>
      </w:r>
      <w:r>
        <w:rPr>
          <w:b/>
          <w:sz w:val="24"/>
          <w:vertAlign w:val="baseline"/>
        </w:rPr>
        <w:t>Intraperitoneal</w:t>
      </w:r>
      <w:r>
        <w:rPr>
          <w:b/>
          <w:spacing w:val="31"/>
          <w:sz w:val="24"/>
          <w:vertAlign w:val="baseline"/>
        </w:rPr>
        <w:t> </w:t>
      </w:r>
      <w:r>
        <w:rPr>
          <w:b/>
          <w:sz w:val="24"/>
          <w:vertAlign w:val="baseline"/>
        </w:rPr>
        <w:t>(i.p)</w:t>
      </w:r>
      <w:r>
        <w:rPr>
          <w:b/>
          <w:spacing w:val="29"/>
          <w:sz w:val="24"/>
          <w:vertAlign w:val="baseline"/>
        </w:rPr>
        <w:t> </w:t>
      </w:r>
      <w:r>
        <w:rPr>
          <w:b/>
          <w:sz w:val="24"/>
          <w:vertAlign w:val="baseline"/>
        </w:rPr>
        <w:t>and</w:t>
      </w:r>
      <w:r>
        <w:rPr>
          <w:b/>
          <w:spacing w:val="31"/>
          <w:sz w:val="24"/>
          <w:vertAlign w:val="baseline"/>
        </w:rPr>
        <w:t> </w:t>
      </w:r>
      <w:r>
        <w:rPr>
          <w:b/>
          <w:sz w:val="24"/>
          <w:vertAlign w:val="baseline"/>
        </w:rPr>
        <w:t>Oral</w:t>
      </w:r>
      <w:r>
        <w:rPr>
          <w:b/>
          <w:spacing w:val="32"/>
          <w:sz w:val="24"/>
          <w:vertAlign w:val="baseline"/>
        </w:rPr>
        <w:t> </w:t>
      </w:r>
      <w:r>
        <w:rPr>
          <w:b/>
          <w:sz w:val="24"/>
          <w:vertAlign w:val="baseline"/>
        </w:rPr>
        <w:t>(p.o)</w:t>
      </w:r>
      <w:r>
        <w:rPr>
          <w:b/>
          <w:spacing w:val="-57"/>
          <w:sz w:val="24"/>
          <w:vertAlign w:val="baseline"/>
        </w:rPr>
        <w:t> </w:t>
      </w:r>
      <w:r>
        <w:rPr>
          <w:b/>
          <w:sz w:val="24"/>
          <w:vertAlign w:val="baseline"/>
        </w:rPr>
        <w:t>Routes</w:t>
      </w:r>
      <w:r>
        <w:rPr>
          <w:b/>
          <w:spacing w:val="-1"/>
          <w:sz w:val="24"/>
          <w:vertAlign w:val="baseline"/>
        </w:rPr>
        <w:t> </w:t>
      </w:r>
      <w:r>
        <w:rPr>
          <w:b/>
          <w:sz w:val="24"/>
          <w:vertAlign w:val="baseline"/>
        </w:rPr>
        <w:t>of</w:t>
      </w:r>
      <w:r>
        <w:rPr>
          <w:b/>
          <w:spacing w:val="1"/>
          <w:sz w:val="24"/>
          <w:vertAlign w:val="baseline"/>
        </w:rPr>
        <w:t> </w:t>
      </w:r>
      <w:r>
        <w:rPr>
          <w:b/>
          <w:sz w:val="24"/>
          <w:vertAlign w:val="baseline"/>
        </w:rPr>
        <w:t>Administration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2"/>
        </w:rPr>
      </w:pPr>
    </w:p>
    <w:p>
      <w:pPr>
        <w:pStyle w:val="Heading1"/>
        <w:tabs>
          <w:tab w:pos="940" w:val="left" w:leader="none"/>
        </w:tabs>
        <w:ind w:left="220"/>
      </w:pPr>
      <w:r>
        <w:rPr/>
        <w:t>I</w:t>
      </w:r>
      <w:r>
        <w:rPr>
          <w:spacing w:val="-1"/>
        </w:rPr>
        <w:t> </w:t>
      </w:r>
      <w:r>
        <w:rPr/>
        <w:t>(a)</w:t>
        <w:tab/>
        <w:t>RATS</w:t>
      </w:r>
      <w:r>
        <w:rPr>
          <w:spacing w:val="-1"/>
        </w:rPr>
        <w:t> </w:t>
      </w:r>
      <w:r>
        <w:rPr/>
        <w:t>(ORAL)</w:t>
      </w:r>
    </w:p>
    <w:p>
      <w:pPr>
        <w:pStyle w:val="BodyText"/>
        <w:rPr>
          <w:b/>
        </w:rPr>
      </w:pPr>
    </w:p>
    <w:p>
      <w:pPr>
        <w:spacing w:before="0"/>
        <w:ind w:left="940" w:right="0" w:firstLine="0"/>
        <w:jc w:val="left"/>
        <w:rPr>
          <w:b/>
          <w:sz w:val="24"/>
        </w:rPr>
      </w:pPr>
      <w:r>
        <w:rPr>
          <w:b/>
          <w:sz w:val="24"/>
        </w:rPr>
        <w:t>1</w:t>
      </w:r>
      <w:r>
        <w:rPr>
          <w:b/>
          <w:sz w:val="24"/>
          <w:vertAlign w:val="superscript"/>
        </w:rPr>
        <w:t>ST</w:t>
      </w:r>
      <w:r>
        <w:rPr>
          <w:b/>
          <w:spacing w:val="-3"/>
          <w:sz w:val="24"/>
          <w:vertAlign w:val="baseline"/>
        </w:rPr>
        <w:t> </w:t>
      </w:r>
      <w:r>
        <w:rPr>
          <w:b/>
          <w:sz w:val="24"/>
          <w:vertAlign w:val="baseline"/>
        </w:rPr>
        <w:t>PHASE</w:t>
      </w:r>
    </w:p>
    <w:p>
      <w:pPr>
        <w:pStyle w:val="BodyText"/>
        <w:spacing w:before="10"/>
        <w:rPr>
          <w:b/>
        </w:rPr>
      </w:pPr>
    </w:p>
    <w:tbl>
      <w:tblPr>
        <w:tblW w:w="0" w:type="auto"/>
        <w:jc w:val="left"/>
        <w:tblInd w:w="1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53"/>
        <w:gridCol w:w="1814"/>
        <w:gridCol w:w="1945"/>
      </w:tblGrid>
      <w:tr>
        <w:trPr>
          <w:trHeight w:val="406" w:hRule="atLeast"/>
        </w:trPr>
        <w:tc>
          <w:tcPr>
            <w:tcW w:w="2353" w:type="dxa"/>
          </w:tcPr>
          <w:p>
            <w:pPr>
              <w:pStyle w:val="TableParagraph"/>
              <w:spacing w:line="266" w:lineRule="exact"/>
              <w:ind w:left="180" w:right="16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Number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animals</w:t>
            </w:r>
          </w:p>
        </w:tc>
        <w:tc>
          <w:tcPr>
            <w:tcW w:w="1814" w:type="dxa"/>
          </w:tcPr>
          <w:p>
            <w:pPr>
              <w:pStyle w:val="TableParagraph"/>
              <w:spacing w:line="266" w:lineRule="exact"/>
              <w:ind w:left="182"/>
              <w:rPr>
                <w:b/>
                <w:sz w:val="24"/>
              </w:rPr>
            </w:pPr>
            <w:r>
              <w:rPr>
                <w:b/>
                <w:sz w:val="24"/>
              </w:rPr>
              <w:t>Dose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(mg/kg)</w:t>
            </w:r>
          </w:p>
        </w:tc>
        <w:tc>
          <w:tcPr>
            <w:tcW w:w="1945" w:type="dxa"/>
          </w:tcPr>
          <w:p>
            <w:pPr>
              <w:pStyle w:val="TableParagraph"/>
              <w:spacing w:line="266" w:lineRule="exact"/>
              <w:ind w:left="261" w:right="1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Mortality</w:t>
            </w:r>
          </w:p>
        </w:tc>
      </w:tr>
      <w:tr>
        <w:trPr>
          <w:trHeight w:val="549" w:hRule="atLeast"/>
        </w:trPr>
        <w:tc>
          <w:tcPr>
            <w:tcW w:w="2353" w:type="dxa"/>
          </w:tcPr>
          <w:p>
            <w:pPr>
              <w:pStyle w:val="TableParagraph"/>
              <w:spacing w:before="130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14" w:type="dxa"/>
          </w:tcPr>
          <w:p>
            <w:pPr>
              <w:pStyle w:val="TableParagraph"/>
              <w:spacing w:before="130"/>
              <w:ind w:left="501"/>
              <w:rPr>
                <w:sz w:val="24"/>
              </w:rPr>
            </w:pPr>
            <w:r>
              <w:rPr>
                <w:sz w:val="24"/>
              </w:rPr>
              <w:t>1000</w:t>
            </w:r>
          </w:p>
        </w:tc>
        <w:tc>
          <w:tcPr>
            <w:tcW w:w="1945" w:type="dxa"/>
          </w:tcPr>
          <w:p>
            <w:pPr>
              <w:pStyle w:val="TableParagraph"/>
              <w:spacing w:before="130"/>
              <w:ind w:left="261" w:right="178"/>
              <w:jc w:val="center"/>
              <w:rPr>
                <w:sz w:val="24"/>
              </w:rPr>
            </w:pPr>
            <w:r>
              <w:rPr>
                <w:sz w:val="24"/>
              </w:rPr>
              <w:t>0/3 (none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died)</w:t>
            </w:r>
          </w:p>
        </w:tc>
      </w:tr>
      <w:tr>
        <w:trPr>
          <w:trHeight w:val="552" w:hRule="atLeast"/>
        </w:trPr>
        <w:tc>
          <w:tcPr>
            <w:tcW w:w="2353" w:type="dxa"/>
          </w:tcPr>
          <w:p>
            <w:pPr>
              <w:pStyle w:val="TableParagraph"/>
              <w:spacing w:before="133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14" w:type="dxa"/>
          </w:tcPr>
          <w:p>
            <w:pPr>
              <w:pStyle w:val="TableParagraph"/>
              <w:spacing w:before="133"/>
              <w:ind w:left="603" w:right="811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945" w:type="dxa"/>
          </w:tcPr>
          <w:p>
            <w:pPr>
              <w:pStyle w:val="TableParagraph"/>
              <w:spacing w:before="133"/>
              <w:ind w:left="261" w:right="178"/>
              <w:jc w:val="center"/>
              <w:rPr>
                <w:sz w:val="24"/>
              </w:rPr>
            </w:pPr>
            <w:r>
              <w:rPr>
                <w:sz w:val="24"/>
              </w:rPr>
              <w:t>0/3 (none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died)</w:t>
            </w:r>
          </w:p>
        </w:tc>
      </w:tr>
      <w:tr>
        <w:trPr>
          <w:trHeight w:val="408" w:hRule="atLeast"/>
        </w:trPr>
        <w:tc>
          <w:tcPr>
            <w:tcW w:w="2353" w:type="dxa"/>
          </w:tcPr>
          <w:p>
            <w:pPr>
              <w:pStyle w:val="TableParagraph"/>
              <w:spacing w:line="256" w:lineRule="exact" w:before="133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14" w:type="dxa"/>
          </w:tcPr>
          <w:p>
            <w:pPr>
              <w:pStyle w:val="TableParagraph"/>
              <w:spacing w:line="256" w:lineRule="exact" w:before="133"/>
              <w:ind w:left="603" w:right="691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945" w:type="dxa"/>
          </w:tcPr>
          <w:p>
            <w:pPr>
              <w:pStyle w:val="TableParagraph"/>
              <w:spacing w:line="256" w:lineRule="exact" w:before="133"/>
              <w:ind w:left="261" w:right="178"/>
              <w:jc w:val="center"/>
              <w:rPr>
                <w:sz w:val="24"/>
              </w:rPr>
            </w:pPr>
            <w:r>
              <w:rPr>
                <w:sz w:val="24"/>
              </w:rPr>
              <w:t>0/3 (none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died)</w:t>
            </w:r>
          </w:p>
        </w:tc>
      </w:tr>
    </w:tbl>
    <w:p>
      <w:pPr>
        <w:pStyle w:val="BodyText"/>
        <w:rPr>
          <w:b/>
          <w:sz w:val="30"/>
        </w:rPr>
      </w:pPr>
    </w:p>
    <w:p>
      <w:pPr>
        <w:pStyle w:val="BodyText"/>
        <w:spacing w:before="4"/>
        <w:rPr>
          <w:b/>
          <w:sz w:val="42"/>
        </w:rPr>
      </w:pPr>
    </w:p>
    <w:p>
      <w:pPr>
        <w:pStyle w:val="Heading1"/>
        <w:spacing w:before="1"/>
        <w:ind w:left="940"/>
      </w:pPr>
      <w:r>
        <w:rPr/>
        <w:t>2</w:t>
      </w:r>
      <w:r>
        <w:rPr>
          <w:vertAlign w:val="superscript"/>
        </w:rPr>
        <w:t>ND</w:t>
      </w:r>
      <w:r>
        <w:rPr>
          <w:spacing w:val="-3"/>
          <w:vertAlign w:val="baseline"/>
        </w:rPr>
        <w:t> </w:t>
      </w:r>
      <w:r>
        <w:rPr>
          <w:vertAlign w:val="baseline"/>
        </w:rPr>
        <w:t>PHASE</w:t>
      </w:r>
    </w:p>
    <w:p>
      <w:pPr>
        <w:pStyle w:val="BodyText"/>
        <w:spacing w:before="10"/>
        <w:rPr>
          <w:b/>
        </w:rPr>
      </w:pPr>
    </w:p>
    <w:tbl>
      <w:tblPr>
        <w:tblW w:w="0" w:type="auto"/>
        <w:jc w:val="left"/>
        <w:tblInd w:w="1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53"/>
        <w:gridCol w:w="1844"/>
        <w:gridCol w:w="1855"/>
      </w:tblGrid>
      <w:tr>
        <w:trPr>
          <w:trHeight w:val="406" w:hRule="atLeast"/>
        </w:trPr>
        <w:tc>
          <w:tcPr>
            <w:tcW w:w="2353" w:type="dxa"/>
          </w:tcPr>
          <w:p>
            <w:pPr>
              <w:pStyle w:val="TableParagraph"/>
              <w:spacing w:line="266" w:lineRule="exact"/>
              <w:ind w:left="180" w:right="16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Number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animals</w:t>
            </w:r>
          </w:p>
        </w:tc>
        <w:tc>
          <w:tcPr>
            <w:tcW w:w="1844" w:type="dxa"/>
          </w:tcPr>
          <w:p>
            <w:pPr>
              <w:pStyle w:val="TableParagraph"/>
              <w:spacing w:line="266" w:lineRule="exact"/>
              <w:ind w:left="182"/>
              <w:rPr>
                <w:b/>
                <w:sz w:val="24"/>
              </w:rPr>
            </w:pPr>
            <w:r>
              <w:rPr>
                <w:b/>
                <w:sz w:val="24"/>
              </w:rPr>
              <w:t>Dose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(mg/kg)</w:t>
            </w:r>
          </w:p>
        </w:tc>
        <w:tc>
          <w:tcPr>
            <w:tcW w:w="1855" w:type="dxa"/>
          </w:tcPr>
          <w:p>
            <w:pPr>
              <w:pStyle w:val="TableParagraph"/>
              <w:spacing w:line="266" w:lineRule="exact"/>
              <w:ind w:left="291" w:right="1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Mortality</w:t>
            </w:r>
          </w:p>
        </w:tc>
      </w:tr>
      <w:tr>
        <w:trPr>
          <w:trHeight w:val="549" w:hRule="atLeast"/>
        </w:trPr>
        <w:tc>
          <w:tcPr>
            <w:tcW w:w="2353" w:type="dxa"/>
          </w:tcPr>
          <w:p>
            <w:pPr>
              <w:pStyle w:val="TableParagraph"/>
              <w:spacing w:before="130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30"/>
              <w:ind w:left="501"/>
              <w:rPr>
                <w:sz w:val="24"/>
              </w:rPr>
            </w:pPr>
            <w:r>
              <w:rPr>
                <w:sz w:val="24"/>
              </w:rPr>
              <w:t>5000</w:t>
            </w:r>
          </w:p>
        </w:tc>
        <w:tc>
          <w:tcPr>
            <w:tcW w:w="1855" w:type="dxa"/>
          </w:tcPr>
          <w:p>
            <w:pPr>
              <w:pStyle w:val="TableParagraph"/>
              <w:spacing w:before="130"/>
              <w:ind w:left="291" w:right="178"/>
              <w:jc w:val="center"/>
              <w:rPr>
                <w:sz w:val="24"/>
              </w:rPr>
            </w:pPr>
            <w:r>
              <w:rPr>
                <w:sz w:val="24"/>
              </w:rPr>
              <w:t>0/1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(no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death)</w:t>
            </w:r>
          </w:p>
        </w:tc>
      </w:tr>
      <w:tr>
        <w:trPr>
          <w:trHeight w:val="552" w:hRule="atLeast"/>
        </w:trPr>
        <w:tc>
          <w:tcPr>
            <w:tcW w:w="2353" w:type="dxa"/>
          </w:tcPr>
          <w:p>
            <w:pPr>
              <w:pStyle w:val="TableParagraph"/>
              <w:spacing w:before="133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33"/>
              <w:ind w:left="501"/>
              <w:rPr>
                <w:sz w:val="24"/>
              </w:rPr>
            </w:pPr>
            <w:r>
              <w:rPr>
                <w:sz w:val="24"/>
              </w:rPr>
              <w:t>2900</w:t>
            </w:r>
          </w:p>
        </w:tc>
        <w:tc>
          <w:tcPr>
            <w:tcW w:w="1855" w:type="dxa"/>
          </w:tcPr>
          <w:p>
            <w:pPr>
              <w:pStyle w:val="TableParagraph"/>
              <w:spacing w:before="133"/>
              <w:ind w:left="291" w:right="178"/>
              <w:jc w:val="center"/>
              <w:rPr>
                <w:sz w:val="24"/>
              </w:rPr>
            </w:pPr>
            <w:r>
              <w:rPr>
                <w:sz w:val="24"/>
              </w:rPr>
              <w:t>0/1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(no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death)</w:t>
            </w:r>
          </w:p>
        </w:tc>
      </w:tr>
      <w:tr>
        <w:trPr>
          <w:trHeight w:val="551" w:hRule="atLeast"/>
        </w:trPr>
        <w:tc>
          <w:tcPr>
            <w:tcW w:w="2353" w:type="dxa"/>
          </w:tcPr>
          <w:p>
            <w:pPr>
              <w:pStyle w:val="TableParagraph"/>
              <w:spacing w:before="133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33"/>
              <w:ind w:left="501"/>
              <w:rPr>
                <w:sz w:val="24"/>
              </w:rPr>
            </w:pPr>
            <w:r>
              <w:rPr>
                <w:sz w:val="24"/>
              </w:rPr>
              <w:t>1600</w:t>
            </w:r>
          </w:p>
        </w:tc>
        <w:tc>
          <w:tcPr>
            <w:tcW w:w="1855" w:type="dxa"/>
          </w:tcPr>
          <w:p>
            <w:pPr>
              <w:pStyle w:val="TableParagraph"/>
              <w:spacing w:before="133"/>
              <w:ind w:left="291" w:right="178"/>
              <w:jc w:val="center"/>
              <w:rPr>
                <w:sz w:val="24"/>
              </w:rPr>
            </w:pPr>
            <w:r>
              <w:rPr>
                <w:sz w:val="24"/>
              </w:rPr>
              <w:t>0/1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(no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death)</w:t>
            </w:r>
          </w:p>
        </w:tc>
      </w:tr>
      <w:tr>
        <w:trPr>
          <w:trHeight w:val="408" w:hRule="atLeast"/>
        </w:trPr>
        <w:tc>
          <w:tcPr>
            <w:tcW w:w="2353" w:type="dxa"/>
          </w:tcPr>
          <w:p>
            <w:pPr>
              <w:pStyle w:val="TableParagraph"/>
              <w:spacing w:line="256" w:lineRule="exact" w:before="133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line="256" w:lineRule="exact" w:before="133"/>
              <w:ind w:left="501"/>
              <w:rPr>
                <w:sz w:val="24"/>
              </w:rPr>
            </w:pPr>
            <w:r>
              <w:rPr>
                <w:sz w:val="24"/>
              </w:rPr>
              <w:t>1200</w:t>
            </w:r>
          </w:p>
        </w:tc>
        <w:tc>
          <w:tcPr>
            <w:tcW w:w="1855" w:type="dxa"/>
          </w:tcPr>
          <w:p>
            <w:pPr>
              <w:pStyle w:val="TableParagraph"/>
              <w:spacing w:line="256" w:lineRule="exact" w:before="133"/>
              <w:ind w:left="291" w:right="178"/>
              <w:jc w:val="center"/>
              <w:rPr>
                <w:sz w:val="24"/>
              </w:rPr>
            </w:pPr>
            <w:r>
              <w:rPr>
                <w:sz w:val="24"/>
              </w:rPr>
              <w:t>0/1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(no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death)</w:t>
            </w:r>
          </w:p>
        </w:tc>
      </w:tr>
    </w:tbl>
    <w:p>
      <w:pPr>
        <w:pStyle w:val="BodyText"/>
        <w:spacing w:before="4"/>
        <w:rPr>
          <w:b/>
        </w:rPr>
      </w:pPr>
    </w:p>
    <w:p>
      <w:pPr>
        <w:spacing w:before="1"/>
        <w:ind w:left="940" w:right="0" w:firstLine="0"/>
        <w:jc w:val="left"/>
        <w:rPr>
          <w:b/>
          <w:sz w:val="24"/>
        </w:rPr>
      </w:pPr>
      <w:r>
        <w:rPr>
          <w:b/>
          <w:sz w:val="24"/>
        </w:rPr>
        <w:t>Therefore,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LD</w:t>
      </w:r>
      <w:r>
        <w:rPr>
          <w:b/>
          <w:sz w:val="24"/>
          <w:vertAlign w:val="subscript"/>
        </w:rPr>
        <w:t>50</w:t>
      </w:r>
      <w:r>
        <w:rPr>
          <w:b/>
          <w:sz w:val="24"/>
          <w:vertAlign w:val="baseline"/>
        </w:rPr>
        <w:t> is</w:t>
      </w:r>
      <w:r>
        <w:rPr>
          <w:b/>
          <w:spacing w:val="-1"/>
          <w:sz w:val="24"/>
          <w:vertAlign w:val="baseline"/>
        </w:rPr>
        <w:t> </w:t>
      </w:r>
      <w:r>
        <w:rPr>
          <w:b/>
          <w:sz w:val="24"/>
          <w:vertAlign w:val="baseline"/>
        </w:rPr>
        <w:t>greater</w:t>
      </w:r>
      <w:r>
        <w:rPr>
          <w:b/>
          <w:spacing w:val="-2"/>
          <w:sz w:val="24"/>
          <w:vertAlign w:val="baseline"/>
        </w:rPr>
        <w:t> </w:t>
      </w:r>
      <w:r>
        <w:rPr>
          <w:b/>
          <w:sz w:val="24"/>
          <w:vertAlign w:val="baseline"/>
        </w:rPr>
        <w:t>than</w:t>
      </w:r>
      <w:r>
        <w:rPr>
          <w:b/>
          <w:spacing w:val="-1"/>
          <w:sz w:val="24"/>
          <w:vertAlign w:val="baseline"/>
        </w:rPr>
        <w:t> </w:t>
      </w:r>
      <w:r>
        <w:rPr>
          <w:b/>
          <w:sz w:val="24"/>
          <w:vertAlign w:val="baseline"/>
        </w:rPr>
        <w:t>5000</w:t>
      </w:r>
      <w:r>
        <w:rPr>
          <w:b/>
          <w:spacing w:val="2"/>
          <w:sz w:val="24"/>
          <w:vertAlign w:val="baseline"/>
        </w:rPr>
        <w:t> </w:t>
      </w:r>
      <w:r>
        <w:rPr>
          <w:b/>
          <w:sz w:val="24"/>
          <w:vertAlign w:val="baseline"/>
        </w:rPr>
        <w:t>mg/kg</w:t>
      </w:r>
      <w:r>
        <w:rPr>
          <w:b/>
          <w:spacing w:val="-1"/>
          <w:sz w:val="24"/>
          <w:vertAlign w:val="baseline"/>
        </w:rPr>
        <w:t> </w:t>
      </w:r>
      <w:r>
        <w:rPr>
          <w:b/>
          <w:sz w:val="24"/>
          <w:vertAlign w:val="baseline"/>
        </w:rPr>
        <w:t>orally</w:t>
      </w:r>
      <w:r>
        <w:rPr>
          <w:b/>
          <w:spacing w:val="-2"/>
          <w:sz w:val="24"/>
          <w:vertAlign w:val="baseline"/>
        </w:rPr>
        <w:t> </w:t>
      </w:r>
      <w:r>
        <w:rPr>
          <w:b/>
          <w:sz w:val="24"/>
          <w:vertAlign w:val="baseline"/>
        </w:rPr>
        <w:t>in Rats</w:t>
      </w:r>
    </w:p>
    <w:p>
      <w:pPr>
        <w:spacing w:after="0"/>
        <w:jc w:val="left"/>
        <w:rPr>
          <w:sz w:val="24"/>
        </w:rPr>
        <w:sectPr>
          <w:pgSz w:w="12240" w:h="15840"/>
          <w:pgMar w:header="0" w:footer="792" w:top="1360" w:bottom="980" w:left="1580" w:right="1320"/>
        </w:sectPr>
      </w:pPr>
    </w:p>
    <w:p>
      <w:pPr>
        <w:pStyle w:val="BodyText"/>
        <w:spacing w:before="8"/>
        <w:rPr>
          <w:b/>
          <w:sz w:val="10"/>
        </w:rPr>
      </w:pPr>
    </w:p>
    <w:p>
      <w:pPr>
        <w:pStyle w:val="Heading1"/>
        <w:tabs>
          <w:tab w:pos="940" w:val="left" w:leader="none"/>
        </w:tabs>
        <w:spacing w:before="90"/>
        <w:ind w:left="220"/>
      </w:pPr>
      <w:r>
        <w:rPr/>
        <w:t>I</w:t>
      </w:r>
      <w:r>
        <w:rPr>
          <w:spacing w:val="-1"/>
        </w:rPr>
        <w:t> </w:t>
      </w:r>
      <w:r>
        <w:rPr/>
        <w:t>(b)</w:t>
        <w:tab/>
        <w:t>RATS (ip)</w:t>
      </w:r>
    </w:p>
    <w:p>
      <w:pPr>
        <w:pStyle w:val="BodyText"/>
        <w:rPr>
          <w:b/>
        </w:rPr>
      </w:pPr>
    </w:p>
    <w:p>
      <w:pPr>
        <w:spacing w:before="0"/>
        <w:ind w:left="940" w:right="0" w:firstLine="0"/>
        <w:jc w:val="left"/>
        <w:rPr>
          <w:b/>
          <w:sz w:val="24"/>
        </w:rPr>
      </w:pPr>
      <w:r>
        <w:rPr>
          <w:b/>
          <w:sz w:val="24"/>
        </w:rPr>
        <w:t>1</w:t>
      </w:r>
      <w:r>
        <w:rPr>
          <w:b/>
          <w:sz w:val="24"/>
          <w:vertAlign w:val="superscript"/>
        </w:rPr>
        <w:t>ST</w:t>
      </w:r>
      <w:r>
        <w:rPr>
          <w:b/>
          <w:spacing w:val="-1"/>
          <w:sz w:val="24"/>
          <w:vertAlign w:val="baseline"/>
        </w:rPr>
        <w:t> </w:t>
      </w:r>
      <w:r>
        <w:rPr>
          <w:b/>
          <w:sz w:val="24"/>
          <w:vertAlign w:val="baseline"/>
        </w:rPr>
        <w:t>PHASE</w:t>
      </w:r>
    </w:p>
    <w:p>
      <w:pPr>
        <w:pStyle w:val="BodyText"/>
        <w:spacing w:before="10"/>
        <w:rPr>
          <w:b/>
        </w:rPr>
      </w:pPr>
    </w:p>
    <w:tbl>
      <w:tblPr>
        <w:tblW w:w="0" w:type="auto"/>
        <w:jc w:val="left"/>
        <w:tblInd w:w="1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53"/>
        <w:gridCol w:w="1814"/>
        <w:gridCol w:w="1945"/>
      </w:tblGrid>
      <w:tr>
        <w:trPr>
          <w:trHeight w:val="406" w:hRule="atLeast"/>
        </w:trPr>
        <w:tc>
          <w:tcPr>
            <w:tcW w:w="2353" w:type="dxa"/>
          </w:tcPr>
          <w:p>
            <w:pPr>
              <w:pStyle w:val="TableParagraph"/>
              <w:spacing w:line="266" w:lineRule="exact"/>
              <w:ind w:left="180" w:right="16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Number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animals</w:t>
            </w:r>
          </w:p>
        </w:tc>
        <w:tc>
          <w:tcPr>
            <w:tcW w:w="1814" w:type="dxa"/>
          </w:tcPr>
          <w:p>
            <w:pPr>
              <w:pStyle w:val="TableParagraph"/>
              <w:spacing w:line="266" w:lineRule="exact"/>
              <w:ind w:left="182"/>
              <w:rPr>
                <w:b/>
                <w:sz w:val="24"/>
              </w:rPr>
            </w:pPr>
            <w:r>
              <w:rPr>
                <w:b/>
                <w:sz w:val="24"/>
              </w:rPr>
              <w:t>Dose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(mg/kg)</w:t>
            </w:r>
          </w:p>
        </w:tc>
        <w:tc>
          <w:tcPr>
            <w:tcW w:w="1945" w:type="dxa"/>
          </w:tcPr>
          <w:p>
            <w:pPr>
              <w:pStyle w:val="TableParagraph"/>
              <w:spacing w:line="266" w:lineRule="exact"/>
              <w:ind w:left="261" w:right="1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Mortality</w:t>
            </w:r>
          </w:p>
        </w:tc>
      </w:tr>
      <w:tr>
        <w:trPr>
          <w:trHeight w:val="549" w:hRule="atLeast"/>
        </w:trPr>
        <w:tc>
          <w:tcPr>
            <w:tcW w:w="2353" w:type="dxa"/>
          </w:tcPr>
          <w:p>
            <w:pPr>
              <w:pStyle w:val="TableParagraph"/>
              <w:spacing w:before="130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14" w:type="dxa"/>
          </w:tcPr>
          <w:p>
            <w:pPr>
              <w:pStyle w:val="TableParagraph"/>
              <w:spacing w:before="130"/>
              <w:ind w:left="501"/>
              <w:rPr>
                <w:sz w:val="24"/>
              </w:rPr>
            </w:pPr>
            <w:r>
              <w:rPr>
                <w:sz w:val="24"/>
              </w:rPr>
              <w:t>1000</w:t>
            </w:r>
          </w:p>
        </w:tc>
        <w:tc>
          <w:tcPr>
            <w:tcW w:w="1945" w:type="dxa"/>
          </w:tcPr>
          <w:p>
            <w:pPr>
              <w:pStyle w:val="TableParagraph"/>
              <w:spacing w:before="130"/>
              <w:ind w:left="261" w:right="178"/>
              <w:jc w:val="center"/>
              <w:rPr>
                <w:sz w:val="24"/>
              </w:rPr>
            </w:pPr>
            <w:r>
              <w:rPr>
                <w:sz w:val="24"/>
              </w:rPr>
              <w:t>3/3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(all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died)</w:t>
            </w:r>
          </w:p>
        </w:tc>
      </w:tr>
      <w:tr>
        <w:trPr>
          <w:trHeight w:val="551" w:hRule="atLeast"/>
        </w:trPr>
        <w:tc>
          <w:tcPr>
            <w:tcW w:w="2353" w:type="dxa"/>
          </w:tcPr>
          <w:p>
            <w:pPr>
              <w:pStyle w:val="TableParagraph"/>
              <w:spacing w:before="133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14" w:type="dxa"/>
          </w:tcPr>
          <w:p>
            <w:pPr>
              <w:pStyle w:val="TableParagraph"/>
              <w:spacing w:before="133"/>
              <w:ind w:left="603" w:right="811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945" w:type="dxa"/>
          </w:tcPr>
          <w:p>
            <w:pPr>
              <w:pStyle w:val="TableParagraph"/>
              <w:spacing w:before="133"/>
              <w:ind w:left="261" w:right="178"/>
              <w:jc w:val="center"/>
              <w:rPr>
                <w:sz w:val="24"/>
              </w:rPr>
            </w:pPr>
            <w:r>
              <w:rPr>
                <w:sz w:val="24"/>
              </w:rPr>
              <w:t>0/3 (none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died)</w:t>
            </w:r>
          </w:p>
        </w:tc>
      </w:tr>
      <w:tr>
        <w:trPr>
          <w:trHeight w:val="408" w:hRule="atLeast"/>
        </w:trPr>
        <w:tc>
          <w:tcPr>
            <w:tcW w:w="2353" w:type="dxa"/>
          </w:tcPr>
          <w:p>
            <w:pPr>
              <w:pStyle w:val="TableParagraph"/>
              <w:spacing w:line="256" w:lineRule="exact" w:before="133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14" w:type="dxa"/>
          </w:tcPr>
          <w:p>
            <w:pPr>
              <w:pStyle w:val="TableParagraph"/>
              <w:spacing w:line="256" w:lineRule="exact" w:before="133"/>
              <w:ind w:left="603" w:right="691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945" w:type="dxa"/>
          </w:tcPr>
          <w:p>
            <w:pPr>
              <w:pStyle w:val="TableParagraph"/>
              <w:spacing w:line="256" w:lineRule="exact" w:before="133"/>
              <w:ind w:left="261" w:right="178"/>
              <w:jc w:val="center"/>
              <w:rPr>
                <w:sz w:val="24"/>
              </w:rPr>
            </w:pPr>
            <w:r>
              <w:rPr>
                <w:sz w:val="24"/>
              </w:rPr>
              <w:t>0/3 (none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died)</w:t>
            </w:r>
          </w:p>
        </w:tc>
      </w:tr>
    </w:tbl>
    <w:p>
      <w:pPr>
        <w:pStyle w:val="BodyText"/>
        <w:rPr>
          <w:b/>
          <w:sz w:val="30"/>
        </w:rPr>
      </w:pPr>
    </w:p>
    <w:p>
      <w:pPr>
        <w:pStyle w:val="Heading1"/>
        <w:spacing w:before="212"/>
        <w:ind w:left="220"/>
      </w:pPr>
      <w:r>
        <w:rPr/>
        <w:t>2</w:t>
      </w:r>
      <w:r>
        <w:rPr>
          <w:vertAlign w:val="superscript"/>
        </w:rPr>
        <w:t>ND</w:t>
      </w:r>
      <w:r>
        <w:rPr>
          <w:spacing w:val="-2"/>
          <w:vertAlign w:val="baseline"/>
        </w:rPr>
        <w:t> </w:t>
      </w:r>
      <w:r>
        <w:rPr>
          <w:vertAlign w:val="baseline"/>
        </w:rPr>
        <w:t>PHASE</w:t>
      </w:r>
    </w:p>
    <w:p>
      <w:pPr>
        <w:pStyle w:val="BodyText"/>
        <w:spacing w:before="10"/>
        <w:rPr>
          <w:b/>
        </w:rPr>
      </w:pPr>
    </w:p>
    <w:tbl>
      <w:tblPr>
        <w:tblW w:w="0" w:type="auto"/>
        <w:jc w:val="left"/>
        <w:tblInd w:w="1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53"/>
        <w:gridCol w:w="1844"/>
        <w:gridCol w:w="1854"/>
      </w:tblGrid>
      <w:tr>
        <w:trPr>
          <w:trHeight w:val="406" w:hRule="atLeast"/>
        </w:trPr>
        <w:tc>
          <w:tcPr>
            <w:tcW w:w="2353" w:type="dxa"/>
          </w:tcPr>
          <w:p>
            <w:pPr>
              <w:pStyle w:val="TableParagraph"/>
              <w:spacing w:line="266" w:lineRule="exact"/>
              <w:ind w:left="180" w:right="16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Number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animals</w:t>
            </w:r>
          </w:p>
        </w:tc>
        <w:tc>
          <w:tcPr>
            <w:tcW w:w="1844" w:type="dxa"/>
          </w:tcPr>
          <w:p>
            <w:pPr>
              <w:pStyle w:val="TableParagraph"/>
              <w:spacing w:line="266" w:lineRule="exact"/>
              <w:ind w:left="164" w:right="2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Dose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(mg/kg)</w:t>
            </w:r>
          </w:p>
        </w:tc>
        <w:tc>
          <w:tcPr>
            <w:tcW w:w="1854" w:type="dxa"/>
          </w:tcPr>
          <w:p>
            <w:pPr>
              <w:pStyle w:val="TableParagraph"/>
              <w:spacing w:line="266" w:lineRule="exact"/>
              <w:ind w:left="291" w:right="1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Mortality</w:t>
            </w:r>
          </w:p>
        </w:tc>
      </w:tr>
      <w:tr>
        <w:trPr>
          <w:trHeight w:val="549" w:hRule="atLeast"/>
        </w:trPr>
        <w:tc>
          <w:tcPr>
            <w:tcW w:w="2353" w:type="dxa"/>
          </w:tcPr>
          <w:p>
            <w:pPr>
              <w:pStyle w:val="TableParagraph"/>
              <w:spacing w:before="130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30"/>
              <w:ind w:left="51" w:right="289"/>
              <w:jc w:val="center"/>
              <w:rPr>
                <w:sz w:val="24"/>
              </w:rPr>
            </w:pPr>
            <w:r>
              <w:rPr>
                <w:sz w:val="24"/>
              </w:rPr>
              <w:t>600</w:t>
            </w:r>
          </w:p>
        </w:tc>
        <w:tc>
          <w:tcPr>
            <w:tcW w:w="1854" w:type="dxa"/>
          </w:tcPr>
          <w:p>
            <w:pPr>
              <w:pStyle w:val="TableParagraph"/>
              <w:spacing w:before="130"/>
              <w:ind w:left="291" w:right="177"/>
              <w:jc w:val="center"/>
              <w:rPr>
                <w:sz w:val="24"/>
              </w:rPr>
            </w:pPr>
            <w:r>
              <w:rPr>
                <w:sz w:val="24"/>
              </w:rPr>
              <w:t>0/1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(no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death)</w:t>
            </w:r>
          </w:p>
        </w:tc>
      </w:tr>
      <w:tr>
        <w:trPr>
          <w:trHeight w:val="551" w:hRule="atLeast"/>
        </w:trPr>
        <w:tc>
          <w:tcPr>
            <w:tcW w:w="2353" w:type="dxa"/>
          </w:tcPr>
          <w:p>
            <w:pPr>
              <w:pStyle w:val="TableParagraph"/>
              <w:spacing w:before="133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33"/>
              <w:ind w:left="51" w:right="289"/>
              <w:jc w:val="center"/>
              <w:rPr>
                <w:sz w:val="24"/>
              </w:rPr>
            </w:pPr>
            <w:r>
              <w:rPr>
                <w:sz w:val="24"/>
              </w:rPr>
              <w:t>370</w:t>
            </w:r>
          </w:p>
        </w:tc>
        <w:tc>
          <w:tcPr>
            <w:tcW w:w="1854" w:type="dxa"/>
          </w:tcPr>
          <w:p>
            <w:pPr>
              <w:pStyle w:val="TableParagraph"/>
              <w:spacing w:before="133"/>
              <w:ind w:left="291" w:right="177"/>
              <w:jc w:val="center"/>
              <w:rPr>
                <w:sz w:val="24"/>
              </w:rPr>
            </w:pPr>
            <w:r>
              <w:rPr>
                <w:sz w:val="24"/>
              </w:rPr>
              <w:t>0/1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(no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death)</w:t>
            </w:r>
          </w:p>
        </w:tc>
      </w:tr>
      <w:tr>
        <w:trPr>
          <w:trHeight w:val="552" w:hRule="atLeast"/>
        </w:trPr>
        <w:tc>
          <w:tcPr>
            <w:tcW w:w="2353" w:type="dxa"/>
          </w:tcPr>
          <w:p>
            <w:pPr>
              <w:pStyle w:val="TableParagraph"/>
              <w:spacing w:before="133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33"/>
              <w:ind w:left="51" w:right="289"/>
              <w:jc w:val="center"/>
              <w:rPr>
                <w:sz w:val="24"/>
              </w:rPr>
            </w:pPr>
            <w:r>
              <w:rPr>
                <w:sz w:val="24"/>
              </w:rPr>
              <w:t>225</w:t>
            </w:r>
          </w:p>
        </w:tc>
        <w:tc>
          <w:tcPr>
            <w:tcW w:w="1854" w:type="dxa"/>
          </w:tcPr>
          <w:p>
            <w:pPr>
              <w:pStyle w:val="TableParagraph"/>
              <w:spacing w:before="133"/>
              <w:ind w:left="291" w:right="177"/>
              <w:jc w:val="center"/>
              <w:rPr>
                <w:sz w:val="24"/>
              </w:rPr>
            </w:pPr>
            <w:r>
              <w:rPr>
                <w:sz w:val="24"/>
              </w:rPr>
              <w:t>0/1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(no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death)</w:t>
            </w:r>
          </w:p>
        </w:tc>
      </w:tr>
      <w:tr>
        <w:trPr>
          <w:trHeight w:val="408" w:hRule="atLeast"/>
        </w:trPr>
        <w:tc>
          <w:tcPr>
            <w:tcW w:w="2353" w:type="dxa"/>
          </w:tcPr>
          <w:p>
            <w:pPr>
              <w:pStyle w:val="TableParagraph"/>
              <w:spacing w:line="256" w:lineRule="exact" w:before="133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line="256" w:lineRule="exact" w:before="133"/>
              <w:ind w:left="51" w:right="289"/>
              <w:jc w:val="center"/>
              <w:rPr>
                <w:sz w:val="24"/>
              </w:rPr>
            </w:pPr>
            <w:r>
              <w:rPr>
                <w:sz w:val="24"/>
              </w:rPr>
              <w:t>140</w:t>
            </w:r>
          </w:p>
        </w:tc>
        <w:tc>
          <w:tcPr>
            <w:tcW w:w="1854" w:type="dxa"/>
          </w:tcPr>
          <w:p>
            <w:pPr>
              <w:pStyle w:val="TableParagraph"/>
              <w:spacing w:line="256" w:lineRule="exact" w:before="133"/>
              <w:ind w:left="291" w:right="177"/>
              <w:jc w:val="center"/>
              <w:rPr>
                <w:sz w:val="24"/>
              </w:rPr>
            </w:pPr>
            <w:r>
              <w:rPr>
                <w:sz w:val="24"/>
              </w:rPr>
              <w:t>0/1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(no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death)</w:t>
            </w:r>
          </w:p>
        </w:tc>
      </w:tr>
    </w:tbl>
    <w:p>
      <w:pPr>
        <w:pStyle w:val="BodyText"/>
        <w:rPr>
          <w:b/>
          <w:sz w:val="30"/>
        </w:rPr>
      </w:pPr>
    </w:p>
    <w:p>
      <w:pPr>
        <w:pStyle w:val="BodyText"/>
        <w:spacing w:before="8"/>
        <w:rPr>
          <w:b/>
          <w:sz w:val="43"/>
        </w:rPr>
      </w:pPr>
    </w:p>
    <w:p>
      <w:pPr>
        <w:pStyle w:val="BodyText"/>
        <w:tabs>
          <w:tab w:pos="1660" w:val="left" w:leader="none"/>
        </w:tabs>
        <w:ind w:left="940"/>
      </w:pPr>
      <w:r>
        <w:rPr/>
        <w:drawing>
          <wp:anchor distT="0" distB="0" distL="0" distR="0" allowOverlap="1" layoutInCell="1" locked="0" behindDoc="1" simplePos="0" relativeHeight="484964352">
            <wp:simplePos x="0" y="0"/>
            <wp:positionH relativeFrom="page">
              <wp:posOffset>2626486</wp:posOffset>
            </wp:positionH>
            <wp:positionV relativeFrom="paragraph">
              <wp:posOffset>-10120</wp:posOffset>
            </wp:positionV>
            <wp:extent cx="167639" cy="187451"/>
            <wp:effectExtent l="0" t="0" r="0" b="0"/>
            <wp:wrapNone/>
            <wp:docPr id="15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21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639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LD</w:t>
      </w:r>
      <w:r>
        <w:rPr>
          <w:vertAlign w:val="subscript"/>
        </w:rPr>
        <w:t>50</w:t>
      </w:r>
      <w:r>
        <w:rPr>
          <w:vertAlign w:val="baseline"/>
        </w:rPr>
        <w:tab/>
        <w:t>=</w:t>
      </w:r>
      <w:r>
        <w:rPr>
          <w:spacing w:val="-2"/>
          <w:vertAlign w:val="baseline"/>
        </w:rPr>
        <w:t> </w:t>
      </w:r>
      <w:r>
        <w:rPr>
          <w:vertAlign w:val="baseline"/>
        </w:rPr>
        <w:t>G.M =</w:t>
      </w:r>
      <w:r>
        <w:rPr>
          <w:spacing w:val="71"/>
          <w:vertAlign w:val="baseline"/>
        </w:rPr>
        <w:t> </w:t>
      </w:r>
      <w:r>
        <w:rPr>
          <w:vertAlign w:val="baseline"/>
        </w:rPr>
        <w:t>XY</w:t>
      </w:r>
    </w:p>
    <w:p>
      <w:pPr>
        <w:pStyle w:val="BodyText"/>
        <w:spacing w:before="5"/>
        <w:rPr>
          <w:sz w:val="25"/>
        </w:rPr>
      </w:pPr>
    </w:p>
    <w:p>
      <w:pPr>
        <w:pStyle w:val="BodyText"/>
        <w:tabs>
          <w:tab w:pos="1660" w:val="left" w:leader="none"/>
        </w:tabs>
        <w:ind w:left="940"/>
      </w:pPr>
      <w:r>
        <w:rPr/>
        <w:t>LD</w:t>
      </w:r>
      <w:r>
        <w:rPr>
          <w:vertAlign w:val="subscript"/>
        </w:rPr>
        <w:t>50</w:t>
      </w:r>
      <w:r>
        <w:rPr>
          <w:vertAlign w:val="baseline"/>
        </w:rPr>
        <w:tab/>
        <w:t>=</w:t>
      </w:r>
      <w:r>
        <w:rPr>
          <w:spacing w:val="-2"/>
          <w:vertAlign w:val="baseline"/>
        </w:rPr>
        <w:t> </w:t>
      </w:r>
      <w:r>
        <w:rPr>
          <w:vertAlign w:val="baseline"/>
        </w:rPr>
        <w:t>Median lethal</w:t>
      </w:r>
      <w:r>
        <w:rPr>
          <w:spacing w:val="-1"/>
          <w:vertAlign w:val="baseline"/>
        </w:rPr>
        <w:t> </w:t>
      </w:r>
      <w:r>
        <w:rPr>
          <w:vertAlign w:val="baseline"/>
        </w:rPr>
        <w:t>dose</w:t>
      </w:r>
    </w:p>
    <w:p>
      <w:pPr>
        <w:pStyle w:val="BodyText"/>
      </w:pPr>
    </w:p>
    <w:p>
      <w:pPr>
        <w:pStyle w:val="BodyText"/>
        <w:tabs>
          <w:tab w:pos="1660" w:val="left" w:leader="none"/>
        </w:tabs>
        <w:ind w:left="940"/>
      </w:pPr>
      <w:r>
        <w:rPr/>
        <w:t>G.M.</w:t>
        <w:tab/>
        <w:t>=</w:t>
      </w:r>
      <w:r>
        <w:rPr>
          <w:spacing w:val="-2"/>
        </w:rPr>
        <w:t> </w:t>
      </w:r>
      <w:r>
        <w:rPr/>
        <w:t>Geometric</w:t>
      </w:r>
      <w:r>
        <w:rPr>
          <w:spacing w:val="-1"/>
        </w:rPr>
        <w:t> </w:t>
      </w:r>
      <w:r>
        <w:rPr/>
        <w:t>mean</w:t>
      </w:r>
    </w:p>
    <w:p>
      <w:pPr>
        <w:pStyle w:val="BodyText"/>
      </w:pPr>
    </w:p>
    <w:p>
      <w:pPr>
        <w:pStyle w:val="BodyText"/>
        <w:tabs>
          <w:tab w:pos="1660" w:val="left" w:leader="none"/>
        </w:tabs>
        <w:spacing w:line="480" w:lineRule="auto"/>
        <w:ind w:left="940" w:right="3932"/>
      </w:pPr>
      <w:r>
        <w:rPr/>
        <w:drawing>
          <wp:anchor distT="0" distB="0" distL="0" distR="0" allowOverlap="1" layoutInCell="1" locked="0" behindDoc="1" simplePos="0" relativeHeight="484964864">
            <wp:simplePos x="0" y="0"/>
            <wp:positionH relativeFrom="page">
              <wp:posOffset>2951098</wp:posOffset>
            </wp:positionH>
            <wp:positionV relativeFrom="paragraph">
              <wp:posOffset>703492</wp:posOffset>
            </wp:positionV>
            <wp:extent cx="167639" cy="187451"/>
            <wp:effectExtent l="0" t="0" r="0" b="0"/>
            <wp:wrapNone/>
            <wp:docPr id="17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21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639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Y</w:t>
        <w:tab/>
        <w:t>= Highest non lethal dose = 600 mg/kg</w:t>
      </w:r>
      <w:r>
        <w:rPr>
          <w:spacing w:val="-57"/>
        </w:rPr>
        <w:t> </w:t>
      </w:r>
      <w:r>
        <w:rPr/>
        <w:t>X</w:t>
        <w:tab/>
        <w:t>=</w:t>
      </w:r>
      <w:r>
        <w:rPr>
          <w:spacing w:val="-1"/>
        </w:rPr>
        <w:t> </w:t>
      </w:r>
      <w:r>
        <w:rPr/>
        <w:t>lowest lethal dose</w:t>
      </w:r>
      <w:r>
        <w:rPr>
          <w:spacing w:val="-2"/>
        </w:rPr>
        <w:t> </w:t>
      </w:r>
      <w:r>
        <w:rPr/>
        <w:t>=</w:t>
      </w:r>
      <w:r>
        <w:rPr>
          <w:spacing w:val="-1"/>
        </w:rPr>
        <w:t> </w:t>
      </w:r>
      <w:r>
        <w:rPr/>
        <w:t>1000</w:t>
      </w:r>
      <w:r>
        <w:rPr>
          <w:spacing w:val="1"/>
        </w:rPr>
        <w:t> </w:t>
      </w:r>
      <w:r>
        <w:rPr/>
        <w:t>mg/kg</w:t>
      </w:r>
    </w:p>
    <w:p>
      <w:pPr>
        <w:pStyle w:val="BodyText"/>
        <w:spacing w:before="20"/>
        <w:ind w:left="1660"/>
      </w:pPr>
      <w:r>
        <w:rPr/>
        <w:t>Hence LD</w:t>
      </w:r>
      <w:r>
        <w:rPr>
          <w:vertAlign w:val="subscript"/>
        </w:rPr>
        <w:t>50</w:t>
      </w:r>
      <w:r>
        <w:rPr>
          <w:spacing w:val="1"/>
          <w:vertAlign w:val="baseline"/>
        </w:rPr>
        <w:t> </w:t>
      </w:r>
      <w:r>
        <w:rPr>
          <w:vertAlign w:val="baseline"/>
        </w:rPr>
        <w:t>=</w:t>
      </w:r>
      <w:r>
        <w:rPr>
          <w:spacing w:val="71"/>
          <w:vertAlign w:val="baseline"/>
        </w:rPr>
        <w:t> </w:t>
      </w:r>
      <w:r>
        <w:rPr>
          <w:vertAlign w:val="baseline"/>
        </w:rPr>
        <w:t>(600</w:t>
      </w:r>
      <w:r>
        <w:rPr>
          <w:spacing w:val="-2"/>
          <w:vertAlign w:val="baseline"/>
        </w:rPr>
        <w:t> </w:t>
      </w:r>
      <w:r>
        <w:rPr>
          <w:vertAlign w:val="baseline"/>
        </w:rPr>
        <w:t>x</w:t>
      </w:r>
      <w:r>
        <w:rPr>
          <w:spacing w:val="2"/>
          <w:vertAlign w:val="baseline"/>
        </w:rPr>
        <w:t> </w:t>
      </w:r>
      <w:r>
        <w:rPr>
          <w:vertAlign w:val="baseline"/>
        </w:rPr>
        <w:t>1000)</w:t>
      </w:r>
    </w:p>
    <w:p>
      <w:pPr>
        <w:pStyle w:val="BodyText"/>
        <w:spacing w:before="10"/>
        <w:rPr>
          <w:sz w:val="30"/>
        </w:rPr>
      </w:pPr>
    </w:p>
    <w:p>
      <w:pPr>
        <w:pStyle w:val="BodyText"/>
        <w:ind w:left="3101"/>
      </w:pPr>
      <w:r>
        <w:rPr/>
        <w:pict>
          <v:group style="position:absolute;margin-left:242.762207pt;margin-top:-.520212pt;width:47.1pt;height:14.9pt;mso-position-horizontal-relative:page;mso-position-vertical-relative:paragraph;z-index:15788544" coordorigin="4855,-10" coordsize="942,298">
            <v:line style="position:absolute" from="4860,192" to="4891,175" stroked="true" strokeweight=".492598pt" strokecolor="#000000">
              <v:stroke dashstyle="solid"/>
            </v:line>
            <v:line style="position:absolute" from="4891,180" to="4935,277" stroked="true" strokeweight="1.000290pt" strokecolor="#000000">
              <v:stroke dashstyle="solid"/>
            </v:line>
            <v:shape style="position:absolute;left:4940;top:-6;width:856;height:283" coordorigin="4941,-5" coordsize="856,283" path="m4941,277l4999,-5m4999,-5l5796,-5e" filled="false" stroked="true" strokeweight=".495923pt" strokecolor="#000000">
              <v:path arrowok="t"/>
              <v:stroke dashstyle="solid"/>
            </v:shape>
            <v:shape style="position:absolute;left:4855;top:-11;width:942;height:298" type="#_x0000_t202" filled="false" stroked="false">
              <v:textbox inset="0,0,0,0">
                <w:txbxContent>
                  <w:p>
                    <w:pPr>
                      <w:spacing w:before="11"/>
                      <w:ind w:left="155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pacing w:val="-6"/>
                        <w:w w:val="105"/>
                        <w:sz w:val="24"/>
                      </w:rPr>
                      <w:t>600,000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=</w:t>
      </w:r>
    </w:p>
    <w:p>
      <w:pPr>
        <w:pStyle w:val="BodyText"/>
        <w:spacing w:before="5"/>
        <w:rPr>
          <w:sz w:val="21"/>
        </w:rPr>
      </w:pPr>
    </w:p>
    <w:p>
      <w:pPr>
        <w:pStyle w:val="BodyText"/>
        <w:tabs>
          <w:tab w:pos="1660" w:val="left" w:leader="none"/>
        </w:tabs>
        <w:spacing w:line="480" w:lineRule="auto" w:before="90"/>
        <w:ind w:left="940" w:right="4888" w:firstLine="2160"/>
      </w:pPr>
      <w:r>
        <w:rPr/>
        <w:t>= 774.6mg/kg</w:t>
      </w:r>
      <w:r>
        <w:rPr>
          <w:spacing w:val="-57"/>
        </w:rPr>
        <w:t> </w:t>
      </w:r>
      <w:r>
        <w:rPr/>
        <w:t>LD</w:t>
      </w:r>
      <w:r>
        <w:rPr>
          <w:vertAlign w:val="subscript"/>
        </w:rPr>
        <w:t>50</w:t>
      </w:r>
      <w:r>
        <w:rPr>
          <w:vertAlign w:val="baseline"/>
        </w:rPr>
        <w:tab/>
        <w:t>=</w:t>
      </w:r>
      <w:r>
        <w:rPr>
          <w:spacing w:val="-1"/>
          <w:vertAlign w:val="baseline"/>
        </w:rPr>
        <w:t> </w:t>
      </w:r>
      <w:r>
        <w:rPr>
          <w:vertAlign w:val="baseline"/>
        </w:rPr>
        <w:t>774.6 mg/kg</w:t>
      </w:r>
      <w:r>
        <w:rPr>
          <w:spacing w:val="-4"/>
          <w:vertAlign w:val="baseline"/>
        </w:rPr>
        <w:t> </w:t>
      </w:r>
      <w:r>
        <w:rPr>
          <w:vertAlign w:val="baseline"/>
        </w:rPr>
        <w:t>(ip) in Rats</w:t>
      </w:r>
    </w:p>
    <w:p>
      <w:pPr>
        <w:spacing w:after="0" w:line="480" w:lineRule="auto"/>
        <w:sectPr>
          <w:pgSz w:w="12240" w:h="15840"/>
          <w:pgMar w:header="0" w:footer="792" w:top="1500" w:bottom="980" w:left="1580" w:right="1320"/>
        </w:sectPr>
      </w:pPr>
    </w:p>
    <w:p>
      <w:pPr>
        <w:pStyle w:val="Heading1"/>
        <w:spacing w:before="76"/>
        <w:ind w:left="220"/>
      </w:pPr>
      <w:r>
        <w:rPr/>
        <w:t>I1</w:t>
      </w:r>
      <w:r>
        <w:rPr>
          <w:spacing w:val="-1"/>
        </w:rPr>
        <w:t> </w:t>
      </w:r>
      <w:r>
        <w:rPr/>
        <w:t>(a)</w:t>
      </w:r>
      <w:r>
        <w:rPr>
          <w:spacing w:val="47"/>
        </w:rPr>
        <w:t> </w:t>
      </w:r>
      <w:r>
        <w:rPr/>
        <w:t>MICE</w:t>
      </w:r>
      <w:r>
        <w:rPr>
          <w:spacing w:val="-1"/>
        </w:rPr>
        <w:t> </w:t>
      </w:r>
      <w:r>
        <w:rPr/>
        <w:t>(ORAL)</w:t>
      </w:r>
    </w:p>
    <w:p>
      <w:pPr>
        <w:pStyle w:val="BodyText"/>
        <w:spacing w:before="1"/>
        <w:rPr>
          <w:b/>
        </w:rPr>
      </w:pPr>
    </w:p>
    <w:p>
      <w:pPr>
        <w:spacing w:before="0"/>
        <w:ind w:left="940" w:right="0" w:firstLine="0"/>
        <w:jc w:val="left"/>
        <w:rPr>
          <w:b/>
          <w:sz w:val="24"/>
        </w:rPr>
      </w:pPr>
      <w:r>
        <w:rPr>
          <w:b/>
          <w:sz w:val="24"/>
        </w:rPr>
        <w:t>1</w:t>
      </w:r>
      <w:r>
        <w:rPr>
          <w:b/>
          <w:sz w:val="24"/>
          <w:vertAlign w:val="superscript"/>
        </w:rPr>
        <w:t>ST</w:t>
      </w:r>
      <w:r>
        <w:rPr>
          <w:b/>
          <w:spacing w:val="-3"/>
          <w:sz w:val="24"/>
          <w:vertAlign w:val="baseline"/>
        </w:rPr>
        <w:t> </w:t>
      </w:r>
      <w:r>
        <w:rPr>
          <w:b/>
          <w:sz w:val="24"/>
          <w:vertAlign w:val="baseline"/>
        </w:rPr>
        <w:t>PHASE</w:t>
      </w:r>
    </w:p>
    <w:p>
      <w:pPr>
        <w:pStyle w:val="BodyText"/>
        <w:spacing w:before="10"/>
        <w:rPr>
          <w:b/>
        </w:rPr>
      </w:pPr>
    </w:p>
    <w:tbl>
      <w:tblPr>
        <w:tblW w:w="0" w:type="auto"/>
        <w:jc w:val="left"/>
        <w:tblInd w:w="1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53"/>
        <w:gridCol w:w="1814"/>
        <w:gridCol w:w="1945"/>
      </w:tblGrid>
      <w:tr>
        <w:trPr>
          <w:trHeight w:val="406" w:hRule="atLeast"/>
        </w:trPr>
        <w:tc>
          <w:tcPr>
            <w:tcW w:w="2353" w:type="dxa"/>
          </w:tcPr>
          <w:p>
            <w:pPr>
              <w:pStyle w:val="TableParagraph"/>
              <w:spacing w:line="266" w:lineRule="exact"/>
              <w:ind w:left="180" w:right="16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Number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animals</w:t>
            </w:r>
          </w:p>
        </w:tc>
        <w:tc>
          <w:tcPr>
            <w:tcW w:w="1814" w:type="dxa"/>
          </w:tcPr>
          <w:p>
            <w:pPr>
              <w:pStyle w:val="TableParagraph"/>
              <w:spacing w:line="266" w:lineRule="exact"/>
              <w:ind w:left="182"/>
              <w:rPr>
                <w:b/>
                <w:sz w:val="24"/>
              </w:rPr>
            </w:pPr>
            <w:r>
              <w:rPr>
                <w:b/>
                <w:sz w:val="24"/>
              </w:rPr>
              <w:t>Dose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(mg/kg)</w:t>
            </w:r>
          </w:p>
        </w:tc>
        <w:tc>
          <w:tcPr>
            <w:tcW w:w="1945" w:type="dxa"/>
          </w:tcPr>
          <w:p>
            <w:pPr>
              <w:pStyle w:val="TableParagraph"/>
              <w:spacing w:line="266" w:lineRule="exact"/>
              <w:ind w:left="261" w:right="1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Mortality</w:t>
            </w:r>
          </w:p>
        </w:tc>
      </w:tr>
      <w:tr>
        <w:trPr>
          <w:trHeight w:val="549" w:hRule="atLeast"/>
        </w:trPr>
        <w:tc>
          <w:tcPr>
            <w:tcW w:w="2353" w:type="dxa"/>
          </w:tcPr>
          <w:p>
            <w:pPr>
              <w:pStyle w:val="TableParagraph"/>
              <w:spacing w:before="130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14" w:type="dxa"/>
          </w:tcPr>
          <w:p>
            <w:pPr>
              <w:pStyle w:val="TableParagraph"/>
              <w:spacing w:before="130"/>
              <w:ind w:left="501"/>
              <w:rPr>
                <w:sz w:val="24"/>
              </w:rPr>
            </w:pPr>
            <w:r>
              <w:rPr>
                <w:sz w:val="24"/>
              </w:rPr>
              <w:t>1000</w:t>
            </w:r>
          </w:p>
        </w:tc>
        <w:tc>
          <w:tcPr>
            <w:tcW w:w="1945" w:type="dxa"/>
          </w:tcPr>
          <w:p>
            <w:pPr>
              <w:pStyle w:val="TableParagraph"/>
              <w:spacing w:before="130"/>
              <w:ind w:left="261" w:right="178"/>
              <w:jc w:val="center"/>
              <w:rPr>
                <w:sz w:val="24"/>
              </w:rPr>
            </w:pPr>
            <w:r>
              <w:rPr>
                <w:sz w:val="24"/>
              </w:rPr>
              <w:t>0/3 (none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died)</w:t>
            </w:r>
          </w:p>
        </w:tc>
      </w:tr>
      <w:tr>
        <w:trPr>
          <w:trHeight w:val="551" w:hRule="atLeast"/>
        </w:trPr>
        <w:tc>
          <w:tcPr>
            <w:tcW w:w="2353" w:type="dxa"/>
          </w:tcPr>
          <w:p>
            <w:pPr>
              <w:pStyle w:val="TableParagraph"/>
              <w:spacing w:before="133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14" w:type="dxa"/>
          </w:tcPr>
          <w:p>
            <w:pPr>
              <w:pStyle w:val="TableParagraph"/>
              <w:spacing w:before="133"/>
              <w:ind w:left="603" w:right="811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945" w:type="dxa"/>
          </w:tcPr>
          <w:p>
            <w:pPr>
              <w:pStyle w:val="TableParagraph"/>
              <w:spacing w:before="133"/>
              <w:ind w:left="261" w:right="178"/>
              <w:jc w:val="center"/>
              <w:rPr>
                <w:sz w:val="24"/>
              </w:rPr>
            </w:pPr>
            <w:r>
              <w:rPr>
                <w:sz w:val="24"/>
              </w:rPr>
              <w:t>0/3 (none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died)</w:t>
            </w:r>
          </w:p>
        </w:tc>
      </w:tr>
      <w:tr>
        <w:trPr>
          <w:trHeight w:val="408" w:hRule="atLeast"/>
        </w:trPr>
        <w:tc>
          <w:tcPr>
            <w:tcW w:w="2353" w:type="dxa"/>
          </w:tcPr>
          <w:p>
            <w:pPr>
              <w:pStyle w:val="TableParagraph"/>
              <w:spacing w:line="256" w:lineRule="exact" w:before="133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14" w:type="dxa"/>
          </w:tcPr>
          <w:p>
            <w:pPr>
              <w:pStyle w:val="TableParagraph"/>
              <w:spacing w:line="256" w:lineRule="exact" w:before="133"/>
              <w:ind w:left="603" w:right="691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945" w:type="dxa"/>
          </w:tcPr>
          <w:p>
            <w:pPr>
              <w:pStyle w:val="TableParagraph"/>
              <w:spacing w:line="256" w:lineRule="exact" w:before="133"/>
              <w:ind w:left="261" w:right="178"/>
              <w:jc w:val="center"/>
              <w:rPr>
                <w:sz w:val="24"/>
              </w:rPr>
            </w:pPr>
            <w:r>
              <w:rPr>
                <w:sz w:val="24"/>
              </w:rPr>
              <w:t>0/3 (none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died)</w:t>
            </w:r>
          </w:p>
        </w:tc>
      </w:tr>
    </w:tbl>
    <w:p>
      <w:pPr>
        <w:pStyle w:val="BodyText"/>
        <w:rPr>
          <w:b/>
          <w:sz w:val="30"/>
        </w:rPr>
      </w:pPr>
    </w:p>
    <w:p>
      <w:pPr>
        <w:pStyle w:val="BodyText"/>
        <w:spacing w:before="5"/>
        <w:rPr>
          <w:b/>
          <w:sz w:val="42"/>
        </w:rPr>
      </w:pPr>
    </w:p>
    <w:p>
      <w:pPr>
        <w:pStyle w:val="Heading1"/>
        <w:ind w:left="940"/>
      </w:pPr>
      <w:r>
        <w:rPr/>
        <w:t>2</w:t>
      </w:r>
      <w:r>
        <w:rPr>
          <w:vertAlign w:val="superscript"/>
        </w:rPr>
        <w:t>ND</w:t>
      </w:r>
      <w:r>
        <w:rPr>
          <w:spacing w:val="-3"/>
          <w:vertAlign w:val="baseline"/>
        </w:rPr>
        <w:t> </w:t>
      </w:r>
      <w:r>
        <w:rPr>
          <w:vertAlign w:val="baseline"/>
        </w:rPr>
        <w:t>PHASE</w:t>
      </w:r>
    </w:p>
    <w:p>
      <w:pPr>
        <w:pStyle w:val="BodyText"/>
        <w:spacing w:before="10"/>
        <w:rPr>
          <w:b/>
        </w:rPr>
      </w:pPr>
    </w:p>
    <w:tbl>
      <w:tblPr>
        <w:tblW w:w="0" w:type="auto"/>
        <w:jc w:val="left"/>
        <w:tblInd w:w="1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53"/>
        <w:gridCol w:w="1844"/>
        <w:gridCol w:w="1854"/>
      </w:tblGrid>
      <w:tr>
        <w:trPr>
          <w:trHeight w:val="406" w:hRule="atLeast"/>
        </w:trPr>
        <w:tc>
          <w:tcPr>
            <w:tcW w:w="2353" w:type="dxa"/>
          </w:tcPr>
          <w:p>
            <w:pPr>
              <w:pStyle w:val="TableParagraph"/>
              <w:spacing w:line="266" w:lineRule="exact"/>
              <w:ind w:left="180" w:right="16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Number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animals</w:t>
            </w:r>
          </w:p>
        </w:tc>
        <w:tc>
          <w:tcPr>
            <w:tcW w:w="1844" w:type="dxa"/>
          </w:tcPr>
          <w:p>
            <w:pPr>
              <w:pStyle w:val="TableParagraph"/>
              <w:spacing w:line="266" w:lineRule="exact"/>
              <w:ind w:left="182"/>
              <w:rPr>
                <w:b/>
                <w:sz w:val="24"/>
              </w:rPr>
            </w:pPr>
            <w:r>
              <w:rPr>
                <w:b/>
                <w:sz w:val="24"/>
              </w:rPr>
              <w:t>Dose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(mg/kg)</w:t>
            </w:r>
          </w:p>
        </w:tc>
        <w:tc>
          <w:tcPr>
            <w:tcW w:w="1854" w:type="dxa"/>
          </w:tcPr>
          <w:p>
            <w:pPr>
              <w:pStyle w:val="TableParagraph"/>
              <w:spacing w:line="266" w:lineRule="exact"/>
              <w:ind w:left="291" w:right="1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Mortality</w:t>
            </w:r>
          </w:p>
        </w:tc>
      </w:tr>
      <w:tr>
        <w:trPr>
          <w:trHeight w:val="549" w:hRule="atLeast"/>
        </w:trPr>
        <w:tc>
          <w:tcPr>
            <w:tcW w:w="2353" w:type="dxa"/>
          </w:tcPr>
          <w:p>
            <w:pPr>
              <w:pStyle w:val="TableParagraph"/>
              <w:spacing w:before="130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30"/>
              <w:ind w:left="501"/>
              <w:rPr>
                <w:sz w:val="24"/>
              </w:rPr>
            </w:pPr>
            <w:r>
              <w:rPr>
                <w:sz w:val="24"/>
              </w:rPr>
              <w:t>5000</w:t>
            </w:r>
          </w:p>
        </w:tc>
        <w:tc>
          <w:tcPr>
            <w:tcW w:w="1854" w:type="dxa"/>
          </w:tcPr>
          <w:p>
            <w:pPr>
              <w:pStyle w:val="TableParagraph"/>
              <w:spacing w:before="130"/>
              <w:ind w:left="291" w:right="177"/>
              <w:jc w:val="center"/>
              <w:rPr>
                <w:sz w:val="24"/>
              </w:rPr>
            </w:pPr>
            <w:r>
              <w:rPr>
                <w:sz w:val="24"/>
              </w:rPr>
              <w:t>0/1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(no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death)</w:t>
            </w:r>
          </w:p>
        </w:tc>
      </w:tr>
      <w:tr>
        <w:trPr>
          <w:trHeight w:val="551" w:hRule="atLeast"/>
        </w:trPr>
        <w:tc>
          <w:tcPr>
            <w:tcW w:w="2353" w:type="dxa"/>
          </w:tcPr>
          <w:p>
            <w:pPr>
              <w:pStyle w:val="TableParagraph"/>
              <w:spacing w:before="133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33"/>
              <w:ind w:left="501"/>
              <w:rPr>
                <w:sz w:val="24"/>
              </w:rPr>
            </w:pPr>
            <w:r>
              <w:rPr>
                <w:sz w:val="24"/>
              </w:rPr>
              <w:t>2900</w:t>
            </w:r>
          </w:p>
        </w:tc>
        <w:tc>
          <w:tcPr>
            <w:tcW w:w="1854" w:type="dxa"/>
          </w:tcPr>
          <w:p>
            <w:pPr>
              <w:pStyle w:val="TableParagraph"/>
              <w:spacing w:before="133"/>
              <w:ind w:left="291" w:right="177"/>
              <w:jc w:val="center"/>
              <w:rPr>
                <w:sz w:val="24"/>
              </w:rPr>
            </w:pPr>
            <w:r>
              <w:rPr>
                <w:sz w:val="24"/>
              </w:rPr>
              <w:t>0/1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(no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death)</w:t>
            </w:r>
          </w:p>
        </w:tc>
      </w:tr>
      <w:tr>
        <w:trPr>
          <w:trHeight w:val="552" w:hRule="atLeast"/>
        </w:trPr>
        <w:tc>
          <w:tcPr>
            <w:tcW w:w="2353" w:type="dxa"/>
          </w:tcPr>
          <w:p>
            <w:pPr>
              <w:pStyle w:val="TableParagraph"/>
              <w:spacing w:before="133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33"/>
              <w:ind w:left="501"/>
              <w:rPr>
                <w:sz w:val="24"/>
              </w:rPr>
            </w:pPr>
            <w:r>
              <w:rPr>
                <w:sz w:val="24"/>
              </w:rPr>
              <w:t>1600</w:t>
            </w:r>
          </w:p>
        </w:tc>
        <w:tc>
          <w:tcPr>
            <w:tcW w:w="1854" w:type="dxa"/>
          </w:tcPr>
          <w:p>
            <w:pPr>
              <w:pStyle w:val="TableParagraph"/>
              <w:spacing w:before="133"/>
              <w:ind w:left="291" w:right="177"/>
              <w:jc w:val="center"/>
              <w:rPr>
                <w:sz w:val="24"/>
              </w:rPr>
            </w:pPr>
            <w:r>
              <w:rPr>
                <w:sz w:val="24"/>
              </w:rPr>
              <w:t>0/1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(no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death)</w:t>
            </w:r>
          </w:p>
        </w:tc>
      </w:tr>
      <w:tr>
        <w:trPr>
          <w:trHeight w:val="408" w:hRule="atLeast"/>
        </w:trPr>
        <w:tc>
          <w:tcPr>
            <w:tcW w:w="2353" w:type="dxa"/>
          </w:tcPr>
          <w:p>
            <w:pPr>
              <w:pStyle w:val="TableParagraph"/>
              <w:spacing w:line="256" w:lineRule="exact" w:before="133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line="256" w:lineRule="exact" w:before="133"/>
              <w:ind w:left="501"/>
              <w:rPr>
                <w:sz w:val="24"/>
              </w:rPr>
            </w:pPr>
            <w:r>
              <w:rPr>
                <w:sz w:val="24"/>
              </w:rPr>
              <w:t>1200</w:t>
            </w:r>
          </w:p>
        </w:tc>
        <w:tc>
          <w:tcPr>
            <w:tcW w:w="1854" w:type="dxa"/>
          </w:tcPr>
          <w:p>
            <w:pPr>
              <w:pStyle w:val="TableParagraph"/>
              <w:spacing w:line="256" w:lineRule="exact" w:before="133"/>
              <w:ind w:left="291" w:right="177"/>
              <w:jc w:val="center"/>
              <w:rPr>
                <w:sz w:val="24"/>
              </w:rPr>
            </w:pPr>
            <w:r>
              <w:rPr>
                <w:sz w:val="24"/>
              </w:rPr>
              <w:t>0/1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(no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death)</w:t>
            </w:r>
          </w:p>
        </w:tc>
      </w:tr>
    </w:tbl>
    <w:p>
      <w:pPr>
        <w:pStyle w:val="BodyText"/>
        <w:spacing w:before="5"/>
        <w:rPr>
          <w:b/>
        </w:rPr>
      </w:pPr>
    </w:p>
    <w:p>
      <w:pPr>
        <w:spacing w:before="0"/>
        <w:ind w:left="940" w:right="0" w:firstLine="0"/>
        <w:jc w:val="left"/>
        <w:rPr>
          <w:b/>
          <w:sz w:val="24"/>
        </w:rPr>
      </w:pPr>
      <w:r>
        <w:rPr>
          <w:b/>
          <w:sz w:val="24"/>
        </w:rPr>
        <w:t>Therefore,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LD</w:t>
      </w:r>
      <w:r>
        <w:rPr>
          <w:b/>
          <w:sz w:val="24"/>
          <w:vertAlign w:val="subscript"/>
        </w:rPr>
        <w:t>50</w:t>
      </w:r>
      <w:r>
        <w:rPr>
          <w:b/>
          <w:sz w:val="24"/>
          <w:vertAlign w:val="baseline"/>
        </w:rPr>
        <w:t> is</w:t>
      </w:r>
      <w:r>
        <w:rPr>
          <w:b/>
          <w:spacing w:val="-1"/>
          <w:sz w:val="24"/>
          <w:vertAlign w:val="baseline"/>
        </w:rPr>
        <w:t> </w:t>
      </w:r>
      <w:r>
        <w:rPr>
          <w:b/>
          <w:sz w:val="24"/>
          <w:vertAlign w:val="baseline"/>
        </w:rPr>
        <w:t>greater</w:t>
      </w:r>
      <w:r>
        <w:rPr>
          <w:b/>
          <w:spacing w:val="-2"/>
          <w:sz w:val="24"/>
          <w:vertAlign w:val="baseline"/>
        </w:rPr>
        <w:t> </w:t>
      </w:r>
      <w:r>
        <w:rPr>
          <w:b/>
          <w:sz w:val="24"/>
          <w:vertAlign w:val="baseline"/>
        </w:rPr>
        <w:t>than</w:t>
      </w:r>
      <w:r>
        <w:rPr>
          <w:b/>
          <w:spacing w:val="-1"/>
          <w:sz w:val="24"/>
          <w:vertAlign w:val="baseline"/>
        </w:rPr>
        <w:t> </w:t>
      </w:r>
      <w:r>
        <w:rPr>
          <w:b/>
          <w:sz w:val="24"/>
          <w:vertAlign w:val="baseline"/>
        </w:rPr>
        <w:t>5000</w:t>
      </w:r>
      <w:r>
        <w:rPr>
          <w:b/>
          <w:spacing w:val="2"/>
          <w:sz w:val="24"/>
          <w:vertAlign w:val="baseline"/>
        </w:rPr>
        <w:t> </w:t>
      </w:r>
      <w:r>
        <w:rPr>
          <w:b/>
          <w:sz w:val="24"/>
          <w:vertAlign w:val="baseline"/>
        </w:rPr>
        <w:t>mg/kg</w:t>
      </w:r>
      <w:r>
        <w:rPr>
          <w:b/>
          <w:spacing w:val="-1"/>
          <w:sz w:val="24"/>
          <w:vertAlign w:val="baseline"/>
        </w:rPr>
        <w:t> </w:t>
      </w:r>
      <w:r>
        <w:rPr>
          <w:b/>
          <w:sz w:val="24"/>
          <w:vertAlign w:val="baseline"/>
        </w:rPr>
        <w:t>orally</w:t>
      </w:r>
      <w:r>
        <w:rPr>
          <w:b/>
          <w:spacing w:val="-1"/>
          <w:sz w:val="24"/>
          <w:vertAlign w:val="baseline"/>
        </w:rPr>
        <w:t> </w:t>
      </w:r>
      <w:r>
        <w:rPr>
          <w:b/>
          <w:sz w:val="24"/>
          <w:vertAlign w:val="baseline"/>
        </w:rPr>
        <w:t>in Mice</w:t>
      </w:r>
    </w:p>
    <w:p>
      <w:pPr>
        <w:spacing w:after="0"/>
        <w:jc w:val="left"/>
        <w:rPr>
          <w:sz w:val="24"/>
        </w:rPr>
        <w:sectPr>
          <w:pgSz w:w="12240" w:h="15840"/>
          <w:pgMar w:header="0" w:footer="792" w:top="1360" w:bottom="980" w:left="1580" w:right="1320"/>
        </w:sectPr>
      </w:pPr>
    </w:p>
    <w:p>
      <w:pPr>
        <w:pStyle w:val="BodyText"/>
        <w:spacing w:before="8"/>
        <w:rPr>
          <w:b/>
          <w:sz w:val="10"/>
        </w:rPr>
      </w:pPr>
    </w:p>
    <w:p>
      <w:pPr>
        <w:pStyle w:val="Heading1"/>
        <w:tabs>
          <w:tab w:pos="940" w:val="left" w:leader="none"/>
        </w:tabs>
        <w:spacing w:before="90"/>
        <w:ind w:left="220"/>
      </w:pPr>
      <w:r>
        <w:rPr/>
        <w:t>Ii</w:t>
      </w:r>
      <w:r>
        <w:rPr>
          <w:spacing w:val="-1"/>
        </w:rPr>
        <w:t> </w:t>
      </w:r>
      <w:r>
        <w:rPr/>
        <w:t>(b)</w:t>
        <w:tab/>
        <w:t>MICE (ip)</w:t>
      </w:r>
    </w:p>
    <w:p>
      <w:pPr>
        <w:pStyle w:val="BodyText"/>
        <w:rPr>
          <w:b/>
        </w:rPr>
      </w:pPr>
    </w:p>
    <w:p>
      <w:pPr>
        <w:spacing w:before="0"/>
        <w:ind w:left="940" w:right="0" w:firstLine="0"/>
        <w:jc w:val="left"/>
        <w:rPr>
          <w:b/>
          <w:sz w:val="24"/>
        </w:rPr>
      </w:pPr>
      <w:r>
        <w:rPr>
          <w:b/>
          <w:sz w:val="24"/>
        </w:rPr>
        <w:t>1</w:t>
      </w:r>
      <w:r>
        <w:rPr>
          <w:b/>
          <w:sz w:val="24"/>
          <w:vertAlign w:val="superscript"/>
        </w:rPr>
        <w:t>ST</w:t>
      </w:r>
      <w:r>
        <w:rPr>
          <w:b/>
          <w:spacing w:val="-1"/>
          <w:sz w:val="24"/>
          <w:vertAlign w:val="baseline"/>
        </w:rPr>
        <w:t> </w:t>
      </w:r>
      <w:r>
        <w:rPr>
          <w:b/>
          <w:sz w:val="24"/>
          <w:vertAlign w:val="baseline"/>
        </w:rPr>
        <w:t>PHASE</w:t>
      </w:r>
    </w:p>
    <w:p>
      <w:pPr>
        <w:pStyle w:val="BodyText"/>
        <w:spacing w:before="10"/>
        <w:rPr>
          <w:b/>
        </w:rPr>
      </w:pPr>
    </w:p>
    <w:tbl>
      <w:tblPr>
        <w:tblW w:w="0" w:type="auto"/>
        <w:jc w:val="left"/>
        <w:tblInd w:w="1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53"/>
        <w:gridCol w:w="1814"/>
        <w:gridCol w:w="1945"/>
      </w:tblGrid>
      <w:tr>
        <w:trPr>
          <w:trHeight w:val="406" w:hRule="atLeast"/>
        </w:trPr>
        <w:tc>
          <w:tcPr>
            <w:tcW w:w="2353" w:type="dxa"/>
          </w:tcPr>
          <w:p>
            <w:pPr>
              <w:pStyle w:val="TableParagraph"/>
              <w:spacing w:line="266" w:lineRule="exact"/>
              <w:ind w:left="180" w:right="16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Number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animals</w:t>
            </w:r>
          </w:p>
        </w:tc>
        <w:tc>
          <w:tcPr>
            <w:tcW w:w="1814" w:type="dxa"/>
          </w:tcPr>
          <w:p>
            <w:pPr>
              <w:pStyle w:val="TableParagraph"/>
              <w:spacing w:line="266" w:lineRule="exact"/>
              <w:ind w:left="182"/>
              <w:rPr>
                <w:b/>
                <w:sz w:val="24"/>
              </w:rPr>
            </w:pPr>
            <w:r>
              <w:rPr>
                <w:b/>
                <w:sz w:val="24"/>
              </w:rPr>
              <w:t>Dose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(mg/kg)</w:t>
            </w:r>
          </w:p>
        </w:tc>
        <w:tc>
          <w:tcPr>
            <w:tcW w:w="1945" w:type="dxa"/>
          </w:tcPr>
          <w:p>
            <w:pPr>
              <w:pStyle w:val="TableParagraph"/>
              <w:spacing w:line="266" w:lineRule="exact"/>
              <w:ind w:left="261" w:right="1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Mortality</w:t>
            </w:r>
          </w:p>
        </w:tc>
      </w:tr>
      <w:tr>
        <w:trPr>
          <w:trHeight w:val="549" w:hRule="atLeast"/>
        </w:trPr>
        <w:tc>
          <w:tcPr>
            <w:tcW w:w="2353" w:type="dxa"/>
          </w:tcPr>
          <w:p>
            <w:pPr>
              <w:pStyle w:val="TableParagraph"/>
              <w:spacing w:before="130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14" w:type="dxa"/>
          </w:tcPr>
          <w:p>
            <w:pPr>
              <w:pStyle w:val="TableParagraph"/>
              <w:spacing w:before="130"/>
              <w:ind w:left="501"/>
              <w:rPr>
                <w:sz w:val="24"/>
              </w:rPr>
            </w:pPr>
            <w:r>
              <w:rPr>
                <w:sz w:val="24"/>
              </w:rPr>
              <w:t>1000</w:t>
            </w:r>
          </w:p>
        </w:tc>
        <w:tc>
          <w:tcPr>
            <w:tcW w:w="1945" w:type="dxa"/>
          </w:tcPr>
          <w:p>
            <w:pPr>
              <w:pStyle w:val="TableParagraph"/>
              <w:spacing w:before="130"/>
              <w:ind w:left="261" w:right="178"/>
              <w:jc w:val="center"/>
              <w:rPr>
                <w:sz w:val="24"/>
              </w:rPr>
            </w:pPr>
            <w:r>
              <w:rPr>
                <w:sz w:val="24"/>
              </w:rPr>
              <w:t>3/3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(all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died)</w:t>
            </w:r>
          </w:p>
        </w:tc>
      </w:tr>
      <w:tr>
        <w:trPr>
          <w:trHeight w:val="551" w:hRule="atLeast"/>
        </w:trPr>
        <w:tc>
          <w:tcPr>
            <w:tcW w:w="2353" w:type="dxa"/>
          </w:tcPr>
          <w:p>
            <w:pPr>
              <w:pStyle w:val="TableParagraph"/>
              <w:spacing w:before="133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14" w:type="dxa"/>
          </w:tcPr>
          <w:p>
            <w:pPr>
              <w:pStyle w:val="TableParagraph"/>
              <w:spacing w:before="133"/>
              <w:ind w:left="603" w:right="811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945" w:type="dxa"/>
          </w:tcPr>
          <w:p>
            <w:pPr>
              <w:pStyle w:val="TableParagraph"/>
              <w:spacing w:before="133"/>
              <w:ind w:left="261" w:right="178"/>
              <w:jc w:val="center"/>
              <w:rPr>
                <w:sz w:val="24"/>
              </w:rPr>
            </w:pPr>
            <w:r>
              <w:rPr>
                <w:sz w:val="24"/>
              </w:rPr>
              <w:t>0/3 (none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died)</w:t>
            </w:r>
          </w:p>
        </w:tc>
      </w:tr>
      <w:tr>
        <w:trPr>
          <w:trHeight w:val="408" w:hRule="atLeast"/>
        </w:trPr>
        <w:tc>
          <w:tcPr>
            <w:tcW w:w="2353" w:type="dxa"/>
          </w:tcPr>
          <w:p>
            <w:pPr>
              <w:pStyle w:val="TableParagraph"/>
              <w:spacing w:line="256" w:lineRule="exact" w:before="133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14" w:type="dxa"/>
          </w:tcPr>
          <w:p>
            <w:pPr>
              <w:pStyle w:val="TableParagraph"/>
              <w:spacing w:line="256" w:lineRule="exact" w:before="133"/>
              <w:ind w:left="603" w:right="691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945" w:type="dxa"/>
          </w:tcPr>
          <w:p>
            <w:pPr>
              <w:pStyle w:val="TableParagraph"/>
              <w:spacing w:line="256" w:lineRule="exact" w:before="133"/>
              <w:ind w:left="261" w:right="178"/>
              <w:jc w:val="center"/>
              <w:rPr>
                <w:sz w:val="24"/>
              </w:rPr>
            </w:pPr>
            <w:r>
              <w:rPr>
                <w:sz w:val="24"/>
              </w:rPr>
              <w:t>0/3 (none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died)</w:t>
            </w:r>
          </w:p>
        </w:tc>
      </w:tr>
    </w:tbl>
    <w:p>
      <w:pPr>
        <w:pStyle w:val="BodyText"/>
        <w:rPr>
          <w:b/>
          <w:sz w:val="30"/>
        </w:rPr>
      </w:pPr>
    </w:p>
    <w:p>
      <w:pPr>
        <w:pStyle w:val="BodyText"/>
        <w:spacing w:before="5"/>
        <w:rPr>
          <w:b/>
          <w:sz w:val="42"/>
        </w:rPr>
      </w:pPr>
    </w:p>
    <w:p>
      <w:pPr>
        <w:pStyle w:val="Heading1"/>
        <w:ind w:left="220"/>
      </w:pPr>
      <w:r>
        <w:rPr/>
        <w:t>2</w:t>
      </w:r>
      <w:r>
        <w:rPr>
          <w:vertAlign w:val="superscript"/>
        </w:rPr>
        <w:t>ND</w:t>
      </w:r>
      <w:r>
        <w:rPr>
          <w:spacing w:val="-2"/>
          <w:vertAlign w:val="baseline"/>
        </w:rPr>
        <w:t> </w:t>
      </w:r>
      <w:r>
        <w:rPr>
          <w:vertAlign w:val="baseline"/>
        </w:rPr>
        <w:t>PHASE</w:t>
      </w:r>
    </w:p>
    <w:p>
      <w:pPr>
        <w:pStyle w:val="BodyText"/>
        <w:spacing w:before="10"/>
        <w:rPr>
          <w:b/>
        </w:rPr>
      </w:pPr>
    </w:p>
    <w:tbl>
      <w:tblPr>
        <w:tblW w:w="0" w:type="auto"/>
        <w:jc w:val="left"/>
        <w:tblInd w:w="1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53"/>
        <w:gridCol w:w="1844"/>
        <w:gridCol w:w="1854"/>
      </w:tblGrid>
      <w:tr>
        <w:trPr>
          <w:trHeight w:val="406" w:hRule="atLeast"/>
        </w:trPr>
        <w:tc>
          <w:tcPr>
            <w:tcW w:w="2353" w:type="dxa"/>
          </w:tcPr>
          <w:p>
            <w:pPr>
              <w:pStyle w:val="TableParagraph"/>
              <w:spacing w:line="266" w:lineRule="exact"/>
              <w:ind w:left="180" w:right="16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Number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animals</w:t>
            </w:r>
          </w:p>
        </w:tc>
        <w:tc>
          <w:tcPr>
            <w:tcW w:w="1844" w:type="dxa"/>
          </w:tcPr>
          <w:p>
            <w:pPr>
              <w:pStyle w:val="TableParagraph"/>
              <w:spacing w:line="266" w:lineRule="exact"/>
              <w:ind w:left="164" w:right="2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Dose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(mg/kg)</w:t>
            </w:r>
          </w:p>
        </w:tc>
        <w:tc>
          <w:tcPr>
            <w:tcW w:w="1854" w:type="dxa"/>
          </w:tcPr>
          <w:p>
            <w:pPr>
              <w:pStyle w:val="TableParagraph"/>
              <w:spacing w:line="266" w:lineRule="exact"/>
              <w:ind w:left="291" w:right="1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Mortality</w:t>
            </w:r>
          </w:p>
        </w:tc>
      </w:tr>
      <w:tr>
        <w:trPr>
          <w:trHeight w:val="549" w:hRule="atLeast"/>
        </w:trPr>
        <w:tc>
          <w:tcPr>
            <w:tcW w:w="2353" w:type="dxa"/>
          </w:tcPr>
          <w:p>
            <w:pPr>
              <w:pStyle w:val="TableParagraph"/>
              <w:spacing w:before="130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30"/>
              <w:ind w:left="51" w:right="289"/>
              <w:jc w:val="center"/>
              <w:rPr>
                <w:sz w:val="24"/>
              </w:rPr>
            </w:pPr>
            <w:r>
              <w:rPr>
                <w:sz w:val="24"/>
              </w:rPr>
              <w:t>600</w:t>
            </w:r>
          </w:p>
        </w:tc>
        <w:tc>
          <w:tcPr>
            <w:tcW w:w="1854" w:type="dxa"/>
          </w:tcPr>
          <w:p>
            <w:pPr>
              <w:pStyle w:val="TableParagraph"/>
              <w:spacing w:before="130"/>
              <w:ind w:left="291" w:right="177"/>
              <w:jc w:val="center"/>
              <w:rPr>
                <w:sz w:val="24"/>
              </w:rPr>
            </w:pPr>
            <w:r>
              <w:rPr>
                <w:sz w:val="24"/>
              </w:rPr>
              <w:t>0/1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(no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death)</w:t>
            </w:r>
          </w:p>
        </w:tc>
      </w:tr>
      <w:tr>
        <w:trPr>
          <w:trHeight w:val="551" w:hRule="atLeast"/>
        </w:trPr>
        <w:tc>
          <w:tcPr>
            <w:tcW w:w="2353" w:type="dxa"/>
          </w:tcPr>
          <w:p>
            <w:pPr>
              <w:pStyle w:val="TableParagraph"/>
              <w:spacing w:before="133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33"/>
              <w:ind w:left="51" w:right="289"/>
              <w:jc w:val="center"/>
              <w:rPr>
                <w:sz w:val="24"/>
              </w:rPr>
            </w:pPr>
            <w:r>
              <w:rPr>
                <w:sz w:val="24"/>
              </w:rPr>
              <w:t>370</w:t>
            </w:r>
          </w:p>
        </w:tc>
        <w:tc>
          <w:tcPr>
            <w:tcW w:w="1854" w:type="dxa"/>
          </w:tcPr>
          <w:p>
            <w:pPr>
              <w:pStyle w:val="TableParagraph"/>
              <w:spacing w:before="133"/>
              <w:ind w:left="291" w:right="177"/>
              <w:jc w:val="center"/>
              <w:rPr>
                <w:sz w:val="24"/>
              </w:rPr>
            </w:pPr>
            <w:r>
              <w:rPr>
                <w:sz w:val="24"/>
              </w:rPr>
              <w:t>0/1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(no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death)</w:t>
            </w:r>
          </w:p>
        </w:tc>
      </w:tr>
      <w:tr>
        <w:trPr>
          <w:trHeight w:val="552" w:hRule="atLeast"/>
        </w:trPr>
        <w:tc>
          <w:tcPr>
            <w:tcW w:w="2353" w:type="dxa"/>
          </w:tcPr>
          <w:p>
            <w:pPr>
              <w:pStyle w:val="TableParagraph"/>
              <w:spacing w:before="133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33"/>
              <w:ind w:left="51" w:right="289"/>
              <w:jc w:val="center"/>
              <w:rPr>
                <w:sz w:val="24"/>
              </w:rPr>
            </w:pPr>
            <w:r>
              <w:rPr>
                <w:sz w:val="24"/>
              </w:rPr>
              <w:t>225</w:t>
            </w:r>
          </w:p>
        </w:tc>
        <w:tc>
          <w:tcPr>
            <w:tcW w:w="1854" w:type="dxa"/>
          </w:tcPr>
          <w:p>
            <w:pPr>
              <w:pStyle w:val="TableParagraph"/>
              <w:spacing w:before="133"/>
              <w:ind w:left="291" w:right="177"/>
              <w:jc w:val="center"/>
              <w:rPr>
                <w:sz w:val="24"/>
              </w:rPr>
            </w:pPr>
            <w:r>
              <w:rPr>
                <w:sz w:val="24"/>
              </w:rPr>
              <w:t>0/1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(no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death)</w:t>
            </w:r>
          </w:p>
        </w:tc>
      </w:tr>
      <w:tr>
        <w:trPr>
          <w:trHeight w:val="409" w:hRule="atLeast"/>
        </w:trPr>
        <w:tc>
          <w:tcPr>
            <w:tcW w:w="2353" w:type="dxa"/>
          </w:tcPr>
          <w:p>
            <w:pPr>
              <w:pStyle w:val="TableParagraph"/>
              <w:spacing w:line="256" w:lineRule="exact" w:before="133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line="256" w:lineRule="exact" w:before="133"/>
              <w:ind w:left="51" w:right="289"/>
              <w:jc w:val="center"/>
              <w:rPr>
                <w:sz w:val="24"/>
              </w:rPr>
            </w:pPr>
            <w:r>
              <w:rPr>
                <w:sz w:val="24"/>
              </w:rPr>
              <w:t>140</w:t>
            </w:r>
          </w:p>
        </w:tc>
        <w:tc>
          <w:tcPr>
            <w:tcW w:w="1854" w:type="dxa"/>
          </w:tcPr>
          <w:p>
            <w:pPr>
              <w:pStyle w:val="TableParagraph"/>
              <w:spacing w:line="256" w:lineRule="exact" w:before="133"/>
              <w:ind w:left="291" w:right="177"/>
              <w:jc w:val="center"/>
              <w:rPr>
                <w:sz w:val="24"/>
              </w:rPr>
            </w:pPr>
            <w:r>
              <w:rPr>
                <w:sz w:val="24"/>
              </w:rPr>
              <w:t>0/1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(no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death)</w:t>
            </w:r>
          </w:p>
        </w:tc>
      </w:tr>
    </w:tbl>
    <w:p>
      <w:pPr>
        <w:pStyle w:val="BodyText"/>
        <w:spacing w:before="7"/>
        <w:rPr>
          <w:b/>
          <w:sz w:val="25"/>
        </w:rPr>
      </w:pPr>
    </w:p>
    <w:p>
      <w:pPr>
        <w:pStyle w:val="BodyText"/>
        <w:tabs>
          <w:tab w:pos="1660" w:val="left" w:leader="none"/>
        </w:tabs>
        <w:ind w:left="940"/>
      </w:pPr>
      <w:r>
        <w:rPr/>
        <w:drawing>
          <wp:anchor distT="0" distB="0" distL="0" distR="0" allowOverlap="1" layoutInCell="1" locked="0" behindDoc="1" simplePos="0" relativeHeight="484965888">
            <wp:simplePos x="0" y="0"/>
            <wp:positionH relativeFrom="page">
              <wp:posOffset>2626486</wp:posOffset>
            </wp:positionH>
            <wp:positionV relativeFrom="paragraph">
              <wp:posOffset>-10120</wp:posOffset>
            </wp:positionV>
            <wp:extent cx="167639" cy="187451"/>
            <wp:effectExtent l="0" t="0" r="0" b="0"/>
            <wp:wrapNone/>
            <wp:docPr id="19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21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639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LD</w:t>
      </w:r>
      <w:r>
        <w:rPr>
          <w:vertAlign w:val="subscript"/>
        </w:rPr>
        <w:t>50</w:t>
      </w:r>
      <w:r>
        <w:rPr>
          <w:vertAlign w:val="baseline"/>
        </w:rPr>
        <w:tab/>
        <w:t>=</w:t>
      </w:r>
      <w:r>
        <w:rPr>
          <w:spacing w:val="-2"/>
          <w:vertAlign w:val="baseline"/>
        </w:rPr>
        <w:t> </w:t>
      </w:r>
      <w:r>
        <w:rPr>
          <w:vertAlign w:val="baseline"/>
        </w:rPr>
        <w:t>G.M =</w:t>
      </w:r>
      <w:r>
        <w:rPr>
          <w:spacing w:val="71"/>
          <w:vertAlign w:val="baseline"/>
        </w:rPr>
        <w:t> </w:t>
      </w:r>
      <w:r>
        <w:rPr>
          <w:vertAlign w:val="baseline"/>
        </w:rPr>
        <w:t>XY</w:t>
      </w:r>
    </w:p>
    <w:p>
      <w:pPr>
        <w:pStyle w:val="BodyText"/>
        <w:spacing w:before="6"/>
        <w:rPr>
          <w:sz w:val="25"/>
        </w:rPr>
      </w:pPr>
    </w:p>
    <w:p>
      <w:pPr>
        <w:pStyle w:val="BodyText"/>
        <w:tabs>
          <w:tab w:pos="1660" w:val="left" w:leader="none"/>
        </w:tabs>
        <w:ind w:left="940"/>
      </w:pPr>
      <w:r>
        <w:rPr/>
        <w:t>LD</w:t>
      </w:r>
      <w:r>
        <w:rPr>
          <w:vertAlign w:val="subscript"/>
        </w:rPr>
        <w:t>50</w:t>
      </w:r>
      <w:r>
        <w:rPr>
          <w:vertAlign w:val="baseline"/>
        </w:rPr>
        <w:tab/>
        <w:t>=</w:t>
      </w:r>
      <w:r>
        <w:rPr>
          <w:spacing w:val="-2"/>
          <w:vertAlign w:val="baseline"/>
        </w:rPr>
        <w:t> </w:t>
      </w:r>
      <w:r>
        <w:rPr>
          <w:vertAlign w:val="baseline"/>
        </w:rPr>
        <w:t>Median lethal</w:t>
      </w:r>
      <w:r>
        <w:rPr>
          <w:spacing w:val="-1"/>
          <w:vertAlign w:val="baseline"/>
        </w:rPr>
        <w:t> </w:t>
      </w:r>
      <w:r>
        <w:rPr>
          <w:vertAlign w:val="baseline"/>
        </w:rPr>
        <w:t>dose</w:t>
      </w:r>
    </w:p>
    <w:p>
      <w:pPr>
        <w:pStyle w:val="BodyText"/>
      </w:pPr>
    </w:p>
    <w:p>
      <w:pPr>
        <w:pStyle w:val="BodyText"/>
        <w:tabs>
          <w:tab w:pos="1660" w:val="left" w:leader="none"/>
        </w:tabs>
        <w:ind w:left="940"/>
      </w:pPr>
      <w:r>
        <w:rPr/>
        <w:t>G.M.</w:t>
        <w:tab/>
        <w:t>=</w:t>
      </w:r>
      <w:r>
        <w:rPr>
          <w:spacing w:val="-2"/>
        </w:rPr>
        <w:t> </w:t>
      </w:r>
      <w:r>
        <w:rPr/>
        <w:t>Geometric</w:t>
      </w:r>
      <w:r>
        <w:rPr>
          <w:spacing w:val="-1"/>
        </w:rPr>
        <w:t> </w:t>
      </w:r>
      <w:r>
        <w:rPr/>
        <w:t>mean</w:t>
      </w:r>
    </w:p>
    <w:p>
      <w:pPr>
        <w:pStyle w:val="BodyText"/>
      </w:pPr>
    </w:p>
    <w:p>
      <w:pPr>
        <w:pStyle w:val="BodyText"/>
        <w:tabs>
          <w:tab w:pos="1660" w:val="left" w:leader="none"/>
        </w:tabs>
        <w:spacing w:line="480" w:lineRule="auto"/>
        <w:ind w:left="940" w:right="3287"/>
      </w:pPr>
      <w:r>
        <w:rPr/>
        <w:drawing>
          <wp:anchor distT="0" distB="0" distL="0" distR="0" allowOverlap="1" layoutInCell="1" locked="0" behindDoc="1" simplePos="0" relativeHeight="484966400">
            <wp:simplePos x="0" y="0"/>
            <wp:positionH relativeFrom="page">
              <wp:posOffset>2951098</wp:posOffset>
            </wp:positionH>
            <wp:positionV relativeFrom="paragraph">
              <wp:posOffset>703492</wp:posOffset>
            </wp:positionV>
            <wp:extent cx="167639" cy="187451"/>
            <wp:effectExtent l="0" t="0" r="0" b="0"/>
            <wp:wrapNone/>
            <wp:docPr id="21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21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639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Y</w:t>
        <w:tab/>
        <w:t>= Highest non lethal dose (1/1)</w:t>
      </w:r>
      <w:r>
        <w:rPr>
          <w:spacing w:val="1"/>
        </w:rPr>
        <w:t> </w:t>
      </w:r>
      <w:r>
        <w:rPr/>
        <w:t>= 600 mg/kg</w:t>
      </w:r>
      <w:r>
        <w:rPr>
          <w:spacing w:val="-58"/>
        </w:rPr>
        <w:t> </w:t>
      </w:r>
      <w:r>
        <w:rPr/>
        <w:t>X</w:t>
        <w:tab/>
        <w:t>=</w:t>
      </w:r>
      <w:r>
        <w:rPr>
          <w:spacing w:val="-2"/>
        </w:rPr>
        <w:t> </w:t>
      </w:r>
      <w:r>
        <w:rPr/>
        <w:t>lowest lethal dose</w:t>
      </w:r>
      <w:r>
        <w:rPr>
          <w:spacing w:val="-1"/>
        </w:rPr>
        <w:t> </w:t>
      </w:r>
      <w:r>
        <w:rPr/>
        <w:t>(0/1)</w:t>
      </w:r>
      <w:r>
        <w:rPr>
          <w:spacing w:val="1"/>
        </w:rPr>
        <w:t> </w:t>
      </w:r>
      <w:r>
        <w:rPr/>
        <w:t>=</w:t>
      </w:r>
      <w:r>
        <w:rPr>
          <w:spacing w:val="-1"/>
        </w:rPr>
        <w:t> </w:t>
      </w:r>
      <w:r>
        <w:rPr/>
        <w:t>1000 mg/kg</w:t>
      </w:r>
    </w:p>
    <w:p>
      <w:pPr>
        <w:pStyle w:val="BodyText"/>
        <w:spacing w:before="20"/>
        <w:ind w:left="1660"/>
      </w:pPr>
      <w:r>
        <w:rPr/>
        <w:t>Hence LD</w:t>
      </w:r>
      <w:r>
        <w:rPr>
          <w:vertAlign w:val="subscript"/>
        </w:rPr>
        <w:t>50</w:t>
      </w:r>
      <w:r>
        <w:rPr>
          <w:spacing w:val="1"/>
          <w:vertAlign w:val="baseline"/>
        </w:rPr>
        <w:t> </w:t>
      </w:r>
      <w:r>
        <w:rPr>
          <w:vertAlign w:val="baseline"/>
        </w:rPr>
        <w:t>=</w:t>
      </w:r>
      <w:r>
        <w:rPr>
          <w:spacing w:val="71"/>
          <w:vertAlign w:val="baseline"/>
        </w:rPr>
        <w:t> </w:t>
      </w:r>
      <w:r>
        <w:rPr>
          <w:vertAlign w:val="baseline"/>
        </w:rPr>
        <w:t>(600</w:t>
      </w:r>
      <w:r>
        <w:rPr>
          <w:spacing w:val="-2"/>
          <w:vertAlign w:val="baseline"/>
        </w:rPr>
        <w:t> </w:t>
      </w:r>
      <w:r>
        <w:rPr>
          <w:vertAlign w:val="baseline"/>
        </w:rPr>
        <w:t>x</w:t>
      </w:r>
      <w:r>
        <w:rPr>
          <w:spacing w:val="2"/>
          <w:vertAlign w:val="baseline"/>
        </w:rPr>
        <w:t> </w:t>
      </w:r>
      <w:r>
        <w:rPr>
          <w:vertAlign w:val="baseline"/>
        </w:rPr>
        <w:t>1000)</w:t>
      </w:r>
    </w:p>
    <w:p>
      <w:pPr>
        <w:pStyle w:val="BodyText"/>
        <w:spacing w:before="1"/>
        <w:rPr>
          <w:sz w:val="27"/>
        </w:rPr>
      </w:pPr>
    </w:p>
    <w:p>
      <w:pPr>
        <w:pStyle w:val="BodyText"/>
        <w:ind w:left="3101"/>
      </w:pPr>
      <w:r>
        <w:rPr/>
        <w:drawing>
          <wp:anchor distT="0" distB="0" distL="0" distR="0" allowOverlap="1" layoutInCell="1" locked="0" behindDoc="1" simplePos="0" relativeHeight="484966912">
            <wp:simplePos x="0" y="0"/>
            <wp:positionH relativeFrom="page">
              <wp:posOffset>3095879</wp:posOffset>
            </wp:positionH>
            <wp:positionV relativeFrom="paragraph">
              <wp:posOffset>-10120</wp:posOffset>
            </wp:positionV>
            <wp:extent cx="167640" cy="187451"/>
            <wp:effectExtent l="0" t="0" r="0" b="0"/>
            <wp:wrapNone/>
            <wp:docPr id="23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21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640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=</w:t>
      </w:r>
      <w:r>
        <w:rPr>
          <w:spacing w:val="71"/>
        </w:rPr>
        <w:t> </w:t>
      </w:r>
      <w:r>
        <w:rPr/>
        <w:t>(600,000)</w:t>
      </w:r>
    </w:p>
    <w:p>
      <w:pPr>
        <w:pStyle w:val="BodyText"/>
        <w:spacing w:before="5"/>
        <w:rPr>
          <w:sz w:val="25"/>
        </w:rPr>
      </w:pPr>
    </w:p>
    <w:p>
      <w:pPr>
        <w:pStyle w:val="BodyText"/>
        <w:tabs>
          <w:tab w:pos="1660" w:val="left" w:leader="none"/>
        </w:tabs>
        <w:spacing w:line="480" w:lineRule="auto" w:before="1"/>
        <w:ind w:left="940" w:right="4828" w:firstLine="2160"/>
      </w:pPr>
      <w:r>
        <w:rPr/>
        <w:t>= 774.6 mg/kg</w:t>
      </w:r>
      <w:r>
        <w:rPr>
          <w:spacing w:val="-57"/>
        </w:rPr>
        <w:t> </w:t>
      </w:r>
      <w:r>
        <w:rPr/>
        <w:t>LD</w:t>
      </w:r>
      <w:r>
        <w:rPr>
          <w:vertAlign w:val="subscript"/>
        </w:rPr>
        <w:t>50</w:t>
      </w:r>
      <w:r>
        <w:rPr>
          <w:vertAlign w:val="baseline"/>
        </w:rPr>
        <w:tab/>
        <w:t>=</w:t>
      </w:r>
      <w:r>
        <w:rPr>
          <w:spacing w:val="-1"/>
          <w:vertAlign w:val="baseline"/>
        </w:rPr>
        <w:t> </w:t>
      </w:r>
      <w:r>
        <w:rPr>
          <w:vertAlign w:val="baseline"/>
        </w:rPr>
        <w:t>774.6 mg/kg</w:t>
      </w:r>
      <w:r>
        <w:rPr>
          <w:spacing w:val="-3"/>
          <w:vertAlign w:val="baseline"/>
        </w:rPr>
        <w:t> </w:t>
      </w:r>
      <w:r>
        <w:rPr>
          <w:vertAlign w:val="baseline"/>
        </w:rPr>
        <w:t>(ip) in Mice</w:t>
      </w:r>
    </w:p>
    <w:p>
      <w:pPr>
        <w:spacing w:after="0" w:line="480" w:lineRule="auto"/>
        <w:sectPr>
          <w:pgSz w:w="12240" w:h="15840"/>
          <w:pgMar w:header="0" w:footer="792" w:top="1500" w:bottom="980" w:left="1580" w:right="1320"/>
        </w:sectPr>
      </w:pPr>
    </w:p>
    <w:p>
      <w:pPr>
        <w:pStyle w:val="Heading1"/>
        <w:spacing w:before="76"/>
        <w:ind w:left="220"/>
      </w:pPr>
      <w:r>
        <w:rPr/>
        <w:t>I11(a)</w:t>
      </w:r>
      <w:r>
        <w:rPr>
          <w:spacing w:val="45"/>
        </w:rPr>
        <w:t> </w:t>
      </w:r>
      <w:r>
        <w:rPr/>
        <w:t>CHICKS</w:t>
      </w:r>
      <w:r>
        <w:rPr>
          <w:spacing w:val="-1"/>
        </w:rPr>
        <w:t> </w:t>
      </w:r>
      <w:r>
        <w:rPr/>
        <w:t>(ip)</w:t>
      </w:r>
    </w:p>
    <w:p>
      <w:pPr>
        <w:pStyle w:val="BodyText"/>
        <w:spacing w:before="1"/>
        <w:rPr>
          <w:b/>
        </w:rPr>
      </w:pPr>
    </w:p>
    <w:p>
      <w:pPr>
        <w:spacing w:before="0"/>
        <w:ind w:left="940" w:right="0" w:firstLine="0"/>
        <w:jc w:val="left"/>
        <w:rPr>
          <w:b/>
          <w:sz w:val="24"/>
        </w:rPr>
      </w:pPr>
      <w:r>
        <w:rPr>
          <w:b/>
          <w:sz w:val="24"/>
        </w:rPr>
        <w:t>1</w:t>
      </w:r>
      <w:r>
        <w:rPr>
          <w:b/>
          <w:sz w:val="24"/>
          <w:vertAlign w:val="superscript"/>
        </w:rPr>
        <w:t>ST</w:t>
      </w:r>
      <w:r>
        <w:rPr>
          <w:b/>
          <w:spacing w:val="-3"/>
          <w:sz w:val="24"/>
          <w:vertAlign w:val="baseline"/>
        </w:rPr>
        <w:t> </w:t>
      </w:r>
      <w:r>
        <w:rPr>
          <w:b/>
          <w:sz w:val="24"/>
          <w:vertAlign w:val="baseline"/>
        </w:rPr>
        <w:t>PHASE</w:t>
      </w:r>
    </w:p>
    <w:p>
      <w:pPr>
        <w:pStyle w:val="BodyText"/>
        <w:spacing w:before="10"/>
        <w:rPr>
          <w:b/>
        </w:rPr>
      </w:pPr>
    </w:p>
    <w:tbl>
      <w:tblPr>
        <w:tblW w:w="0" w:type="auto"/>
        <w:jc w:val="left"/>
        <w:tblInd w:w="1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53"/>
        <w:gridCol w:w="1814"/>
        <w:gridCol w:w="1945"/>
      </w:tblGrid>
      <w:tr>
        <w:trPr>
          <w:trHeight w:val="406" w:hRule="atLeast"/>
        </w:trPr>
        <w:tc>
          <w:tcPr>
            <w:tcW w:w="2353" w:type="dxa"/>
          </w:tcPr>
          <w:p>
            <w:pPr>
              <w:pStyle w:val="TableParagraph"/>
              <w:spacing w:line="266" w:lineRule="exact"/>
              <w:ind w:left="180" w:right="16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Number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animals</w:t>
            </w:r>
          </w:p>
        </w:tc>
        <w:tc>
          <w:tcPr>
            <w:tcW w:w="1814" w:type="dxa"/>
          </w:tcPr>
          <w:p>
            <w:pPr>
              <w:pStyle w:val="TableParagraph"/>
              <w:spacing w:line="266" w:lineRule="exact"/>
              <w:ind w:left="182"/>
              <w:rPr>
                <w:b/>
                <w:sz w:val="24"/>
              </w:rPr>
            </w:pPr>
            <w:r>
              <w:rPr>
                <w:b/>
                <w:sz w:val="24"/>
              </w:rPr>
              <w:t>Dose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(mg/kg)</w:t>
            </w:r>
          </w:p>
        </w:tc>
        <w:tc>
          <w:tcPr>
            <w:tcW w:w="1945" w:type="dxa"/>
          </w:tcPr>
          <w:p>
            <w:pPr>
              <w:pStyle w:val="TableParagraph"/>
              <w:spacing w:line="266" w:lineRule="exact"/>
              <w:ind w:left="261" w:right="1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Mortality</w:t>
            </w:r>
          </w:p>
        </w:tc>
      </w:tr>
      <w:tr>
        <w:trPr>
          <w:trHeight w:val="549" w:hRule="atLeast"/>
        </w:trPr>
        <w:tc>
          <w:tcPr>
            <w:tcW w:w="2353" w:type="dxa"/>
          </w:tcPr>
          <w:p>
            <w:pPr>
              <w:pStyle w:val="TableParagraph"/>
              <w:spacing w:before="130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14" w:type="dxa"/>
          </w:tcPr>
          <w:p>
            <w:pPr>
              <w:pStyle w:val="TableParagraph"/>
              <w:spacing w:before="130"/>
              <w:ind w:left="501"/>
              <w:rPr>
                <w:sz w:val="24"/>
              </w:rPr>
            </w:pPr>
            <w:r>
              <w:rPr>
                <w:sz w:val="24"/>
              </w:rPr>
              <w:t>1000</w:t>
            </w:r>
          </w:p>
        </w:tc>
        <w:tc>
          <w:tcPr>
            <w:tcW w:w="1945" w:type="dxa"/>
          </w:tcPr>
          <w:p>
            <w:pPr>
              <w:pStyle w:val="TableParagraph"/>
              <w:spacing w:before="130"/>
              <w:ind w:left="261" w:right="178"/>
              <w:jc w:val="center"/>
              <w:rPr>
                <w:sz w:val="24"/>
              </w:rPr>
            </w:pPr>
            <w:r>
              <w:rPr>
                <w:sz w:val="24"/>
              </w:rPr>
              <w:t>0/3 (none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died)</w:t>
            </w:r>
          </w:p>
        </w:tc>
      </w:tr>
      <w:tr>
        <w:trPr>
          <w:trHeight w:val="551" w:hRule="atLeast"/>
        </w:trPr>
        <w:tc>
          <w:tcPr>
            <w:tcW w:w="2353" w:type="dxa"/>
          </w:tcPr>
          <w:p>
            <w:pPr>
              <w:pStyle w:val="TableParagraph"/>
              <w:spacing w:before="133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14" w:type="dxa"/>
          </w:tcPr>
          <w:p>
            <w:pPr>
              <w:pStyle w:val="TableParagraph"/>
              <w:spacing w:before="133"/>
              <w:ind w:left="603" w:right="811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945" w:type="dxa"/>
          </w:tcPr>
          <w:p>
            <w:pPr>
              <w:pStyle w:val="TableParagraph"/>
              <w:spacing w:before="133"/>
              <w:ind w:left="261" w:right="178"/>
              <w:jc w:val="center"/>
              <w:rPr>
                <w:sz w:val="24"/>
              </w:rPr>
            </w:pPr>
            <w:r>
              <w:rPr>
                <w:sz w:val="24"/>
              </w:rPr>
              <w:t>0/3 (none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died)</w:t>
            </w:r>
          </w:p>
        </w:tc>
      </w:tr>
      <w:tr>
        <w:trPr>
          <w:trHeight w:val="408" w:hRule="atLeast"/>
        </w:trPr>
        <w:tc>
          <w:tcPr>
            <w:tcW w:w="2353" w:type="dxa"/>
          </w:tcPr>
          <w:p>
            <w:pPr>
              <w:pStyle w:val="TableParagraph"/>
              <w:spacing w:line="256" w:lineRule="exact" w:before="133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14" w:type="dxa"/>
          </w:tcPr>
          <w:p>
            <w:pPr>
              <w:pStyle w:val="TableParagraph"/>
              <w:spacing w:line="256" w:lineRule="exact" w:before="133"/>
              <w:ind w:left="603" w:right="691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945" w:type="dxa"/>
          </w:tcPr>
          <w:p>
            <w:pPr>
              <w:pStyle w:val="TableParagraph"/>
              <w:spacing w:line="256" w:lineRule="exact" w:before="133"/>
              <w:ind w:left="261" w:right="178"/>
              <w:jc w:val="center"/>
              <w:rPr>
                <w:sz w:val="24"/>
              </w:rPr>
            </w:pPr>
            <w:r>
              <w:rPr>
                <w:sz w:val="24"/>
              </w:rPr>
              <w:t>0/3 (none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died)</w:t>
            </w:r>
          </w:p>
        </w:tc>
      </w:tr>
    </w:tbl>
    <w:p>
      <w:pPr>
        <w:pStyle w:val="BodyText"/>
        <w:rPr>
          <w:b/>
          <w:sz w:val="30"/>
        </w:rPr>
      </w:pPr>
    </w:p>
    <w:p>
      <w:pPr>
        <w:pStyle w:val="BodyText"/>
        <w:spacing w:before="5"/>
        <w:rPr>
          <w:b/>
          <w:sz w:val="42"/>
        </w:rPr>
      </w:pPr>
    </w:p>
    <w:p>
      <w:pPr>
        <w:pStyle w:val="Heading1"/>
        <w:ind w:left="940"/>
      </w:pPr>
      <w:r>
        <w:rPr/>
        <w:t>2</w:t>
      </w:r>
      <w:r>
        <w:rPr>
          <w:vertAlign w:val="superscript"/>
        </w:rPr>
        <w:t>ND</w:t>
      </w:r>
      <w:r>
        <w:rPr>
          <w:spacing w:val="-3"/>
          <w:vertAlign w:val="baseline"/>
        </w:rPr>
        <w:t> </w:t>
      </w:r>
      <w:r>
        <w:rPr>
          <w:vertAlign w:val="baseline"/>
        </w:rPr>
        <w:t>PHASE</w:t>
      </w:r>
    </w:p>
    <w:p>
      <w:pPr>
        <w:pStyle w:val="BodyText"/>
        <w:spacing w:before="10"/>
        <w:rPr>
          <w:b/>
        </w:rPr>
      </w:pPr>
    </w:p>
    <w:tbl>
      <w:tblPr>
        <w:tblW w:w="0" w:type="auto"/>
        <w:jc w:val="left"/>
        <w:tblInd w:w="1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53"/>
        <w:gridCol w:w="1844"/>
        <w:gridCol w:w="1854"/>
      </w:tblGrid>
      <w:tr>
        <w:trPr>
          <w:trHeight w:val="406" w:hRule="atLeast"/>
        </w:trPr>
        <w:tc>
          <w:tcPr>
            <w:tcW w:w="2353" w:type="dxa"/>
          </w:tcPr>
          <w:p>
            <w:pPr>
              <w:pStyle w:val="TableParagraph"/>
              <w:spacing w:line="266" w:lineRule="exact"/>
              <w:ind w:left="180" w:right="16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Number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animals</w:t>
            </w:r>
          </w:p>
        </w:tc>
        <w:tc>
          <w:tcPr>
            <w:tcW w:w="1844" w:type="dxa"/>
          </w:tcPr>
          <w:p>
            <w:pPr>
              <w:pStyle w:val="TableParagraph"/>
              <w:spacing w:line="266" w:lineRule="exact"/>
              <w:ind w:left="182"/>
              <w:rPr>
                <w:b/>
                <w:sz w:val="24"/>
              </w:rPr>
            </w:pPr>
            <w:r>
              <w:rPr>
                <w:b/>
                <w:sz w:val="24"/>
              </w:rPr>
              <w:t>Dose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(mg/kg)</w:t>
            </w:r>
          </w:p>
        </w:tc>
        <w:tc>
          <w:tcPr>
            <w:tcW w:w="1854" w:type="dxa"/>
          </w:tcPr>
          <w:p>
            <w:pPr>
              <w:pStyle w:val="TableParagraph"/>
              <w:spacing w:line="266" w:lineRule="exact"/>
              <w:ind w:left="291" w:right="1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Mortality</w:t>
            </w:r>
          </w:p>
        </w:tc>
      </w:tr>
      <w:tr>
        <w:trPr>
          <w:trHeight w:val="549" w:hRule="atLeast"/>
        </w:trPr>
        <w:tc>
          <w:tcPr>
            <w:tcW w:w="2353" w:type="dxa"/>
          </w:tcPr>
          <w:p>
            <w:pPr>
              <w:pStyle w:val="TableParagraph"/>
              <w:spacing w:before="130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30"/>
              <w:ind w:left="501"/>
              <w:rPr>
                <w:sz w:val="24"/>
              </w:rPr>
            </w:pPr>
            <w:r>
              <w:rPr>
                <w:sz w:val="24"/>
              </w:rPr>
              <w:t>5000</w:t>
            </w:r>
          </w:p>
        </w:tc>
        <w:tc>
          <w:tcPr>
            <w:tcW w:w="1854" w:type="dxa"/>
          </w:tcPr>
          <w:p>
            <w:pPr>
              <w:pStyle w:val="TableParagraph"/>
              <w:spacing w:before="130"/>
              <w:ind w:left="291" w:right="177"/>
              <w:jc w:val="center"/>
              <w:rPr>
                <w:sz w:val="24"/>
              </w:rPr>
            </w:pPr>
            <w:r>
              <w:rPr>
                <w:sz w:val="24"/>
              </w:rPr>
              <w:t>0/1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(no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death)</w:t>
            </w:r>
          </w:p>
        </w:tc>
      </w:tr>
      <w:tr>
        <w:trPr>
          <w:trHeight w:val="551" w:hRule="atLeast"/>
        </w:trPr>
        <w:tc>
          <w:tcPr>
            <w:tcW w:w="2353" w:type="dxa"/>
          </w:tcPr>
          <w:p>
            <w:pPr>
              <w:pStyle w:val="TableParagraph"/>
              <w:spacing w:before="133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33"/>
              <w:ind w:left="501"/>
              <w:rPr>
                <w:sz w:val="24"/>
              </w:rPr>
            </w:pPr>
            <w:r>
              <w:rPr>
                <w:sz w:val="24"/>
              </w:rPr>
              <w:t>2900</w:t>
            </w:r>
          </w:p>
        </w:tc>
        <w:tc>
          <w:tcPr>
            <w:tcW w:w="1854" w:type="dxa"/>
          </w:tcPr>
          <w:p>
            <w:pPr>
              <w:pStyle w:val="TableParagraph"/>
              <w:spacing w:before="133"/>
              <w:ind w:left="291" w:right="177"/>
              <w:jc w:val="center"/>
              <w:rPr>
                <w:sz w:val="24"/>
              </w:rPr>
            </w:pPr>
            <w:r>
              <w:rPr>
                <w:sz w:val="24"/>
              </w:rPr>
              <w:t>0/1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(no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death)</w:t>
            </w:r>
          </w:p>
        </w:tc>
      </w:tr>
      <w:tr>
        <w:trPr>
          <w:trHeight w:val="552" w:hRule="atLeast"/>
        </w:trPr>
        <w:tc>
          <w:tcPr>
            <w:tcW w:w="2353" w:type="dxa"/>
          </w:tcPr>
          <w:p>
            <w:pPr>
              <w:pStyle w:val="TableParagraph"/>
              <w:spacing w:before="133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33"/>
              <w:ind w:left="501"/>
              <w:rPr>
                <w:sz w:val="24"/>
              </w:rPr>
            </w:pPr>
            <w:r>
              <w:rPr>
                <w:sz w:val="24"/>
              </w:rPr>
              <w:t>1600</w:t>
            </w:r>
          </w:p>
        </w:tc>
        <w:tc>
          <w:tcPr>
            <w:tcW w:w="1854" w:type="dxa"/>
          </w:tcPr>
          <w:p>
            <w:pPr>
              <w:pStyle w:val="TableParagraph"/>
              <w:spacing w:before="133"/>
              <w:ind w:left="291" w:right="177"/>
              <w:jc w:val="center"/>
              <w:rPr>
                <w:sz w:val="24"/>
              </w:rPr>
            </w:pPr>
            <w:r>
              <w:rPr>
                <w:sz w:val="24"/>
              </w:rPr>
              <w:t>0/1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(no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death)</w:t>
            </w:r>
          </w:p>
        </w:tc>
      </w:tr>
      <w:tr>
        <w:trPr>
          <w:trHeight w:val="408" w:hRule="atLeast"/>
        </w:trPr>
        <w:tc>
          <w:tcPr>
            <w:tcW w:w="2353" w:type="dxa"/>
          </w:tcPr>
          <w:p>
            <w:pPr>
              <w:pStyle w:val="TableParagraph"/>
              <w:spacing w:line="256" w:lineRule="exact" w:before="133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line="256" w:lineRule="exact" w:before="133"/>
              <w:ind w:left="501"/>
              <w:rPr>
                <w:sz w:val="24"/>
              </w:rPr>
            </w:pPr>
            <w:r>
              <w:rPr>
                <w:sz w:val="24"/>
              </w:rPr>
              <w:t>1200</w:t>
            </w:r>
          </w:p>
        </w:tc>
        <w:tc>
          <w:tcPr>
            <w:tcW w:w="1854" w:type="dxa"/>
          </w:tcPr>
          <w:p>
            <w:pPr>
              <w:pStyle w:val="TableParagraph"/>
              <w:spacing w:line="256" w:lineRule="exact" w:before="133"/>
              <w:ind w:left="291" w:right="177"/>
              <w:jc w:val="center"/>
              <w:rPr>
                <w:sz w:val="24"/>
              </w:rPr>
            </w:pPr>
            <w:r>
              <w:rPr>
                <w:sz w:val="24"/>
              </w:rPr>
              <w:t>0/1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(no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death)</w:t>
            </w:r>
          </w:p>
        </w:tc>
      </w:tr>
    </w:tbl>
    <w:p>
      <w:pPr>
        <w:pStyle w:val="BodyText"/>
        <w:spacing w:before="5"/>
        <w:rPr>
          <w:b/>
        </w:rPr>
      </w:pPr>
    </w:p>
    <w:p>
      <w:pPr>
        <w:spacing w:before="0"/>
        <w:ind w:left="940" w:right="0" w:firstLine="0"/>
        <w:jc w:val="left"/>
        <w:rPr>
          <w:b/>
          <w:sz w:val="24"/>
        </w:rPr>
      </w:pPr>
      <w:r>
        <w:rPr>
          <w:b/>
          <w:sz w:val="24"/>
        </w:rPr>
        <w:t>Therefore,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LD</w:t>
      </w:r>
      <w:r>
        <w:rPr>
          <w:b/>
          <w:sz w:val="24"/>
          <w:vertAlign w:val="subscript"/>
        </w:rPr>
        <w:t>50</w:t>
      </w:r>
      <w:r>
        <w:rPr>
          <w:b/>
          <w:sz w:val="24"/>
          <w:vertAlign w:val="baseline"/>
        </w:rPr>
        <w:t> is</w:t>
      </w:r>
      <w:r>
        <w:rPr>
          <w:b/>
          <w:spacing w:val="-1"/>
          <w:sz w:val="24"/>
          <w:vertAlign w:val="baseline"/>
        </w:rPr>
        <w:t> </w:t>
      </w:r>
      <w:r>
        <w:rPr>
          <w:b/>
          <w:sz w:val="24"/>
          <w:vertAlign w:val="baseline"/>
        </w:rPr>
        <w:t>greater</w:t>
      </w:r>
      <w:r>
        <w:rPr>
          <w:b/>
          <w:spacing w:val="-2"/>
          <w:sz w:val="24"/>
          <w:vertAlign w:val="baseline"/>
        </w:rPr>
        <w:t> </w:t>
      </w:r>
      <w:r>
        <w:rPr>
          <w:b/>
          <w:sz w:val="24"/>
          <w:vertAlign w:val="baseline"/>
        </w:rPr>
        <w:t>than</w:t>
      </w:r>
      <w:r>
        <w:rPr>
          <w:b/>
          <w:spacing w:val="-2"/>
          <w:sz w:val="24"/>
          <w:vertAlign w:val="baseline"/>
        </w:rPr>
        <w:t> </w:t>
      </w:r>
      <w:r>
        <w:rPr>
          <w:b/>
          <w:sz w:val="24"/>
          <w:vertAlign w:val="baseline"/>
        </w:rPr>
        <w:t>5000</w:t>
      </w:r>
      <w:r>
        <w:rPr>
          <w:b/>
          <w:spacing w:val="2"/>
          <w:sz w:val="24"/>
          <w:vertAlign w:val="baseline"/>
        </w:rPr>
        <w:t> </w:t>
      </w:r>
      <w:r>
        <w:rPr>
          <w:b/>
          <w:sz w:val="24"/>
          <w:vertAlign w:val="baseline"/>
        </w:rPr>
        <w:t>mg/kg</w:t>
      </w:r>
      <w:r>
        <w:rPr>
          <w:b/>
          <w:spacing w:val="-1"/>
          <w:sz w:val="24"/>
          <w:vertAlign w:val="baseline"/>
        </w:rPr>
        <w:t> </w:t>
      </w:r>
      <w:r>
        <w:rPr>
          <w:b/>
          <w:sz w:val="24"/>
          <w:vertAlign w:val="baseline"/>
        </w:rPr>
        <w:t>intraperitoneally</w:t>
      </w:r>
      <w:r>
        <w:rPr>
          <w:b/>
          <w:spacing w:val="-1"/>
          <w:sz w:val="24"/>
          <w:vertAlign w:val="baseline"/>
        </w:rPr>
        <w:t> </w:t>
      </w:r>
      <w:r>
        <w:rPr>
          <w:b/>
          <w:sz w:val="24"/>
          <w:vertAlign w:val="baseline"/>
        </w:rPr>
        <w:t>in</w:t>
      </w:r>
      <w:r>
        <w:rPr>
          <w:b/>
          <w:spacing w:val="-1"/>
          <w:sz w:val="24"/>
          <w:vertAlign w:val="baseline"/>
        </w:rPr>
        <w:t> </w:t>
      </w:r>
      <w:r>
        <w:rPr>
          <w:b/>
          <w:sz w:val="24"/>
          <w:vertAlign w:val="baseline"/>
        </w:rPr>
        <w:t>chicks</w:t>
      </w:r>
    </w:p>
    <w:p>
      <w:pPr>
        <w:spacing w:after="0"/>
        <w:jc w:val="left"/>
        <w:rPr>
          <w:sz w:val="24"/>
        </w:rPr>
        <w:sectPr>
          <w:pgSz w:w="12240" w:h="15840"/>
          <w:pgMar w:header="0" w:footer="792" w:top="1360" w:bottom="980" w:left="1580" w:right="1320"/>
        </w:sectPr>
      </w:pPr>
    </w:p>
    <w:p>
      <w:pPr>
        <w:pStyle w:val="Heading1"/>
        <w:spacing w:line="480" w:lineRule="auto" w:before="76"/>
        <w:ind w:left="3717" w:right="3615" w:firstLine="1"/>
        <w:jc w:val="center"/>
      </w:pPr>
      <w:r>
        <w:rPr/>
        <w:t>APPENDIX III</w:t>
      </w:r>
      <w:r>
        <w:rPr>
          <w:spacing w:val="1"/>
        </w:rPr>
        <w:t> </w:t>
      </w:r>
      <w:r>
        <w:rPr/>
        <w:t>LIVER</w:t>
      </w:r>
      <w:r>
        <w:rPr>
          <w:spacing w:val="-15"/>
        </w:rPr>
        <w:t> </w:t>
      </w:r>
      <w:r>
        <w:rPr/>
        <w:t>ENZYMES</w:t>
      </w:r>
    </w:p>
    <w:p>
      <w:pPr>
        <w:spacing w:before="1"/>
        <w:ind w:left="199" w:right="104" w:firstLine="0"/>
        <w:jc w:val="center"/>
        <w:rPr>
          <w:b/>
          <w:sz w:val="24"/>
        </w:rPr>
      </w:pPr>
      <w:r>
        <w:rPr>
          <w:b/>
          <w:sz w:val="24"/>
        </w:rPr>
        <w:t>Hepatocellular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Function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Parameters</w:t>
      </w:r>
    </w:p>
    <w:p>
      <w:pPr>
        <w:pStyle w:val="BodyText"/>
        <w:spacing w:before="3"/>
        <w:rPr>
          <w:b/>
        </w:rPr>
      </w:pPr>
    </w:p>
    <w:tbl>
      <w:tblPr>
        <w:tblW w:w="0" w:type="auto"/>
        <w:jc w:val="left"/>
        <w:tblInd w:w="5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41"/>
        <w:gridCol w:w="1981"/>
        <w:gridCol w:w="1801"/>
        <w:gridCol w:w="1982"/>
      </w:tblGrid>
      <w:tr>
        <w:trPr>
          <w:trHeight w:val="551" w:hRule="atLeast"/>
        </w:trPr>
        <w:tc>
          <w:tcPr>
            <w:tcW w:w="1441" w:type="dxa"/>
          </w:tcPr>
          <w:p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Treatment</w:t>
            </w:r>
          </w:p>
        </w:tc>
        <w:tc>
          <w:tcPr>
            <w:tcW w:w="1981" w:type="dxa"/>
          </w:tcPr>
          <w:p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Dose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mg/kg</w:t>
            </w:r>
          </w:p>
        </w:tc>
        <w:tc>
          <w:tcPr>
            <w:tcW w:w="1801" w:type="dxa"/>
          </w:tcPr>
          <w:p>
            <w:pPr>
              <w:pStyle w:val="TableParagraph"/>
              <w:spacing w:line="273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AST</w:t>
            </w:r>
          </w:p>
        </w:tc>
        <w:tc>
          <w:tcPr>
            <w:tcW w:w="1982" w:type="dxa"/>
          </w:tcPr>
          <w:p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ALT</w:t>
            </w:r>
          </w:p>
        </w:tc>
      </w:tr>
      <w:tr>
        <w:trPr>
          <w:trHeight w:val="551" w:hRule="atLeast"/>
        </w:trPr>
        <w:tc>
          <w:tcPr>
            <w:tcW w:w="3422" w:type="dxa"/>
            <w:gridSpan w:val="2"/>
          </w:tcPr>
          <w:p>
            <w:pPr>
              <w:pStyle w:val="TableParagraph"/>
              <w:spacing w:line="268" w:lineRule="exact"/>
              <w:ind w:left="1113"/>
              <w:rPr>
                <w:sz w:val="24"/>
              </w:rPr>
            </w:pPr>
            <w:r>
              <w:rPr>
                <w:sz w:val="24"/>
              </w:rPr>
              <w:t>Distill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water</w:t>
            </w:r>
          </w:p>
        </w:tc>
        <w:tc>
          <w:tcPr>
            <w:tcW w:w="1801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136.6</w:t>
            </w:r>
            <w:r>
              <w:rPr>
                <w:sz w:val="24"/>
                <w:u w:val="single"/>
              </w:rPr>
              <w:t>+</w:t>
            </w:r>
            <w:r>
              <w:rPr>
                <w:sz w:val="24"/>
              </w:rPr>
              <w:t>16.10</w:t>
            </w:r>
          </w:p>
        </w:tc>
        <w:tc>
          <w:tcPr>
            <w:tcW w:w="1982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85.5</w:t>
            </w:r>
            <w:r>
              <w:rPr>
                <w:sz w:val="24"/>
                <w:u w:val="single"/>
              </w:rPr>
              <w:t>+</w:t>
            </w:r>
            <w:r>
              <w:rPr>
                <w:sz w:val="24"/>
              </w:rPr>
              <w:t>7.57</w:t>
            </w:r>
          </w:p>
        </w:tc>
      </w:tr>
      <w:tr>
        <w:trPr>
          <w:trHeight w:val="551" w:hRule="atLeast"/>
        </w:trPr>
        <w:tc>
          <w:tcPr>
            <w:tcW w:w="1441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DM</w:t>
            </w:r>
          </w:p>
        </w:tc>
        <w:tc>
          <w:tcPr>
            <w:tcW w:w="1981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801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133</w:t>
            </w:r>
            <w:r>
              <w:rPr>
                <w:sz w:val="24"/>
                <w:u w:val="single"/>
              </w:rPr>
              <w:t>+</w:t>
            </w:r>
            <w:r>
              <w:rPr>
                <w:sz w:val="24"/>
              </w:rPr>
              <w:t>10.73</w:t>
            </w:r>
          </w:p>
        </w:tc>
        <w:tc>
          <w:tcPr>
            <w:tcW w:w="1982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86.8</w:t>
            </w:r>
            <w:r>
              <w:rPr>
                <w:sz w:val="24"/>
                <w:u w:val="single"/>
              </w:rPr>
              <w:t>+</w:t>
            </w:r>
            <w:r>
              <w:rPr>
                <w:sz w:val="24"/>
              </w:rPr>
              <w:t>5.50</w:t>
            </w:r>
          </w:p>
        </w:tc>
      </w:tr>
      <w:tr>
        <w:trPr>
          <w:trHeight w:val="554" w:hRule="atLeast"/>
        </w:trPr>
        <w:tc>
          <w:tcPr>
            <w:tcW w:w="1441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DM</w:t>
            </w:r>
          </w:p>
        </w:tc>
        <w:tc>
          <w:tcPr>
            <w:tcW w:w="1981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250</w:t>
            </w:r>
          </w:p>
        </w:tc>
        <w:tc>
          <w:tcPr>
            <w:tcW w:w="1801" w:type="dxa"/>
          </w:tcPr>
          <w:p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143.3</w:t>
            </w:r>
            <w:r>
              <w:rPr>
                <w:sz w:val="24"/>
                <w:u w:val="single"/>
              </w:rPr>
              <w:t>+</w:t>
            </w:r>
            <w:r>
              <w:rPr>
                <w:sz w:val="24"/>
              </w:rPr>
              <w:t>15.8</w:t>
            </w:r>
          </w:p>
        </w:tc>
        <w:tc>
          <w:tcPr>
            <w:tcW w:w="1982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80.7</w:t>
            </w:r>
            <w:r>
              <w:rPr>
                <w:sz w:val="24"/>
                <w:u w:val="single"/>
              </w:rPr>
              <w:t>+</w:t>
            </w:r>
            <w:r>
              <w:rPr>
                <w:sz w:val="24"/>
              </w:rPr>
              <w:t>3.48</w:t>
            </w:r>
          </w:p>
        </w:tc>
      </w:tr>
      <w:tr>
        <w:trPr>
          <w:trHeight w:val="551" w:hRule="atLeast"/>
        </w:trPr>
        <w:tc>
          <w:tcPr>
            <w:tcW w:w="1441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DM</w:t>
            </w:r>
          </w:p>
        </w:tc>
        <w:tc>
          <w:tcPr>
            <w:tcW w:w="1981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500</w:t>
            </w:r>
          </w:p>
        </w:tc>
        <w:tc>
          <w:tcPr>
            <w:tcW w:w="1801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152.3</w:t>
            </w:r>
            <w:r>
              <w:rPr>
                <w:sz w:val="24"/>
                <w:u w:val="single"/>
              </w:rPr>
              <w:t>+</w:t>
            </w:r>
            <w:r>
              <w:rPr>
                <w:sz w:val="24"/>
              </w:rPr>
              <w:t>25.21</w:t>
            </w:r>
          </w:p>
        </w:tc>
        <w:tc>
          <w:tcPr>
            <w:tcW w:w="1982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90.3</w:t>
            </w:r>
            <w:r>
              <w:rPr>
                <w:sz w:val="24"/>
                <w:u w:val="single"/>
              </w:rPr>
              <w:t>+</w:t>
            </w:r>
            <w:r>
              <w:rPr>
                <w:sz w:val="24"/>
              </w:rPr>
              <w:t>11.88</w:t>
            </w:r>
          </w:p>
        </w:tc>
      </w:tr>
      <w:tr>
        <w:trPr>
          <w:trHeight w:val="551" w:hRule="atLeast"/>
        </w:trPr>
        <w:tc>
          <w:tcPr>
            <w:tcW w:w="1441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DM</w:t>
            </w:r>
          </w:p>
        </w:tc>
        <w:tc>
          <w:tcPr>
            <w:tcW w:w="1981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1000</w:t>
            </w:r>
          </w:p>
        </w:tc>
        <w:tc>
          <w:tcPr>
            <w:tcW w:w="1801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112</w:t>
            </w:r>
            <w:r>
              <w:rPr>
                <w:sz w:val="24"/>
                <w:u w:val="single"/>
              </w:rPr>
              <w:t>+</w:t>
            </w:r>
            <w:r>
              <w:rPr>
                <w:sz w:val="24"/>
              </w:rPr>
              <w:t>5.29</w:t>
            </w:r>
          </w:p>
        </w:tc>
        <w:tc>
          <w:tcPr>
            <w:tcW w:w="1982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122</w:t>
            </w:r>
            <w:r>
              <w:rPr>
                <w:sz w:val="24"/>
                <w:u w:val="single"/>
              </w:rPr>
              <w:t>+</w:t>
            </w:r>
            <w:r>
              <w:rPr>
                <w:sz w:val="24"/>
              </w:rPr>
              <w:t>41.47</w:t>
            </w:r>
          </w:p>
        </w:tc>
      </w:tr>
    </w:tbl>
    <w:p>
      <w:pPr>
        <w:spacing w:before="0"/>
        <w:ind w:left="671" w:right="115" w:firstLine="0"/>
        <w:jc w:val="both"/>
        <w:rPr>
          <w:i/>
          <w:sz w:val="24"/>
        </w:rPr>
      </w:pPr>
      <w:r>
        <w:rPr>
          <w:sz w:val="24"/>
        </w:rPr>
        <w:t>Data were analyzed using ANOVA post hoc dunnet and presented as mean </w:t>
      </w:r>
      <w:r>
        <w:rPr>
          <w:sz w:val="24"/>
          <w:u w:val="single"/>
        </w:rPr>
        <w:t>+</w:t>
      </w:r>
      <w:r>
        <w:rPr>
          <w:sz w:val="24"/>
        </w:rPr>
        <w:t> SEM, n=6</w:t>
      </w:r>
      <w:r>
        <w:rPr>
          <w:spacing w:val="1"/>
          <w:sz w:val="24"/>
        </w:rPr>
        <w:t> </w:t>
      </w:r>
      <w:r>
        <w:rPr>
          <w:sz w:val="24"/>
        </w:rPr>
        <w:t>per</w:t>
      </w:r>
      <w:r>
        <w:rPr>
          <w:spacing w:val="1"/>
          <w:sz w:val="24"/>
        </w:rPr>
        <w:t> </w:t>
      </w:r>
      <w:r>
        <w:rPr>
          <w:sz w:val="24"/>
        </w:rPr>
        <w:t>group</w:t>
      </w:r>
      <w:r>
        <w:rPr>
          <w:spacing w:val="1"/>
          <w:sz w:val="24"/>
        </w:rPr>
        <w:t> </w:t>
      </w:r>
      <w:r>
        <w:rPr>
          <w:sz w:val="24"/>
        </w:rPr>
        <w:t>DM=</w:t>
      </w:r>
      <w:r>
        <w:rPr>
          <w:i/>
          <w:sz w:val="24"/>
        </w:rPr>
        <w:t>Diospyros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mespiliformis.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AST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=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Aspartate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aminotransferase,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ALT=Alanine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aminotransferase. Values not significant at P&lt;0.05</w:t>
      </w:r>
    </w:p>
    <w:p>
      <w:pPr>
        <w:spacing w:after="0"/>
        <w:jc w:val="both"/>
        <w:rPr>
          <w:sz w:val="24"/>
        </w:rPr>
        <w:sectPr>
          <w:pgSz w:w="12240" w:h="15840"/>
          <w:pgMar w:header="0" w:footer="792" w:top="1360" w:bottom="980" w:left="1580" w:right="1320"/>
        </w:sectPr>
      </w:pPr>
    </w:p>
    <w:p>
      <w:pPr>
        <w:pStyle w:val="Heading1"/>
        <w:spacing w:line="480" w:lineRule="auto" w:before="76"/>
        <w:ind w:left="3717" w:right="3615" w:hanging="3"/>
        <w:jc w:val="center"/>
      </w:pPr>
      <w:r>
        <w:rPr/>
        <w:t>APPENDIX IV</w:t>
      </w:r>
      <w:r>
        <w:rPr>
          <w:spacing w:val="1"/>
        </w:rPr>
        <w:t> </w:t>
      </w:r>
      <w:r>
        <w:rPr/>
        <w:t>LIVER</w:t>
      </w:r>
      <w:r>
        <w:rPr>
          <w:spacing w:val="-15"/>
        </w:rPr>
        <w:t> </w:t>
      </w:r>
      <w:r>
        <w:rPr/>
        <w:t>ENZYMES</w:t>
      </w:r>
    </w:p>
    <w:p>
      <w:pPr>
        <w:spacing w:before="1"/>
        <w:ind w:left="201" w:right="104" w:firstLine="0"/>
        <w:jc w:val="center"/>
        <w:rPr>
          <w:b/>
          <w:sz w:val="24"/>
        </w:rPr>
      </w:pPr>
      <w:r>
        <w:rPr>
          <w:b/>
          <w:sz w:val="24"/>
        </w:rPr>
        <w:t>Hepatobiliary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Function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Parameters</w:t>
      </w:r>
    </w:p>
    <w:p>
      <w:pPr>
        <w:pStyle w:val="BodyText"/>
        <w:spacing w:before="3"/>
        <w:rPr>
          <w:b/>
        </w:rPr>
      </w:pPr>
    </w:p>
    <w:tbl>
      <w:tblPr>
        <w:tblW w:w="0" w:type="auto"/>
        <w:jc w:val="left"/>
        <w:tblInd w:w="5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41"/>
        <w:gridCol w:w="1981"/>
        <w:gridCol w:w="1801"/>
        <w:gridCol w:w="1982"/>
      </w:tblGrid>
      <w:tr>
        <w:trPr>
          <w:trHeight w:val="551" w:hRule="atLeast"/>
        </w:trPr>
        <w:tc>
          <w:tcPr>
            <w:tcW w:w="1441" w:type="dxa"/>
          </w:tcPr>
          <w:p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Treatment</w:t>
            </w:r>
          </w:p>
        </w:tc>
        <w:tc>
          <w:tcPr>
            <w:tcW w:w="1981" w:type="dxa"/>
          </w:tcPr>
          <w:p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Dose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mg/kg</w:t>
            </w:r>
          </w:p>
        </w:tc>
        <w:tc>
          <w:tcPr>
            <w:tcW w:w="1801" w:type="dxa"/>
          </w:tcPr>
          <w:p>
            <w:pPr>
              <w:pStyle w:val="TableParagraph"/>
              <w:spacing w:line="273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ALP</w:t>
            </w:r>
          </w:p>
        </w:tc>
        <w:tc>
          <w:tcPr>
            <w:tcW w:w="1982" w:type="dxa"/>
          </w:tcPr>
          <w:p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TB</w:t>
            </w:r>
          </w:p>
        </w:tc>
      </w:tr>
      <w:tr>
        <w:trPr>
          <w:trHeight w:val="551" w:hRule="atLeast"/>
        </w:trPr>
        <w:tc>
          <w:tcPr>
            <w:tcW w:w="3422" w:type="dxa"/>
            <w:gridSpan w:val="2"/>
          </w:tcPr>
          <w:p>
            <w:pPr>
              <w:pStyle w:val="TableParagraph"/>
              <w:spacing w:line="268" w:lineRule="exact"/>
              <w:ind w:left="1113"/>
              <w:rPr>
                <w:sz w:val="24"/>
              </w:rPr>
            </w:pPr>
            <w:r>
              <w:rPr>
                <w:sz w:val="24"/>
              </w:rPr>
              <w:t>Distill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water</w:t>
            </w:r>
          </w:p>
        </w:tc>
        <w:tc>
          <w:tcPr>
            <w:tcW w:w="1801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189.5</w:t>
            </w:r>
            <w:r>
              <w:rPr>
                <w:sz w:val="24"/>
                <w:u w:val="single"/>
              </w:rPr>
              <w:t>+</w:t>
            </w:r>
            <w:r>
              <w:rPr>
                <w:sz w:val="24"/>
              </w:rPr>
              <w:t>9.57</w:t>
            </w:r>
          </w:p>
        </w:tc>
        <w:tc>
          <w:tcPr>
            <w:tcW w:w="1982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10.8</w:t>
            </w:r>
            <w:r>
              <w:rPr>
                <w:sz w:val="24"/>
                <w:u w:val="single"/>
              </w:rPr>
              <w:t>+</w:t>
            </w:r>
            <w:r>
              <w:rPr>
                <w:sz w:val="24"/>
              </w:rPr>
              <w:t>3.42</w:t>
            </w:r>
          </w:p>
        </w:tc>
      </w:tr>
      <w:tr>
        <w:trPr>
          <w:trHeight w:val="551" w:hRule="atLeast"/>
        </w:trPr>
        <w:tc>
          <w:tcPr>
            <w:tcW w:w="1441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DM</w:t>
            </w:r>
          </w:p>
        </w:tc>
        <w:tc>
          <w:tcPr>
            <w:tcW w:w="1981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801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225.7*</w:t>
            </w:r>
            <w:r>
              <w:rPr>
                <w:sz w:val="24"/>
                <w:u w:val="single"/>
              </w:rPr>
              <w:t>+</w:t>
            </w:r>
            <w:r>
              <w:rPr>
                <w:sz w:val="24"/>
              </w:rPr>
              <w:t>19.48</w:t>
            </w:r>
          </w:p>
        </w:tc>
        <w:tc>
          <w:tcPr>
            <w:tcW w:w="1982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8.2</w:t>
            </w:r>
            <w:r>
              <w:rPr>
                <w:sz w:val="24"/>
                <w:u w:val="single"/>
              </w:rPr>
              <w:t>+</w:t>
            </w:r>
            <w:r>
              <w:rPr>
                <w:sz w:val="24"/>
              </w:rPr>
              <w:t>3.64</w:t>
            </w:r>
          </w:p>
        </w:tc>
      </w:tr>
      <w:tr>
        <w:trPr>
          <w:trHeight w:val="554" w:hRule="atLeast"/>
        </w:trPr>
        <w:tc>
          <w:tcPr>
            <w:tcW w:w="1441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DM</w:t>
            </w:r>
          </w:p>
        </w:tc>
        <w:tc>
          <w:tcPr>
            <w:tcW w:w="1981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250</w:t>
            </w:r>
          </w:p>
        </w:tc>
        <w:tc>
          <w:tcPr>
            <w:tcW w:w="1801" w:type="dxa"/>
          </w:tcPr>
          <w:p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142</w:t>
            </w:r>
            <w:r>
              <w:rPr>
                <w:sz w:val="24"/>
                <w:u w:val="single"/>
              </w:rPr>
              <w:t>+</w:t>
            </w:r>
            <w:r>
              <w:rPr>
                <w:sz w:val="24"/>
              </w:rPr>
              <w:t>9.65</w:t>
            </w:r>
          </w:p>
        </w:tc>
        <w:tc>
          <w:tcPr>
            <w:tcW w:w="1982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6.5</w:t>
            </w:r>
            <w:r>
              <w:rPr>
                <w:sz w:val="24"/>
                <w:u w:val="single"/>
              </w:rPr>
              <w:t>+</w:t>
            </w:r>
            <w:r>
              <w:rPr>
                <w:sz w:val="24"/>
              </w:rPr>
              <w:t>3.96</w:t>
            </w:r>
          </w:p>
        </w:tc>
      </w:tr>
      <w:tr>
        <w:trPr>
          <w:trHeight w:val="551" w:hRule="atLeast"/>
        </w:trPr>
        <w:tc>
          <w:tcPr>
            <w:tcW w:w="1441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DM</w:t>
            </w:r>
          </w:p>
        </w:tc>
        <w:tc>
          <w:tcPr>
            <w:tcW w:w="1981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500</w:t>
            </w:r>
          </w:p>
        </w:tc>
        <w:tc>
          <w:tcPr>
            <w:tcW w:w="1801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254*.4</w:t>
            </w:r>
            <w:r>
              <w:rPr>
                <w:sz w:val="24"/>
                <w:u w:val="single"/>
              </w:rPr>
              <w:t>+</w:t>
            </w:r>
            <w:r>
              <w:rPr>
                <w:sz w:val="24"/>
              </w:rPr>
              <w:t>23.15</w:t>
            </w:r>
          </w:p>
        </w:tc>
        <w:tc>
          <w:tcPr>
            <w:tcW w:w="1982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9.8</w:t>
            </w:r>
            <w:r>
              <w:rPr>
                <w:sz w:val="24"/>
                <w:u w:val="single"/>
              </w:rPr>
              <w:t>+</w:t>
            </w:r>
            <w:r>
              <w:rPr>
                <w:sz w:val="24"/>
              </w:rPr>
              <w:t>3.99</w:t>
            </w:r>
          </w:p>
        </w:tc>
      </w:tr>
      <w:tr>
        <w:trPr>
          <w:trHeight w:val="551" w:hRule="atLeast"/>
        </w:trPr>
        <w:tc>
          <w:tcPr>
            <w:tcW w:w="1441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DM</w:t>
            </w:r>
          </w:p>
        </w:tc>
        <w:tc>
          <w:tcPr>
            <w:tcW w:w="1981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1000</w:t>
            </w:r>
          </w:p>
        </w:tc>
        <w:tc>
          <w:tcPr>
            <w:tcW w:w="1801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320***.3</w:t>
            </w:r>
            <w:r>
              <w:rPr>
                <w:sz w:val="24"/>
                <w:u w:val="single"/>
              </w:rPr>
              <w:t>+</w:t>
            </w:r>
            <w:r>
              <w:rPr>
                <w:sz w:val="24"/>
              </w:rPr>
              <w:t>22.24</w:t>
            </w:r>
          </w:p>
        </w:tc>
        <w:tc>
          <w:tcPr>
            <w:tcW w:w="1982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8.2</w:t>
            </w:r>
            <w:r>
              <w:rPr>
                <w:sz w:val="24"/>
                <w:u w:val="single"/>
              </w:rPr>
              <w:t>+</w:t>
            </w:r>
            <w:r>
              <w:rPr>
                <w:sz w:val="24"/>
              </w:rPr>
              <w:t>4.71</w:t>
            </w:r>
          </w:p>
        </w:tc>
      </w:tr>
    </w:tbl>
    <w:p>
      <w:pPr>
        <w:spacing w:before="0"/>
        <w:ind w:left="671" w:right="116" w:firstLine="0"/>
        <w:jc w:val="both"/>
        <w:rPr>
          <w:i/>
          <w:sz w:val="24"/>
        </w:rPr>
      </w:pPr>
      <w:r>
        <w:rPr>
          <w:sz w:val="24"/>
        </w:rPr>
        <w:t>Data were analyzed using ANOVA post hoc dunnet and presented as mean </w:t>
      </w:r>
      <w:r>
        <w:rPr>
          <w:sz w:val="24"/>
          <w:u w:val="single"/>
        </w:rPr>
        <w:t>+</w:t>
      </w:r>
      <w:r>
        <w:rPr>
          <w:sz w:val="24"/>
        </w:rPr>
        <w:t> SEM, n=6</w:t>
      </w:r>
      <w:r>
        <w:rPr>
          <w:spacing w:val="1"/>
          <w:sz w:val="24"/>
        </w:rPr>
        <w:t> </w:t>
      </w:r>
      <w:r>
        <w:rPr>
          <w:sz w:val="24"/>
        </w:rPr>
        <w:t>00.per group DM=</w:t>
      </w:r>
      <w:r>
        <w:rPr>
          <w:i/>
          <w:sz w:val="24"/>
        </w:rPr>
        <w:t>Diospyros mespiliformis.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ALP = Alkaline Phosphatase, TB Total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Bilirubin.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* Statistically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significant at P&lt;0.05,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***P&lt;0.001</w:t>
      </w:r>
    </w:p>
    <w:p>
      <w:pPr>
        <w:spacing w:after="0"/>
        <w:jc w:val="both"/>
        <w:rPr>
          <w:sz w:val="24"/>
        </w:rPr>
        <w:sectPr>
          <w:pgSz w:w="12240" w:h="15840"/>
          <w:pgMar w:header="0" w:footer="792" w:top="1360" w:bottom="980" w:left="1580" w:right="1320"/>
        </w:sectPr>
      </w:pPr>
    </w:p>
    <w:p>
      <w:pPr>
        <w:pStyle w:val="BodyText"/>
        <w:rPr>
          <w:i/>
          <w:sz w:val="18"/>
        </w:rPr>
      </w:pPr>
    </w:p>
    <w:p>
      <w:pPr>
        <w:pStyle w:val="Heading1"/>
        <w:spacing w:before="90"/>
        <w:ind w:left="4662" w:right="4662"/>
        <w:jc w:val="center"/>
      </w:pPr>
      <w:r>
        <w:rPr/>
        <w:t>APPENDIX</w:t>
      </w:r>
      <w:r>
        <w:rPr>
          <w:spacing w:val="-3"/>
        </w:rPr>
        <w:t> </w:t>
      </w:r>
      <w:r>
        <w:rPr/>
        <w:t>V</w:t>
      </w:r>
    </w:p>
    <w:p>
      <w:pPr>
        <w:pStyle w:val="BodyText"/>
        <w:rPr>
          <w:b/>
        </w:rPr>
      </w:pPr>
    </w:p>
    <w:p>
      <w:pPr>
        <w:spacing w:before="0"/>
        <w:ind w:left="4662" w:right="4662" w:firstLine="0"/>
        <w:jc w:val="center"/>
        <w:rPr>
          <w:b/>
          <w:sz w:val="24"/>
        </w:rPr>
      </w:pPr>
      <w:r>
        <w:rPr>
          <w:b/>
          <w:sz w:val="24"/>
        </w:rPr>
        <w:t>KIDNEY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FUNCTION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PARAMETERS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28"/>
        </w:rPr>
      </w:pPr>
    </w:p>
    <w:tbl>
      <w:tblPr>
        <w:tblW w:w="0" w:type="auto"/>
        <w:jc w:val="left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32"/>
        <w:gridCol w:w="1287"/>
        <w:gridCol w:w="1432"/>
        <w:gridCol w:w="1273"/>
        <w:gridCol w:w="1256"/>
        <w:gridCol w:w="1324"/>
        <w:gridCol w:w="1256"/>
        <w:gridCol w:w="1552"/>
        <w:gridCol w:w="1287"/>
        <w:gridCol w:w="1287"/>
      </w:tblGrid>
      <w:tr>
        <w:trPr>
          <w:trHeight w:val="552" w:hRule="atLeast"/>
        </w:trPr>
        <w:tc>
          <w:tcPr>
            <w:tcW w:w="123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287" w:type="dxa"/>
          </w:tcPr>
          <w:p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K</w:t>
            </w:r>
          </w:p>
        </w:tc>
        <w:tc>
          <w:tcPr>
            <w:tcW w:w="1432" w:type="dxa"/>
          </w:tcPr>
          <w:p>
            <w:pPr>
              <w:pStyle w:val="TableParagraph"/>
              <w:spacing w:line="273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Na</w:t>
            </w:r>
          </w:p>
        </w:tc>
        <w:tc>
          <w:tcPr>
            <w:tcW w:w="1273" w:type="dxa"/>
          </w:tcPr>
          <w:p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Ca</w:t>
            </w:r>
          </w:p>
        </w:tc>
        <w:tc>
          <w:tcPr>
            <w:tcW w:w="1256" w:type="dxa"/>
          </w:tcPr>
          <w:p>
            <w:pPr>
              <w:pStyle w:val="TableParagraph"/>
              <w:spacing w:line="273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Glucose</w:t>
            </w:r>
          </w:p>
        </w:tc>
        <w:tc>
          <w:tcPr>
            <w:tcW w:w="1324" w:type="dxa"/>
          </w:tcPr>
          <w:p>
            <w:pPr>
              <w:pStyle w:val="TableParagraph"/>
              <w:spacing w:line="273" w:lineRule="exact"/>
              <w:ind w:left="101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  <w:p>
            <w:pPr>
              <w:pStyle w:val="TableParagraph"/>
              <w:spacing w:line="259" w:lineRule="exact"/>
              <w:ind w:left="101"/>
              <w:rPr>
                <w:b/>
                <w:sz w:val="24"/>
              </w:rPr>
            </w:pPr>
            <w:r>
              <w:rPr>
                <w:b/>
                <w:sz w:val="24"/>
              </w:rPr>
              <w:t>cholesterol</w:t>
            </w:r>
          </w:p>
        </w:tc>
        <w:tc>
          <w:tcPr>
            <w:tcW w:w="1256" w:type="dxa"/>
          </w:tcPr>
          <w:p>
            <w:pPr>
              <w:pStyle w:val="TableParagraph"/>
              <w:spacing w:line="273" w:lineRule="exact"/>
              <w:ind w:left="102"/>
              <w:rPr>
                <w:b/>
                <w:sz w:val="24"/>
              </w:rPr>
            </w:pPr>
            <w:r>
              <w:rPr>
                <w:b/>
                <w:sz w:val="24"/>
              </w:rPr>
              <w:t>Urea</w:t>
            </w:r>
          </w:p>
        </w:tc>
        <w:tc>
          <w:tcPr>
            <w:tcW w:w="1552" w:type="dxa"/>
          </w:tcPr>
          <w:p>
            <w:pPr>
              <w:pStyle w:val="TableParagraph"/>
              <w:spacing w:line="273" w:lineRule="exact"/>
              <w:ind w:left="102"/>
              <w:rPr>
                <w:b/>
                <w:sz w:val="24"/>
              </w:rPr>
            </w:pPr>
            <w:r>
              <w:rPr>
                <w:b/>
                <w:sz w:val="24"/>
              </w:rPr>
              <w:t>Creatinine</w:t>
            </w:r>
          </w:p>
        </w:tc>
        <w:tc>
          <w:tcPr>
            <w:tcW w:w="1287" w:type="dxa"/>
          </w:tcPr>
          <w:p>
            <w:pPr>
              <w:pStyle w:val="TableParagraph"/>
              <w:spacing w:line="273" w:lineRule="exact"/>
              <w:ind w:left="101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  <w:p>
            <w:pPr>
              <w:pStyle w:val="TableParagraph"/>
              <w:spacing w:line="259" w:lineRule="exact"/>
              <w:ind w:left="101"/>
              <w:rPr>
                <w:b/>
                <w:sz w:val="24"/>
              </w:rPr>
            </w:pPr>
            <w:r>
              <w:rPr>
                <w:b/>
                <w:sz w:val="24"/>
              </w:rPr>
              <w:t>protein</w:t>
            </w:r>
          </w:p>
        </w:tc>
        <w:tc>
          <w:tcPr>
            <w:tcW w:w="1287" w:type="dxa"/>
          </w:tcPr>
          <w:p>
            <w:pPr>
              <w:pStyle w:val="TableParagraph"/>
              <w:spacing w:line="273" w:lineRule="exact"/>
              <w:ind w:left="11" w:right="1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Albumin</w:t>
            </w:r>
          </w:p>
        </w:tc>
      </w:tr>
      <w:tr>
        <w:trPr>
          <w:trHeight w:val="551" w:hRule="atLeast"/>
        </w:trPr>
        <w:tc>
          <w:tcPr>
            <w:tcW w:w="1232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D.water</w:t>
            </w:r>
          </w:p>
        </w:tc>
        <w:tc>
          <w:tcPr>
            <w:tcW w:w="1287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5.6</w:t>
            </w:r>
            <w:r>
              <w:rPr>
                <w:sz w:val="24"/>
                <w:u w:val="single"/>
              </w:rPr>
              <w:t>+</w:t>
            </w:r>
            <w:r>
              <w:rPr>
                <w:sz w:val="24"/>
              </w:rPr>
              <w:t>0.23</w:t>
            </w:r>
          </w:p>
        </w:tc>
        <w:tc>
          <w:tcPr>
            <w:tcW w:w="1432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134.3</w:t>
            </w:r>
            <w:r>
              <w:rPr>
                <w:sz w:val="24"/>
                <w:u w:val="single"/>
              </w:rPr>
              <w:t>+</w:t>
            </w:r>
            <w:r>
              <w:rPr>
                <w:sz w:val="24"/>
              </w:rPr>
              <w:t>9.41</w:t>
            </w:r>
          </w:p>
        </w:tc>
        <w:tc>
          <w:tcPr>
            <w:tcW w:w="1273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1.9</w:t>
            </w:r>
            <w:r>
              <w:rPr>
                <w:sz w:val="24"/>
                <w:u w:val="single"/>
              </w:rPr>
              <w:t>+</w:t>
            </w:r>
            <w:r>
              <w:rPr>
                <w:sz w:val="24"/>
              </w:rPr>
              <w:t>0.10</w:t>
            </w:r>
          </w:p>
        </w:tc>
        <w:tc>
          <w:tcPr>
            <w:tcW w:w="1256" w:type="dxa"/>
          </w:tcPr>
          <w:p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4.9</w:t>
            </w:r>
            <w:r>
              <w:rPr>
                <w:sz w:val="24"/>
                <w:u w:val="single"/>
              </w:rPr>
              <w:t>+</w:t>
            </w:r>
            <w:r>
              <w:rPr>
                <w:sz w:val="24"/>
              </w:rPr>
              <w:t>0.41</w:t>
            </w:r>
          </w:p>
        </w:tc>
        <w:tc>
          <w:tcPr>
            <w:tcW w:w="1324" w:type="dxa"/>
          </w:tcPr>
          <w:p>
            <w:pPr>
              <w:pStyle w:val="TableParagraph"/>
              <w:spacing w:line="268" w:lineRule="exact"/>
              <w:ind w:left="101"/>
              <w:rPr>
                <w:sz w:val="24"/>
              </w:rPr>
            </w:pPr>
            <w:r>
              <w:rPr>
                <w:sz w:val="24"/>
              </w:rPr>
              <w:t>2.0</w:t>
            </w:r>
            <w:r>
              <w:rPr>
                <w:sz w:val="24"/>
                <w:u w:val="single"/>
              </w:rPr>
              <w:t>+</w:t>
            </w:r>
            <w:r>
              <w:rPr>
                <w:sz w:val="24"/>
              </w:rPr>
              <w:t>0.15</w:t>
            </w:r>
          </w:p>
        </w:tc>
        <w:tc>
          <w:tcPr>
            <w:tcW w:w="1256" w:type="dxa"/>
          </w:tcPr>
          <w:p>
            <w:pPr>
              <w:pStyle w:val="TableParagraph"/>
              <w:spacing w:line="268" w:lineRule="exact"/>
              <w:ind w:left="102"/>
              <w:rPr>
                <w:sz w:val="24"/>
              </w:rPr>
            </w:pPr>
            <w:r>
              <w:rPr>
                <w:sz w:val="24"/>
              </w:rPr>
              <w:t>6.1</w:t>
            </w:r>
            <w:r>
              <w:rPr>
                <w:sz w:val="24"/>
                <w:u w:val="single"/>
              </w:rPr>
              <w:t>+</w:t>
            </w:r>
            <w:r>
              <w:rPr>
                <w:sz w:val="24"/>
              </w:rPr>
              <w:t>0.10</w:t>
            </w:r>
          </w:p>
        </w:tc>
        <w:tc>
          <w:tcPr>
            <w:tcW w:w="1552" w:type="dxa"/>
          </w:tcPr>
          <w:p>
            <w:pPr>
              <w:pStyle w:val="TableParagraph"/>
              <w:spacing w:line="268" w:lineRule="exact"/>
              <w:ind w:left="102"/>
              <w:rPr>
                <w:sz w:val="24"/>
              </w:rPr>
            </w:pPr>
            <w:r>
              <w:rPr>
                <w:sz w:val="24"/>
              </w:rPr>
              <w:t>38.6</w:t>
            </w:r>
            <w:r>
              <w:rPr>
                <w:sz w:val="24"/>
                <w:u w:val="single"/>
              </w:rPr>
              <w:t>+</w:t>
            </w:r>
            <w:r>
              <w:rPr>
                <w:sz w:val="24"/>
              </w:rPr>
              <w:t>0.6</w:t>
            </w:r>
          </w:p>
        </w:tc>
        <w:tc>
          <w:tcPr>
            <w:tcW w:w="1287" w:type="dxa"/>
          </w:tcPr>
          <w:p>
            <w:pPr>
              <w:pStyle w:val="TableParagraph"/>
              <w:spacing w:line="268" w:lineRule="exact"/>
              <w:ind w:left="80" w:right="178"/>
              <w:jc w:val="center"/>
              <w:rPr>
                <w:sz w:val="24"/>
              </w:rPr>
            </w:pPr>
            <w:r>
              <w:rPr>
                <w:sz w:val="24"/>
              </w:rPr>
              <w:t>73.2</w:t>
            </w:r>
            <w:r>
              <w:rPr>
                <w:sz w:val="24"/>
                <w:u w:val="single"/>
              </w:rPr>
              <w:t>+</w:t>
            </w:r>
            <w:r>
              <w:rPr>
                <w:sz w:val="24"/>
              </w:rPr>
              <w:t>3.67</w:t>
            </w:r>
          </w:p>
        </w:tc>
        <w:tc>
          <w:tcPr>
            <w:tcW w:w="1287" w:type="dxa"/>
          </w:tcPr>
          <w:p>
            <w:pPr>
              <w:pStyle w:val="TableParagraph"/>
              <w:spacing w:line="268" w:lineRule="exact"/>
              <w:ind w:left="80" w:right="179"/>
              <w:jc w:val="center"/>
              <w:rPr>
                <w:sz w:val="24"/>
              </w:rPr>
            </w:pPr>
            <w:r>
              <w:rPr>
                <w:sz w:val="24"/>
              </w:rPr>
              <w:t>31.2</w:t>
            </w:r>
            <w:r>
              <w:rPr>
                <w:sz w:val="24"/>
                <w:u w:val="single"/>
              </w:rPr>
              <w:t>+</w:t>
            </w:r>
            <w:r>
              <w:rPr>
                <w:sz w:val="24"/>
              </w:rPr>
              <w:t>1.46</w:t>
            </w:r>
          </w:p>
        </w:tc>
      </w:tr>
      <w:tr>
        <w:trPr>
          <w:trHeight w:val="551" w:hRule="atLeast"/>
        </w:trPr>
        <w:tc>
          <w:tcPr>
            <w:tcW w:w="1232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DM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50</w:t>
            </w:r>
          </w:p>
        </w:tc>
        <w:tc>
          <w:tcPr>
            <w:tcW w:w="1287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5.7</w:t>
            </w:r>
            <w:r>
              <w:rPr>
                <w:sz w:val="24"/>
                <w:u w:val="single"/>
              </w:rPr>
              <w:t>+</w:t>
            </w:r>
            <w:r>
              <w:rPr>
                <w:sz w:val="24"/>
              </w:rPr>
              <w:t>0.24</w:t>
            </w:r>
          </w:p>
        </w:tc>
        <w:tc>
          <w:tcPr>
            <w:tcW w:w="1432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122.2</w:t>
            </w:r>
            <w:r>
              <w:rPr>
                <w:sz w:val="24"/>
                <w:u w:val="single"/>
              </w:rPr>
              <w:t>+</w:t>
            </w:r>
            <w:r>
              <w:rPr>
                <w:sz w:val="24"/>
              </w:rPr>
              <w:t>4.24</w:t>
            </w:r>
          </w:p>
        </w:tc>
        <w:tc>
          <w:tcPr>
            <w:tcW w:w="1273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2.0</w:t>
            </w:r>
            <w:r>
              <w:rPr>
                <w:sz w:val="24"/>
                <w:u w:val="single"/>
              </w:rPr>
              <w:t>+</w:t>
            </w:r>
            <w:r>
              <w:rPr>
                <w:sz w:val="24"/>
              </w:rPr>
              <w:t>0.14</w:t>
            </w:r>
          </w:p>
        </w:tc>
        <w:tc>
          <w:tcPr>
            <w:tcW w:w="1256" w:type="dxa"/>
          </w:tcPr>
          <w:p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4.7</w:t>
            </w:r>
            <w:r>
              <w:rPr>
                <w:sz w:val="24"/>
                <w:u w:val="single"/>
              </w:rPr>
              <w:t>+</w:t>
            </w:r>
            <w:r>
              <w:rPr>
                <w:sz w:val="24"/>
              </w:rPr>
              <w:t>0.51</w:t>
            </w:r>
          </w:p>
        </w:tc>
        <w:tc>
          <w:tcPr>
            <w:tcW w:w="1324" w:type="dxa"/>
          </w:tcPr>
          <w:p>
            <w:pPr>
              <w:pStyle w:val="TableParagraph"/>
              <w:spacing w:line="268" w:lineRule="exact"/>
              <w:ind w:left="101"/>
              <w:rPr>
                <w:sz w:val="24"/>
              </w:rPr>
            </w:pPr>
            <w:r>
              <w:rPr>
                <w:sz w:val="24"/>
              </w:rPr>
              <w:t>1.7</w:t>
            </w:r>
            <w:r>
              <w:rPr>
                <w:sz w:val="24"/>
                <w:u w:val="single"/>
              </w:rPr>
              <w:t>+</w:t>
            </w:r>
            <w:r>
              <w:rPr>
                <w:sz w:val="24"/>
              </w:rPr>
              <w:t>0.23</w:t>
            </w:r>
          </w:p>
        </w:tc>
        <w:tc>
          <w:tcPr>
            <w:tcW w:w="1256" w:type="dxa"/>
          </w:tcPr>
          <w:p>
            <w:pPr>
              <w:pStyle w:val="TableParagraph"/>
              <w:spacing w:line="268" w:lineRule="exact"/>
              <w:ind w:left="102"/>
              <w:rPr>
                <w:sz w:val="24"/>
              </w:rPr>
            </w:pPr>
            <w:r>
              <w:rPr>
                <w:sz w:val="24"/>
              </w:rPr>
              <w:t>6.2</w:t>
            </w:r>
            <w:r>
              <w:rPr>
                <w:sz w:val="24"/>
                <w:u w:val="single"/>
              </w:rPr>
              <w:t>+</w:t>
            </w:r>
            <w:r>
              <w:rPr>
                <w:sz w:val="24"/>
              </w:rPr>
              <w:t>0.75</w:t>
            </w:r>
          </w:p>
        </w:tc>
        <w:tc>
          <w:tcPr>
            <w:tcW w:w="1552" w:type="dxa"/>
          </w:tcPr>
          <w:p>
            <w:pPr>
              <w:pStyle w:val="TableParagraph"/>
              <w:spacing w:line="268" w:lineRule="exact"/>
              <w:ind w:left="102"/>
              <w:rPr>
                <w:sz w:val="24"/>
              </w:rPr>
            </w:pPr>
            <w:r>
              <w:rPr>
                <w:sz w:val="24"/>
              </w:rPr>
              <w:t>33.5</w:t>
            </w:r>
            <w:r>
              <w:rPr>
                <w:sz w:val="24"/>
                <w:u w:val="single"/>
              </w:rPr>
              <w:t>+</w:t>
            </w:r>
            <w:r>
              <w:rPr>
                <w:sz w:val="24"/>
              </w:rPr>
              <w:t>2.20</w:t>
            </w:r>
          </w:p>
        </w:tc>
        <w:tc>
          <w:tcPr>
            <w:tcW w:w="1287" w:type="dxa"/>
          </w:tcPr>
          <w:p>
            <w:pPr>
              <w:pStyle w:val="TableParagraph"/>
              <w:spacing w:line="268" w:lineRule="exact"/>
              <w:ind w:left="80" w:right="178"/>
              <w:jc w:val="center"/>
              <w:rPr>
                <w:sz w:val="24"/>
              </w:rPr>
            </w:pPr>
            <w:r>
              <w:rPr>
                <w:sz w:val="24"/>
              </w:rPr>
              <w:t>65.5</w:t>
            </w:r>
            <w:r>
              <w:rPr>
                <w:sz w:val="24"/>
                <w:u w:val="single"/>
              </w:rPr>
              <w:t>+</w:t>
            </w:r>
            <w:r>
              <w:rPr>
                <w:sz w:val="24"/>
              </w:rPr>
              <w:t>5.74</w:t>
            </w:r>
          </w:p>
        </w:tc>
        <w:tc>
          <w:tcPr>
            <w:tcW w:w="1287" w:type="dxa"/>
          </w:tcPr>
          <w:p>
            <w:pPr>
              <w:pStyle w:val="TableParagraph"/>
              <w:spacing w:line="268" w:lineRule="exact"/>
              <w:ind w:left="80" w:right="179"/>
              <w:jc w:val="center"/>
              <w:rPr>
                <w:sz w:val="24"/>
              </w:rPr>
            </w:pPr>
            <w:r>
              <w:rPr>
                <w:sz w:val="24"/>
              </w:rPr>
              <w:t>28.0</w:t>
            </w:r>
            <w:r>
              <w:rPr>
                <w:sz w:val="24"/>
                <w:u w:val="single"/>
              </w:rPr>
              <w:t>+</w:t>
            </w:r>
            <w:r>
              <w:rPr>
                <w:sz w:val="24"/>
              </w:rPr>
              <w:t>2.49</w:t>
            </w:r>
          </w:p>
        </w:tc>
      </w:tr>
      <w:tr>
        <w:trPr>
          <w:trHeight w:val="554" w:hRule="atLeast"/>
        </w:trPr>
        <w:tc>
          <w:tcPr>
            <w:tcW w:w="1232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DM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250</w:t>
            </w:r>
          </w:p>
        </w:tc>
        <w:tc>
          <w:tcPr>
            <w:tcW w:w="1287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6.6*</w:t>
            </w:r>
            <w:r>
              <w:rPr>
                <w:sz w:val="24"/>
                <w:u w:val="single"/>
              </w:rPr>
              <w:t>+</w:t>
            </w:r>
            <w:r>
              <w:rPr>
                <w:sz w:val="24"/>
              </w:rPr>
              <w:t>0.15</w:t>
            </w:r>
          </w:p>
        </w:tc>
        <w:tc>
          <w:tcPr>
            <w:tcW w:w="1432" w:type="dxa"/>
          </w:tcPr>
          <w:p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134.5</w:t>
            </w:r>
            <w:r>
              <w:rPr>
                <w:sz w:val="24"/>
                <w:u w:val="single"/>
              </w:rPr>
              <w:t>+</w:t>
            </w:r>
            <w:r>
              <w:rPr>
                <w:sz w:val="24"/>
              </w:rPr>
              <w:t>2.38</w:t>
            </w:r>
          </w:p>
        </w:tc>
        <w:tc>
          <w:tcPr>
            <w:tcW w:w="1273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1.9</w:t>
            </w:r>
            <w:r>
              <w:rPr>
                <w:sz w:val="24"/>
                <w:u w:val="single"/>
              </w:rPr>
              <w:t>+</w:t>
            </w:r>
            <w:r>
              <w:rPr>
                <w:sz w:val="24"/>
              </w:rPr>
              <w:t>0.13</w:t>
            </w:r>
          </w:p>
        </w:tc>
        <w:tc>
          <w:tcPr>
            <w:tcW w:w="1256" w:type="dxa"/>
          </w:tcPr>
          <w:p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4.5</w:t>
            </w:r>
            <w:r>
              <w:rPr>
                <w:sz w:val="24"/>
                <w:u w:val="single"/>
              </w:rPr>
              <w:t>+</w:t>
            </w:r>
            <w:r>
              <w:rPr>
                <w:sz w:val="24"/>
              </w:rPr>
              <w:t>0.30</w:t>
            </w:r>
          </w:p>
        </w:tc>
        <w:tc>
          <w:tcPr>
            <w:tcW w:w="1324" w:type="dxa"/>
          </w:tcPr>
          <w:p>
            <w:pPr>
              <w:pStyle w:val="TableParagraph"/>
              <w:spacing w:line="270" w:lineRule="exact"/>
              <w:ind w:left="101"/>
              <w:rPr>
                <w:sz w:val="24"/>
              </w:rPr>
            </w:pPr>
            <w:r>
              <w:rPr>
                <w:sz w:val="24"/>
              </w:rPr>
              <w:t>1.9</w:t>
            </w:r>
            <w:r>
              <w:rPr>
                <w:sz w:val="24"/>
                <w:u w:val="single"/>
              </w:rPr>
              <w:t>+</w:t>
            </w:r>
            <w:r>
              <w:rPr>
                <w:sz w:val="24"/>
              </w:rPr>
              <w:t>0.28</w:t>
            </w:r>
          </w:p>
        </w:tc>
        <w:tc>
          <w:tcPr>
            <w:tcW w:w="1256" w:type="dxa"/>
          </w:tcPr>
          <w:p>
            <w:pPr>
              <w:pStyle w:val="TableParagraph"/>
              <w:spacing w:line="270" w:lineRule="exact"/>
              <w:ind w:left="102"/>
              <w:rPr>
                <w:sz w:val="24"/>
              </w:rPr>
            </w:pPr>
            <w:r>
              <w:rPr>
                <w:sz w:val="24"/>
              </w:rPr>
              <w:t>5.0</w:t>
            </w:r>
            <w:r>
              <w:rPr>
                <w:sz w:val="24"/>
                <w:u w:val="single"/>
              </w:rPr>
              <w:t>+</w:t>
            </w:r>
            <w:r>
              <w:rPr>
                <w:sz w:val="24"/>
              </w:rPr>
              <w:t>0.65</w:t>
            </w:r>
          </w:p>
        </w:tc>
        <w:tc>
          <w:tcPr>
            <w:tcW w:w="1552" w:type="dxa"/>
          </w:tcPr>
          <w:p>
            <w:pPr>
              <w:pStyle w:val="TableParagraph"/>
              <w:spacing w:line="270" w:lineRule="exact"/>
              <w:ind w:left="102"/>
              <w:rPr>
                <w:sz w:val="24"/>
              </w:rPr>
            </w:pPr>
            <w:r>
              <w:rPr>
                <w:sz w:val="24"/>
              </w:rPr>
              <w:t>29.8*</w:t>
            </w:r>
            <w:r>
              <w:rPr>
                <w:sz w:val="24"/>
                <w:u w:val="single"/>
              </w:rPr>
              <w:t>+</w:t>
            </w:r>
            <w:r>
              <w:rPr>
                <w:sz w:val="24"/>
              </w:rPr>
              <w:t>1.88</w:t>
            </w:r>
          </w:p>
        </w:tc>
        <w:tc>
          <w:tcPr>
            <w:tcW w:w="1287" w:type="dxa"/>
          </w:tcPr>
          <w:p>
            <w:pPr>
              <w:pStyle w:val="TableParagraph"/>
              <w:spacing w:line="270" w:lineRule="exact"/>
              <w:ind w:left="80" w:right="178"/>
              <w:jc w:val="center"/>
              <w:rPr>
                <w:sz w:val="24"/>
              </w:rPr>
            </w:pPr>
            <w:r>
              <w:rPr>
                <w:sz w:val="24"/>
              </w:rPr>
              <w:t>63.8</w:t>
            </w:r>
            <w:r>
              <w:rPr>
                <w:sz w:val="24"/>
                <w:u w:val="single"/>
              </w:rPr>
              <w:t>+</w:t>
            </w:r>
            <w:r>
              <w:rPr>
                <w:sz w:val="24"/>
              </w:rPr>
              <w:t>2.75</w:t>
            </w:r>
          </w:p>
        </w:tc>
        <w:tc>
          <w:tcPr>
            <w:tcW w:w="1287" w:type="dxa"/>
          </w:tcPr>
          <w:p>
            <w:pPr>
              <w:pStyle w:val="TableParagraph"/>
              <w:spacing w:line="270" w:lineRule="exact"/>
              <w:ind w:left="80" w:right="179"/>
              <w:jc w:val="center"/>
              <w:rPr>
                <w:sz w:val="24"/>
              </w:rPr>
            </w:pPr>
            <w:r>
              <w:rPr>
                <w:sz w:val="24"/>
              </w:rPr>
              <w:t>27.2</w:t>
            </w:r>
            <w:r>
              <w:rPr>
                <w:sz w:val="24"/>
                <w:u w:val="single"/>
              </w:rPr>
              <w:t>+</w:t>
            </w:r>
            <w:r>
              <w:rPr>
                <w:sz w:val="24"/>
              </w:rPr>
              <w:t>1.16</w:t>
            </w:r>
          </w:p>
        </w:tc>
      </w:tr>
      <w:tr>
        <w:trPr>
          <w:trHeight w:val="552" w:hRule="atLeast"/>
        </w:trPr>
        <w:tc>
          <w:tcPr>
            <w:tcW w:w="1232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DM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500</w:t>
            </w:r>
          </w:p>
        </w:tc>
        <w:tc>
          <w:tcPr>
            <w:tcW w:w="1287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5.3</w:t>
            </w:r>
            <w:r>
              <w:rPr>
                <w:sz w:val="24"/>
                <w:u w:val="single"/>
              </w:rPr>
              <w:t>+</w:t>
            </w:r>
            <w:r>
              <w:rPr>
                <w:sz w:val="24"/>
              </w:rPr>
              <w:t>0.23</w:t>
            </w:r>
          </w:p>
        </w:tc>
        <w:tc>
          <w:tcPr>
            <w:tcW w:w="1432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217.7</w:t>
            </w:r>
            <w:r>
              <w:rPr>
                <w:sz w:val="24"/>
                <w:u w:val="single"/>
              </w:rPr>
              <w:t>+</w:t>
            </w:r>
            <w:r>
              <w:rPr>
                <w:sz w:val="24"/>
              </w:rPr>
              <w:t>51.89</w:t>
            </w:r>
          </w:p>
        </w:tc>
        <w:tc>
          <w:tcPr>
            <w:tcW w:w="1273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2.0</w:t>
            </w:r>
            <w:r>
              <w:rPr>
                <w:sz w:val="24"/>
                <w:u w:val="single"/>
              </w:rPr>
              <w:t>+</w:t>
            </w:r>
            <w:r>
              <w:rPr>
                <w:sz w:val="24"/>
              </w:rPr>
              <w:t>0.06</w:t>
            </w:r>
          </w:p>
        </w:tc>
        <w:tc>
          <w:tcPr>
            <w:tcW w:w="1256" w:type="dxa"/>
          </w:tcPr>
          <w:p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3.7</w:t>
            </w:r>
            <w:r>
              <w:rPr>
                <w:sz w:val="24"/>
                <w:u w:val="single"/>
              </w:rPr>
              <w:t>+</w:t>
            </w:r>
            <w:r>
              <w:rPr>
                <w:sz w:val="24"/>
              </w:rPr>
              <w:t>0.23</w:t>
            </w:r>
          </w:p>
        </w:tc>
        <w:tc>
          <w:tcPr>
            <w:tcW w:w="1324" w:type="dxa"/>
          </w:tcPr>
          <w:p>
            <w:pPr>
              <w:pStyle w:val="TableParagraph"/>
              <w:spacing w:line="268" w:lineRule="exact"/>
              <w:ind w:left="101"/>
              <w:rPr>
                <w:sz w:val="24"/>
              </w:rPr>
            </w:pPr>
            <w:r>
              <w:rPr>
                <w:sz w:val="24"/>
              </w:rPr>
              <w:t>1.9</w:t>
            </w:r>
            <w:r>
              <w:rPr>
                <w:sz w:val="24"/>
                <w:u w:val="single"/>
              </w:rPr>
              <w:t>+</w:t>
            </w:r>
            <w:r>
              <w:rPr>
                <w:sz w:val="24"/>
              </w:rPr>
              <w:t>0.21</w:t>
            </w:r>
          </w:p>
        </w:tc>
        <w:tc>
          <w:tcPr>
            <w:tcW w:w="1256" w:type="dxa"/>
          </w:tcPr>
          <w:p>
            <w:pPr>
              <w:pStyle w:val="TableParagraph"/>
              <w:spacing w:line="268" w:lineRule="exact"/>
              <w:ind w:left="102"/>
              <w:rPr>
                <w:sz w:val="24"/>
              </w:rPr>
            </w:pPr>
            <w:r>
              <w:rPr>
                <w:sz w:val="24"/>
              </w:rPr>
              <w:t>4.3</w:t>
            </w:r>
            <w:r>
              <w:rPr>
                <w:sz w:val="24"/>
                <w:u w:val="single"/>
              </w:rPr>
              <w:t>+</w:t>
            </w:r>
            <w:r>
              <w:rPr>
                <w:sz w:val="24"/>
              </w:rPr>
              <w:t>0.46</w:t>
            </w:r>
          </w:p>
        </w:tc>
        <w:tc>
          <w:tcPr>
            <w:tcW w:w="1552" w:type="dxa"/>
          </w:tcPr>
          <w:p>
            <w:pPr>
              <w:pStyle w:val="TableParagraph"/>
              <w:spacing w:line="268" w:lineRule="exact"/>
              <w:ind w:left="102"/>
              <w:rPr>
                <w:sz w:val="24"/>
              </w:rPr>
            </w:pPr>
            <w:r>
              <w:rPr>
                <w:sz w:val="24"/>
              </w:rPr>
              <w:t>30.4*</w:t>
            </w:r>
            <w:r>
              <w:rPr>
                <w:sz w:val="24"/>
                <w:u w:val="single"/>
              </w:rPr>
              <w:t>+</w:t>
            </w:r>
            <w:r>
              <w:rPr>
                <w:sz w:val="24"/>
              </w:rPr>
              <w:t>1.17</w:t>
            </w:r>
          </w:p>
        </w:tc>
        <w:tc>
          <w:tcPr>
            <w:tcW w:w="1287" w:type="dxa"/>
          </w:tcPr>
          <w:p>
            <w:pPr>
              <w:pStyle w:val="TableParagraph"/>
              <w:spacing w:line="268" w:lineRule="exact"/>
              <w:ind w:left="80" w:right="178"/>
              <w:jc w:val="center"/>
              <w:rPr>
                <w:sz w:val="24"/>
              </w:rPr>
            </w:pPr>
            <w:r>
              <w:rPr>
                <w:sz w:val="24"/>
              </w:rPr>
              <w:t>68.2</w:t>
            </w:r>
            <w:r>
              <w:rPr>
                <w:sz w:val="24"/>
                <w:u w:val="single"/>
              </w:rPr>
              <w:t>+</w:t>
            </w:r>
            <w:r>
              <w:rPr>
                <w:sz w:val="24"/>
              </w:rPr>
              <w:t>4.05</w:t>
            </w:r>
          </w:p>
        </w:tc>
        <w:tc>
          <w:tcPr>
            <w:tcW w:w="1287" w:type="dxa"/>
          </w:tcPr>
          <w:p>
            <w:pPr>
              <w:pStyle w:val="TableParagraph"/>
              <w:spacing w:line="268" w:lineRule="exact"/>
              <w:ind w:left="80" w:right="359"/>
              <w:jc w:val="center"/>
              <w:rPr>
                <w:sz w:val="24"/>
              </w:rPr>
            </w:pPr>
            <w:r>
              <w:rPr>
                <w:sz w:val="24"/>
              </w:rPr>
              <w:t>29</w:t>
            </w:r>
            <w:r>
              <w:rPr>
                <w:sz w:val="24"/>
                <w:u w:val="single"/>
              </w:rPr>
              <w:t>+</w:t>
            </w:r>
            <w:r>
              <w:rPr>
                <w:sz w:val="24"/>
              </w:rPr>
              <w:t>1.67</w:t>
            </w:r>
          </w:p>
        </w:tc>
      </w:tr>
      <w:tr>
        <w:trPr>
          <w:trHeight w:val="551" w:hRule="atLeast"/>
        </w:trPr>
        <w:tc>
          <w:tcPr>
            <w:tcW w:w="1232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DM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1000</w:t>
            </w:r>
          </w:p>
        </w:tc>
        <w:tc>
          <w:tcPr>
            <w:tcW w:w="1287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5.5</w:t>
            </w:r>
            <w:r>
              <w:rPr>
                <w:sz w:val="24"/>
                <w:u w:val="single"/>
              </w:rPr>
              <w:t>+</w:t>
            </w:r>
            <w:r>
              <w:rPr>
                <w:sz w:val="24"/>
              </w:rPr>
              <w:t>0.34</w:t>
            </w:r>
          </w:p>
        </w:tc>
        <w:tc>
          <w:tcPr>
            <w:tcW w:w="1432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141.8</w:t>
            </w:r>
            <w:r>
              <w:rPr>
                <w:sz w:val="24"/>
                <w:u w:val="single"/>
              </w:rPr>
              <w:t>+</w:t>
            </w:r>
            <w:r>
              <w:rPr>
                <w:sz w:val="24"/>
              </w:rPr>
              <w:t>12.72</w:t>
            </w:r>
          </w:p>
        </w:tc>
        <w:tc>
          <w:tcPr>
            <w:tcW w:w="1273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2..3</w:t>
            </w:r>
            <w:r>
              <w:rPr>
                <w:sz w:val="24"/>
                <w:u w:val="single"/>
              </w:rPr>
              <w:t>+</w:t>
            </w:r>
            <w:r>
              <w:rPr>
                <w:sz w:val="24"/>
              </w:rPr>
              <w:t>0.39</w:t>
            </w:r>
          </w:p>
        </w:tc>
        <w:tc>
          <w:tcPr>
            <w:tcW w:w="1256" w:type="dxa"/>
          </w:tcPr>
          <w:p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4.5</w:t>
            </w:r>
            <w:r>
              <w:rPr>
                <w:sz w:val="24"/>
                <w:u w:val="single"/>
              </w:rPr>
              <w:t>+</w:t>
            </w:r>
            <w:r>
              <w:rPr>
                <w:sz w:val="24"/>
              </w:rPr>
              <w:t>0.19</w:t>
            </w:r>
          </w:p>
        </w:tc>
        <w:tc>
          <w:tcPr>
            <w:tcW w:w="1324" w:type="dxa"/>
          </w:tcPr>
          <w:p>
            <w:pPr>
              <w:pStyle w:val="TableParagraph"/>
              <w:spacing w:line="268" w:lineRule="exact"/>
              <w:ind w:left="101"/>
              <w:rPr>
                <w:sz w:val="24"/>
              </w:rPr>
            </w:pPr>
            <w:r>
              <w:rPr>
                <w:sz w:val="24"/>
              </w:rPr>
              <w:t>1.5</w:t>
            </w:r>
            <w:r>
              <w:rPr>
                <w:sz w:val="24"/>
                <w:u w:val="single"/>
              </w:rPr>
              <w:t>+</w:t>
            </w:r>
            <w:r>
              <w:rPr>
                <w:sz w:val="24"/>
              </w:rPr>
              <w:t>0.18</w:t>
            </w:r>
          </w:p>
        </w:tc>
        <w:tc>
          <w:tcPr>
            <w:tcW w:w="1256" w:type="dxa"/>
          </w:tcPr>
          <w:p>
            <w:pPr>
              <w:pStyle w:val="TableParagraph"/>
              <w:spacing w:line="268" w:lineRule="exact"/>
              <w:ind w:left="102"/>
              <w:rPr>
                <w:sz w:val="24"/>
              </w:rPr>
            </w:pPr>
            <w:r>
              <w:rPr>
                <w:sz w:val="24"/>
              </w:rPr>
              <w:t>4.8</w:t>
            </w:r>
            <w:r>
              <w:rPr>
                <w:sz w:val="24"/>
                <w:u w:val="single"/>
              </w:rPr>
              <w:t>+</w:t>
            </w:r>
            <w:r>
              <w:rPr>
                <w:sz w:val="24"/>
              </w:rPr>
              <w:t>0.43</w:t>
            </w:r>
          </w:p>
        </w:tc>
        <w:tc>
          <w:tcPr>
            <w:tcW w:w="1552" w:type="dxa"/>
          </w:tcPr>
          <w:p>
            <w:pPr>
              <w:pStyle w:val="TableParagraph"/>
              <w:spacing w:line="268" w:lineRule="exact"/>
              <w:ind w:left="102"/>
              <w:rPr>
                <w:sz w:val="24"/>
              </w:rPr>
            </w:pPr>
            <w:r>
              <w:rPr>
                <w:sz w:val="24"/>
              </w:rPr>
              <w:t>30.5***</w:t>
            </w:r>
            <w:r>
              <w:rPr>
                <w:sz w:val="24"/>
                <w:u w:val="single"/>
              </w:rPr>
              <w:t>+</w:t>
            </w:r>
            <w:r>
              <w:rPr>
                <w:sz w:val="24"/>
              </w:rPr>
              <w:t>2.25</w:t>
            </w:r>
          </w:p>
        </w:tc>
        <w:tc>
          <w:tcPr>
            <w:tcW w:w="1287" w:type="dxa"/>
          </w:tcPr>
          <w:p>
            <w:pPr>
              <w:pStyle w:val="TableParagraph"/>
              <w:spacing w:line="268" w:lineRule="exact"/>
              <w:ind w:left="80" w:right="178"/>
              <w:jc w:val="center"/>
              <w:rPr>
                <w:sz w:val="24"/>
              </w:rPr>
            </w:pPr>
            <w:r>
              <w:rPr>
                <w:sz w:val="24"/>
              </w:rPr>
              <w:t>65.5</w:t>
            </w:r>
            <w:r>
              <w:rPr>
                <w:sz w:val="24"/>
                <w:u w:val="single"/>
              </w:rPr>
              <w:t>+</w:t>
            </w:r>
            <w:r>
              <w:rPr>
                <w:sz w:val="24"/>
              </w:rPr>
              <w:t>4.72</w:t>
            </w:r>
          </w:p>
        </w:tc>
        <w:tc>
          <w:tcPr>
            <w:tcW w:w="1287" w:type="dxa"/>
          </w:tcPr>
          <w:p>
            <w:pPr>
              <w:pStyle w:val="TableParagraph"/>
              <w:spacing w:line="268" w:lineRule="exact"/>
              <w:ind w:left="80" w:right="359"/>
              <w:jc w:val="center"/>
              <w:rPr>
                <w:sz w:val="24"/>
              </w:rPr>
            </w:pPr>
            <w:r>
              <w:rPr>
                <w:sz w:val="24"/>
              </w:rPr>
              <w:t>28</w:t>
            </w:r>
            <w:r>
              <w:rPr>
                <w:sz w:val="24"/>
                <w:u w:val="single"/>
              </w:rPr>
              <w:t>+</w:t>
            </w:r>
            <w:r>
              <w:rPr>
                <w:sz w:val="24"/>
              </w:rPr>
              <w:t>2.12</w:t>
            </w:r>
          </w:p>
        </w:tc>
      </w:tr>
    </w:tbl>
    <w:p>
      <w:pPr>
        <w:pStyle w:val="BodyText"/>
        <w:ind w:left="220" w:right="216"/>
      </w:pPr>
      <w:r>
        <w:rPr/>
        <w:t>Data</w:t>
      </w:r>
      <w:r>
        <w:rPr>
          <w:spacing w:val="15"/>
        </w:rPr>
        <w:t> </w:t>
      </w:r>
      <w:r>
        <w:rPr/>
        <w:t>were</w:t>
      </w:r>
      <w:r>
        <w:rPr>
          <w:spacing w:val="17"/>
        </w:rPr>
        <w:t> </w:t>
      </w:r>
      <w:r>
        <w:rPr/>
        <w:t>analyzed</w:t>
      </w:r>
      <w:r>
        <w:rPr>
          <w:spacing w:val="16"/>
        </w:rPr>
        <w:t> </w:t>
      </w:r>
      <w:r>
        <w:rPr/>
        <w:t>using</w:t>
      </w:r>
      <w:r>
        <w:rPr>
          <w:spacing w:val="15"/>
        </w:rPr>
        <w:t> </w:t>
      </w:r>
      <w:r>
        <w:rPr/>
        <w:t>ANOVA</w:t>
      </w:r>
      <w:r>
        <w:rPr>
          <w:spacing w:val="21"/>
        </w:rPr>
        <w:t> </w:t>
      </w:r>
      <w:r>
        <w:rPr/>
        <w:t>post</w:t>
      </w:r>
      <w:r>
        <w:rPr>
          <w:spacing w:val="17"/>
        </w:rPr>
        <w:t> </w:t>
      </w:r>
      <w:r>
        <w:rPr/>
        <w:t>hoc</w:t>
      </w:r>
      <w:r>
        <w:rPr>
          <w:spacing w:val="14"/>
        </w:rPr>
        <w:t> </w:t>
      </w:r>
      <w:r>
        <w:rPr/>
        <w:t>dunnet</w:t>
      </w:r>
      <w:r>
        <w:rPr>
          <w:spacing w:val="17"/>
        </w:rPr>
        <w:t> </w:t>
      </w:r>
      <w:r>
        <w:rPr/>
        <w:t>and</w:t>
      </w:r>
      <w:r>
        <w:rPr>
          <w:spacing w:val="16"/>
        </w:rPr>
        <w:t> </w:t>
      </w:r>
      <w:r>
        <w:rPr/>
        <w:t>presented</w:t>
      </w:r>
      <w:r>
        <w:rPr>
          <w:spacing w:val="18"/>
        </w:rPr>
        <w:t> </w:t>
      </w:r>
      <w:r>
        <w:rPr/>
        <w:t>as</w:t>
      </w:r>
      <w:r>
        <w:rPr>
          <w:spacing w:val="19"/>
        </w:rPr>
        <w:t> </w:t>
      </w:r>
      <w:r>
        <w:rPr/>
        <w:t>mean</w:t>
      </w:r>
      <w:r>
        <w:rPr>
          <w:spacing w:val="17"/>
        </w:rPr>
        <w:t> </w:t>
      </w:r>
      <w:r>
        <w:rPr>
          <w:u w:val="single"/>
        </w:rPr>
        <w:t>+</w:t>
      </w:r>
      <w:r>
        <w:rPr>
          <w:spacing w:val="15"/>
        </w:rPr>
        <w:t> </w:t>
      </w:r>
      <w:r>
        <w:rPr/>
        <w:t>SEM,</w:t>
      </w:r>
      <w:r>
        <w:rPr>
          <w:spacing w:val="15"/>
        </w:rPr>
        <w:t> </w:t>
      </w:r>
      <w:r>
        <w:rPr/>
        <w:t>n=6</w:t>
      </w:r>
      <w:r>
        <w:rPr>
          <w:spacing w:val="16"/>
        </w:rPr>
        <w:t> </w:t>
      </w:r>
      <w:r>
        <w:rPr/>
        <w:t>per</w:t>
      </w:r>
      <w:r>
        <w:rPr>
          <w:spacing w:val="18"/>
        </w:rPr>
        <w:t> </w:t>
      </w:r>
      <w:r>
        <w:rPr/>
        <w:t>group,</w:t>
      </w:r>
      <w:r>
        <w:rPr>
          <w:spacing w:val="15"/>
        </w:rPr>
        <w:t> </w:t>
      </w:r>
      <w:r>
        <w:rPr/>
        <w:t>DM</w:t>
      </w:r>
      <w:r>
        <w:rPr>
          <w:spacing w:val="16"/>
        </w:rPr>
        <w:t> </w:t>
      </w:r>
      <w:r>
        <w:rPr/>
        <w:t>=</w:t>
      </w:r>
      <w:r>
        <w:rPr>
          <w:spacing w:val="19"/>
        </w:rPr>
        <w:t> </w:t>
      </w:r>
      <w:r>
        <w:rPr>
          <w:i/>
        </w:rPr>
        <w:t>Diospyros</w:t>
      </w:r>
      <w:r>
        <w:rPr>
          <w:i/>
          <w:spacing w:val="17"/>
        </w:rPr>
        <w:t> </w:t>
      </w:r>
      <w:r>
        <w:rPr>
          <w:i/>
        </w:rPr>
        <w:t>mespiliformis</w:t>
      </w:r>
      <w:r>
        <w:rPr/>
        <w:t>,</w:t>
      </w:r>
      <w:r>
        <w:rPr>
          <w:spacing w:val="-57"/>
        </w:rPr>
        <w:t> </w:t>
      </w:r>
      <w:r>
        <w:rPr/>
        <w:t>K=Potassium,</w:t>
      </w:r>
      <w:r>
        <w:rPr>
          <w:spacing w:val="-1"/>
        </w:rPr>
        <w:t> </w:t>
      </w:r>
      <w:r>
        <w:rPr/>
        <w:t>Na=Sodium, Total Ca</w:t>
      </w:r>
      <w:r>
        <w:rPr>
          <w:spacing w:val="-1"/>
        </w:rPr>
        <w:t> </w:t>
      </w:r>
      <w:r>
        <w:rPr/>
        <w:t>=</w:t>
      </w:r>
      <w:r>
        <w:rPr>
          <w:spacing w:val="-1"/>
        </w:rPr>
        <w:t> </w:t>
      </w:r>
      <w:r>
        <w:rPr/>
        <w:t>Total Calcium.</w:t>
      </w:r>
      <w:r>
        <w:rPr>
          <w:spacing w:val="-1"/>
        </w:rPr>
        <w:t> </w:t>
      </w:r>
      <w:r>
        <w:rPr/>
        <w:t>Statistically</w:t>
      </w:r>
      <w:r>
        <w:rPr>
          <w:spacing w:val="-5"/>
        </w:rPr>
        <w:t> </w:t>
      </w:r>
      <w:r>
        <w:rPr/>
        <w:t>Significant at *P&lt;0.05 and *** P&lt;0.001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3"/>
        </w:rPr>
      </w:pPr>
    </w:p>
    <w:p>
      <w:pPr>
        <w:pStyle w:val="BodyText"/>
        <w:spacing w:before="90"/>
        <w:ind w:left="4662" w:right="4483"/>
        <w:jc w:val="center"/>
      </w:pPr>
      <w:r>
        <w:rPr/>
        <w:pict>
          <v:shape style="position:absolute;margin-left:387.049988pt;margin-top:50.249767pt;width:18pt;height:13.3pt;mso-position-horizontal-relative:page;mso-position-vertical-relative:paragraph;z-index:-18349056" type="#_x0000_t202" filled="false" stroked="false">
            <v:textbox inset="0,0,0,0">
              <w:txbxContent>
                <w:p>
                  <w:pPr>
                    <w:pStyle w:val="BodyText"/>
                    <w:spacing w:line="266" w:lineRule="exact"/>
                  </w:pPr>
                  <w:r>
                    <w:rPr/>
                    <w:t>149</w:t>
                  </w:r>
                </w:p>
              </w:txbxContent>
            </v:textbox>
            <w10:wrap type="none"/>
          </v:shape>
        </w:pict>
      </w:r>
      <w:r>
        <w:rPr/>
        <w:pict>
          <v:rect style="position:absolute;margin-left:279pt;margin-top:.823128pt;width:243pt;height:63pt;mso-position-horizontal-relative:page;mso-position-vertical-relative:paragraph;z-index:-18348544" filled="true" fillcolor="#ffffff" stroked="false">
            <v:fill type="solid"/>
            <w10:wrap type="none"/>
          </v:rect>
        </w:pict>
      </w:r>
      <w:r>
        <w:rPr/>
        <w:t>149</w:t>
      </w:r>
    </w:p>
    <w:sectPr>
      <w:footerReference w:type="default" r:id="rId40"/>
      <w:pgSz w:w="15840" w:h="12240" w:orient="landscape"/>
      <w:pgMar w:footer="0" w:header="0" w:top="1140" w:bottom="280" w:left="1220" w:right="12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Calibri">
    <w:altName w:val="Calibri"/>
    <w:charset w:val="1"/>
    <w:family w:val="roman"/>
    <w:pitch w:val="variable"/>
  </w:font>
  <w:font w:name="Trebuchet MS">
    <w:altName w:val="Trebuchet MS"/>
    <w:charset w:val="1"/>
    <w:family w:val="swiss"/>
    <w:pitch w:val="variable"/>
  </w:font>
  <w:font w:name="Lucida Sans Unicode">
    <w:altName w:val="Lucida Sans Unicode"/>
    <w:charset w:val="1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99.230011pt;margin-top:741.402649pt;width:28.05pt;height:15.3pt;mso-position-horizontal-relative:page;mso-position-vertical-relative:page;z-index:-18411008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 \* roman </w:instrText>
                </w:r>
                <w:r>
                  <w:rPr/>
                  <w:fldChar w:fldCharType="separate"/>
                </w:r>
                <w:r>
                  <w:rPr/>
                  <w:t>xviii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3.070007pt;margin-top:741.402649pt;width:24pt;height:15.3pt;mso-position-horizontal-relative:page;mso-position-vertical-relative:page;z-index:-18406912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103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4.269989pt;margin-top:741.402649pt;width:18pt;height:15.3pt;mso-position-horizontal-relative:page;mso-position-vertical-relative:page;z-index:-18410496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8.970001pt;margin-top:792.202637pt;width:12pt;height:13.3pt;mso-position-horizontal-relative:page;mso-position-vertical-relative:page;z-index:-18409984" type="#_x0000_t202" filled="false" stroked="false">
          <v:textbox inset="0,0,0,0">
            <w:txbxContent>
              <w:p>
                <w:pPr>
                  <w:pStyle w:val="BodyText"/>
                  <w:spacing w:line="266" w:lineRule="exact"/>
                </w:pPr>
                <w:r>
                  <w:rPr/>
                  <w:t>99</w:t>
                </w:r>
              </w:p>
            </w:txbxContent>
          </v:textbox>
          <w10:wrap type="none"/>
        </v:shape>
      </w:pict>
    </w:r>
    <w:r>
      <w:rPr/>
      <w:pict>
        <v:rect style="position:absolute;margin-left:270pt;margin-top:756pt;width:63pt;height:63.0pt;mso-position-horizontal-relative:page;mso-position-vertical-relative:page;z-index:-18409472" filled="true" fillcolor="#ffffff" stroked="false">
          <v:fill type="solid"/>
          <w10:wrap type="none"/>
        </v:rect>
      </w:pict>
    </w:r>
    <w:r>
      <w:rPr/>
      <w:pict>
        <v:shape style="position:absolute;margin-left:292.489990pt;margin-top:759.162659pt;width:30pt;height:15.3pt;mso-position-horizontal-relative:page;mso-position-vertical-relative:page;z-index:-18408960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18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100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7.769989pt;margin-top:792.202637pt;width:18pt;height:13.3pt;mso-position-horizontal-relative:page;mso-position-vertical-relative:page;z-index:-18408448" type="#_x0000_t202" filled="false" stroked="false">
          <v:textbox inset="0,0,0,0">
            <w:txbxContent>
              <w:p>
                <w:pPr>
                  <w:pStyle w:val="BodyText"/>
                  <w:spacing w:line="266" w:lineRule="exact"/>
                </w:pPr>
                <w:r>
                  <w:rPr/>
                  <w:t>101</w:t>
                </w:r>
              </w:p>
            </w:txbxContent>
          </v:textbox>
          <w10:wrap type="none"/>
        </v:shape>
      </w:pict>
    </w:r>
    <w:r>
      <w:rPr/>
      <w:pict>
        <v:rect style="position:absolute;margin-left:279pt;margin-top:756pt;width:63pt;height:63.0pt;mso-position-horizontal-relative:page;mso-position-vertical-relative:page;z-index:-18407936" filled="true" fillcolor="#ffffff" stroked="false">
          <v:fill type="solid"/>
          <w10:wrap type="none"/>
        </v:rect>
      </w:pict>
    </w:r>
    <w:r>
      <w:rPr/>
      <w:pict>
        <v:shape style="position:absolute;margin-left:283.25pt;margin-top:759.162659pt;width:39.25pt;height:15.3pt;mso-position-horizontal-relative:page;mso-position-vertical-relative:page;z-index:-18407424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101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2">
    <w:multiLevelType w:val="hybridMultilevel"/>
    <w:lvl w:ilvl="0">
      <w:start w:val="1"/>
      <w:numFmt w:val="decimal"/>
      <w:lvlText w:val="%1."/>
      <w:lvlJc w:val="left"/>
      <w:pPr>
        <w:ind w:left="94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80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20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60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00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14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980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820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660" w:hanging="720"/>
      </w:pPr>
      <w:rPr>
        <w:rFonts w:hint="default"/>
        <w:lang w:val="en-US" w:eastAsia="en-US" w:bidi="ar-SA"/>
      </w:rPr>
    </w:lvl>
  </w:abstractNum>
  <w:abstractNum w:abstractNumId="31">
    <w:multiLevelType w:val="hybridMultilevel"/>
    <w:lvl w:ilvl="0">
      <w:start w:val="6"/>
      <w:numFmt w:val="decimal"/>
      <w:lvlText w:val="%1"/>
      <w:lvlJc w:val="left"/>
      <w:pPr>
        <w:ind w:left="2081" w:hanging="601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2081" w:hanging="601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532" w:hanging="60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58" w:hanging="60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84" w:hanging="60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10" w:hanging="60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36" w:hanging="60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62" w:hanging="60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888" w:hanging="601"/>
      </w:pPr>
      <w:rPr>
        <w:rFonts w:hint="default"/>
        <w:lang w:val="en-US" w:eastAsia="en-US" w:bidi="ar-SA"/>
      </w:rPr>
    </w:lvl>
  </w:abstractNum>
  <w:abstractNum w:abstractNumId="30">
    <w:multiLevelType w:val="hybridMultilevel"/>
    <w:lvl w:ilvl="0">
      <w:start w:val="4"/>
      <w:numFmt w:val="decimal"/>
      <w:lvlText w:val="%1"/>
      <w:lvlJc w:val="left"/>
      <w:pPr>
        <w:ind w:left="1248" w:hanging="600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"/>
      <w:lvlJc w:val="left"/>
      <w:pPr>
        <w:ind w:left="1248" w:hanging="600"/>
        <w:jc w:val="left"/>
      </w:pPr>
      <w:rPr>
        <w:rFonts w:hint="default"/>
        <w:lang w:val="en-US" w:eastAsia="en-US" w:bidi="ar-SA"/>
      </w:rPr>
    </w:lvl>
    <w:lvl w:ilvl="2">
      <w:start w:val="3"/>
      <w:numFmt w:val="decimal"/>
      <w:lvlText w:val="%1.%2.%3."/>
      <w:lvlJc w:val="left"/>
      <w:pPr>
        <w:ind w:left="1248" w:hanging="60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88" w:hanging="60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04" w:hanging="60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20" w:hanging="60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36" w:hanging="60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52" w:hanging="60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68" w:hanging="600"/>
      </w:pPr>
      <w:rPr>
        <w:rFonts w:hint="default"/>
        <w:lang w:val="en-US" w:eastAsia="en-US" w:bidi="ar-SA"/>
      </w:rPr>
    </w:lvl>
  </w:abstractNum>
  <w:abstractNum w:abstractNumId="29">
    <w:multiLevelType w:val="hybridMultilevel"/>
    <w:lvl w:ilvl="0">
      <w:start w:val="4"/>
      <w:numFmt w:val="decimal"/>
      <w:lvlText w:val="%1"/>
      <w:lvlJc w:val="left"/>
      <w:pPr>
        <w:ind w:left="4489" w:hanging="1441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4489" w:hanging="1441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428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220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960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70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440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180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20" w:hanging="720"/>
      </w:pPr>
      <w:rPr>
        <w:rFonts w:hint="default"/>
        <w:lang w:val="en-US" w:eastAsia="en-US" w:bidi="ar-SA"/>
      </w:rPr>
    </w:lvl>
  </w:abstractNum>
  <w:abstractNum w:abstractNumId="28">
    <w:multiLevelType w:val="hybridMultilevel"/>
    <w:lvl w:ilvl="0">
      <w:start w:val="1"/>
      <w:numFmt w:val="lowerRoman"/>
      <w:lvlText w:val="%1."/>
      <w:lvlJc w:val="left"/>
      <w:pPr>
        <w:ind w:left="648" w:hanging="387"/>
        <w:jc w:val="left"/>
      </w:pPr>
      <w:rPr>
        <w:rFonts w:hint="default"/>
        <w:b/>
        <w:bCs/>
        <w:i/>
        <w:iCs/>
        <w:w w:val="10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616" w:hanging="38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92" w:hanging="38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68" w:hanging="38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44" w:hanging="38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20" w:hanging="38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96" w:hanging="38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72" w:hanging="38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48" w:hanging="387"/>
      </w:pPr>
      <w:rPr>
        <w:rFonts w:hint="default"/>
        <w:lang w:val="en-US" w:eastAsia="en-US" w:bidi="ar-SA"/>
      </w:rPr>
    </w:lvl>
  </w:abstractNum>
  <w:abstractNum w:abstractNumId="27">
    <w:multiLevelType w:val="hybridMultilevel"/>
    <w:lvl w:ilvl="0">
      <w:start w:val="1"/>
      <w:numFmt w:val="lowerRoman"/>
      <w:lvlText w:val="%1."/>
      <w:lvlJc w:val="left"/>
      <w:pPr>
        <w:ind w:left="648" w:hanging="129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616" w:hanging="12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92" w:hanging="12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68" w:hanging="12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44" w:hanging="12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20" w:hanging="12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96" w:hanging="12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72" w:hanging="12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48" w:hanging="129"/>
      </w:pPr>
      <w:rPr>
        <w:rFonts w:hint="default"/>
        <w:lang w:val="en-US" w:eastAsia="en-US" w:bidi="ar-SA"/>
      </w:rPr>
    </w:lvl>
  </w:abstractNum>
  <w:abstractNum w:abstractNumId="26">
    <w:multiLevelType w:val="hybridMultilevel"/>
    <w:lvl w:ilvl="0">
      <w:start w:val="0"/>
      <w:numFmt w:val="bullet"/>
      <w:lvlText w:val="-"/>
      <w:lvlJc w:val="left"/>
      <w:pPr>
        <w:ind w:left="1368" w:hanging="720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264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68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72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76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8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84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88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92" w:hanging="720"/>
      </w:pPr>
      <w:rPr>
        <w:rFonts w:hint="default"/>
        <w:lang w:val="en-US" w:eastAsia="en-US" w:bidi="ar-SA"/>
      </w:rPr>
    </w:lvl>
  </w:abstractNum>
  <w:abstractNum w:abstractNumId="25">
    <w:multiLevelType w:val="hybridMultilevel"/>
    <w:lvl w:ilvl="0">
      <w:start w:val="3"/>
      <w:numFmt w:val="decimal"/>
      <w:lvlText w:val="%1"/>
      <w:lvlJc w:val="left"/>
      <w:pPr>
        <w:ind w:left="3769" w:hanging="1020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3769" w:hanging="1020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368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235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973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711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448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18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24" w:hanging="720"/>
      </w:pPr>
      <w:rPr>
        <w:rFonts w:hint="default"/>
        <w:lang w:val="en-US" w:eastAsia="en-US" w:bidi="ar-SA"/>
      </w:rPr>
    </w:lvl>
  </w:abstractNum>
  <w:abstractNum w:abstractNumId="24">
    <w:multiLevelType w:val="hybridMultilevel"/>
    <w:lvl w:ilvl="0">
      <w:start w:val="1"/>
      <w:numFmt w:val="lowerRoman"/>
      <w:lvlText w:val="%1."/>
      <w:lvlJc w:val="left"/>
      <w:pPr>
        <w:ind w:left="648" w:hanging="240"/>
        <w:jc w:val="left"/>
      </w:pPr>
      <w:rPr>
        <w:rFonts w:hint="default"/>
        <w:b/>
        <w:bCs/>
        <w:w w:val="10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616" w:hanging="24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92" w:hanging="24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68" w:hanging="2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44" w:hanging="2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20" w:hanging="2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96" w:hanging="2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72" w:hanging="2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48" w:hanging="240"/>
      </w:pPr>
      <w:rPr>
        <w:rFonts w:hint="default"/>
        <w:lang w:val="en-US" w:eastAsia="en-US" w:bidi="ar-SA"/>
      </w:rPr>
    </w:lvl>
  </w:abstractNum>
  <w:abstractNum w:abstractNumId="23">
    <w:multiLevelType w:val="hybridMultilevel"/>
    <w:lvl w:ilvl="0">
      <w:start w:val="1"/>
      <w:numFmt w:val="lowerRoman"/>
      <w:lvlText w:val="%1."/>
      <w:lvlJc w:val="left"/>
      <w:pPr>
        <w:ind w:left="835" w:hanging="188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96" w:hanging="18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52" w:hanging="18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08" w:hanging="18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64" w:hanging="18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20" w:hanging="18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76" w:hanging="18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32" w:hanging="18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88" w:hanging="188"/>
      </w:pPr>
      <w:rPr>
        <w:rFonts w:hint="default"/>
        <w:lang w:val="en-US" w:eastAsia="en-US" w:bidi="ar-SA"/>
      </w:rPr>
    </w:lvl>
  </w:abstractNum>
  <w:abstractNum w:abstractNumId="22">
    <w:multiLevelType w:val="hybridMultilevel"/>
    <w:lvl w:ilvl="0">
      <w:start w:val="1"/>
      <w:numFmt w:val="decimal"/>
      <w:lvlText w:val="%1."/>
      <w:lvlJc w:val="left"/>
      <w:pPr>
        <w:ind w:left="1368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1"/>
      <w:numFmt w:val="lowerRoman"/>
      <w:lvlText w:val="%2."/>
      <w:lvlJc w:val="left"/>
      <w:pPr>
        <w:ind w:left="1368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68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72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76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8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84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88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92" w:hanging="720"/>
      </w:pPr>
      <w:rPr>
        <w:rFonts w:hint="default"/>
        <w:lang w:val="en-US" w:eastAsia="en-US" w:bidi="ar-SA"/>
      </w:rPr>
    </w:lvl>
  </w:abstractNum>
  <w:abstractNum w:abstractNumId="21">
    <w:multiLevelType w:val="hybridMultilevel"/>
    <w:lvl w:ilvl="0">
      <w:start w:val="1"/>
      <w:numFmt w:val="lowerLetter"/>
      <w:lvlText w:val="%1."/>
      <w:lvlJc w:val="left"/>
      <w:pPr>
        <w:ind w:left="648" w:hanging="2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616" w:hanging="2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92" w:hanging="2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68" w:hanging="2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44" w:hanging="2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20" w:hanging="2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96" w:hanging="2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72" w:hanging="2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48" w:hanging="260"/>
      </w:pPr>
      <w:rPr>
        <w:rFonts w:hint="default"/>
        <w:lang w:val="en-US" w:eastAsia="en-US" w:bidi="ar-SA"/>
      </w:rPr>
    </w:lvl>
  </w:abstractNum>
  <w:abstractNum w:abstractNumId="20">
    <w:multiLevelType w:val="hybridMultilevel"/>
    <w:lvl w:ilvl="0">
      <w:start w:val="4"/>
      <w:numFmt w:val="decimal"/>
      <w:lvlText w:val="%1."/>
      <w:lvlJc w:val="left"/>
      <w:pPr>
        <w:ind w:left="888" w:hanging="2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32" w:hanging="24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84" w:hanging="24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36" w:hanging="2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88" w:hanging="2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40" w:hanging="2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92" w:hanging="2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44" w:hanging="2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96" w:hanging="240"/>
      </w:pPr>
      <w:rPr>
        <w:rFonts w:hint="default"/>
        <w:lang w:val="en-US" w:eastAsia="en-US" w:bidi="ar-SA"/>
      </w:rPr>
    </w:lvl>
  </w:abstractNum>
  <w:abstractNum w:abstractNumId="19">
    <w:multiLevelType w:val="hybridMultilevel"/>
    <w:lvl w:ilvl="0">
      <w:start w:val="1"/>
      <w:numFmt w:val="decimal"/>
      <w:lvlText w:val="%1."/>
      <w:lvlJc w:val="left"/>
      <w:pPr>
        <w:ind w:left="888" w:hanging="240"/>
        <w:jc w:val="left"/>
      </w:pPr>
      <w:rPr>
        <w:rFonts w:hint="default" w:ascii="Times New Roman" w:hAnsi="Times New Roman" w:eastAsia="Times New Roman" w:cs="Times New Roman"/>
        <w:i/>
        <w:iCs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32" w:hanging="24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84" w:hanging="24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36" w:hanging="2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88" w:hanging="2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40" w:hanging="2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92" w:hanging="2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44" w:hanging="2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96" w:hanging="240"/>
      </w:pPr>
      <w:rPr>
        <w:rFonts w:hint="default"/>
        <w:lang w:val="en-US" w:eastAsia="en-US" w:bidi="ar-SA"/>
      </w:rPr>
    </w:lvl>
  </w:abstractNum>
  <w:abstractNum w:abstractNumId="18">
    <w:multiLevelType w:val="hybridMultilevel"/>
    <w:lvl w:ilvl="0">
      <w:start w:val="1"/>
      <w:numFmt w:val="lowerRoman"/>
      <w:lvlText w:val="%1."/>
      <w:lvlJc w:val="left"/>
      <w:pPr>
        <w:ind w:left="648" w:hanging="192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616" w:hanging="19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92" w:hanging="19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68" w:hanging="19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44" w:hanging="19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20" w:hanging="19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96" w:hanging="19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72" w:hanging="19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48" w:hanging="192"/>
      </w:pPr>
      <w:rPr>
        <w:rFonts w:hint="default"/>
        <w:lang w:val="en-US" w:eastAsia="en-US" w:bidi="ar-SA"/>
      </w:rPr>
    </w:lvl>
  </w:abstractNum>
  <w:abstractNum w:abstractNumId="17">
    <w:multiLevelType w:val="hybridMultilevel"/>
    <w:lvl w:ilvl="0">
      <w:start w:val="2"/>
      <w:numFmt w:val="lowerRoman"/>
      <w:lvlText w:val="%1."/>
      <w:lvlJc w:val="left"/>
      <w:pPr>
        <w:ind w:left="648" w:hanging="196"/>
        <w:jc w:val="right"/>
      </w:pPr>
      <w:rPr>
        <w:rFonts w:hint="default" w:ascii="Times New Roman" w:hAnsi="Times New Roman" w:eastAsia="Times New Roman" w:cs="Times New Roman"/>
        <w:b/>
        <w:bCs/>
        <w:spacing w:val="-1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616" w:hanging="19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92" w:hanging="19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68" w:hanging="19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44" w:hanging="19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20" w:hanging="19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96" w:hanging="19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72" w:hanging="19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48" w:hanging="196"/>
      </w:pPr>
      <w:rPr>
        <w:rFonts w:hint="default"/>
        <w:lang w:val="en-US" w:eastAsia="en-US" w:bidi="ar-SA"/>
      </w:rPr>
    </w:lvl>
  </w:abstractNum>
  <w:abstractNum w:abstractNumId="16">
    <w:multiLevelType w:val="hybridMultilevel"/>
    <w:lvl w:ilvl="0">
      <w:start w:val="1"/>
      <w:numFmt w:val="lowerRoman"/>
      <w:lvlText w:val="%1."/>
      <w:lvlJc w:val="left"/>
      <w:pPr>
        <w:ind w:left="648" w:hanging="129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616" w:hanging="12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92" w:hanging="12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68" w:hanging="12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44" w:hanging="12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20" w:hanging="12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96" w:hanging="12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72" w:hanging="12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48" w:hanging="129"/>
      </w:pPr>
      <w:rPr>
        <w:rFonts w:hint="default"/>
        <w:lang w:val="en-US" w:eastAsia="en-US" w:bidi="ar-SA"/>
      </w:rPr>
    </w:lvl>
  </w:abstractNum>
  <w:abstractNum w:abstractNumId="15">
    <w:multiLevelType w:val="hybridMultilevel"/>
    <w:lvl w:ilvl="0">
      <w:start w:val="1"/>
      <w:numFmt w:val="lowerRoman"/>
      <w:lvlText w:val="%1."/>
      <w:lvlJc w:val="left"/>
      <w:pPr>
        <w:ind w:left="648" w:hanging="269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616" w:hanging="26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92" w:hanging="26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68" w:hanging="26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44" w:hanging="26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20" w:hanging="26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96" w:hanging="26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72" w:hanging="26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48" w:hanging="269"/>
      </w:pPr>
      <w:rPr>
        <w:rFonts w:hint="default"/>
        <w:lang w:val="en-US" w:eastAsia="en-US" w:bidi="ar-SA"/>
      </w:rPr>
    </w:lvl>
  </w:abstractNum>
  <w:abstractNum w:abstractNumId="14">
    <w:multiLevelType w:val="hybridMultilevel"/>
    <w:lvl w:ilvl="0">
      <w:start w:val="1"/>
      <w:numFmt w:val="lowerRoman"/>
      <w:lvlText w:val="%1."/>
      <w:lvlJc w:val="left"/>
      <w:pPr>
        <w:ind w:left="1008" w:hanging="4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1">
      <w:start w:val="1"/>
      <w:numFmt w:val="upperLetter"/>
      <w:lvlText w:val="%2."/>
      <w:lvlJc w:val="left"/>
      <w:pPr>
        <w:ind w:left="929" w:hanging="281"/>
        <w:jc w:val="left"/>
      </w:pPr>
      <w:rPr>
        <w:rFonts w:hint="default"/>
        <w:b/>
        <w:bCs/>
        <w:i/>
        <w:iCs/>
        <w:w w:val="100"/>
        <w:lang w:val="en-US" w:eastAsia="en-US" w:bidi="ar-SA"/>
      </w:rPr>
    </w:lvl>
    <w:lvl w:ilvl="2">
      <w:start w:val="1"/>
      <w:numFmt w:val="lowerLetter"/>
      <w:lvlText w:val="%3."/>
      <w:lvlJc w:val="left"/>
      <w:pPr>
        <w:ind w:left="888" w:hanging="24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175" w:hanging="2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350" w:hanging="2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525" w:hanging="2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700" w:hanging="2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875" w:hanging="2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050" w:hanging="240"/>
      </w:pPr>
      <w:rPr>
        <w:rFonts w:hint="default"/>
        <w:lang w:val="en-US" w:eastAsia="en-US" w:bidi="ar-SA"/>
      </w:rPr>
    </w:lvl>
  </w:abstractNum>
  <w:abstractNum w:abstractNumId="13">
    <w:multiLevelType w:val="hybridMultilevel"/>
    <w:lvl w:ilvl="0">
      <w:start w:val="1"/>
      <w:numFmt w:val="lowerRoman"/>
      <w:lvlText w:val="%1."/>
      <w:lvlJc w:val="left"/>
      <w:pPr>
        <w:ind w:left="648" w:hanging="248"/>
        <w:jc w:val="left"/>
      </w:pPr>
      <w:rPr>
        <w:rFonts w:hint="default" w:ascii="Times New Roman" w:hAnsi="Times New Roman" w:eastAsia="Times New Roman" w:cs="Times New Roman"/>
        <w:b/>
        <w:bCs/>
        <w:i/>
        <w:iCs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616" w:hanging="24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92" w:hanging="24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68" w:hanging="24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44" w:hanging="24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20" w:hanging="24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96" w:hanging="24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72" w:hanging="24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48" w:hanging="248"/>
      </w:pPr>
      <w:rPr>
        <w:rFonts w:hint="default"/>
        <w:lang w:val="en-US" w:eastAsia="en-US" w:bidi="ar-SA"/>
      </w:rPr>
    </w:lvl>
  </w:abstractNum>
  <w:abstractNum w:abstractNumId="12">
    <w:multiLevelType w:val="hybridMultilevel"/>
    <w:lvl w:ilvl="0">
      <w:start w:val="1"/>
      <w:numFmt w:val="lowerRoman"/>
      <w:lvlText w:val="%1."/>
      <w:lvlJc w:val="left"/>
      <w:pPr>
        <w:ind w:left="648" w:hanging="243"/>
        <w:jc w:val="left"/>
      </w:pPr>
      <w:rPr>
        <w:rFonts w:hint="default"/>
        <w:b/>
        <w:bCs/>
        <w:i/>
        <w:iCs/>
        <w:w w:val="10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616" w:hanging="243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92" w:hanging="24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68" w:hanging="24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44" w:hanging="24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20" w:hanging="24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96" w:hanging="24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72" w:hanging="24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48" w:hanging="243"/>
      </w:pPr>
      <w:rPr>
        <w:rFonts w:hint="default"/>
        <w:lang w:val="en-US" w:eastAsia="en-US" w:bidi="ar-SA"/>
      </w:rPr>
    </w:lvl>
  </w:abstractNum>
  <w:abstractNum w:abstractNumId="11">
    <w:multiLevelType w:val="hybridMultilevel"/>
    <w:lvl w:ilvl="0">
      <w:start w:val="1"/>
      <w:numFmt w:val="lowerRoman"/>
      <w:lvlText w:val="%1."/>
      <w:lvlJc w:val="left"/>
      <w:pPr>
        <w:ind w:left="648" w:hanging="195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616" w:hanging="195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92" w:hanging="19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68" w:hanging="19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44" w:hanging="19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20" w:hanging="19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96" w:hanging="19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72" w:hanging="19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48" w:hanging="195"/>
      </w:pPr>
      <w:rPr>
        <w:rFonts w:hint="default"/>
        <w:lang w:val="en-US" w:eastAsia="en-US" w:bidi="ar-SA"/>
      </w:rPr>
    </w:lvl>
  </w:abstractNum>
  <w:abstractNum w:abstractNumId="10">
    <w:multiLevelType w:val="hybridMultilevel"/>
    <w:lvl w:ilvl="0">
      <w:start w:val="1"/>
      <w:numFmt w:val="lowerLetter"/>
      <w:lvlText w:val="%1."/>
      <w:lvlJc w:val="left"/>
      <w:pPr>
        <w:ind w:left="648" w:hanging="245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616" w:hanging="245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92" w:hanging="24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68" w:hanging="24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44" w:hanging="24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20" w:hanging="24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96" w:hanging="24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72" w:hanging="24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48" w:hanging="245"/>
      </w:pPr>
      <w:rPr>
        <w:rFonts w:hint="default"/>
        <w:lang w:val="en-US" w:eastAsia="en-US" w:bidi="ar-SA"/>
      </w:rPr>
    </w:lvl>
  </w:abstractNum>
  <w:abstractNum w:abstractNumId="9">
    <w:multiLevelType w:val="hybridMultilevel"/>
    <w:lvl w:ilvl="0">
      <w:start w:val="2"/>
      <w:numFmt w:val="decimal"/>
      <w:lvlText w:val="%1"/>
      <w:lvlJc w:val="left"/>
      <w:pPr>
        <w:ind w:left="1308" w:hanging="660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"/>
      <w:lvlJc w:val="left"/>
      <w:pPr>
        <w:ind w:left="1308" w:hanging="66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308" w:hanging="6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30" w:hanging="6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40" w:hanging="6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50" w:hanging="6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60" w:hanging="6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70" w:hanging="6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80" w:hanging="660"/>
      </w:pPr>
      <w:rPr>
        <w:rFonts w:hint="default"/>
        <w:lang w:val="en-US" w:eastAsia="en-US" w:bidi="ar-SA"/>
      </w:rPr>
    </w:lvl>
  </w:abstractNum>
  <w:abstractNum w:abstractNumId="8">
    <w:multiLevelType w:val="hybridMultilevel"/>
    <w:lvl w:ilvl="0">
      <w:start w:val="2"/>
      <w:numFmt w:val="decimal"/>
      <w:lvlText w:val="%1"/>
      <w:lvlJc w:val="left"/>
      <w:pPr>
        <w:ind w:left="3709" w:hanging="780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3709" w:hanging="780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368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188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933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677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422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16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11" w:hanging="720"/>
      </w:pPr>
      <w:rPr>
        <w:rFonts w:hint="default"/>
        <w:lang w:val="en-US" w:eastAsia="en-US" w:bidi="ar-SA"/>
      </w:rPr>
    </w:lvl>
  </w:abstractNum>
  <w:abstractNum w:abstractNumId="7">
    <w:multiLevelType w:val="hybridMultilevel"/>
    <w:lvl w:ilvl="0">
      <w:start w:val="0"/>
      <w:numFmt w:val="bullet"/>
      <w:lvlText w:val="*"/>
      <w:lvlJc w:val="left"/>
      <w:pPr>
        <w:ind w:left="1368" w:hanging="720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264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68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72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76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8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84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88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92" w:hanging="720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1"/>
      <w:numFmt w:val="lowerLetter"/>
      <w:lvlText w:val="%1."/>
      <w:lvlJc w:val="left"/>
      <w:pPr>
        <w:ind w:left="1368" w:hanging="66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264" w:hanging="6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68" w:hanging="6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72" w:hanging="6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76" w:hanging="6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80" w:hanging="6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84" w:hanging="6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88" w:hanging="6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92" w:hanging="660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1"/>
      <w:numFmt w:val="decimal"/>
      <w:lvlText w:val="%1"/>
      <w:lvlJc w:val="left"/>
      <w:pPr>
        <w:ind w:left="3949" w:hanging="1020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3949" w:hanging="1020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232" w:hanging="10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878" w:hanging="10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524" w:hanging="10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170" w:hanging="10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816" w:hanging="10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462" w:hanging="10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08" w:hanging="1020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6"/>
      <w:numFmt w:val="decimal"/>
      <w:lvlText w:val="%1"/>
      <w:lvlJc w:val="left"/>
      <w:pPr>
        <w:ind w:left="1368" w:hanging="720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1368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68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72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76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8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84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88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92" w:hanging="720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4"/>
      <w:numFmt w:val="decimal"/>
      <w:lvlText w:val="%1"/>
      <w:lvlJc w:val="left"/>
      <w:pPr>
        <w:ind w:left="1368" w:hanging="720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1368" w:hanging="720"/>
        <w:jc w:val="left"/>
      </w:pPr>
      <w:rPr>
        <w:rFonts w:hint="default"/>
        <w:b/>
        <w:bCs/>
        <w:w w:val="100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368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72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76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8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84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88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92" w:hanging="720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3"/>
      <w:numFmt w:val="decimal"/>
      <w:lvlText w:val="%1"/>
      <w:lvlJc w:val="left"/>
      <w:pPr>
        <w:ind w:left="1368" w:hanging="720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1368" w:hanging="720"/>
        <w:jc w:val="left"/>
      </w:pPr>
      <w:rPr>
        <w:rFonts w:hint="default"/>
        <w:b/>
        <w:bCs/>
        <w:w w:val="100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368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72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76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8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84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88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92" w:hanging="720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2"/>
      <w:numFmt w:val="decimal"/>
      <w:lvlText w:val="%1"/>
      <w:lvlJc w:val="left"/>
      <w:pPr>
        <w:ind w:left="1368" w:hanging="720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1368" w:hanging="720"/>
        <w:jc w:val="left"/>
      </w:pPr>
      <w:rPr>
        <w:rFonts w:hint="default"/>
        <w:b/>
        <w:bCs/>
        <w:w w:val="100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368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72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76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8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84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88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92" w:hanging="720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1368" w:hanging="720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1368" w:hanging="720"/>
        <w:jc w:val="left"/>
      </w:pPr>
      <w:rPr>
        <w:rFonts w:hint="default"/>
        <w:b/>
        <w:bCs/>
        <w:w w:val="10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68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72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76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8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84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88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92" w:hanging="720"/>
      </w:pPr>
      <w:rPr>
        <w:rFonts w:hint="default"/>
        <w:lang w:val="en-US" w:eastAsia="en-US" w:bidi="ar-SA"/>
      </w:rPr>
    </w:lvl>
  </w:abstract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  <w:style w:styleId="TOC1" w:type="paragraph">
    <w:name w:val="TOC 1"/>
    <w:basedOn w:val="Normal"/>
    <w:uiPriority w:val="1"/>
    <w:qFormat/>
    <w:pPr>
      <w:spacing w:before="76"/>
      <w:ind w:left="1368" w:hanging="721"/>
    </w:pPr>
    <w:rPr>
      <w:rFonts w:ascii="Times New Roman" w:hAnsi="Times New Roman" w:eastAsia="Times New Roman" w:cs="Times New Roman"/>
      <w:b/>
      <w:bCs/>
      <w:sz w:val="24"/>
      <w:szCs w:val="24"/>
      <w:lang w:val="en-US" w:eastAsia="en-US" w:bidi="ar-SA"/>
    </w:rPr>
  </w:style>
  <w:style w:styleId="TOC2" w:type="paragraph">
    <w:name w:val="TOC 2"/>
    <w:basedOn w:val="Normal"/>
    <w:uiPriority w:val="1"/>
    <w:qFormat/>
    <w:pPr>
      <w:spacing w:before="276"/>
      <w:ind w:left="1368" w:hanging="721"/>
    </w:pPr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TOC3" w:type="paragraph">
    <w:name w:val="TOC 3"/>
    <w:basedOn w:val="Normal"/>
    <w:uiPriority w:val="1"/>
    <w:qFormat/>
    <w:pPr>
      <w:spacing w:before="20"/>
      <w:ind w:left="1368" w:hanging="721"/>
    </w:pPr>
    <w:rPr>
      <w:rFonts w:ascii="Times New Roman" w:hAnsi="Times New Roman" w:eastAsia="Times New Roman" w:cs="Times New Roman"/>
      <w:i/>
      <w:iCs/>
      <w:sz w:val="24"/>
      <w:szCs w:val="24"/>
      <w:lang w:val="en-US" w:eastAsia="en-US" w:bidi="ar-SA"/>
    </w:rPr>
  </w:style>
  <w:style w:styleId="TOC4" w:type="paragraph">
    <w:name w:val="TOC 4"/>
    <w:basedOn w:val="Normal"/>
    <w:uiPriority w:val="1"/>
    <w:qFormat/>
    <w:pPr>
      <w:spacing w:before="272"/>
      <w:ind w:left="1368" w:hanging="721"/>
    </w:pPr>
    <w:rPr>
      <w:rFonts w:ascii="Times New Roman" w:hAnsi="Times New Roman" w:eastAsia="Times New Roman" w:cs="Times New Roman"/>
      <w:b/>
      <w:bCs/>
      <w:i/>
      <w:iCs/>
      <w:lang w:val="en-US" w:eastAsia="en-US" w:bidi="ar-SA"/>
    </w:rPr>
  </w:style>
  <w:style w:styleId="TOC5" w:type="paragraph">
    <w:name w:val="TOC 5"/>
    <w:basedOn w:val="Normal"/>
    <w:uiPriority w:val="1"/>
    <w:qFormat/>
    <w:pPr>
      <w:spacing w:before="276"/>
      <w:ind w:left="1368"/>
    </w:pPr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Heading1" w:type="paragraph">
    <w:name w:val="Heading 1"/>
    <w:basedOn w:val="Normal"/>
    <w:uiPriority w:val="1"/>
    <w:qFormat/>
    <w:pPr>
      <w:ind w:left="1368"/>
      <w:outlineLvl w:val="1"/>
    </w:pPr>
    <w:rPr>
      <w:rFonts w:ascii="Times New Roman" w:hAnsi="Times New Roman" w:eastAsia="Times New Roman" w:cs="Times New Roman"/>
      <w:b/>
      <w:bCs/>
      <w:sz w:val="24"/>
      <w:szCs w:val="24"/>
      <w:lang w:val="en-US" w:eastAsia="en-US" w:bidi="ar-SA"/>
    </w:rPr>
  </w:style>
  <w:style w:styleId="Heading2" w:type="paragraph">
    <w:name w:val="Heading 2"/>
    <w:basedOn w:val="Normal"/>
    <w:uiPriority w:val="1"/>
    <w:qFormat/>
    <w:pPr>
      <w:ind w:left="1368"/>
      <w:jc w:val="both"/>
      <w:outlineLvl w:val="2"/>
    </w:pPr>
    <w:rPr>
      <w:rFonts w:ascii="Times New Roman" w:hAnsi="Times New Roman" w:eastAsia="Times New Roman" w:cs="Times New Roman"/>
      <w:b/>
      <w:bCs/>
      <w:i/>
      <w:iCs/>
      <w:sz w:val="24"/>
      <w:szCs w:val="24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1368" w:hanging="721"/>
    </w:pPr>
    <w:rPr>
      <w:rFonts w:ascii="Times New Roman" w:hAnsi="Times New Roman" w:eastAsia="Times New Roman" w:cs="Times New Roman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1.png"/><Relationship Id="rId7" Type="http://schemas.openxmlformats.org/officeDocument/2006/relationships/footer" Target="footer2.xml"/><Relationship Id="rId8" Type="http://schemas.openxmlformats.org/officeDocument/2006/relationships/image" Target="media/image2.jpeg"/><Relationship Id="rId9" Type="http://schemas.openxmlformats.org/officeDocument/2006/relationships/image" Target="media/image3.png"/><Relationship Id="rId10" Type="http://schemas.openxmlformats.org/officeDocument/2006/relationships/image" Target="media/image4.png"/><Relationship Id="rId11" Type="http://schemas.openxmlformats.org/officeDocument/2006/relationships/footer" Target="footer3.xml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footer" Target="footer4.xml"/><Relationship Id="rId15" Type="http://schemas.openxmlformats.org/officeDocument/2006/relationships/image" Target="media/image7.png"/><Relationship Id="rId16" Type="http://schemas.openxmlformats.org/officeDocument/2006/relationships/image" Target="media/image8.jpeg"/><Relationship Id="rId17" Type="http://schemas.openxmlformats.org/officeDocument/2006/relationships/footer" Target="footer5.xml"/><Relationship Id="rId18" Type="http://schemas.openxmlformats.org/officeDocument/2006/relationships/image" Target="media/image9.png"/><Relationship Id="rId19" Type="http://schemas.openxmlformats.org/officeDocument/2006/relationships/image" Target="media/image10.jpeg"/><Relationship Id="rId20" Type="http://schemas.openxmlformats.org/officeDocument/2006/relationships/footer" Target="footer6.xml"/><Relationship Id="rId21" Type="http://schemas.openxmlformats.org/officeDocument/2006/relationships/image" Target="media/image11.jpeg"/><Relationship Id="rId22" Type="http://schemas.openxmlformats.org/officeDocument/2006/relationships/image" Target="media/image12.png"/><Relationship Id="rId23" Type="http://schemas.openxmlformats.org/officeDocument/2006/relationships/footer" Target="footer7.xml"/><Relationship Id="rId24" Type="http://schemas.openxmlformats.org/officeDocument/2006/relationships/footer" Target="footer8.xml"/><Relationship Id="rId25" Type="http://schemas.openxmlformats.org/officeDocument/2006/relationships/image" Target="media/image13.jpeg"/><Relationship Id="rId26" Type="http://schemas.openxmlformats.org/officeDocument/2006/relationships/image" Target="media/image14.jpeg"/><Relationship Id="rId27" Type="http://schemas.openxmlformats.org/officeDocument/2006/relationships/image" Target="media/image15.jpeg"/><Relationship Id="rId28" Type="http://schemas.openxmlformats.org/officeDocument/2006/relationships/footer" Target="footer9.xml"/><Relationship Id="rId29" Type="http://schemas.openxmlformats.org/officeDocument/2006/relationships/image" Target="media/image16.jpeg"/><Relationship Id="rId30" Type="http://schemas.openxmlformats.org/officeDocument/2006/relationships/image" Target="media/image17.jpeg"/><Relationship Id="rId31" Type="http://schemas.openxmlformats.org/officeDocument/2006/relationships/footer" Target="footer10.xml"/><Relationship Id="rId32" Type="http://schemas.openxmlformats.org/officeDocument/2006/relationships/hyperlink" Target="http://www.aesnet.org/go/professional-development/educational-oportunities/epilepsy-education-programme" TargetMode="External"/><Relationship Id="rId33" Type="http://schemas.openxmlformats.org/officeDocument/2006/relationships/hyperlink" Target="http://www.inchem.org/" TargetMode="External"/><Relationship Id="rId34" Type="http://schemas.openxmlformats.org/officeDocument/2006/relationships/hyperlink" Target="http://www.articles.com/particle/mimofDN" TargetMode="External"/><Relationship Id="rId35" Type="http://schemas.openxmlformats.org/officeDocument/2006/relationships/hyperlink" Target="http://www.who.int/mediacentre/" TargetMode="External"/><Relationship Id="rId36" Type="http://schemas.openxmlformats.org/officeDocument/2006/relationships/image" Target="media/image18.png"/><Relationship Id="rId37" Type="http://schemas.openxmlformats.org/officeDocument/2006/relationships/image" Target="media/image19.png"/><Relationship Id="rId38" Type="http://schemas.openxmlformats.org/officeDocument/2006/relationships/image" Target="media/image20.png"/><Relationship Id="rId39" Type="http://schemas.openxmlformats.org/officeDocument/2006/relationships/image" Target="media/image21.png"/><Relationship Id="rId40" Type="http://schemas.openxmlformats.org/officeDocument/2006/relationships/footer" Target="footer11.xml"/><Relationship Id="rId41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HSPG</dc:creator>
  <dc:title>CHAPTER FOUR </dc:title>
  <dcterms:created xsi:type="dcterms:W3CDTF">2023-11-02T20:59:35Z</dcterms:created>
  <dcterms:modified xsi:type="dcterms:W3CDTF">2023-11-02T20:59:35Z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2014-09-16T00:00:00Z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2023-11-02T00:00:00Z</vt:filetime>
  </property>
</Properties>
</file>