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76" w:lineRule="auto" w:before="73"/>
        <w:ind w:left="940" w:right="1204"/>
      </w:pPr>
      <w:r>
        <w:rPr/>
        <w:t>ANTIBIOTICS</w:t>
      </w:r>
      <w:r>
        <w:rPr>
          <w:spacing w:val="-6"/>
        </w:rPr>
        <w:t> </w:t>
      </w:r>
      <w:r>
        <w:rPr/>
        <w:t>SUSCEPTIBILITY</w:t>
      </w:r>
      <w:r>
        <w:rPr>
          <w:spacing w:val="-7"/>
        </w:rPr>
        <w:t> </w:t>
      </w:r>
      <w:r>
        <w:rPr/>
        <w:t>STUDIES</w:t>
      </w:r>
      <w:r>
        <w:rPr>
          <w:spacing w:val="-6"/>
        </w:rPr>
        <w:t> </w:t>
      </w:r>
      <w:r>
        <w:rPr/>
        <w:t>OF</w:t>
      </w:r>
      <w:r>
        <w:rPr>
          <w:spacing w:val="-8"/>
        </w:rPr>
        <w:t> </w:t>
      </w:r>
      <w:r>
        <w:rPr/>
        <w:t>SOME</w:t>
      </w:r>
      <w:r>
        <w:rPr>
          <w:spacing w:val="-12"/>
        </w:rPr>
        <w:t> </w:t>
      </w:r>
      <w:r>
        <w:rPr/>
        <w:t>BACTERIAL</w:t>
      </w:r>
      <w:r>
        <w:rPr>
          <w:spacing w:val="-8"/>
        </w:rPr>
        <w:t> </w:t>
      </w:r>
      <w:r>
        <w:rPr/>
        <w:t>ISOLATES FROMPACKAGED MILK MARKETED IN ZARIA, NIGERIA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36"/>
        <w:rPr>
          <w:rFonts w:ascii="Times New Roman"/>
          <w:b/>
          <w:sz w:val="24"/>
        </w:rPr>
      </w:pPr>
    </w:p>
    <w:p>
      <w:pPr>
        <w:spacing w:before="0"/>
        <w:ind w:left="0" w:right="257" w:firstLine="0"/>
        <w:jc w:val="center"/>
        <w:rPr>
          <w:rFonts w:ascii="Times New Roman"/>
          <w:b/>
          <w:sz w:val="24"/>
        </w:rPr>
      </w:pPr>
      <w:r>
        <w:rPr>
          <w:rFonts w:ascii="Times New Roman"/>
          <w:b/>
          <w:spacing w:val="-5"/>
          <w:sz w:val="24"/>
        </w:rPr>
        <w:t>BY</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70"/>
        <w:rPr>
          <w:rFonts w:ascii="Times New Roman"/>
          <w:b/>
          <w:sz w:val="24"/>
        </w:rPr>
      </w:pPr>
    </w:p>
    <w:p>
      <w:pPr>
        <w:spacing w:line="451" w:lineRule="auto" w:before="1"/>
        <w:ind w:left="3910" w:right="4170" w:firstLine="3"/>
        <w:jc w:val="center"/>
        <w:rPr>
          <w:rFonts w:ascii="Times New Roman"/>
          <w:b/>
          <w:sz w:val="24"/>
        </w:rPr>
      </w:pPr>
      <w:r>
        <w:rPr>
          <w:rFonts w:ascii="Times New Roman"/>
          <w:b/>
          <w:sz w:val="24"/>
        </w:rPr>
        <w:t>UMOFIA INIMFON DAMIAN </w:t>
      </w:r>
      <w:r>
        <w:rPr>
          <w:rFonts w:ascii="Times New Roman"/>
          <w:b/>
          <w:spacing w:val="-2"/>
          <w:sz w:val="24"/>
        </w:rPr>
        <w:t>(MSc/PHARM-SCI/01472/08-09)</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205"/>
        <w:rPr>
          <w:rFonts w:ascii="Times New Roman"/>
          <w:b/>
          <w:sz w:val="24"/>
        </w:rPr>
      </w:pPr>
    </w:p>
    <w:p>
      <w:pPr>
        <w:spacing w:line="240" w:lineRule="auto" w:before="0"/>
        <w:ind w:left="1928" w:right="2189" w:firstLine="9"/>
        <w:jc w:val="center"/>
        <w:rPr>
          <w:rFonts w:ascii="Times New Roman"/>
          <w:b/>
          <w:sz w:val="24"/>
        </w:rPr>
      </w:pPr>
      <w:r>
        <w:rPr>
          <w:rFonts w:ascii="Times New Roman"/>
          <w:b/>
          <w:sz w:val="24"/>
        </w:rPr>
        <w:t>DEPARTMENT</w:t>
      </w:r>
      <w:r>
        <w:rPr>
          <w:rFonts w:ascii="Times New Roman"/>
          <w:b/>
          <w:spacing w:val="-2"/>
          <w:sz w:val="24"/>
        </w:rPr>
        <w:t> </w:t>
      </w:r>
      <w:r>
        <w:rPr>
          <w:rFonts w:ascii="Times New Roman"/>
          <w:b/>
          <w:sz w:val="24"/>
        </w:rPr>
        <w:t>OF</w:t>
      </w:r>
      <w:r>
        <w:rPr>
          <w:rFonts w:ascii="Times New Roman"/>
          <w:b/>
          <w:spacing w:val="-3"/>
          <w:sz w:val="24"/>
        </w:rPr>
        <w:t> </w:t>
      </w:r>
      <w:r>
        <w:rPr>
          <w:rFonts w:ascii="Times New Roman"/>
          <w:b/>
          <w:sz w:val="24"/>
        </w:rPr>
        <w:t>PHARMACEUTICS AND PHARMACEUTICAL MICROBIOLOGY,</w:t>
      </w:r>
      <w:r>
        <w:rPr>
          <w:rFonts w:ascii="Times New Roman"/>
          <w:b/>
          <w:spacing w:val="-8"/>
          <w:sz w:val="24"/>
        </w:rPr>
        <w:t> </w:t>
      </w:r>
      <w:r>
        <w:rPr>
          <w:rFonts w:ascii="Times New Roman"/>
          <w:b/>
          <w:sz w:val="24"/>
        </w:rPr>
        <w:t>FACULTY</w:t>
      </w:r>
      <w:r>
        <w:rPr>
          <w:rFonts w:ascii="Times New Roman"/>
          <w:b/>
          <w:spacing w:val="-10"/>
          <w:sz w:val="24"/>
        </w:rPr>
        <w:t> </w:t>
      </w:r>
      <w:r>
        <w:rPr>
          <w:rFonts w:ascii="Times New Roman"/>
          <w:b/>
          <w:sz w:val="24"/>
        </w:rPr>
        <w:t>OF</w:t>
      </w:r>
      <w:r>
        <w:rPr>
          <w:rFonts w:ascii="Times New Roman"/>
          <w:b/>
          <w:spacing w:val="-12"/>
          <w:sz w:val="24"/>
        </w:rPr>
        <w:t> </w:t>
      </w:r>
      <w:r>
        <w:rPr>
          <w:rFonts w:ascii="Times New Roman"/>
          <w:b/>
          <w:sz w:val="24"/>
        </w:rPr>
        <w:t>PHARMACEUTICAL</w:t>
      </w:r>
      <w:r>
        <w:rPr>
          <w:rFonts w:ascii="Times New Roman"/>
          <w:b/>
          <w:spacing w:val="-10"/>
          <w:sz w:val="24"/>
        </w:rPr>
        <w:t> </w:t>
      </w:r>
      <w:r>
        <w:rPr>
          <w:rFonts w:ascii="Times New Roman"/>
          <w:b/>
          <w:sz w:val="24"/>
        </w:rPr>
        <w:t>SCIENCES AHMADU BELLO UNIVERSITY, ZARIA,</w:t>
      </w:r>
    </w:p>
    <w:p>
      <w:pPr>
        <w:spacing w:before="3"/>
        <w:ind w:left="940" w:right="1206" w:firstLine="0"/>
        <w:jc w:val="center"/>
        <w:rPr>
          <w:rFonts w:ascii="Times New Roman"/>
          <w:b/>
          <w:sz w:val="24"/>
        </w:rPr>
      </w:pPr>
      <w:r>
        <w:rPr>
          <w:rFonts w:ascii="Times New Roman"/>
          <w:b/>
          <w:spacing w:val="-2"/>
          <w:sz w:val="24"/>
        </w:rPr>
        <w:t>NIGERIA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05"/>
        <w:rPr>
          <w:rFonts w:ascii="Times New Roman"/>
          <w:b/>
          <w:sz w:val="24"/>
        </w:rPr>
      </w:pPr>
    </w:p>
    <w:p>
      <w:pPr>
        <w:spacing w:before="1"/>
        <w:ind w:left="0" w:right="258" w:firstLine="0"/>
        <w:jc w:val="center"/>
        <w:rPr>
          <w:rFonts w:ascii="Times New Roman"/>
          <w:b/>
          <w:sz w:val="24"/>
        </w:rPr>
      </w:pPr>
      <w:r>
        <w:rPr>
          <w:rFonts w:ascii="Times New Roman"/>
          <w:b/>
          <w:sz w:val="24"/>
        </w:rPr>
        <w:t>NOVEMBER,</w:t>
      </w:r>
      <w:r>
        <w:rPr>
          <w:rFonts w:ascii="Times New Roman"/>
          <w:b/>
          <w:spacing w:val="-13"/>
          <w:sz w:val="24"/>
        </w:rPr>
        <w:t> </w:t>
      </w:r>
      <w:r>
        <w:rPr>
          <w:rFonts w:ascii="Times New Roman"/>
          <w:b/>
          <w:spacing w:val="-4"/>
          <w:sz w:val="24"/>
        </w:rPr>
        <w:t>2012</w:t>
      </w:r>
    </w:p>
    <w:p>
      <w:pPr>
        <w:spacing w:after="0"/>
        <w:jc w:val="center"/>
        <w:rPr>
          <w:rFonts w:ascii="Times New Roman"/>
          <w:sz w:val="24"/>
        </w:rPr>
        <w:sectPr>
          <w:type w:val="continuous"/>
          <w:pgSz w:w="12240" w:h="15840"/>
          <w:pgMar w:top="1680" w:bottom="280" w:left="520" w:right="260"/>
        </w:sectPr>
      </w:pPr>
    </w:p>
    <w:p>
      <w:pPr>
        <w:spacing w:line="276" w:lineRule="auto" w:before="73"/>
        <w:ind w:left="940" w:right="1204" w:firstLine="0"/>
        <w:jc w:val="center"/>
        <w:rPr>
          <w:rFonts w:ascii="Times New Roman"/>
          <w:b/>
          <w:sz w:val="24"/>
        </w:rPr>
      </w:pPr>
      <w:r>
        <w:rPr>
          <w:rFonts w:ascii="Times New Roman"/>
          <w:b/>
          <w:sz w:val="24"/>
        </w:rPr>
        <w:t>ANTIBIOTICS</w:t>
      </w:r>
      <w:r>
        <w:rPr>
          <w:rFonts w:ascii="Times New Roman"/>
          <w:b/>
          <w:spacing w:val="-6"/>
          <w:sz w:val="24"/>
        </w:rPr>
        <w:t> </w:t>
      </w:r>
      <w:r>
        <w:rPr>
          <w:rFonts w:ascii="Times New Roman"/>
          <w:b/>
          <w:sz w:val="24"/>
        </w:rPr>
        <w:t>SUSCEPTIBILITY</w:t>
      </w:r>
      <w:r>
        <w:rPr>
          <w:rFonts w:ascii="Times New Roman"/>
          <w:b/>
          <w:spacing w:val="-7"/>
          <w:sz w:val="24"/>
        </w:rPr>
        <w:t> </w:t>
      </w:r>
      <w:r>
        <w:rPr>
          <w:rFonts w:ascii="Times New Roman"/>
          <w:b/>
          <w:sz w:val="24"/>
        </w:rPr>
        <w:t>STUDIES</w:t>
      </w:r>
      <w:r>
        <w:rPr>
          <w:rFonts w:ascii="Times New Roman"/>
          <w:b/>
          <w:spacing w:val="-6"/>
          <w:sz w:val="24"/>
        </w:rPr>
        <w:t> </w:t>
      </w:r>
      <w:r>
        <w:rPr>
          <w:rFonts w:ascii="Times New Roman"/>
          <w:b/>
          <w:sz w:val="24"/>
        </w:rPr>
        <w:t>OF</w:t>
      </w:r>
      <w:r>
        <w:rPr>
          <w:rFonts w:ascii="Times New Roman"/>
          <w:b/>
          <w:spacing w:val="-8"/>
          <w:sz w:val="24"/>
        </w:rPr>
        <w:t> </w:t>
      </w:r>
      <w:r>
        <w:rPr>
          <w:rFonts w:ascii="Times New Roman"/>
          <w:b/>
          <w:sz w:val="24"/>
        </w:rPr>
        <w:t>SOME</w:t>
      </w:r>
      <w:r>
        <w:rPr>
          <w:rFonts w:ascii="Times New Roman"/>
          <w:b/>
          <w:spacing w:val="-12"/>
          <w:sz w:val="24"/>
        </w:rPr>
        <w:t> </w:t>
      </w:r>
      <w:r>
        <w:rPr>
          <w:rFonts w:ascii="Times New Roman"/>
          <w:b/>
          <w:sz w:val="24"/>
        </w:rPr>
        <w:t>BACTERIAL</w:t>
      </w:r>
      <w:r>
        <w:rPr>
          <w:rFonts w:ascii="Times New Roman"/>
          <w:b/>
          <w:spacing w:val="-8"/>
          <w:sz w:val="24"/>
        </w:rPr>
        <w:t> </w:t>
      </w:r>
      <w:r>
        <w:rPr>
          <w:rFonts w:ascii="Times New Roman"/>
          <w:b/>
          <w:sz w:val="24"/>
        </w:rPr>
        <w:t>ISOLATES FROM PACKAGED MILK MARKETED IN ZARIA, NIGERIA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36"/>
        <w:rPr>
          <w:rFonts w:ascii="Times New Roman"/>
          <w:b/>
          <w:sz w:val="24"/>
        </w:rPr>
      </w:pPr>
    </w:p>
    <w:p>
      <w:pPr>
        <w:spacing w:before="0"/>
        <w:ind w:left="0" w:right="257" w:firstLine="0"/>
        <w:jc w:val="center"/>
        <w:rPr>
          <w:rFonts w:ascii="Times New Roman"/>
          <w:b/>
          <w:sz w:val="24"/>
        </w:rPr>
      </w:pPr>
      <w:r>
        <w:rPr>
          <w:rFonts w:ascii="Times New Roman"/>
          <w:b/>
          <w:spacing w:val="-5"/>
          <w:sz w:val="24"/>
        </w:rPr>
        <w:t>BY</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70"/>
        <w:rPr>
          <w:rFonts w:ascii="Times New Roman"/>
          <w:b/>
          <w:sz w:val="24"/>
        </w:rPr>
      </w:pPr>
    </w:p>
    <w:p>
      <w:pPr>
        <w:spacing w:before="1"/>
        <w:ind w:left="0" w:right="256" w:firstLine="0"/>
        <w:jc w:val="center"/>
        <w:rPr>
          <w:rFonts w:ascii="Times New Roman"/>
          <w:b/>
          <w:sz w:val="24"/>
        </w:rPr>
      </w:pPr>
      <w:r>
        <w:rPr>
          <w:rFonts w:ascii="Times New Roman"/>
          <w:b/>
          <w:sz w:val="24"/>
        </w:rPr>
        <w:t>UMOFIA</w:t>
      </w:r>
      <w:r>
        <w:rPr>
          <w:rFonts w:ascii="Times New Roman"/>
          <w:b/>
          <w:spacing w:val="-11"/>
          <w:sz w:val="24"/>
        </w:rPr>
        <w:t> </w:t>
      </w:r>
      <w:r>
        <w:rPr>
          <w:rFonts w:ascii="Times New Roman"/>
          <w:b/>
          <w:sz w:val="24"/>
        </w:rPr>
        <w:t>INIMFON</w:t>
      </w:r>
      <w:r>
        <w:rPr>
          <w:rFonts w:ascii="Times New Roman"/>
          <w:b/>
          <w:spacing w:val="-11"/>
          <w:sz w:val="24"/>
        </w:rPr>
        <w:t> </w:t>
      </w:r>
      <w:r>
        <w:rPr>
          <w:rFonts w:ascii="Times New Roman"/>
          <w:b/>
          <w:spacing w:val="-2"/>
          <w:sz w:val="24"/>
        </w:rPr>
        <w:t>DAMIAN</w:t>
      </w:r>
    </w:p>
    <w:p>
      <w:pPr>
        <w:spacing w:before="242"/>
        <w:ind w:left="0" w:right="258" w:firstLine="0"/>
        <w:jc w:val="center"/>
        <w:rPr>
          <w:rFonts w:ascii="Times New Roman"/>
          <w:b/>
          <w:sz w:val="24"/>
        </w:rPr>
      </w:pPr>
      <w:r>
        <w:rPr>
          <w:rFonts w:ascii="Times New Roman"/>
          <w:b/>
          <w:spacing w:val="-2"/>
          <w:sz w:val="24"/>
        </w:rPr>
        <w:t>B.Sc</w:t>
      </w:r>
      <w:r>
        <w:rPr>
          <w:rFonts w:ascii="Times New Roman"/>
          <w:b/>
          <w:spacing w:val="3"/>
          <w:sz w:val="24"/>
        </w:rPr>
        <w:t> </w:t>
      </w:r>
      <w:r>
        <w:rPr>
          <w:rFonts w:ascii="Times New Roman"/>
          <w:b/>
          <w:spacing w:val="-2"/>
          <w:sz w:val="24"/>
        </w:rPr>
        <w:t>MICROBIOLOGY(MADONNA)</w:t>
      </w:r>
      <w:r>
        <w:rPr>
          <w:rFonts w:ascii="Times New Roman"/>
          <w:b/>
          <w:spacing w:val="7"/>
          <w:sz w:val="24"/>
        </w:rPr>
        <w:t> </w:t>
      </w:r>
      <w:r>
        <w:rPr>
          <w:rFonts w:ascii="Times New Roman"/>
          <w:b/>
          <w:spacing w:val="-4"/>
          <w:sz w:val="24"/>
        </w:rPr>
        <w:t>2006</w:t>
      </w:r>
    </w:p>
    <w:p>
      <w:pPr>
        <w:pStyle w:val="BodyText"/>
        <w:rPr>
          <w:rFonts w:ascii="Times New Roman"/>
          <w:b/>
          <w:sz w:val="24"/>
        </w:rPr>
      </w:pPr>
    </w:p>
    <w:p>
      <w:pPr>
        <w:pStyle w:val="BodyText"/>
        <w:rPr>
          <w:rFonts w:ascii="Times New Roman"/>
          <w:b/>
          <w:sz w:val="24"/>
        </w:rPr>
      </w:pPr>
    </w:p>
    <w:p>
      <w:pPr>
        <w:pStyle w:val="BodyText"/>
        <w:spacing w:before="249"/>
        <w:rPr>
          <w:rFonts w:ascii="Times New Roman"/>
          <w:b/>
          <w:sz w:val="24"/>
        </w:rPr>
      </w:pPr>
    </w:p>
    <w:p>
      <w:pPr>
        <w:spacing w:line="271" w:lineRule="auto" w:before="1"/>
        <w:ind w:left="1438" w:right="1700" w:firstLine="0"/>
        <w:jc w:val="center"/>
        <w:rPr>
          <w:rFonts w:ascii="Times New Roman"/>
          <w:b/>
          <w:sz w:val="24"/>
        </w:rPr>
      </w:pPr>
      <w:r>
        <w:rPr>
          <w:rFonts w:ascii="Times New Roman"/>
          <w:b/>
          <w:sz w:val="24"/>
        </w:rPr>
        <w:t>A</w:t>
      </w:r>
      <w:r>
        <w:rPr>
          <w:rFonts w:ascii="Times New Roman"/>
          <w:b/>
          <w:spacing w:val="-5"/>
          <w:sz w:val="24"/>
        </w:rPr>
        <w:t> </w:t>
      </w:r>
      <w:r>
        <w:rPr>
          <w:rFonts w:ascii="Times New Roman"/>
          <w:b/>
          <w:sz w:val="24"/>
        </w:rPr>
        <w:t>THESIS</w:t>
      </w:r>
      <w:r>
        <w:rPr>
          <w:rFonts w:ascii="Times New Roman"/>
          <w:b/>
          <w:spacing w:val="-4"/>
          <w:sz w:val="24"/>
        </w:rPr>
        <w:t> </w:t>
      </w:r>
      <w:r>
        <w:rPr>
          <w:rFonts w:ascii="Times New Roman"/>
          <w:b/>
          <w:sz w:val="24"/>
        </w:rPr>
        <w:t>SUBMITTED</w:t>
      </w:r>
      <w:r>
        <w:rPr>
          <w:rFonts w:ascii="Times New Roman"/>
          <w:b/>
          <w:spacing w:val="-5"/>
          <w:sz w:val="24"/>
        </w:rPr>
        <w:t> </w:t>
      </w:r>
      <w:r>
        <w:rPr>
          <w:rFonts w:ascii="Times New Roman"/>
          <w:b/>
          <w:sz w:val="24"/>
        </w:rPr>
        <w:t>TO</w:t>
      </w:r>
      <w:r>
        <w:rPr>
          <w:rFonts w:ascii="Times New Roman"/>
          <w:b/>
          <w:spacing w:val="-4"/>
          <w:sz w:val="24"/>
        </w:rPr>
        <w:t> </w:t>
      </w:r>
      <w:r>
        <w:rPr>
          <w:rFonts w:ascii="Times New Roman"/>
          <w:b/>
          <w:sz w:val="24"/>
        </w:rPr>
        <w:t>THE</w:t>
      </w:r>
      <w:r>
        <w:rPr>
          <w:rFonts w:ascii="Times New Roman"/>
          <w:b/>
          <w:spacing w:val="-5"/>
          <w:sz w:val="24"/>
        </w:rPr>
        <w:t> </w:t>
      </w:r>
      <w:r>
        <w:rPr>
          <w:rFonts w:ascii="Times New Roman"/>
          <w:b/>
          <w:sz w:val="24"/>
        </w:rPr>
        <w:t>SCHOOL</w:t>
      </w:r>
      <w:r>
        <w:rPr>
          <w:rFonts w:ascii="Times New Roman"/>
          <w:b/>
          <w:spacing w:val="-5"/>
          <w:sz w:val="24"/>
        </w:rPr>
        <w:t> </w:t>
      </w:r>
      <w:r>
        <w:rPr>
          <w:rFonts w:ascii="Times New Roman"/>
          <w:b/>
          <w:sz w:val="24"/>
        </w:rPr>
        <w:t>OF</w:t>
      </w:r>
      <w:r>
        <w:rPr>
          <w:rFonts w:ascii="Times New Roman"/>
          <w:b/>
          <w:spacing w:val="-6"/>
          <w:sz w:val="24"/>
        </w:rPr>
        <w:t> </w:t>
      </w:r>
      <w:r>
        <w:rPr>
          <w:rFonts w:ascii="Times New Roman"/>
          <w:b/>
          <w:sz w:val="24"/>
        </w:rPr>
        <w:t>POST</w:t>
      </w:r>
      <w:r>
        <w:rPr>
          <w:rFonts w:ascii="Times New Roman"/>
          <w:b/>
          <w:spacing w:val="-5"/>
          <w:sz w:val="24"/>
        </w:rPr>
        <w:t> </w:t>
      </w:r>
      <w:r>
        <w:rPr>
          <w:rFonts w:ascii="Times New Roman"/>
          <w:b/>
          <w:sz w:val="24"/>
        </w:rPr>
        <w:t>GRADUATE</w:t>
      </w:r>
      <w:r>
        <w:rPr>
          <w:rFonts w:ascii="Times New Roman"/>
          <w:b/>
          <w:spacing w:val="-5"/>
          <w:sz w:val="24"/>
        </w:rPr>
        <w:t> </w:t>
      </w:r>
      <w:r>
        <w:rPr>
          <w:rFonts w:ascii="Times New Roman"/>
          <w:b/>
          <w:sz w:val="24"/>
        </w:rPr>
        <w:t>STUDIES, AHMADU BELLO UNIVERSITY, ZARIA</w:t>
      </w:r>
    </w:p>
    <w:p>
      <w:pPr>
        <w:pStyle w:val="BodyText"/>
        <w:rPr>
          <w:rFonts w:ascii="Times New Roman"/>
          <w:b/>
          <w:sz w:val="24"/>
        </w:rPr>
      </w:pPr>
    </w:p>
    <w:p>
      <w:pPr>
        <w:pStyle w:val="BodyText"/>
        <w:spacing w:before="173"/>
        <w:rPr>
          <w:rFonts w:ascii="Times New Roman"/>
          <w:b/>
          <w:sz w:val="24"/>
        </w:rPr>
      </w:pPr>
    </w:p>
    <w:p>
      <w:pPr>
        <w:spacing w:line="451" w:lineRule="auto" w:before="0"/>
        <w:ind w:left="1270" w:right="1527" w:firstLine="0"/>
        <w:jc w:val="center"/>
        <w:rPr>
          <w:rFonts w:ascii="Times New Roman"/>
          <w:b/>
          <w:sz w:val="24"/>
        </w:rPr>
      </w:pPr>
      <w:r>
        <w:rPr>
          <w:rFonts w:ascii="Times New Roman"/>
          <w:b/>
          <w:sz w:val="24"/>
        </w:rPr>
        <w:t>IN</w:t>
      </w:r>
      <w:r>
        <w:rPr>
          <w:rFonts w:ascii="Times New Roman"/>
          <w:b/>
          <w:spacing w:val="-4"/>
          <w:sz w:val="24"/>
        </w:rPr>
        <w:t> </w:t>
      </w:r>
      <w:r>
        <w:rPr>
          <w:rFonts w:ascii="Times New Roman"/>
          <w:b/>
          <w:sz w:val="24"/>
        </w:rPr>
        <w:t>PARTIAL</w:t>
      </w:r>
      <w:r>
        <w:rPr>
          <w:rFonts w:ascii="Times New Roman"/>
          <w:b/>
          <w:spacing w:val="-5"/>
          <w:sz w:val="24"/>
        </w:rPr>
        <w:t> </w:t>
      </w:r>
      <w:r>
        <w:rPr>
          <w:rFonts w:ascii="Times New Roman"/>
          <w:b/>
          <w:sz w:val="24"/>
        </w:rPr>
        <w:t>FULFULMENT</w:t>
      </w:r>
      <w:r>
        <w:rPr>
          <w:rFonts w:ascii="Times New Roman"/>
          <w:b/>
          <w:spacing w:val="-5"/>
          <w:sz w:val="24"/>
        </w:rPr>
        <w:t> </w:t>
      </w:r>
      <w:r>
        <w:rPr>
          <w:rFonts w:ascii="Times New Roman"/>
          <w:b/>
          <w:sz w:val="24"/>
        </w:rPr>
        <w:t>OF</w:t>
      </w:r>
      <w:r>
        <w:rPr>
          <w:rFonts w:ascii="Times New Roman"/>
          <w:b/>
          <w:spacing w:val="-6"/>
          <w:sz w:val="24"/>
        </w:rPr>
        <w:t> </w:t>
      </w:r>
      <w:r>
        <w:rPr>
          <w:rFonts w:ascii="Times New Roman"/>
          <w:b/>
          <w:sz w:val="24"/>
        </w:rPr>
        <w:t>THE</w:t>
      </w:r>
      <w:r>
        <w:rPr>
          <w:rFonts w:ascii="Times New Roman"/>
          <w:b/>
          <w:spacing w:val="-5"/>
          <w:sz w:val="24"/>
        </w:rPr>
        <w:t> </w:t>
      </w:r>
      <w:r>
        <w:rPr>
          <w:rFonts w:ascii="Times New Roman"/>
          <w:b/>
          <w:sz w:val="24"/>
        </w:rPr>
        <w:t>REQUIREMENTS</w:t>
      </w:r>
      <w:r>
        <w:rPr>
          <w:rFonts w:ascii="Times New Roman"/>
          <w:b/>
          <w:spacing w:val="-3"/>
          <w:sz w:val="24"/>
        </w:rPr>
        <w:t> </w:t>
      </w:r>
      <w:r>
        <w:rPr>
          <w:rFonts w:ascii="Times New Roman"/>
          <w:b/>
          <w:sz w:val="24"/>
        </w:rPr>
        <w:t>FOR</w:t>
      </w:r>
      <w:r>
        <w:rPr>
          <w:rFonts w:ascii="Times New Roman"/>
          <w:b/>
          <w:spacing w:val="-4"/>
          <w:sz w:val="24"/>
        </w:rPr>
        <w:t> </w:t>
      </w:r>
      <w:r>
        <w:rPr>
          <w:rFonts w:ascii="Times New Roman"/>
          <w:b/>
          <w:sz w:val="24"/>
        </w:rPr>
        <w:t>THE</w:t>
      </w:r>
      <w:r>
        <w:rPr>
          <w:rFonts w:ascii="Times New Roman"/>
          <w:b/>
          <w:spacing w:val="-5"/>
          <w:sz w:val="24"/>
        </w:rPr>
        <w:t> </w:t>
      </w:r>
      <w:r>
        <w:rPr>
          <w:rFonts w:ascii="Times New Roman"/>
          <w:b/>
          <w:sz w:val="24"/>
        </w:rPr>
        <w:t>AWARD</w:t>
      </w:r>
      <w:r>
        <w:rPr>
          <w:rFonts w:ascii="Times New Roman"/>
          <w:b/>
          <w:spacing w:val="-4"/>
          <w:sz w:val="24"/>
        </w:rPr>
        <w:t> </w:t>
      </w:r>
      <w:r>
        <w:rPr>
          <w:rFonts w:ascii="Times New Roman"/>
          <w:b/>
          <w:sz w:val="24"/>
        </w:rPr>
        <w:t>OF MASTERS DEGREE IN PHARMACEUTICAL MICROBIOLOGY</w:t>
      </w:r>
    </w:p>
    <w:p>
      <w:pPr>
        <w:pStyle w:val="BodyText"/>
        <w:rPr>
          <w:rFonts w:ascii="Times New Roman"/>
          <w:b/>
          <w:sz w:val="24"/>
        </w:rPr>
      </w:pPr>
    </w:p>
    <w:p>
      <w:pPr>
        <w:pStyle w:val="BodyText"/>
        <w:rPr>
          <w:rFonts w:ascii="Times New Roman"/>
          <w:b/>
          <w:sz w:val="24"/>
        </w:rPr>
      </w:pPr>
    </w:p>
    <w:p>
      <w:pPr>
        <w:pStyle w:val="BodyText"/>
        <w:spacing w:before="208"/>
        <w:rPr>
          <w:rFonts w:ascii="Times New Roman"/>
          <w:b/>
          <w:sz w:val="24"/>
        </w:rPr>
      </w:pPr>
    </w:p>
    <w:p>
      <w:pPr>
        <w:spacing w:line="271" w:lineRule="auto" w:before="0"/>
        <w:ind w:left="1927" w:right="2188" w:hanging="2"/>
        <w:jc w:val="center"/>
        <w:rPr>
          <w:rFonts w:ascii="Times New Roman"/>
          <w:b/>
          <w:sz w:val="24"/>
        </w:rPr>
      </w:pPr>
      <w:r>
        <w:rPr>
          <w:rFonts w:ascii="Times New Roman"/>
          <w:b/>
          <w:sz w:val="24"/>
        </w:rPr>
        <w:t>DEPARTMENT OF PHARMACEUTICS AND PHARMACEUTICAL MICROBIOLOGY,</w:t>
      </w:r>
      <w:r>
        <w:rPr>
          <w:rFonts w:ascii="Times New Roman"/>
          <w:b/>
          <w:spacing w:val="-17"/>
          <w:sz w:val="24"/>
        </w:rPr>
        <w:t> </w:t>
      </w:r>
      <w:r>
        <w:rPr>
          <w:rFonts w:ascii="Times New Roman"/>
          <w:b/>
          <w:sz w:val="24"/>
        </w:rPr>
        <w:t>FACULTY</w:t>
      </w:r>
      <w:r>
        <w:rPr>
          <w:rFonts w:ascii="Times New Roman"/>
          <w:b/>
          <w:spacing w:val="-14"/>
          <w:sz w:val="24"/>
        </w:rPr>
        <w:t> </w:t>
      </w:r>
      <w:r>
        <w:rPr>
          <w:rFonts w:ascii="Times New Roman"/>
          <w:b/>
          <w:sz w:val="24"/>
        </w:rPr>
        <w:t>OF</w:t>
      </w:r>
      <w:r>
        <w:rPr>
          <w:rFonts w:ascii="Times New Roman"/>
          <w:b/>
          <w:spacing w:val="-15"/>
          <w:sz w:val="24"/>
        </w:rPr>
        <w:t> </w:t>
      </w:r>
      <w:r>
        <w:rPr>
          <w:rFonts w:ascii="Times New Roman"/>
          <w:b/>
          <w:sz w:val="24"/>
        </w:rPr>
        <w:t>PHARMACEUTICAL</w:t>
      </w:r>
      <w:r>
        <w:rPr>
          <w:rFonts w:ascii="Times New Roman"/>
          <w:b/>
          <w:spacing w:val="-15"/>
          <w:sz w:val="24"/>
        </w:rPr>
        <w:t> </w:t>
      </w:r>
      <w:r>
        <w:rPr>
          <w:rFonts w:ascii="Times New Roman"/>
          <w:b/>
          <w:spacing w:val="-2"/>
          <w:sz w:val="24"/>
        </w:rPr>
        <w:t>SCIENCES</w:t>
      </w:r>
    </w:p>
    <w:p>
      <w:pPr>
        <w:spacing w:line="451" w:lineRule="auto" w:before="207"/>
        <w:ind w:left="2091" w:right="2351" w:firstLine="0"/>
        <w:jc w:val="center"/>
        <w:rPr>
          <w:rFonts w:ascii="Times New Roman"/>
          <w:b/>
          <w:sz w:val="24"/>
        </w:rPr>
      </w:pPr>
      <w:r>
        <w:rPr>
          <w:rFonts w:ascii="Times New Roman"/>
          <w:b/>
          <w:sz w:val="24"/>
        </w:rPr>
        <w:t>AHMADU</w:t>
      </w:r>
      <w:r>
        <w:rPr>
          <w:rFonts w:ascii="Times New Roman"/>
          <w:b/>
          <w:spacing w:val="-15"/>
          <w:sz w:val="24"/>
        </w:rPr>
        <w:t> </w:t>
      </w:r>
      <w:r>
        <w:rPr>
          <w:rFonts w:ascii="Times New Roman"/>
          <w:b/>
          <w:sz w:val="24"/>
        </w:rPr>
        <w:t>BELLO</w:t>
      </w:r>
      <w:r>
        <w:rPr>
          <w:rFonts w:ascii="Times New Roman"/>
          <w:b/>
          <w:spacing w:val="-10"/>
          <w:sz w:val="24"/>
        </w:rPr>
        <w:t> </w:t>
      </w:r>
      <w:r>
        <w:rPr>
          <w:rFonts w:ascii="Times New Roman"/>
          <w:b/>
          <w:sz w:val="24"/>
        </w:rPr>
        <w:t>UNIVERSITY,</w:t>
      </w:r>
      <w:r>
        <w:rPr>
          <w:rFonts w:ascii="Times New Roman"/>
          <w:b/>
          <w:spacing w:val="-9"/>
          <w:sz w:val="24"/>
        </w:rPr>
        <w:t> </w:t>
      </w:r>
      <w:r>
        <w:rPr>
          <w:rFonts w:ascii="Times New Roman"/>
          <w:b/>
          <w:sz w:val="24"/>
        </w:rPr>
        <w:t>ZARIA,</w:t>
      </w:r>
      <w:r>
        <w:rPr>
          <w:rFonts w:ascii="Times New Roman"/>
          <w:b/>
          <w:spacing w:val="-9"/>
          <w:sz w:val="24"/>
        </w:rPr>
        <w:t> </w:t>
      </w:r>
      <w:r>
        <w:rPr>
          <w:rFonts w:ascii="Times New Roman"/>
          <w:b/>
          <w:sz w:val="24"/>
        </w:rPr>
        <w:t>NIGERIA NOVEMBER, 2012</w:t>
      </w:r>
    </w:p>
    <w:p>
      <w:pPr>
        <w:spacing w:after="0" w:line="451" w:lineRule="auto"/>
        <w:jc w:val="center"/>
        <w:rPr>
          <w:rFonts w:ascii="Times New Roman"/>
          <w:sz w:val="24"/>
        </w:rPr>
        <w:sectPr>
          <w:footerReference w:type="default" r:id="rId5"/>
          <w:pgSz w:w="12240" w:h="15840"/>
          <w:pgMar w:header="0" w:footer="1017" w:top="1680" w:bottom="1200" w:left="520" w:right="260"/>
          <w:pgNumType w:start="2"/>
        </w:sectPr>
      </w:pPr>
    </w:p>
    <w:p>
      <w:pPr>
        <w:pStyle w:val="Heading2"/>
        <w:spacing w:before="72"/>
        <w:ind w:left="940" w:right="1206"/>
      </w:pPr>
      <w:bookmarkStart w:name="_TOC_250090" w:id="1"/>
      <w:bookmarkEnd w:id="1"/>
      <w:r>
        <w:rPr>
          <w:spacing w:val="-2"/>
        </w:rPr>
        <w:t>DECLARATION</w:t>
      </w:r>
    </w:p>
    <w:p>
      <w:pPr>
        <w:spacing w:line="480" w:lineRule="auto" w:before="242"/>
        <w:ind w:left="920" w:right="1173" w:firstLine="0"/>
        <w:jc w:val="both"/>
        <w:rPr>
          <w:rFonts w:ascii="Times New Roman" w:hAnsi="Times New Roman"/>
          <w:sz w:val="24"/>
        </w:rPr>
      </w:pPr>
      <w:r>
        <w:rPr>
          <w:rFonts w:ascii="Times New Roman" w:hAnsi="Times New Roman"/>
          <w:sz w:val="24"/>
        </w:rPr>
        <w:t>I hereby declare that the work in this thesis titled “Antibiotics susceptibility of some bacterial isolates frompackaged milk marketed in</w:t>
      </w:r>
      <w:r>
        <w:rPr>
          <w:rFonts w:ascii="Times New Roman" w:hAnsi="Times New Roman"/>
          <w:spacing w:val="-1"/>
          <w:sz w:val="24"/>
        </w:rPr>
        <w:t> </w:t>
      </w:r>
      <w:r>
        <w:rPr>
          <w:rFonts w:ascii="Times New Roman" w:hAnsi="Times New Roman"/>
          <w:sz w:val="24"/>
        </w:rPr>
        <w:t>Zaria, Nigeria” was performed by me in</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Department of Pharmaceutics and Pharmaceutical Microbiology, under the supervision of Dr. Mrs. G.O Adeshina and Prof. J.O.Ehinmidu. The information derived from the literature has been duly acknowledged in the text and a list of references provided. No part of this work has been presented for another degree or diploma at any institution.</w:t>
      </w:r>
    </w:p>
    <w:p>
      <w:pPr>
        <w:spacing w:after="0" w:line="480" w:lineRule="auto"/>
        <w:jc w:val="both"/>
        <w:rPr>
          <w:rFonts w:ascii="Times New Roman" w:hAnsi="Times New Roman"/>
          <w:sz w:val="24"/>
        </w:rPr>
        <w:sectPr>
          <w:pgSz w:w="12240" w:h="15840"/>
          <w:pgMar w:header="0" w:footer="1017" w:top="1360" w:bottom="1200" w:left="520" w:right="260"/>
        </w:sectPr>
      </w:pPr>
    </w:p>
    <w:p>
      <w:pPr>
        <w:pStyle w:val="Heading2"/>
        <w:spacing w:before="72"/>
        <w:ind w:right="261"/>
      </w:pPr>
      <w:bookmarkStart w:name="_TOC_250089" w:id="2"/>
      <w:bookmarkEnd w:id="2"/>
      <w:r>
        <w:rPr>
          <w:spacing w:val="-2"/>
        </w:rPr>
        <w:t>CERTIFICATION</w:t>
      </w:r>
    </w:p>
    <w:p>
      <w:pPr>
        <w:spacing w:line="480" w:lineRule="auto" w:before="242"/>
        <w:ind w:left="920" w:right="1183" w:firstLine="0"/>
        <w:jc w:val="both"/>
        <w:rPr>
          <w:rFonts w:ascii="Times New Roman" w:hAnsi="Times New Roman"/>
          <w:sz w:val="24"/>
        </w:rPr>
      </w:pPr>
      <w:r>
        <w:rPr>
          <w:rFonts w:ascii="Times New Roman" w:hAnsi="Times New Roman"/>
          <w:sz w:val="24"/>
        </w:rPr>
        <w:t>This</w:t>
      </w:r>
      <w:r>
        <w:rPr>
          <w:rFonts w:ascii="Times New Roman" w:hAnsi="Times New Roman"/>
          <w:spacing w:val="-4"/>
          <w:sz w:val="24"/>
        </w:rPr>
        <w:t> </w:t>
      </w:r>
      <w:r>
        <w:rPr>
          <w:rFonts w:ascii="Times New Roman" w:hAnsi="Times New Roman"/>
          <w:sz w:val="24"/>
        </w:rPr>
        <w:t>thesis titled “Antibiotics susceptibility</w:t>
      </w:r>
      <w:r>
        <w:rPr>
          <w:rFonts w:ascii="Times New Roman" w:hAnsi="Times New Roman"/>
          <w:spacing w:val="-2"/>
          <w:sz w:val="24"/>
        </w:rPr>
        <w:t> </w:t>
      </w:r>
      <w:r>
        <w:rPr>
          <w:rFonts w:ascii="Times New Roman" w:hAnsi="Times New Roman"/>
          <w:sz w:val="24"/>
        </w:rPr>
        <w:t>studies of</w:t>
      </w:r>
      <w:r>
        <w:rPr>
          <w:rFonts w:ascii="Times New Roman" w:hAnsi="Times New Roman"/>
          <w:spacing w:val="-5"/>
          <w:sz w:val="24"/>
        </w:rPr>
        <w:t> </w:t>
      </w:r>
      <w:r>
        <w:rPr>
          <w:rFonts w:ascii="Times New Roman" w:hAnsi="Times New Roman"/>
          <w:sz w:val="24"/>
        </w:rPr>
        <w:t>some bacterial</w:t>
      </w:r>
      <w:r>
        <w:rPr>
          <w:rFonts w:ascii="Times New Roman" w:hAnsi="Times New Roman"/>
          <w:spacing w:val="-1"/>
          <w:sz w:val="24"/>
        </w:rPr>
        <w:t> </w:t>
      </w:r>
      <w:r>
        <w:rPr>
          <w:rFonts w:ascii="Times New Roman" w:hAnsi="Times New Roman"/>
          <w:sz w:val="24"/>
        </w:rPr>
        <w:t>isolates frompackaged milk marketed in Zaria, Nigeria” by </w:t>
      </w:r>
      <w:r>
        <w:rPr>
          <w:rFonts w:ascii="Times New Roman" w:hAnsi="Times New Roman"/>
          <w:b/>
          <w:sz w:val="24"/>
        </w:rPr>
        <w:t>UmofiaInimfon Damian </w:t>
      </w:r>
      <w:r>
        <w:rPr>
          <w:rFonts w:ascii="Times New Roman" w:hAnsi="Times New Roman"/>
          <w:sz w:val="24"/>
        </w:rPr>
        <w:t>meets the regulations governing the award of the degree of Masters of Science Pharmaceutical Microbiology of the Ahmadu Bello University, and is approved for its contribution to knowledge and literary</w:t>
      </w:r>
      <w:r>
        <w:rPr>
          <w:rFonts w:ascii="Times New Roman" w:hAnsi="Times New Roman"/>
          <w:spacing w:val="-1"/>
          <w:sz w:val="24"/>
        </w:rPr>
        <w:t> </w:t>
      </w:r>
      <w:r>
        <w:rPr>
          <w:rFonts w:ascii="Times New Roman" w:hAnsi="Times New Roman"/>
          <w:sz w:val="24"/>
        </w:rPr>
        <w:t>presentation.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0"/>
        <w:rPr>
          <w:rFonts w:ascii="Times New Roman"/>
          <w:sz w:val="20"/>
        </w:rPr>
      </w:pPr>
      <w:r>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180668</wp:posOffset>
                </wp:positionV>
                <wp:extent cx="2053589"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53589" cy="1270"/>
                        </a:xfrm>
                        <a:custGeom>
                          <a:avLst/>
                          <a:gdLst/>
                          <a:ahLst/>
                          <a:cxnLst/>
                          <a:rect l="l" t="t" r="r" b="b"/>
                          <a:pathLst>
                            <a:path w="2053589" h="0">
                              <a:moveTo>
                                <a:pt x="0" y="0"/>
                              </a:moveTo>
                              <a:lnTo>
                                <a:pt x="2053491"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225901pt;width:161.7pt;height:.1pt;mso-position-horizontal-relative:page;mso-position-vertical-relative:paragraph;z-index:-15728640;mso-wrap-distance-left:0;mso-wrap-distance-right:0" id="docshape2" coordorigin="1440,285" coordsize="3234,0" path="m1440,285l4674,285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3656646</wp:posOffset>
                </wp:positionH>
                <wp:positionV relativeFrom="paragraph">
                  <wp:posOffset>180668</wp:posOffset>
                </wp:positionV>
                <wp:extent cx="144272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442720" cy="1270"/>
                        </a:xfrm>
                        <a:custGeom>
                          <a:avLst/>
                          <a:gdLst/>
                          <a:ahLst/>
                          <a:cxnLst/>
                          <a:rect l="l" t="t" r="r" b="b"/>
                          <a:pathLst>
                            <a:path w="1442720" h="0">
                              <a:moveTo>
                                <a:pt x="0" y="0"/>
                              </a:moveTo>
                              <a:lnTo>
                                <a:pt x="1442159"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24957pt;margin-top:14.225901pt;width:113.6pt;height:.1pt;mso-position-horizontal-relative:page;mso-position-vertical-relative:paragraph;z-index:-15728128;mso-wrap-distance-left:0;mso-wrap-distance-right:0" id="docshape3" coordorigin="5758,285" coordsize="2272,0" path="m5758,285l8030,285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5443184</wp:posOffset>
                </wp:positionH>
                <wp:positionV relativeFrom="paragraph">
                  <wp:posOffset>180668</wp:posOffset>
                </wp:positionV>
                <wp:extent cx="129349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293495" cy="1270"/>
                        </a:xfrm>
                        <a:custGeom>
                          <a:avLst/>
                          <a:gdLst/>
                          <a:ahLst/>
                          <a:cxnLst/>
                          <a:rect l="l" t="t" r="r" b="b"/>
                          <a:pathLst>
                            <a:path w="1293495" h="0">
                              <a:moveTo>
                                <a:pt x="0" y="0"/>
                              </a:moveTo>
                              <a:lnTo>
                                <a:pt x="1292938"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597198pt;margin-top:14.225901pt;width:101.85pt;height:.1pt;mso-position-horizontal-relative:page;mso-position-vertical-relative:paragraph;z-index:-15727616;mso-wrap-distance-left:0;mso-wrap-distance-right:0" id="docshape4" coordorigin="8572,285" coordsize="2037,0" path="m8572,285l10608,285e" filled="false" stroked="true" strokeweight=".479088pt" strokecolor="#000000">
                <v:path arrowok="t"/>
                <v:stroke dashstyle="solid"/>
                <w10:wrap type="topAndBottom"/>
              </v:shape>
            </w:pict>
          </mc:Fallback>
        </mc:AlternateContent>
      </w:r>
    </w:p>
    <w:p>
      <w:pPr>
        <w:tabs>
          <w:tab w:pos="5959" w:val="left" w:leader="none"/>
          <w:tab w:pos="8883" w:val="left" w:leader="none"/>
        </w:tabs>
        <w:spacing w:line="232" w:lineRule="auto" w:before="9"/>
        <w:ind w:left="920" w:right="2117" w:firstLine="0"/>
        <w:jc w:val="left"/>
        <w:rPr>
          <w:rFonts w:ascii="Times New Roman"/>
          <w:sz w:val="24"/>
        </w:rPr>
      </w:pPr>
      <w:r>
        <w:rPr>
          <w:rFonts w:ascii="Times New Roman"/>
          <w:sz w:val="24"/>
        </w:rPr>
        <w:t>Dr. Mrs. G.O. Adeshina</w:t>
        <w:tab/>
      </w:r>
      <w:r>
        <w:rPr>
          <w:rFonts w:ascii="Times New Roman"/>
          <w:spacing w:val="-2"/>
          <w:sz w:val="24"/>
        </w:rPr>
        <w:t>Signature</w:t>
      </w:r>
      <w:r>
        <w:rPr>
          <w:rFonts w:ascii="Times New Roman"/>
          <w:sz w:val="24"/>
        </w:rPr>
        <w:tab/>
      </w:r>
      <w:r>
        <w:rPr>
          <w:rFonts w:ascii="Times New Roman"/>
          <w:spacing w:val="-4"/>
          <w:sz w:val="24"/>
        </w:rPr>
        <w:t>Date </w:t>
      </w:r>
      <w:r>
        <w:rPr>
          <w:rFonts w:ascii="Times New Roman"/>
          <w:sz w:val="24"/>
        </w:rPr>
        <w:t>Chairman, Supervisory Committee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5"/>
        <w:rPr>
          <w:rFonts w:ascii="Times New Roman"/>
          <w:sz w:val="20"/>
        </w:rPr>
      </w:pPr>
      <w:r>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222042</wp:posOffset>
                </wp:positionV>
                <wp:extent cx="2053589"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053589" cy="1270"/>
                        </a:xfrm>
                        <a:custGeom>
                          <a:avLst/>
                          <a:gdLst/>
                          <a:ahLst/>
                          <a:cxnLst/>
                          <a:rect l="l" t="t" r="r" b="b"/>
                          <a:pathLst>
                            <a:path w="2053589" h="0">
                              <a:moveTo>
                                <a:pt x="0" y="0"/>
                              </a:moveTo>
                              <a:lnTo>
                                <a:pt x="2053491"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7.483662pt;width:161.7pt;height:.1pt;mso-position-horizontal-relative:page;mso-position-vertical-relative:paragraph;z-index:-15727104;mso-wrap-distance-left:0;mso-wrap-distance-right:0" id="docshape5" coordorigin="1440,350" coordsize="3234,0" path="m1440,350l4674,350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3656646</wp:posOffset>
                </wp:positionH>
                <wp:positionV relativeFrom="paragraph">
                  <wp:posOffset>222042</wp:posOffset>
                </wp:positionV>
                <wp:extent cx="144272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442720" cy="1270"/>
                        </a:xfrm>
                        <a:custGeom>
                          <a:avLst/>
                          <a:gdLst/>
                          <a:ahLst/>
                          <a:cxnLst/>
                          <a:rect l="l" t="t" r="r" b="b"/>
                          <a:pathLst>
                            <a:path w="1442720" h="0">
                              <a:moveTo>
                                <a:pt x="0" y="0"/>
                              </a:moveTo>
                              <a:lnTo>
                                <a:pt x="1442159"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24957pt;margin-top:17.483662pt;width:113.6pt;height:.1pt;mso-position-horizontal-relative:page;mso-position-vertical-relative:paragraph;z-index:-15726592;mso-wrap-distance-left:0;mso-wrap-distance-right:0" id="docshape6" coordorigin="5758,350" coordsize="2272,0" path="m5758,350l8030,350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5449823</wp:posOffset>
                </wp:positionH>
                <wp:positionV relativeFrom="paragraph">
                  <wp:posOffset>222042</wp:posOffset>
                </wp:positionV>
                <wp:extent cx="129349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93495" cy="1270"/>
                        </a:xfrm>
                        <a:custGeom>
                          <a:avLst/>
                          <a:gdLst/>
                          <a:ahLst/>
                          <a:cxnLst/>
                          <a:rect l="l" t="t" r="r" b="b"/>
                          <a:pathLst>
                            <a:path w="1293495" h="0">
                              <a:moveTo>
                                <a:pt x="0" y="0"/>
                              </a:moveTo>
                              <a:lnTo>
                                <a:pt x="1292938"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9.119995pt;margin-top:17.483662pt;width:101.85pt;height:.1pt;mso-position-horizontal-relative:page;mso-position-vertical-relative:paragraph;z-index:-15726080;mso-wrap-distance-left:0;mso-wrap-distance-right:0" id="docshape7" coordorigin="8582,350" coordsize="2037,0" path="m8582,350l10619,350e" filled="false" stroked="true" strokeweight=".479088pt" strokecolor="#000000">
                <v:path arrowok="t"/>
                <v:stroke dashstyle="solid"/>
                <w10:wrap type="topAndBottom"/>
              </v:shape>
            </w:pict>
          </mc:Fallback>
        </mc:AlternateContent>
      </w:r>
    </w:p>
    <w:p>
      <w:pPr>
        <w:tabs>
          <w:tab w:pos="5959" w:val="left" w:leader="none"/>
          <w:tab w:pos="8883" w:val="left" w:leader="none"/>
        </w:tabs>
        <w:spacing w:line="237" w:lineRule="auto" w:before="0"/>
        <w:ind w:left="920" w:right="2117" w:firstLine="0"/>
        <w:jc w:val="left"/>
        <w:rPr>
          <w:rFonts w:ascii="Times New Roman"/>
          <w:sz w:val="24"/>
        </w:rPr>
      </w:pPr>
      <w:r>
        <w:rPr>
          <w:rFonts w:ascii="Times New Roman"/>
          <w:sz w:val="24"/>
        </w:rPr>
        <w:t>Prof. J.O. Ehinmidu</w:t>
        <w:tab/>
      </w:r>
      <w:r>
        <w:rPr>
          <w:rFonts w:ascii="Times New Roman"/>
          <w:spacing w:val="-2"/>
          <w:sz w:val="24"/>
        </w:rPr>
        <w:t>Signature</w:t>
      </w:r>
      <w:r>
        <w:rPr>
          <w:rFonts w:ascii="Times New Roman"/>
          <w:sz w:val="24"/>
        </w:rPr>
        <w:tab/>
      </w:r>
      <w:r>
        <w:rPr>
          <w:rFonts w:ascii="Times New Roman"/>
          <w:spacing w:val="-4"/>
          <w:sz w:val="24"/>
        </w:rPr>
        <w:t>Date </w:t>
      </w:r>
      <w:r>
        <w:rPr>
          <w:rFonts w:ascii="Times New Roman"/>
          <w:sz w:val="24"/>
        </w:rPr>
        <w:t>Member, Supervisory Committee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3"/>
        <w:rPr>
          <w:rFonts w:ascii="Times New Roman"/>
          <w:sz w:val="20"/>
        </w:rPr>
      </w:pPr>
      <w:r>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220747</wp:posOffset>
                </wp:positionV>
                <wp:extent cx="2053589"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053589" cy="1270"/>
                        </a:xfrm>
                        <a:custGeom>
                          <a:avLst/>
                          <a:gdLst/>
                          <a:ahLst/>
                          <a:cxnLst/>
                          <a:rect l="l" t="t" r="r" b="b"/>
                          <a:pathLst>
                            <a:path w="2053589" h="0">
                              <a:moveTo>
                                <a:pt x="0" y="0"/>
                              </a:moveTo>
                              <a:lnTo>
                                <a:pt x="2053491"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7.381708pt;width:161.7pt;height:.1pt;mso-position-horizontal-relative:page;mso-position-vertical-relative:paragraph;z-index:-15725568;mso-wrap-distance-left:0;mso-wrap-distance-right:0" id="docshape8" coordorigin="1440,348" coordsize="3234,0" path="m1440,348l4674,348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3656646</wp:posOffset>
                </wp:positionH>
                <wp:positionV relativeFrom="paragraph">
                  <wp:posOffset>220747</wp:posOffset>
                </wp:positionV>
                <wp:extent cx="144272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442720" cy="1270"/>
                        </a:xfrm>
                        <a:custGeom>
                          <a:avLst/>
                          <a:gdLst/>
                          <a:ahLst/>
                          <a:cxnLst/>
                          <a:rect l="l" t="t" r="r" b="b"/>
                          <a:pathLst>
                            <a:path w="1442720" h="0">
                              <a:moveTo>
                                <a:pt x="0" y="0"/>
                              </a:moveTo>
                              <a:lnTo>
                                <a:pt x="1442159"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24957pt;margin-top:17.381708pt;width:113.6pt;height:.1pt;mso-position-horizontal-relative:page;mso-position-vertical-relative:paragraph;z-index:-15725056;mso-wrap-distance-left:0;mso-wrap-distance-right:0" id="docshape9" coordorigin="5758,348" coordsize="2272,0" path="m5758,348l8030,348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5443184</wp:posOffset>
                </wp:positionH>
                <wp:positionV relativeFrom="paragraph">
                  <wp:posOffset>220747</wp:posOffset>
                </wp:positionV>
                <wp:extent cx="1293495"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293495" cy="1270"/>
                        </a:xfrm>
                        <a:custGeom>
                          <a:avLst/>
                          <a:gdLst/>
                          <a:ahLst/>
                          <a:cxnLst/>
                          <a:rect l="l" t="t" r="r" b="b"/>
                          <a:pathLst>
                            <a:path w="1293495" h="0">
                              <a:moveTo>
                                <a:pt x="0" y="0"/>
                              </a:moveTo>
                              <a:lnTo>
                                <a:pt x="1292938"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597198pt;margin-top:17.381708pt;width:101.85pt;height:.1pt;mso-position-horizontal-relative:page;mso-position-vertical-relative:paragraph;z-index:-15724544;mso-wrap-distance-left:0;mso-wrap-distance-right:0" id="docshape10" coordorigin="8572,348" coordsize="2037,0" path="m8572,348l10608,348e" filled="false" stroked="true" strokeweight=".479088pt" strokecolor="#000000">
                <v:path arrowok="t"/>
                <v:stroke dashstyle="solid"/>
                <w10:wrap type="topAndBottom"/>
              </v:shape>
            </w:pict>
          </mc:Fallback>
        </mc:AlternateContent>
      </w:r>
    </w:p>
    <w:p>
      <w:pPr>
        <w:tabs>
          <w:tab w:pos="5959" w:val="left" w:leader="none"/>
          <w:tab w:pos="8883" w:val="left" w:leader="none"/>
        </w:tabs>
        <w:spacing w:line="232" w:lineRule="auto" w:before="4"/>
        <w:ind w:left="920" w:right="2117" w:firstLine="0"/>
        <w:jc w:val="left"/>
        <w:rPr>
          <w:rFonts w:ascii="Times New Roman"/>
          <w:sz w:val="24"/>
        </w:rPr>
      </w:pPr>
      <w:r>
        <w:rPr>
          <w:rFonts w:ascii="Times New Roman"/>
          <w:sz w:val="24"/>
        </w:rPr>
        <w:t>Dr. A. B. Isah</w:t>
        <w:tab/>
      </w:r>
      <w:r>
        <w:rPr>
          <w:rFonts w:ascii="Times New Roman"/>
          <w:spacing w:val="-2"/>
          <w:sz w:val="24"/>
        </w:rPr>
        <w:t>Signature</w:t>
      </w:r>
      <w:r>
        <w:rPr>
          <w:rFonts w:ascii="Times New Roman"/>
          <w:sz w:val="24"/>
        </w:rPr>
        <w:tab/>
      </w:r>
      <w:r>
        <w:rPr>
          <w:rFonts w:ascii="Times New Roman"/>
          <w:spacing w:val="-4"/>
          <w:sz w:val="24"/>
        </w:rPr>
        <w:t>Date </w:t>
      </w:r>
      <w:r>
        <w:rPr>
          <w:rFonts w:ascii="Times New Roman"/>
          <w:sz w:val="24"/>
        </w:rPr>
        <w:t>Head of Department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5"/>
        <w:rPr>
          <w:rFonts w:ascii="Times New Roman"/>
          <w:sz w:val="20"/>
        </w:rPr>
      </w:pPr>
      <w:r>
        <w:rPr/>
        <mc:AlternateContent>
          <mc:Choice Requires="wps">
            <w:drawing>
              <wp:anchor distT="0" distB="0" distL="0" distR="0" allowOverlap="1" layoutInCell="1" locked="0" behindDoc="1" simplePos="0" relativeHeight="487592448">
                <wp:simplePos x="0" y="0"/>
                <wp:positionH relativeFrom="page">
                  <wp:posOffset>914400</wp:posOffset>
                </wp:positionH>
                <wp:positionV relativeFrom="paragraph">
                  <wp:posOffset>222169</wp:posOffset>
                </wp:positionV>
                <wp:extent cx="2053589"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053589" cy="1270"/>
                        </a:xfrm>
                        <a:custGeom>
                          <a:avLst/>
                          <a:gdLst/>
                          <a:ahLst/>
                          <a:cxnLst/>
                          <a:rect l="l" t="t" r="r" b="b"/>
                          <a:pathLst>
                            <a:path w="2053589" h="0">
                              <a:moveTo>
                                <a:pt x="0" y="0"/>
                              </a:moveTo>
                              <a:lnTo>
                                <a:pt x="2053491"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7.493641pt;width:161.7pt;height:.1pt;mso-position-horizontal-relative:page;mso-position-vertical-relative:paragraph;z-index:-15724032;mso-wrap-distance-left:0;mso-wrap-distance-right:0" id="docshape11" coordorigin="1440,350" coordsize="3234,0" path="m1440,350l4674,350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3656646</wp:posOffset>
                </wp:positionH>
                <wp:positionV relativeFrom="paragraph">
                  <wp:posOffset>222169</wp:posOffset>
                </wp:positionV>
                <wp:extent cx="144272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442720" cy="1270"/>
                        </a:xfrm>
                        <a:custGeom>
                          <a:avLst/>
                          <a:gdLst/>
                          <a:ahLst/>
                          <a:cxnLst/>
                          <a:rect l="l" t="t" r="r" b="b"/>
                          <a:pathLst>
                            <a:path w="1442720" h="0">
                              <a:moveTo>
                                <a:pt x="0" y="0"/>
                              </a:moveTo>
                              <a:lnTo>
                                <a:pt x="1442159"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24957pt;margin-top:17.493641pt;width:113.6pt;height:.1pt;mso-position-horizontal-relative:page;mso-position-vertical-relative:paragraph;z-index:-15723520;mso-wrap-distance-left:0;mso-wrap-distance-right:0" id="docshape12" coordorigin="5758,350" coordsize="2272,0" path="m5758,350l8030,350e" filled="false" stroked="true" strokeweight=".47908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5443184</wp:posOffset>
                </wp:positionH>
                <wp:positionV relativeFrom="paragraph">
                  <wp:posOffset>222169</wp:posOffset>
                </wp:positionV>
                <wp:extent cx="1293495"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293495" cy="1270"/>
                        </a:xfrm>
                        <a:custGeom>
                          <a:avLst/>
                          <a:gdLst/>
                          <a:ahLst/>
                          <a:cxnLst/>
                          <a:rect l="l" t="t" r="r" b="b"/>
                          <a:pathLst>
                            <a:path w="1293495" h="0">
                              <a:moveTo>
                                <a:pt x="0" y="0"/>
                              </a:moveTo>
                              <a:lnTo>
                                <a:pt x="1292938" y="0"/>
                              </a:lnTo>
                            </a:path>
                          </a:pathLst>
                        </a:custGeom>
                        <a:ln w="6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597198pt;margin-top:17.493641pt;width:101.85pt;height:.1pt;mso-position-horizontal-relative:page;mso-position-vertical-relative:paragraph;z-index:-15723008;mso-wrap-distance-left:0;mso-wrap-distance-right:0" id="docshape13" coordorigin="8572,350" coordsize="2037,0" path="m8572,350l10608,350e" filled="false" stroked="true" strokeweight=".479088pt" strokecolor="#000000">
                <v:path arrowok="t"/>
                <v:stroke dashstyle="solid"/>
                <w10:wrap type="topAndBottom"/>
              </v:shape>
            </w:pict>
          </mc:Fallback>
        </mc:AlternateContent>
      </w:r>
    </w:p>
    <w:p>
      <w:pPr>
        <w:tabs>
          <w:tab w:pos="5959" w:val="left" w:leader="none"/>
          <w:tab w:pos="8839" w:val="left" w:leader="none"/>
        </w:tabs>
        <w:spacing w:line="232" w:lineRule="auto" w:before="9"/>
        <w:ind w:left="920" w:right="2161" w:firstLine="0"/>
        <w:jc w:val="left"/>
        <w:rPr>
          <w:rFonts w:ascii="Times New Roman"/>
          <w:sz w:val="24"/>
        </w:rPr>
      </w:pPr>
      <w:r>
        <w:rPr>
          <w:rFonts w:ascii="Times New Roman"/>
          <w:sz w:val="24"/>
        </w:rPr>
        <w:t>Prof. A.A. Joshua</w:t>
        <w:tab/>
      </w:r>
      <w:r>
        <w:rPr>
          <w:rFonts w:ascii="Times New Roman"/>
          <w:spacing w:val="-2"/>
          <w:sz w:val="24"/>
        </w:rPr>
        <w:t>Signature</w:t>
      </w:r>
      <w:r>
        <w:rPr>
          <w:rFonts w:ascii="Times New Roman"/>
          <w:sz w:val="24"/>
        </w:rPr>
        <w:tab/>
      </w:r>
      <w:r>
        <w:rPr>
          <w:rFonts w:ascii="Times New Roman"/>
          <w:spacing w:val="-4"/>
          <w:sz w:val="24"/>
        </w:rPr>
        <w:t>Date </w:t>
      </w:r>
      <w:r>
        <w:rPr>
          <w:rFonts w:ascii="Times New Roman"/>
          <w:sz w:val="24"/>
        </w:rPr>
        <w:t>Dean, School of Postgraduate Studies</w:t>
      </w:r>
    </w:p>
    <w:p>
      <w:pPr>
        <w:spacing w:after="0" w:line="232" w:lineRule="auto"/>
        <w:jc w:val="left"/>
        <w:rPr>
          <w:rFonts w:ascii="Times New Roman"/>
          <w:sz w:val="24"/>
        </w:rPr>
        <w:sectPr>
          <w:pgSz w:w="12240" w:h="15840"/>
          <w:pgMar w:header="0" w:footer="1017" w:top="1360" w:bottom="1200" w:left="520" w:right="260"/>
        </w:sectPr>
      </w:pPr>
    </w:p>
    <w:p>
      <w:pPr>
        <w:pStyle w:val="Heading2"/>
        <w:spacing w:before="76"/>
        <w:ind w:left="940" w:right="1206"/>
      </w:pPr>
      <w:bookmarkStart w:name="_TOC_250088" w:id="3"/>
      <w:bookmarkEnd w:id="3"/>
      <w:r>
        <w:rPr>
          <w:spacing w:val="-2"/>
        </w:rPr>
        <w:t>DEDICATION</w:t>
      </w:r>
    </w:p>
    <w:p>
      <w:pPr>
        <w:pStyle w:val="BodyText"/>
        <w:spacing w:before="39"/>
        <w:rPr>
          <w:rFonts w:ascii="Times New Roman"/>
          <w:b/>
          <w:sz w:val="24"/>
        </w:rPr>
      </w:pPr>
    </w:p>
    <w:p>
      <w:pPr>
        <w:spacing w:line="480" w:lineRule="auto" w:before="0"/>
        <w:ind w:left="920" w:right="0" w:firstLine="0"/>
        <w:jc w:val="left"/>
        <w:rPr>
          <w:rFonts w:ascii="Times New Roman"/>
          <w:sz w:val="24"/>
        </w:rPr>
      </w:pPr>
      <w:r>
        <w:rPr>
          <w:rFonts w:ascii="Times New Roman"/>
          <w:sz w:val="24"/>
        </w:rPr>
        <w:t>This</w:t>
      </w:r>
      <w:r>
        <w:rPr>
          <w:rFonts w:ascii="Times New Roman"/>
          <w:spacing w:val="29"/>
          <w:sz w:val="24"/>
        </w:rPr>
        <w:t> </w:t>
      </w:r>
      <w:r>
        <w:rPr>
          <w:rFonts w:ascii="Times New Roman"/>
          <w:sz w:val="24"/>
        </w:rPr>
        <w:t>work</w:t>
      </w:r>
      <w:r>
        <w:rPr>
          <w:rFonts w:ascii="Times New Roman"/>
          <w:spacing w:val="31"/>
          <w:sz w:val="24"/>
        </w:rPr>
        <w:t> </w:t>
      </w:r>
      <w:r>
        <w:rPr>
          <w:rFonts w:ascii="Times New Roman"/>
          <w:sz w:val="24"/>
        </w:rPr>
        <w:t>is</w:t>
      </w:r>
      <w:r>
        <w:rPr>
          <w:rFonts w:ascii="Times New Roman"/>
          <w:spacing w:val="29"/>
          <w:sz w:val="24"/>
        </w:rPr>
        <w:t> </w:t>
      </w:r>
      <w:r>
        <w:rPr>
          <w:rFonts w:ascii="Times New Roman"/>
          <w:sz w:val="24"/>
        </w:rPr>
        <w:t>dedicated</w:t>
      </w:r>
      <w:r>
        <w:rPr>
          <w:rFonts w:ascii="Times New Roman"/>
          <w:spacing w:val="31"/>
          <w:sz w:val="24"/>
        </w:rPr>
        <w:t> </w:t>
      </w:r>
      <w:r>
        <w:rPr>
          <w:rFonts w:ascii="Times New Roman"/>
          <w:sz w:val="24"/>
        </w:rPr>
        <w:t>to</w:t>
      </w:r>
      <w:r>
        <w:rPr>
          <w:rFonts w:ascii="Times New Roman"/>
          <w:spacing w:val="31"/>
          <w:sz w:val="24"/>
        </w:rPr>
        <w:t> </w:t>
      </w:r>
      <w:r>
        <w:rPr>
          <w:rFonts w:ascii="Times New Roman"/>
          <w:sz w:val="24"/>
        </w:rPr>
        <w:t>my</w:t>
      </w:r>
      <w:r>
        <w:rPr>
          <w:rFonts w:ascii="Times New Roman"/>
          <w:spacing w:val="27"/>
          <w:sz w:val="24"/>
        </w:rPr>
        <w:t> </w:t>
      </w:r>
      <w:r>
        <w:rPr>
          <w:rFonts w:ascii="Times New Roman"/>
          <w:sz w:val="24"/>
        </w:rPr>
        <w:t>two</w:t>
      </w:r>
      <w:r>
        <w:rPr>
          <w:rFonts w:ascii="Times New Roman"/>
          <w:spacing w:val="31"/>
          <w:sz w:val="24"/>
        </w:rPr>
        <w:t> </w:t>
      </w:r>
      <w:r>
        <w:rPr>
          <w:rFonts w:ascii="Times New Roman"/>
          <w:sz w:val="24"/>
        </w:rPr>
        <w:t>favorite</w:t>
      </w:r>
      <w:r>
        <w:rPr>
          <w:rFonts w:ascii="Times New Roman"/>
          <w:spacing w:val="31"/>
          <w:sz w:val="24"/>
        </w:rPr>
        <w:t> </w:t>
      </w:r>
      <w:r>
        <w:rPr>
          <w:rFonts w:ascii="Times New Roman"/>
          <w:sz w:val="24"/>
        </w:rPr>
        <w:t>educators,</w:t>
      </w:r>
      <w:r>
        <w:rPr>
          <w:rFonts w:ascii="Times New Roman"/>
          <w:spacing w:val="34"/>
          <w:sz w:val="24"/>
        </w:rPr>
        <w:t> </w:t>
      </w:r>
      <w:r>
        <w:rPr>
          <w:rFonts w:ascii="Times New Roman"/>
          <w:sz w:val="24"/>
        </w:rPr>
        <w:t>my</w:t>
      </w:r>
      <w:r>
        <w:rPr>
          <w:rFonts w:ascii="Times New Roman"/>
          <w:spacing w:val="22"/>
          <w:sz w:val="24"/>
        </w:rPr>
        <w:t> </w:t>
      </w:r>
      <w:r>
        <w:rPr>
          <w:rFonts w:ascii="Times New Roman"/>
          <w:sz w:val="24"/>
        </w:rPr>
        <w:t>dad</w:t>
      </w:r>
      <w:r>
        <w:rPr>
          <w:rFonts w:ascii="Times New Roman"/>
          <w:spacing w:val="31"/>
          <w:sz w:val="24"/>
        </w:rPr>
        <w:t> </w:t>
      </w:r>
      <w:r>
        <w:rPr>
          <w:rFonts w:ascii="Times New Roman"/>
          <w:sz w:val="24"/>
        </w:rPr>
        <w:t>and</w:t>
      </w:r>
      <w:r>
        <w:rPr>
          <w:rFonts w:ascii="Times New Roman"/>
          <w:spacing w:val="36"/>
          <w:sz w:val="24"/>
        </w:rPr>
        <w:t> </w:t>
      </w:r>
      <w:r>
        <w:rPr>
          <w:rFonts w:ascii="Times New Roman"/>
          <w:sz w:val="24"/>
        </w:rPr>
        <w:t>mum</w:t>
      </w:r>
      <w:r>
        <w:rPr>
          <w:rFonts w:ascii="Times New Roman"/>
          <w:spacing w:val="28"/>
          <w:sz w:val="24"/>
        </w:rPr>
        <w:t> </w:t>
      </w:r>
      <w:r>
        <w:rPr>
          <w:rFonts w:ascii="Times New Roman"/>
          <w:sz w:val="24"/>
        </w:rPr>
        <w:t>for</w:t>
      </w:r>
      <w:r>
        <w:rPr>
          <w:rFonts w:ascii="Times New Roman"/>
          <w:spacing w:val="33"/>
          <w:sz w:val="24"/>
        </w:rPr>
        <w:t> </w:t>
      </w:r>
      <w:r>
        <w:rPr>
          <w:rFonts w:ascii="Times New Roman"/>
          <w:sz w:val="24"/>
        </w:rPr>
        <w:t>their</w:t>
      </w:r>
      <w:r>
        <w:rPr>
          <w:rFonts w:ascii="Times New Roman"/>
          <w:spacing w:val="33"/>
          <w:sz w:val="24"/>
        </w:rPr>
        <w:t> </w:t>
      </w:r>
      <w:r>
        <w:rPr>
          <w:rFonts w:ascii="Times New Roman"/>
          <w:sz w:val="24"/>
        </w:rPr>
        <w:t>support</w:t>
      </w:r>
      <w:r>
        <w:rPr>
          <w:rFonts w:ascii="Times New Roman"/>
          <w:spacing w:val="37"/>
          <w:sz w:val="24"/>
        </w:rPr>
        <w:t> </w:t>
      </w:r>
      <w:r>
        <w:rPr>
          <w:rFonts w:ascii="Times New Roman"/>
          <w:sz w:val="24"/>
        </w:rPr>
        <w:t>and encouragement throughout all my life that made me who I am. You are the best parent ever.</w:t>
      </w:r>
    </w:p>
    <w:p>
      <w:pPr>
        <w:spacing w:after="0" w:line="480" w:lineRule="auto"/>
        <w:jc w:val="left"/>
        <w:rPr>
          <w:rFonts w:ascii="Times New Roman"/>
          <w:sz w:val="24"/>
        </w:rPr>
        <w:sectPr>
          <w:pgSz w:w="12240" w:h="15840"/>
          <w:pgMar w:header="0" w:footer="1017" w:top="1360" w:bottom="1200" w:left="520" w:right="260"/>
        </w:sectPr>
      </w:pPr>
    </w:p>
    <w:p>
      <w:pPr>
        <w:pStyle w:val="Heading2"/>
        <w:spacing w:before="76"/>
        <w:ind w:right="260"/>
      </w:pPr>
      <w:bookmarkStart w:name="_TOC_250087" w:id="4"/>
      <w:bookmarkEnd w:id="4"/>
      <w:r>
        <w:rPr>
          <w:spacing w:val="-2"/>
        </w:rPr>
        <w:t>ACKNOWLEDGEMENT</w:t>
      </w:r>
    </w:p>
    <w:p>
      <w:pPr>
        <w:pStyle w:val="BodyText"/>
        <w:spacing w:before="77"/>
        <w:rPr>
          <w:rFonts w:ascii="Times New Roman"/>
          <w:b/>
          <w:sz w:val="24"/>
        </w:rPr>
      </w:pPr>
    </w:p>
    <w:p>
      <w:pPr>
        <w:spacing w:before="0"/>
        <w:ind w:left="920" w:right="0" w:firstLine="0"/>
        <w:jc w:val="left"/>
        <w:rPr>
          <w:rFonts w:ascii="Times New Roman"/>
          <w:sz w:val="24"/>
        </w:rPr>
      </w:pPr>
      <w:r>
        <w:rPr>
          <w:rFonts w:ascii="Times New Roman"/>
          <w:sz w:val="24"/>
        </w:rPr>
        <w:t>I</w:t>
      </w:r>
      <w:r>
        <w:rPr>
          <w:rFonts w:ascii="Times New Roman"/>
          <w:spacing w:val="-3"/>
          <w:sz w:val="24"/>
        </w:rPr>
        <w:t> </w:t>
      </w:r>
      <w:r>
        <w:rPr>
          <w:rFonts w:ascii="Times New Roman"/>
          <w:sz w:val="24"/>
        </w:rPr>
        <w:t>wish</w:t>
      </w:r>
      <w:r>
        <w:rPr>
          <w:rFonts w:ascii="Times New Roman"/>
          <w:spacing w:val="-9"/>
          <w:sz w:val="24"/>
        </w:rPr>
        <w:t> </w:t>
      </w:r>
      <w:r>
        <w:rPr>
          <w:rFonts w:ascii="Times New Roman"/>
          <w:sz w:val="24"/>
        </w:rPr>
        <w:t>to</w:t>
      </w:r>
      <w:r>
        <w:rPr>
          <w:rFonts w:ascii="Times New Roman"/>
          <w:spacing w:val="1"/>
          <w:sz w:val="24"/>
        </w:rPr>
        <w:t> </w:t>
      </w:r>
      <w:r>
        <w:rPr>
          <w:rFonts w:ascii="Times New Roman"/>
          <w:sz w:val="24"/>
        </w:rPr>
        <w:t>express</w:t>
      </w:r>
      <w:r>
        <w:rPr>
          <w:rFonts w:ascii="Times New Roman"/>
          <w:spacing w:val="-1"/>
          <w:sz w:val="24"/>
        </w:rPr>
        <w:t> </w:t>
      </w:r>
      <w:r>
        <w:rPr>
          <w:rFonts w:ascii="Times New Roman"/>
          <w:sz w:val="24"/>
        </w:rPr>
        <w:t>my</w:t>
      </w:r>
      <w:r>
        <w:rPr>
          <w:rFonts w:ascii="Times New Roman"/>
          <w:spacing w:val="-9"/>
          <w:sz w:val="24"/>
        </w:rPr>
        <w:t> </w:t>
      </w:r>
      <w:r>
        <w:rPr>
          <w:rFonts w:ascii="Times New Roman"/>
          <w:sz w:val="24"/>
        </w:rPr>
        <w:t>sincere</w:t>
      </w:r>
      <w:r>
        <w:rPr>
          <w:rFonts w:ascii="Times New Roman"/>
          <w:spacing w:val="-5"/>
          <w:sz w:val="24"/>
        </w:rPr>
        <w:t> </w:t>
      </w:r>
      <w:r>
        <w:rPr>
          <w:rFonts w:ascii="Times New Roman"/>
          <w:sz w:val="24"/>
        </w:rPr>
        <w:t>appreciation</w:t>
      </w:r>
      <w:r>
        <w:rPr>
          <w:rFonts w:ascii="Times New Roman"/>
          <w:spacing w:val="-8"/>
          <w:sz w:val="24"/>
        </w:rPr>
        <w:t> </w:t>
      </w:r>
      <w:r>
        <w:rPr>
          <w:rFonts w:ascii="Times New Roman"/>
          <w:sz w:val="24"/>
        </w:rPr>
        <w:t>to</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chairman</w:t>
      </w:r>
      <w:r>
        <w:rPr>
          <w:rFonts w:ascii="Times New Roman"/>
          <w:spacing w:val="-8"/>
          <w:sz w:val="24"/>
        </w:rPr>
        <w:t> </w:t>
      </w:r>
      <w:r>
        <w:rPr>
          <w:rFonts w:ascii="Times New Roman"/>
          <w:sz w:val="24"/>
        </w:rPr>
        <w:t>of</w:t>
      </w:r>
      <w:r>
        <w:rPr>
          <w:rFonts w:ascii="Times New Roman"/>
          <w:spacing w:val="-7"/>
          <w:sz w:val="24"/>
        </w:rPr>
        <w:t> </w:t>
      </w:r>
      <w:r>
        <w:rPr>
          <w:rFonts w:ascii="Times New Roman"/>
          <w:sz w:val="24"/>
        </w:rPr>
        <w:t>my</w:t>
      </w:r>
      <w:r>
        <w:rPr>
          <w:rFonts w:ascii="Times New Roman"/>
          <w:spacing w:val="-8"/>
          <w:sz w:val="24"/>
        </w:rPr>
        <w:t> </w:t>
      </w:r>
      <w:r>
        <w:rPr>
          <w:rFonts w:ascii="Times New Roman"/>
          <w:sz w:val="24"/>
        </w:rPr>
        <w:t>supervisory</w:t>
      </w:r>
      <w:r>
        <w:rPr>
          <w:rFonts w:ascii="Times New Roman"/>
          <w:spacing w:val="-13"/>
          <w:sz w:val="24"/>
        </w:rPr>
        <w:t> </w:t>
      </w:r>
      <w:r>
        <w:rPr>
          <w:rFonts w:ascii="Times New Roman"/>
          <w:sz w:val="24"/>
        </w:rPr>
        <w:t>committee,</w:t>
      </w:r>
      <w:r>
        <w:rPr>
          <w:rFonts w:ascii="Times New Roman"/>
          <w:spacing w:val="-2"/>
          <w:sz w:val="24"/>
        </w:rPr>
        <w:t> </w:t>
      </w:r>
      <w:r>
        <w:rPr>
          <w:rFonts w:ascii="Times New Roman"/>
          <w:sz w:val="24"/>
        </w:rPr>
        <w:t>Dr.</w:t>
      </w:r>
      <w:r>
        <w:rPr>
          <w:rFonts w:ascii="Times New Roman"/>
          <w:spacing w:val="-2"/>
          <w:sz w:val="24"/>
        </w:rPr>
        <w:t> </w:t>
      </w:r>
      <w:r>
        <w:rPr>
          <w:rFonts w:ascii="Times New Roman"/>
          <w:spacing w:val="-4"/>
          <w:sz w:val="24"/>
        </w:rPr>
        <w:t>Mrs.</w:t>
      </w:r>
    </w:p>
    <w:p>
      <w:pPr>
        <w:pStyle w:val="BodyText"/>
        <w:rPr>
          <w:rFonts w:ascii="Times New Roman"/>
          <w:sz w:val="24"/>
        </w:rPr>
      </w:pPr>
    </w:p>
    <w:p>
      <w:pPr>
        <w:spacing w:line="480" w:lineRule="auto" w:before="0"/>
        <w:ind w:left="920" w:right="1182" w:firstLine="0"/>
        <w:jc w:val="both"/>
        <w:rPr>
          <w:rFonts w:ascii="Times New Roman"/>
          <w:sz w:val="24"/>
        </w:rPr>
      </w:pPr>
      <w:r>
        <w:rPr>
          <w:rFonts w:ascii="Times New Roman"/>
          <w:sz w:val="24"/>
        </w:rPr>
        <w:t>G. O. Adeshina for her invaluable guidance, patience and support throughout the course of this work. I am also indebted to Prof. J. O. Ehinmidu, member of my supervisory committee for his instructions, ideas, suggestions and constructive criticism in making this work a success.</w:t>
      </w:r>
    </w:p>
    <w:p>
      <w:pPr>
        <w:spacing w:line="480" w:lineRule="auto" w:before="0"/>
        <w:ind w:left="920" w:right="1181" w:firstLine="0"/>
        <w:jc w:val="left"/>
        <w:rPr>
          <w:rFonts w:ascii="Times New Roman"/>
          <w:sz w:val="24"/>
        </w:rPr>
      </w:pPr>
      <w:r>
        <w:rPr>
          <w:rFonts w:ascii="Times New Roman"/>
          <w:sz w:val="24"/>
        </w:rPr>
        <w:t>My sincere appreciation goes to members of staff of Pharmaceutical Microbiology Department, Ahmadu Bello University, Zaria for allowing me use their laboratory</w:t>
      </w:r>
      <w:r>
        <w:rPr>
          <w:rFonts w:ascii="Times New Roman"/>
          <w:spacing w:val="-8"/>
          <w:sz w:val="24"/>
        </w:rPr>
        <w:t> </w:t>
      </w:r>
      <w:r>
        <w:rPr>
          <w:rFonts w:ascii="Times New Roman"/>
          <w:sz w:val="24"/>
        </w:rPr>
        <w:t>and facilities for</w:t>
      </w:r>
      <w:r>
        <w:rPr>
          <w:rFonts w:ascii="Times New Roman"/>
          <w:spacing w:val="-1"/>
          <w:sz w:val="24"/>
        </w:rPr>
        <w:t> </w:t>
      </w:r>
      <w:r>
        <w:rPr>
          <w:rFonts w:ascii="Times New Roman"/>
          <w:sz w:val="24"/>
        </w:rPr>
        <w:t>this work. I</w:t>
      </w:r>
      <w:r>
        <w:rPr>
          <w:rFonts w:ascii="Times New Roman"/>
          <w:spacing w:val="23"/>
          <w:sz w:val="24"/>
        </w:rPr>
        <w:t> </w:t>
      </w:r>
      <w:r>
        <w:rPr>
          <w:rFonts w:ascii="Times New Roman"/>
          <w:sz w:val="24"/>
        </w:rPr>
        <w:t>also</w:t>
      </w:r>
      <w:r>
        <w:rPr>
          <w:rFonts w:ascii="Times New Roman"/>
          <w:spacing w:val="27"/>
          <w:sz w:val="24"/>
        </w:rPr>
        <w:t> </w:t>
      </w:r>
      <w:r>
        <w:rPr>
          <w:rFonts w:ascii="Times New Roman"/>
          <w:sz w:val="24"/>
        </w:rPr>
        <w:t>acknowledge</w:t>
      </w:r>
      <w:r>
        <w:rPr>
          <w:rFonts w:ascii="Times New Roman"/>
          <w:spacing w:val="26"/>
          <w:sz w:val="24"/>
        </w:rPr>
        <w:t> </w:t>
      </w:r>
      <w:r>
        <w:rPr>
          <w:rFonts w:ascii="Times New Roman"/>
          <w:sz w:val="24"/>
        </w:rPr>
        <w:t>my lecturers especially Prof.</w:t>
      </w:r>
      <w:r>
        <w:rPr>
          <w:rFonts w:ascii="Times New Roman"/>
          <w:spacing w:val="29"/>
          <w:sz w:val="24"/>
        </w:rPr>
        <w:t> </w:t>
      </w:r>
      <w:r>
        <w:rPr>
          <w:rFonts w:ascii="Times New Roman"/>
          <w:sz w:val="24"/>
        </w:rPr>
        <w:t>J.</w:t>
      </w:r>
      <w:r>
        <w:rPr>
          <w:rFonts w:ascii="Times New Roman"/>
          <w:spacing w:val="29"/>
          <w:sz w:val="24"/>
        </w:rPr>
        <w:t> </w:t>
      </w:r>
      <w:r>
        <w:rPr>
          <w:rFonts w:ascii="Times New Roman"/>
          <w:sz w:val="24"/>
        </w:rPr>
        <w:t>A.</w:t>
      </w:r>
      <w:r>
        <w:rPr>
          <w:rFonts w:ascii="Times New Roman"/>
          <w:spacing w:val="24"/>
          <w:sz w:val="24"/>
        </w:rPr>
        <w:t> </w:t>
      </w:r>
      <w:r>
        <w:rPr>
          <w:rFonts w:ascii="Times New Roman"/>
          <w:sz w:val="24"/>
        </w:rPr>
        <w:t>Onaolapo</w:t>
      </w:r>
      <w:r>
        <w:rPr>
          <w:rFonts w:ascii="Times New Roman"/>
          <w:spacing w:val="31"/>
          <w:sz w:val="24"/>
        </w:rPr>
        <w:t> </w:t>
      </w:r>
      <w:r>
        <w:rPr>
          <w:rFonts w:ascii="Times New Roman"/>
          <w:sz w:val="24"/>
        </w:rPr>
        <w:t>for</w:t>
      </w:r>
      <w:r>
        <w:rPr>
          <w:rFonts w:ascii="Times New Roman"/>
          <w:spacing w:val="23"/>
          <w:sz w:val="24"/>
        </w:rPr>
        <w:t> </w:t>
      </w:r>
      <w:r>
        <w:rPr>
          <w:rFonts w:ascii="Times New Roman"/>
          <w:sz w:val="24"/>
        </w:rPr>
        <w:t>sharing</w:t>
      </w:r>
      <w:r>
        <w:rPr>
          <w:rFonts w:ascii="Times New Roman"/>
          <w:spacing w:val="31"/>
          <w:sz w:val="24"/>
        </w:rPr>
        <w:t> </w:t>
      </w:r>
      <w:r>
        <w:rPr>
          <w:rFonts w:ascii="Times New Roman"/>
          <w:sz w:val="24"/>
        </w:rPr>
        <w:t>his knowledge</w:t>
      </w:r>
      <w:r>
        <w:rPr>
          <w:rFonts w:ascii="Times New Roman"/>
          <w:spacing w:val="26"/>
          <w:sz w:val="24"/>
        </w:rPr>
        <w:t> </w:t>
      </w:r>
      <w:r>
        <w:rPr>
          <w:rFonts w:ascii="Times New Roman"/>
          <w:sz w:val="24"/>
        </w:rPr>
        <w:t>in biotechnological</w:t>
      </w:r>
      <w:r>
        <w:rPr>
          <w:rFonts w:ascii="Times New Roman"/>
          <w:spacing w:val="63"/>
          <w:sz w:val="24"/>
        </w:rPr>
        <w:t> </w:t>
      </w:r>
      <w:r>
        <w:rPr>
          <w:rFonts w:ascii="Times New Roman"/>
          <w:sz w:val="24"/>
        </w:rPr>
        <w:t>aspect</w:t>
      </w:r>
      <w:r>
        <w:rPr>
          <w:rFonts w:ascii="Times New Roman"/>
          <w:spacing w:val="71"/>
          <w:sz w:val="24"/>
        </w:rPr>
        <w:t> </w:t>
      </w:r>
      <w:r>
        <w:rPr>
          <w:rFonts w:ascii="Times New Roman"/>
          <w:sz w:val="24"/>
        </w:rPr>
        <w:t>of</w:t>
      </w:r>
      <w:r>
        <w:rPr>
          <w:rFonts w:ascii="Times New Roman"/>
          <w:spacing w:val="64"/>
          <w:sz w:val="24"/>
        </w:rPr>
        <w:t> </w:t>
      </w:r>
      <w:r>
        <w:rPr>
          <w:rFonts w:ascii="Times New Roman"/>
          <w:sz w:val="24"/>
        </w:rPr>
        <w:t>my</w:t>
      </w:r>
      <w:r>
        <w:rPr>
          <w:rFonts w:ascii="Times New Roman"/>
          <w:spacing w:val="63"/>
          <w:sz w:val="24"/>
        </w:rPr>
        <w:t> </w:t>
      </w:r>
      <w:r>
        <w:rPr>
          <w:rFonts w:ascii="Times New Roman"/>
          <w:sz w:val="24"/>
        </w:rPr>
        <w:t>work,</w:t>
      </w:r>
      <w:r>
        <w:rPr>
          <w:rFonts w:ascii="Times New Roman"/>
          <w:spacing w:val="68"/>
          <w:sz w:val="24"/>
        </w:rPr>
        <w:t> </w:t>
      </w:r>
      <w:r>
        <w:rPr>
          <w:rFonts w:ascii="Times New Roman"/>
          <w:sz w:val="24"/>
        </w:rPr>
        <w:t>Prof.</w:t>
      </w:r>
      <w:r>
        <w:rPr>
          <w:rFonts w:ascii="Times New Roman"/>
          <w:spacing w:val="68"/>
          <w:sz w:val="24"/>
        </w:rPr>
        <w:t> </w:t>
      </w:r>
      <w:r>
        <w:rPr>
          <w:rFonts w:ascii="Times New Roman"/>
          <w:sz w:val="24"/>
        </w:rPr>
        <w:t>Y.</w:t>
      </w:r>
      <w:r>
        <w:rPr>
          <w:rFonts w:ascii="Times New Roman"/>
          <w:spacing w:val="68"/>
          <w:sz w:val="24"/>
        </w:rPr>
        <w:t> </w:t>
      </w:r>
      <w:r>
        <w:rPr>
          <w:rFonts w:ascii="Times New Roman"/>
          <w:sz w:val="24"/>
        </w:rPr>
        <w:t>K.</w:t>
      </w:r>
      <w:r>
        <w:rPr>
          <w:rFonts w:ascii="Times New Roman"/>
          <w:spacing w:val="68"/>
          <w:sz w:val="24"/>
        </w:rPr>
        <w:t> </w:t>
      </w:r>
      <w:r>
        <w:rPr>
          <w:rFonts w:ascii="Times New Roman"/>
          <w:sz w:val="24"/>
        </w:rPr>
        <w:t>E.</w:t>
      </w:r>
      <w:r>
        <w:rPr>
          <w:rFonts w:ascii="Times New Roman"/>
          <w:spacing w:val="68"/>
          <w:sz w:val="24"/>
        </w:rPr>
        <w:t> </w:t>
      </w:r>
      <w:r>
        <w:rPr>
          <w:rFonts w:ascii="Times New Roman"/>
          <w:sz w:val="24"/>
        </w:rPr>
        <w:t>Ibrahim</w:t>
      </w:r>
      <w:r>
        <w:rPr>
          <w:rFonts w:ascii="Times New Roman"/>
          <w:spacing w:val="67"/>
          <w:sz w:val="24"/>
        </w:rPr>
        <w:t> </w:t>
      </w:r>
      <w:r>
        <w:rPr>
          <w:rFonts w:ascii="Times New Roman"/>
          <w:sz w:val="24"/>
        </w:rPr>
        <w:t>for</w:t>
      </w:r>
      <w:r>
        <w:rPr>
          <w:rFonts w:ascii="Times New Roman"/>
          <w:spacing w:val="73"/>
          <w:sz w:val="24"/>
        </w:rPr>
        <w:t> </w:t>
      </w:r>
      <w:r>
        <w:rPr>
          <w:rFonts w:ascii="Times New Roman"/>
          <w:sz w:val="24"/>
        </w:rPr>
        <w:t>his</w:t>
      </w:r>
      <w:r>
        <w:rPr>
          <w:rFonts w:ascii="Times New Roman"/>
          <w:spacing w:val="65"/>
          <w:sz w:val="24"/>
        </w:rPr>
        <w:t> </w:t>
      </w:r>
      <w:r>
        <w:rPr>
          <w:rFonts w:ascii="Times New Roman"/>
          <w:sz w:val="24"/>
        </w:rPr>
        <w:t>good</w:t>
      </w:r>
      <w:r>
        <w:rPr>
          <w:rFonts w:ascii="Times New Roman"/>
          <w:spacing w:val="66"/>
          <w:sz w:val="24"/>
        </w:rPr>
        <w:t> </w:t>
      </w:r>
      <w:r>
        <w:rPr>
          <w:rFonts w:ascii="Times New Roman"/>
          <w:sz w:val="24"/>
        </w:rPr>
        <w:t>comments</w:t>
      </w:r>
      <w:r>
        <w:rPr>
          <w:rFonts w:ascii="Times New Roman"/>
          <w:spacing w:val="65"/>
          <w:sz w:val="24"/>
        </w:rPr>
        <w:t> </w:t>
      </w:r>
      <w:r>
        <w:rPr>
          <w:rFonts w:ascii="Times New Roman"/>
          <w:sz w:val="24"/>
        </w:rPr>
        <w:t>and intelligent</w:t>
      </w:r>
      <w:r>
        <w:rPr>
          <w:rFonts w:ascii="Times New Roman"/>
          <w:spacing w:val="35"/>
          <w:sz w:val="24"/>
        </w:rPr>
        <w:t> </w:t>
      </w:r>
      <w:r>
        <w:rPr>
          <w:rFonts w:ascii="Times New Roman"/>
          <w:sz w:val="24"/>
        </w:rPr>
        <w:t>advice</w:t>
      </w:r>
      <w:r>
        <w:rPr>
          <w:rFonts w:ascii="Times New Roman"/>
          <w:spacing w:val="30"/>
          <w:sz w:val="24"/>
        </w:rPr>
        <w:t> </w:t>
      </w:r>
      <w:r>
        <w:rPr>
          <w:rFonts w:ascii="Times New Roman"/>
          <w:sz w:val="24"/>
        </w:rPr>
        <w:t>during</w:t>
      </w:r>
      <w:r>
        <w:rPr>
          <w:rFonts w:ascii="Times New Roman"/>
          <w:spacing w:val="36"/>
          <w:sz w:val="24"/>
        </w:rPr>
        <w:t> </w:t>
      </w:r>
      <w:r>
        <w:rPr>
          <w:rFonts w:ascii="Times New Roman"/>
          <w:sz w:val="24"/>
        </w:rPr>
        <w:t>most</w:t>
      </w:r>
      <w:r>
        <w:rPr>
          <w:rFonts w:ascii="Times New Roman"/>
          <w:spacing w:val="31"/>
          <w:sz w:val="24"/>
        </w:rPr>
        <w:t> </w:t>
      </w:r>
      <w:r>
        <w:rPr>
          <w:rFonts w:ascii="Times New Roman"/>
          <w:sz w:val="24"/>
        </w:rPr>
        <w:t>of</w:t>
      </w:r>
      <w:r>
        <w:rPr>
          <w:rFonts w:ascii="Times New Roman"/>
          <w:spacing w:val="23"/>
          <w:sz w:val="24"/>
        </w:rPr>
        <w:t> </w:t>
      </w:r>
      <w:r>
        <w:rPr>
          <w:rFonts w:ascii="Times New Roman"/>
          <w:sz w:val="24"/>
        </w:rPr>
        <w:t>the</w:t>
      </w:r>
      <w:r>
        <w:rPr>
          <w:rFonts w:ascii="Times New Roman"/>
          <w:spacing w:val="30"/>
          <w:sz w:val="24"/>
        </w:rPr>
        <w:t> </w:t>
      </w:r>
      <w:r>
        <w:rPr>
          <w:rFonts w:ascii="Times New Roman"/>
          <w:sz w:val="24"/>
        </w:rPr>
        <w:t>seminar</w:t>
      </w:r>
      <w:r>
        <w:rPr>
          <w:rFonts w:ascii="Times New Roman"/>
          <w:spacing w:val="32"/>
          <w:sz w:val="24"/>
        </w:rPr>
        <w:t> </w:t>
      </w:r>
      <w:r>
        <w:rPr>
          <w:rFonts w:ascii="Times New Roman"/>
          <w:sz w:val="24"/>
        </w:rPr>
        <w:t>sessions</w:t>
      </w:r>
      <w:r>
        <w:rPr>
          <w:rFonts w:ascii="Times New Roman"/>
          <w:spacing w:val="28"/>
          <w:sz w:val="24"/>
        </w:rPr>
        <w:t> </w:t>
      </w:r>
      <w:r>
        <w:rPr>
          <w:rFonts w:ascii="Times New Roman"/>
          <w:sz w:val="24"/>
        </w:rPr>
        <w:t>and</w:t>
      </w:r>
      <w:r>
        <w:rPr>
          <w:rFonts w:ascii="Times New Roman"/>
          <w:spacing w:val="30"/>
          <w:sz w:val="24"/>
        </w:rPr>
        <w:t> </w:t>
      </w:r>
      <w:r>
        <w:rPr>
          <w:rFonts w:ascii="Times New Roman"/>
          <w:sz w:val="24"/>
        </w:rPr>
        <w:t>also</w:t>
      </w:r>
      <w:r>
        <w:rPr>
          <w:rFonts w:ascii="Times New Roman"/>
          <w:spacing w:val="30"/>
          <w:sz w:val="24"/>
        </w:rPr>
        <w:t> </w:t>
      </w:r>
      <w:r>
        <w:rPr>
          <w:rFonts w:ascii="Times New Roman"/>
          <w:sz w:val="24"/>
        </w:rPr>
        <w:t>to</w:t>
      </w:r>
      <w:r>
        <w:rPr>
          <w:rFonts w:ascii="Times New Roman"/>
          <w:spacing w:val="35"/>
          <w:sz w:val="24"/>
        </w:rPr>
        <w:t> </w:t>
      </w:r>
      <w:r>
        <w:rPr>
          <w:rFonts w:ascii="Times New Roman"/>
          <w:sz w:val="24"/>
        </w:rPr>
        <w:t>Dr.</w:t>
      </w:r>
      <w:r>
        <w:rPr>
          <w:rFonts w:ascii="Times New Roman"/>
          <w:spacing w:val="28"/>
          <w:sz w:val="24"/>
        </w:rPr>
        <w:t> </w:t>
      </w:r>
      <w:r>
        <w:rPr>
          <w:rFonts w:ascii="Times New Roman"/>
          <w:sz w:val="24"/>
        </w:rPr>
        <w:t>B.</w:t>
      </w:r>
      <w:r>
        <w:rPr>
          <w:rFonts w:ascii="Times New Roman"/>
          <w:spacing w:val="33"/>
          <w:sz w:val="24"/>
        </w:rPr>
        <w:t> </w:t>
      </w:r>
      <w:r>
        <w:rPr>
          <w:rFonts w:ascii="Times New Roman"/>
          <w:sz w:val="24"/>
        </w:rPr>
        <w:t>O.</w:t>
      </w:r>
      <w:r>
        <w:rPr>
          <w:rFonts w:ascii="Times New Roman"/>
          <w:spacing w:val="33"/>
          <w:sz w:val="24"/>
        </w:rPr>
        <w:t> </w:t>
      </w:r>
      <w:r>
        <w:rPr>
          <w:rFonts w:ascii="Times New Roman"/>
          <w:sz w:val="24"/>
        </w:rPr>
        <w:t>Olayinka</w:t>
      </w:r>
      <w:r>
        <w:rPr>
          <w:rFonts w:ascii="Times New Roman"/>
          <w:spacing w:val="34"/>
          <w:sz w:val="24"/>
        </w:rPr>
        <w:t> </w:t>
      </w:r>
      <w:r>
        <w:rPr>
          <w:rFonts w:ascii="Times New Roman"/>
          <w:sz w:val="24"/>
        </w:rPr>
        <w:t>for</w:t>
      </w:r>
      <w:r>
        <w:rPr>
          <w:rFonts w:ascii="Times New Roman"/>
          <w:spacing w:val="32"/>
          <w:sz w:val="24"/>
        </w:rPr>
        <w:t> </w:t>
      </w:r>
      <w:r>
        <w:rPr>
          <w:rFonts w:ascii="Times New Roman"/>
          <w:sz w:val="24"/>
        </w:rPr>
        <w:t>his advice</w:t>
      </w:r>
      <w:r>
        <w:rPr>
          <w:rFonts w:ascii="Times New Roman"/>
          <w:spacing w:val="-1"/>
          <w:sz w:val="24"/>
        </w:rPr>
        <w:t> </w:t>
      </w:r>
      <w:r>
        <w:rPr>
          <w:rFonts w:ascii="Times New Roman"/>
          <w:sz w:val="24"/>
        </w:rPr>
        <w:t>and useful</w:t>
      </w:r>
      <w:r>
        <w:rPr>
          <w:rFonts w:ascii="Times New Roman"/>
          <w:spacing w:val="-4"/>
          <w:sz w:val="24"/>
        </w:rPr>
        <w:t> </w:t>
      </w:r>
      <w:r>
        <w:rPr>
          <w:rFonts w:ascii="Times New Roman"/>
          <w:sz w:val="24"/>
        </w:rPr>
        <w:t>suggestions. I would like</w:t>
      </w:r>
      <w:r>
        <w:rPr>
          <w:rFonts w:ascii="Times New Roman"/>
          <w:spacing w:val="-1"/>
          <w:sz w:val="24"/>
        </w:rPr>
        <w:t> </w:t>
      </w:r>
      <w:r>
        <w:rPr>
          <w:rFonts w:ascii="Times New Roman"/>
          <w:sz w:val="24"/>
        </w:rPr>
        <w:t>to</w:t>
      </w:r>
      <w:r>
        <w:rPr>
          <w:rFonts w:ascii="Times New Roman"/>
          <w:spacing w:val="-5"/>
          <w:sz w:val="24"/>
        </w:rPr>
        <w:t> </w:t>
      </w:r>
      <w:r>
        <w:rPr>
          <w:rFonts w:ascii="Times New Roman"/>
          <w:sz w:val="24"/>
        </w:rPr>
        <w:t>thank all</w:t>
      </w:r>
      <w:r>
        <w:rPr>
          <w:rFonts w:ascii="Times New Roman"/>
          <w:spacing w:val="-9"/>
          <w:sz w:val="24"/>
        </w:rPr>
        <w:t> </w:t>
      </w:r>
      <w:r>
        <w:rPr>
          <w:rFonts w:ascii="Times New Roman"/>
          <w:sz w:val="24"/>
        </w:rPr>
        <w:t>the laboratory</w:t>
      </w:r>
      <w:r>
        <w:rPr>
          <w:rFonts w:ascii="Times New Roman"/>
          <w:spacing w:val="-10"/>
          <w:sz w:val="24"/>
        </w:rPr>
        <w:t> </w:t>
      </w:r>
      <w:r>
        <w:rPr>
          <w:rFonts w:ascii="Times New Roman"/>
          <w:sz w:val="24"/>
        </w:rPr>
        <w:t>personnel</w:t>
      </w:r>
      <w:r>
        <w:rPr>
          <w:rFonts w:ascii="Times New Roman"/>
          <w:spacing w:val="-4"/>
          <w:sz w:val="24"/>
        </w:rPr>
        <w:t> </w:t>
      </w:r>
      <w:r>
        <w:rPr>
          <w:rFonts w:ascii="Times New Roman"/>
          <w:sz w:val="24"/>
        </w:rPr>
        <w:t>especially</w:t>
      </w:r>
      <w:r>
        <w:rPr>
          <w:rFonts w:ascii="Times New Roman"/>
          <w:spacing w:val="-10"/>
          <w:sz w:val="24"/>
        </w:rPr>
        <w:t> </w:t>
      </w:r>
      <w:r>
        <w:rPr>
          <w:rFonts w:ascii="Times New Roman"/>
          <w:sz w:val="24"/>
        </w:rPr>
        <w:t>Pastor Ezekiel</w:t>
      </w:r>
      <w:r>
        <w:rPr>
          <w:rFonts w:ascii="Times New Roman"/>
          <w:spacing w:val="-6"/>
          <w:sz w:val="24"/>
        </w:rPr>
        <w:t> </w:t>
      </w:r>
      <w:r>
        <w:rPr>
          <w:rFonts w:ascii="Times New Roman"/>
          <w:sz w:val="24"/>
        </w:rPr>
        <w:t>and Mallam</w:t>
      </w:r>
      <w:r>
        <w:rPr>
          <w:rFonts w:ascii="Times New Roman"/>
          <w:spacing w:val="-1"/>
          <w:sz w:val="24"/>
        </w:rPr>
        <w:t> </w:t>
      </w:r>
      <w:r>
        <w:rPr>
          <w:rFonts w:ascii="Times New Roman"/>
          <w:sz w:val="24"/>
        </w:rPr>
        <w:t>Abbas for</w:t>
      </w:r>
      <w:r>
        <w:rPr>
          <w:rFonts w:ascii="Times New Roman"/>
          <w:spacing w:val="-1"/>
          <w:sz w:val="24"/>
        </w:rPr>
        <w:t> </w:t>
      </w:r>
      <w:r>
        <w:rPr>
          <w:rFonts w:ascii="Times New Roman"/>
          <w:sz w:val="24"/>
        </w:rPr>
        <w:t>their technical</w:t>
      </w:r>
      <w:r>
        <w:rPr>
          <w:rFonts w:ascii="Times New Roman"/>
          <w:spacing w:val="-1"/>
          <w:sz w:val="24"/>
        </w:rPr>
        <w:t> </w:t>
      </w:r>
      <w:r>
        <w:rPr>
          <w:rFonts w:ascii="Times New Roman"/>
          <w:sz w:val="24"/>
        </w:rPr>
        <w:t>help, input and friendship throughout the period</w:t>
      </w:r>
      <w:r>
        <w:rPr>
          <w:rFonts w:ascii="Times New Roman"/>
          <w:spacing w:val="-2"/>
          <w:sz w:val="24"/>
        </w:rPr>
        <w:t> </w:t>
      </w:r>
      <w:r>
        <w:rPr>
          <w:rFonts w:ascii="Times New Roman"/>
          <w:sz w:val="24"/>
        </w:rPr>
        <w:t>of my</w:t>
      </w:r>
      <w:r>
        <w:rPr>
          <w:rFonts w:ascii="Times New Roman"/>
          <w:spacing w:val="-3"/>
          <w:sz w:val="24"/>
        </w:rPr>
        <w:t> </w:t>
      </w:r>
      <w:r>
        <w:rPr>
          <w:rFonts w:ascii="Times New Roman"/>
          <w:sz w:val="24"/>
        </w:rPr>
        <w:t>work. My</w:t>
      </w:r>
      <w:r>
        <w:rPr>
          <w:rFonts w:ascii="Times New Roman"/>
          <w:spacing w:val="-7"/>
          <w:sz w:val="24"/>
        </w:rPr>
        <w:t> </w:t>
      </w:r>
      <w:r>
        <w:rPr>
          <w:rFonts w:ascii="Times New Roman"/>
          <w:sz w:val="24"/>
        </w:rPr>
        <w:t>colleagues in</w:t>
      </w:r>
      <w:r>
        <w:rPr>
          <w:rFonts w:ascii="Times New Roman"/>
          <w:spacing w:val="-3"/>
          <w:sz w:val="24"/>
        </w:rPr>
        <w:t> </w:t>
      </w:r>
      <w:r>
        <w:rPr>
          <w:rFonts w:ascii="Times New Roman"/>
          <w:sz w:val="24"/>
        </w:rPr>
        <w:t>the laboratory, Susan David, Aisha Mohammed,MallamAbdullahi, it was fun working with you.</w:t>
      </w:r>
    </w:p>
    <w:p>
      <w:pPr>
        <w:spacing w:line="480" w:lineRule="auto" w:before="1"/>
        <w:ind w:left="920" w:right="1181" w:firstLine="0"/>
        <w:jc w:val="left"/>
        <w:rPr>
          <w:rFonts w:ascii="Times New Roman"/>
          <w:sz w:val="24"/>
        </w:rPr>
      </w:pPr>
      <w:r>
        <w:rPr>
          <w:rFonts w:ascii="Times New Roman"/>
          <w:sz w:val="24"/>
        </w:rPr>
        <w:t>I</w:t>
      </w:r>
      <w:r>
        <w:rPr>
          <w:rFonts w:ascii="Times New Roman"/>
          <w:spacing w:val="40"/>
          <w:sz w:val="24"/>
        </w:rPr>
        <w:t> </w:t>
      </w:r>
      <w:r>
        <w:rPr>
          <w:rFonts w:ascii="Times New Roman"/>
          <w:sz w:val="24"/>
        </w:rPr>
        <w:t>cannot</w:t>
      </w:r>
      <w:r>
        <w:rPr>
          <w:rFonts w:ascii="Times New Roman"/>
          <w:spacing w:val="40"/>
          <w:sz w:val="24"/>
        </w:rPr>
        <w:t> </w:t>
      </w:r>
      <w:r>
        <w:rPr>
          <w:rFonts w:ascii="Times New Roman"/>
          <w:sz w:val="24"/>
        </w:rPr>
        <w:t>go</w:t>
      </w:r>
      <w:r>
        <w:rPr>
          <w:rFonts w:ascii="Times New Roman"/>
          <w:spacing w:val="40"/>
          <w:sz w:val="24"/>
        </w:rPr>
        <w:t> </w:t>
      </w:r>
      <w:r>
        <w:rPr>
          <w:rFonts w:ascii="Times New Roman"/>
          <w:sz w:val="24"/>
        </w:rPr>
        <w:t>on</w:t>
      </w:r>
      <w:r>
        <w:rPr>
          <w:rFonts w:ascii="Times New Roman"/>
          <w:spacing w:val="40"/>
          <w:sz w:val="24"/>
        </w:rPr>
        <w:t> </w:t>
      </w:r>
      <w:r>
        <w:rPr>
          <w:rFonts w:ascii="Times New Roman"/>
          <w:sz w:val="24"/>
        </w:rPr>
        <w:t>without</w:t>
      </w:r>
      <w:r>
        <w:rPr>
          <w:rFonts w:ascii="Times New Roman"/>
          <w:spacing w:val="40"/>
          <w:sz w:val="24"/>
        </w:rPr>
        <w:t> </w:t>
      </w:r>
      <w:r>
        <w:rPr>
          <w:rFonts w:ascii="Times New Roman"/>
          <w:sz w:val="24"/>
        </w:rPr>
        <w:t>thanking</w:t>
      </w:r>
      <w:r>
        <w:rPr>
          <w:rFonts w:ascii="Times New Roman"/>
          <w:spacing w:val="40"/>
          <w:sz w:val="24"/>
        </w:rPr>
        <w:t> </w:t>
      </w:r>
      <w:r>
        <w:rPr>
          <w:rFonts w:ascii="Times New Roman"/>
          <w:sz w:val="24"/>
        </w:rPr>
        <w:t>my</w:t>
      </w:r>
      <w:r>
        <w:rPr>
          <w:rFonts w:ascii="Times New Roman"/>
          <w:spacing w:val="40"/>
          <w:sz w:val="24"/>
        </w:rPr>
        <w:t> </w:t>
      </w:r>
      <w:r>
        <w:rPr>
          <w:rFonts w:ascii="Times New Roman"/>
          <w:sz w:val="24"/>
        </w:rPr>
        <w:t>husband,</w:t>
      </w:r>
      <w:r>
        <w:rPr>
          <w:rFonts w:ascii="Times New Roman"/>
          <w:spacing w:val="40"/>
          <w:sz w:val="24"/>
        </w:rPr>
        <w:t> </w:t>
      </w:r>
      <w:r>
        <w:rPr>
          <w:rFonts w:ascii="Times New Roman"/>
          <w:sz w:val="24"/>
        </w:rPr>
        <w:t>MrAkaninyeneIbanga</w:t>
      </w:r>
      <w:r>
        <w:rPr>
          <w:rFonts w:ascii="Times New Roman"/>
          <w:spacing w:val="40"/>
          <w:sz w:val="24"/>
        </w:rPr>
        <w:t> </w:t>
      </w:r>
      <w:r>
        <w:rPr>
          <w:rFonts w:ascii="Times New Roman"/>
          <w:sz w:val="24"/>
        </w:rPr>
        <w:t>for</w:t>
      </w:r>
      <w:r>
        <w:rPr>
          <w:rFonts w:ascii="Times New Roman"/>
          <w:spacing w:val="40"/>
          <w:sz w:val="24"/>
        </w:rPr>
        <w:t> </w:t>
      </w:r>
      <w:r>
        <w:rPr>
          <w:rFonts w:ascii="Times New Roman"/>
          <w:sz w:val="24"/>
        </w:rPr>
        <w:t>his</w:t>
      </w:r>
      <w:r>
        <w:rPr>
          <w:rFonts w:ascii="Times New Roman"/>
          <w:spacing w:val="67"/>
          <w:sz w:val="24"/>
        </w:rPr>
        <w:t> </w:t>
      </w:r>
      <w:r>
        <w:rPr>
          <w:rFonts w:ascii="Times New Roman"/>
          <w:sz w:val="24"/>
        </w:rPr>
        <w:t>love,</w:t>
      </w:r>
      <w:r>
        <w:rPr>
          <w:rFonts w:ascii="Times New Roman"/>
          <w:spacing w:val="40"/>
          <w:sz w:val="24"/>
        </w:rPr>
        <w:t> </w:t>
      </w:r>
      <w:r>
        <w:rPr>
          <w:rFonts w:ascii="Times New Roman"/>
          <w:sz w:val="24"/>
        </w:rPr>
        <w:t>support,</w:t>
      </w:r>
      <w:r>
        <w:rPr>
          <w:rFonts w:ascii="Times New Roman"/>
          <w:spacing w:val="40"/>
          <w:sz w:val="24"/>
        </w:rPr>
        <w:t> </w:t>
      </w:r>
      <w:r>
        <w:rPr>
          <w:rFonts w:ascii="Times New Roman"/>
          <w:sz w:val="24"/>
        </w:rPr>
        <w:t>patience, understanding and for believing in me.</w:t>
      </w:r>
    </w:p>
    <w:p>
      <w:pPr>
        <w:spacing w:line="480" w:lineRule="auto" w:before="0"/>
        <w:ind w:left="920" w:right="1178" w:firstLine="0"/>
        <w:jc w:val="both"/>
        <w:rPr>
          <w:rFonts w:ascii="Times New Roman" w:hAnsi="Times New Roman"/>
          <w:sz w:val="24"/>
        </w:rPr>
      </w:pPr>
      <w:r>
        <w:rPr>
          <w:rFonts w:ascii="Times New Roman" w:hAnsi="Times New Roman"/>
          <w:sz w:val="24"/>
        </w:rPr>
        <w:t>My profound gratitude goes to my parent,Mr and Mrs Damian Umofia, siblings – Uforo and Okpongette and all those people from back home that were not with me in person, but were in spirit, for their support in every possible way, constant prayers and</w:t>
      </w:r>
      <w:r>
        <w:rPr>
          <w:rFonts w:ascii="Times New Roman" w:hAnsi="Times New Roman"/>
          <w:spacing w:val="40"/>
          <w:sz w:val="24"/>
        </w:rPr>
        <w:t> </w:t>
      </w:r>
      <w:r>
        <w:rPr>
          <w:rFonts w:ascii="Times New Roman" w:hAnsi="Times New Roman"/>
          <w:sz w:val="24"/>
        </w:rPr>
        <w:t>believing in me from the start. I would like to</w:t>
      </w:r>
      <w:r>
        <w:rPr>
          <w:rFonts w:ascii="Times New Roman" w:hAnsi="Times New Roman"/>
          <w:spacing w:val="-1"/>
          <w:sz w:val="24"/>
        </w:rPr>
        <w:t> </w:t>
      </w:r>
      <w:r>
        <w:rPr>
          <w:rFonts w:ascii="Times New Roman" w:hAnsi="Times New Roman"/>
          <w:sz w:val="24"/>
        </w:rPr>
        <w:t>thank all my</w:t>
      </w:r>
      <w:r>
        <w:rPr>
          <w:rFonts w:ascii="Times New Roman" w:hAnsi="Times New Roman"/>
          <w:spacing w:val="-1"/>
          <w:sz w:val="24"/>
        </w:rPr>
        <w:t> </w:t>
      </w:r>
      <w:r>
        <w:rPr>
          <w:rFonts w:ascii="Times New Roman" w:hAnsi="Times New Roman"/>
          <w:sz w:val="24"/>
        </w:rPr>
        <w:t>friends</w:t>
      </w:r>
      <w:r>
        <w:rPr>
          <w:rFonts w:ascii="Times New Roman" w:hAnsi="Times New Roman"/>
          <w:spacing w:val="-3"/>
          <w:sz w:val="24"/>
        </w:rPr>
        <w:t> </w:t>
      </w:r>
      <w:r>
        <w:rPr>
          <w:rFonts w:ascii="Times New Roman" w:hAnsi="Times New Roman"/>
          <w:sz w:val="24"/>
        </w:rPr>
        <w:t>who could be with</w:t>
      </w:r>
      <w:r>
        <w:rPr>
          <w:rFonts w:ascii="Times New Roman" w:hAnsi="Times New Roman"/>
          <w:spacing w:val="-1"/>
          <w:sz w:val="24"/>
        </w:rPr>
        <w:t> </w:t>
      </w:r>
      <w:r>
        <w:rPr>
          <w:rFonts w:ascii="Times New Roman" w:hAnsi="Times New Roman"/>
          <w:sz w:val="24"/>
        </w:rPr>
        <w:t>me in person</w:t>
      </w:r>
      <w:r>
        <w:rPr>
          <w:rFonts w:ascii="Times New Roman" w:hAnsi="Times New Roman"/>
          <w:spacing w:val="-1"/>
          <w:sz w:val="24"/>
        </w:rPr>
        <w:t> </w:t>
      </w:r>
      <w:r>
        <w:rPr>
          <w:rFonts w:ascii="Times New Roman" w:hAnsi="Times New Roman"/>
          <w:sz w:val="24"/>
        </w:rPr>
        <w:t>and helped immensely in one way or another, DrUduakAkpabio, EvillaBadiru, Joy Gwafan, IgweChibueze, Justina Ahmadu,</w:t>
      </w:r>
      <w:r>
        <w:rPr>
          <w:rFonts w:ascii="Times New Roman" w:hAnsi="Times New Roman"/>
          <w:spacing w:val="23"/>
          <w:sz w:val="24"/>
        </w:rPr>
        <w:t> </w:t>
      </w:r>
      <w:r>
        <w:rPr>
          <w:rFonts w:ascii="Times New Roman" w:hAnsi="Times New Roman"/>
          <w:sz w:val="24"/>
        </w:rPr>
        <w:t>NamsoEtim,</w:t>
      </w:r>
      <w:r>
        <w:rPr>
          <w:rFonts w:ascii="Times New Roman" w:hAnsi="Times New Roman"/>
          <w:spacing w:val="27"/>
          <w:sz w:val="24"/>
        </w:rPr>
        <w:t> </w:t>
      </w:r>
      <w:r>
        <w:rPr>
          <w:rFonts w:ascii="Times New Roman" w:hAnsi="Times New Roman"/>
          <w:sz w:val="24"/>
        </w:rPr>
        <w:t>UduakUdoso,</w:t>
      </w:r>
      <w:r>
        <w:rPr>
          <w:rFonts w:ascii="Times New Roman" w:hAnsi="Times New Roman"/>
          <w:spacing w:val="23"/>
          <w:sz w:val="24"/>
        </w:rPr>
        <w:t> </w:t>
      </w:r>
      <w:r>
        <w:rPr>
          <w:rFonts w:ascii="Times New Roman" w:hAnsi="Times New Roman"/>
          <w:sz w:val="24"/>
        </w:rPr>
        <w:t>Grace</w:t>
      </w:r>
      <w:r>
        <w:rPr>
          <w:rFonts w:ascii="Times New Roman" w:hAnsi="Times New Roman"/>
          <w:spacing w:val="21"/>
          <w:sz w:val="24"/>
        </w:rPr>
        <w:t> </w:t>
      </w:r>
      <w:r>
        <w:rPr>
          <w:rFonts w:ascii="Times New Roman" w:hAnsi="Times New Roman"/>
          <w:sz w:val="24"/>
        </w:rPr>
        <w:t>Abakpa,</w:t>
      </w:r>
      <w:r>
        <w:rPr>
          <w:rFonts w:ascii="Times New Roman" w:hAnsi="Times New Roman"/>
          <w:spacing w:val="23"/>
          <w:sz w:val="24"/>
        </w:rPr>
        <w:t> </w:t>
      </w:r>
      <w:r>
        <w:rPr>
          <w:rFonts w:ascii="Times New Roman" w:hAnsi="Times New Roman"/>
          <w:sz w:val="24"/>
        </w:rPr>
        <w:t>Matina</w:t>
      </w:r>
      <w:r>
        <w:rPr>
          <w:rFonts w:ascii="Times New Roman" w:hAnsi="Times New Roman"/>
          <w:spacing w:val="20"/>
          <w:sz w:val="24"/>
        </w:rPr>
        <w:t> </w:t>
      </w:r>
      <w:r>
        <w:rPr>
          <w:rFonts w:ascii="Times New Roman" w:hAnsi="Times New Roman"/>
          <w:sz w:val="24"/>
        </w:rPr>
        <w:t>Joseph,</w:t>
      </w:r>
      <w:r>
        <w:rPr>
          <w:rFonts w:ascii="Times New Roman" w:hAnsi="Times New Roman"/>
          <w:spacing w:val="23"/>
          <w:sz w:val="24"/>
        </w:rPr>
        <w:t> </w:t>
      </w:r>
      <w:r>
        <w:rPr>
          <w:rFonts w:ascii="Times New Roman" w:hAnsi="Times New Roman"/>
          <w:sz w:val="24"/>
        </w:rPr>
        <w:t>JamilaJobin</w:t>
      </w:r>
      <w:r>
        <w:rPr>
          <w:rFonts w:ascii="Times New Roman" w:hAnsi="Times New Roman"/>
          <w:spacing w:val="21"/>
          <w:sz w:val="24"/>
        </w:rPr>
        <w:t> </w:t>
      </w:r>
      <w:r>
        <w:rPr>
          <w:rFonts w:ascii="Times New Roman" w:hAnsi="Times New Roman"/>
          <w:sz w:val="24"/>
        </w:rPr>
        <w:t>and</w:t>
      </w:r>
      <w:r>
        <w:rPr>
          <w:rFonts w:ascii="Times New Roman" w:hAnsi="Times New Roman"/>
          <w:spacing w:val="25"/>
          <w:sz w:val="24"/>
        </w:rPr>
        <w:t> </w:t>
      </w:r>
      <w:r>
        <w:rPr>
          <w:rFonts w:ascii="Times New Roman" w:hAnsi="Times New Roman"/>
          <w:sz w:val="24"/>
        </w:rPr>
        <w:t>so</w:t>
      </w:r>
      <w:r>
        <w:rPr>
          <w:rFonts w:ascii="Times New Roman" w:hAnsi="Times New Roman"/>
          <w:spacing w:val="30"/>
          <w:sz w:val="24"/>
        </w:rPr>
        <w:t> </w:t>
      </w:r>
      <w:r>
        <w:rPr>
          <w:rFonts w:ascii="Times New Roman" w:hAnsi="Times New Roman"/>
          <w:spacing w:val="-4"/>
          <w:sz w:val="24"/>
        </w:rPr>
        <w:t>many</w:t>
      </w:r>
    </w:p>
    <w:p>
      <w:pPr>
        <w:spacing w:after="0" w:line="480" w:lineRule="auto"/>
        <w:jc w:val="both"/>
        <w:rPr>
          <w:rFonts w:ascii="Times New Roman" w:hAnsi="Times New Roman"/>
          <w:sz w:val="24"/>
        </w:rPr>
        <w:sectPr>
          <w:pgSz w:w="12240" w:h="15840"/>
          <w:pgMar w:header="0" w:footer="1017" w:top="1360" w:bottom="1200" w:left="520" w:right="260"/>
        </w:sectPr>
      </w:pPr>
    </w:p>
    <w:p>
      <w:pPr>
        <w:spacing w:line="480" w:lineRule="auto" w:before="72"/>
        <w:ind w:left="920" w:right="1181" w:firstLine="0"/>
        <w:jc w:val="left"/>
        <w:rPr>
          <w:rFonts w:ascii="Times New Roman"/>
          <w:sz w:val="24"/>
        </w:rPr>
      </w:pPr>
      <w:r>
        <w:rPr>
          <w:rFonts w:ascii="Times New Roman"/>
          <w:sz w:val="24"/>
        </w:rPr>
        <w:t>others I cannot mention. To those that affected me during the course of this study and have not</w:t>
      </w:r>
      <w:r>
        <w:rPr>
          <w:rFonts w:ascii="Times New Roman"/>
          <w:spacing w:val="40"/>
          <w:sz w:val="24"/>
        </w:rPr>
        <w:t> </w:t>
      </w:r>
      <w:r>
        <w:rPr>
          <w:rFonts w:ascii="Times New Roman"/>
          <w:sz w:val="24"/>
        </w:rPr>
        <w:t>been mentioned you are all appreciated.</w:t>
      </w:r>
    </w:p>
    <w:p>
      <w:pPr>
        <w:spacing w:line="480" w:lineRule="auto" w:before="0"/>
        <w:ind w:left="920" w:right="1181" w:firstLine="0"/>
        <w:jc w:val="left"/>
        <w:rPr>
          <w:rFonts w:ascii="Times New Roman" w:hAnsi="Times New Roman"/>
          <w:sz w:val="24"/>
        </w:rPr>
      </w:pPr>
      <w:r>
        <w:rPr>
          <w:rFonts w:ascii="Times New Roman" w:hAnsi="Times New Roman"/>
          <w:sz w:val="24"/>
        </w:rPr>
        <w:t>Most</w:t>
      </w:r>
      <w:r>
        <w:rPr>
          <w:rFonts w:ascii="Times New Roman" w:hAnsi="Times New Roman"/>
          <w:spacing w:val="33"/>
          <w:sz w:val="24"/>
        </w:rPr>
        <w:t> </w:t>
      </w:r>
      <w:r>
        <w:rPr>
          <w:rFonts w:ascii="Times New Roman" w:hAnsi="Times New Roman"/>
          <w:sz w:val="24"/>
        </w:rPr>
        <w:t>of</w:t>
      </w:r>
      <w:r>
        <w:rPr>
          <w:rFonts w:ascii="Times New Roman" w:hAnsi="Times New Roman"/>
          <w:spacing w:val="26"/>
          <w:sz w:val="24"/>
        </w:rPr>
        <w:t> </w:t>
      </w:r>
      <w:r>
        <w:rPr>
          <w:rFonts w:ascii="Times New Roman" w:hAnsi="Times New Roman"/>
          <w:sz w:val="24"/>
        </w:rPr>
        <w:t>all</w:t>
      </w:r>
      <w:r>
        <w:rPr>
          <w:rFonts w:ascii="Times New Roman" w:hAnsi="Times New Roman"/>
          <w:spacing w:val="29"/>
          <w:sz w:val="24"/>
        </w:rPr>
        <w:t> </w:t>
      </w:r>
      <w:r>
        <w:rPr>
          <w:rFonts w:ascii="Times New Roman" w:hAnsi="Times New Roman"/>
          <w:sz w:val="24"/>
        </w:rPr>
        <w:t>I’m</w:t>
      </w:r>
      <w:r>
        <w:rPr>
          <w:rFonts w:ascii="Times New Roman" w:hAnsi="Times New Roman"/>
          <w:spacing w:val="33"/>
          <w:sz w:val="24"/>
        </w:rPr>
        <w:t> </w:t>
      </w:r>
      <w:r>
        <w:rPr>
          <w:rFonts w:ascii="Times New Roman" w:hAnsi="Times New Roman"/>
          <w:sz w:val="24"/>
        </w:rPr>
        <w:t>forever</w:t>
      </w:r>
      <w:r>
        <w:rPr>
          <w:rFonts w:ascii="Times New Roman" w:hAnsi="Times New Roman"/>
          <w:spacing w:val="34"/>
          <w:sz w:val="24"/>
        </w:rPr>
        <w:t> </w:t>
      </w:r>
      <w:r>
        <w:rPr>
          <w:rFonts w:ascii="Times New Roman" w:hAnsi="Times New Roman"/>
          <w:sz w:val="24"/>
        </w:rPr>
        <w:t>grateful</w:t>
      </w:r>
      <w:r>
        <w:rPr>
          <w:rFonts w:ascii="Times New Roman" w:hAnsi="Times New Roman"/>
          <w:spacing w:val="29"/>
          <w:sz w:val="24"/>
        </w:rPr>
        <w:t> </w:t>
      </w:r>
      <w:r>
        <w:rPr>
          <w:rFonts w:ascii="Times New Roman" w:hAnsi="Times New Roman"/>
          <w:sz w:val="24"/>
        </w:rPr>
        <w:t>to</w:t>
      </w:r>
      <w:r>
        <w:rPr>
          <w:rFonts w:ascii="Times New Roman" w:hAnsi="Times New Roman"/>
          <w:spacing w:val="37"/>
          <w:sz w:val="24"/>
        </w:rPr>
        <w:t> </w:t>
      </w:r>
      <w:r>
        <w:rPr>
          <w:rFonts w:ascii="Times New Roman" w:hAnsi="Times New Roman"/>
          <w:sz w:val="24"/>
        </w:rPr>
        <w:t>my</w:t>
      </w:r>
      <w:r>
        <w:rPr>
          <w:rFonts w:ascii="Times New Roman" w:hAnsi="Times New Roman"/>
          <w:spacing w:val="29"/>
          <w:sz w:val="24"/>
        </w:rPr>
        <w:t> </w:t>
      </w:r>
      <w:r>
        <w:rPr>
          <w:rFonts w:ascii="Times New Roman" w:hAnsi="Times New Roman"/>
          <w:sz w:val="24"/>
        </w:rPr>
        <w:t>Heavenly</w:t>
      </w:r>
      <w:r>
        <w:rPr>
          <w:rFonts w:ascii="Times New Roman" w:hAnsi="Times New Roman"/>
          <w:spacing w:val="32"/>
          <w:sz w:val="24"/>
        </w:rPr>
        <w:t> </w:t>
      </w:r>
      <w:r>
        <w:rPr>
          <w:rFonts w:ascii="Times New Roman" w:hAnsi="Times New Roman"/>
          <w:sz w:val="24"/>
        </w:rPr>
        <w:t>Father</w:t>
      </w:r>
      <w:r>
        <w:rPr>
          <w:rFonts w:ascii="Times New Roman" w:hAnsi="Times New Roman"/>
          <w:spacing w:val="34"/>
          <w:sz w:val="24"/>
        </w:rPr>
        <w:t> </w:t>
      </w:r>
      <w:r>
        <w:rPr>
          <w:rFonts w:ascii="Times New Roman" w:hAnsi="Times New Roman"/>
          <w:sz w:val="24"/>
        </w:rPr>
        <w:t>who</w:t>
      </w:r>
      <w:r>
        <w:rPr>
          <w:rFonts w:ascii="Times New Roman" w:hAnsi="Times New Roman"/>
          <w:spacing w:val="40"/>
          <w:sz w:val="24"/>
        </w:rPr>
        <w:t> </w:t>
      </w:r>
      <w:r>
        <w:rPr>
          <w:rFonts w:ascii="Times New Roman" w:hAnsi="Times New Roman"/>
          <w:sz w:val="24"/>
        </w:rPr>
        <w:t>made</w:t>
      </w:r>
      <w:r>
        <w:rPr>
          <w:rFonts w:ascii="Times New Roman" w:hAnsi="Times New Roman"/>
          <w:spacing w:val="36"/>
          <w:sz w:val="24"/>
        </w:rPr>
        <w:t> </w:t>
      </w:r>
      <w:r>
        <w:rPr>
          <w:rFonts w:ascii="Times New Roman" w:hAnsi="Times New Roman"/>
          <w:sz w:val="24"/>
        </w:rPr>
        <w:t>me</w:t>
      </w:r>
      <w:r>
        <w:rPr>
          <w:rFonts w:ascii="Times New Roman" w:hAnsi="Times New Roman"/>
          <w:spacing w:val="36"/>
          <w:sz w:val="24"/>
        </w:rPr>
        <w:t> </w:t>
      </w:r>
      <w:r>
        <w:rPr>
          <w:rFonts w:ascii="Times New Roman" w:hAnsi="Times New Roman"/>
          <w:sz w:val="24"/>
        </w:rPr>
        <w:t>to</w:t>
      </w:r>
      <w:r>
        <w:rPr>
          <w:rFonts w:ascii="Times New Roman" w:hAnsi="Times New Roman"/>
          <w:spacing w:val="37"/>
          <w:sz w:val="24"/>
        </w:rPr>
        <w:t> </w:t>
      </w:r>
      <w:r>
        <w:rPr>
          <w:rFonts w:ascii="Times New Roman" w:hAnsi="Times New Roman"/>
          <w:sz w:val="24"/>
        </w:rPr>
        <w:t>enjoy</w:t>
      </w:r>
      <w:r>
        <w:rPr>
          <w:rFonts w:ascii="Times New Roman" w:hAnsi="Times New Roman"/>
          <w:spacing w:val="29"/>
          <w:sz w:val="24"/>
        </w:rPr>
        <w:t> </w:t>
      </w:r>
      <w:r>
        <w:rPr>
          <w:rFonts w:ascii="Times New Roman" w:hAnsi="Times New Roman"/>
          <w:sz w:val="24"/>
        </w:rPr>
        <w:t>good</w:t>
      </w:r>
      <w:r>
        <w:rPr>
          <w:rFonts w:ascii="Times New Roman" w:hAnsi="Times New Roman"/>
          <w:spacing w:val="32"/>
          <w:sz w:val="24"/>
        </w:rPr>
        <w:t> </w:t>
      </w:r>
      <w:r>
        <w:rPr>
          <w:rFonts w:ascii="Times New Roman" w:hAnsi="Times New Roman"/>
          <w:sz w:val="24"/>
        </w:rPr>
        <w:t>health, motivation, patience and protection throughout the course of this work.</w:t>
      </w:r>
    </w:p>
    <w:p>
      <w:pPr>
        <w:spacing w:after="0" w:line="480" w:lineRule="auto"/>
        <w:jc w:val="left"/>
        <w:rPr>
          <w:rFonts w:ascii="Times New Roman" w:hAnsi="Times New Roman"/>
          <w:sz w:val="24"/>
        </w:rPr>
        <w:sectPr>
          <w:pgSz w:w="12240" w:h="15840"/>
          <w:pgMar w:header="0" w:footer="1017" w:top="1360" w:bottom="1200" w:left="520" w:right="260"/>
        </w:sectPr>
      </w:pPr>
    </w:p>
    <w:p>
      <w:pPr>
        <w:pStyle w:val="Heading2"/>
        <w:spacing w:before="76"/>
        <w:ind w:right="255"/>
      </w:pPr>
      <w:bookmarkStart w:name="_TOC_250086" w:id="5"/>
      <w:bookmarkEnd w:id="5"/>
      <w:r>
        <w:rPr>
          <w:spacing w:val="-2"/>
        </w:rPr>
        <w:t>ABSTRACT</w:t>
      </w:r>
    </w:p>
    <w:p>
      <w:pPr>
        <w:spacing w:line="480" w:lineRule="auto" w:before="36"/>
        <w:ind w:left="920" w:right="1174" w:firstLine="0"/>
        <w:jc w:val="both"/>
        <w:rPr>
          <w:rFonts w:ascii="Times New Roman"/>
          <w:sz w:val="24"/>
        </w:rPr>
      </w:pPr>
      <w:r>
        <w:rPr>
          <w:rFonts w:ascii="Times New Roman"/>
          <w:sz w:val="24"/>
        </w:rPr>
        <w:t>Milk</w:t>
      </w:r>
      <w:r>
        <w:rPr>
          <w:rFonts w:ascii="Times New Roman"/>
          <w:spacing w:val="-1"/>
          <w:sz w:val="24"/>
        </w:rPr>
        <w:t> </w:t>
      </w:r>
      <w:r>
        <w:rPr>
          <w:rFonts w:ascii="Times New Roman"/>
          <w:sz w:val="24"/>
        </w:rPr>
        <w:t>contamination</w:t>
      </w:r>
      <w:r>
        <w:rPr>
          <w:rFonts w:ascii="Times New Roman"/>
          <w:spacing w:val="-6"/>
          <w:sz w:val="24"/>
        </w:rPr>
        <w:t> </w:t>
      </w:r>
      <w:r>
        <w:rPr>
          <w:rFonts w:ascii="Times New Roman"/>
          <w:sz w:val="24"/>
        </w:rPr>
        <w:t>with</w:t>
      </w:r>
      <w:r>
        <w:rPr>
          <w:rFonts w:ascii="Times New Roman"/>
          <w:spacing w:val="-6"/>
          <w:sz w:val="24"/>
        </w:rPr>
        <w:t> </w:t>
      </w:r>
      <w:r>
        <w:rPr>
          <w:rFonts w:ascii="Times New Roman"/>
          <w:sz w:val="24"/>
        </w:rPr>
        <w:t>antibiotic</w:t>
      </w:r>
      <w:r>
        <w:rPr>
          <w:rFonts w:ascii="Times New Roman"/>
          <w:spacing w:val="-2"/>
          <w:sz w:val="24"/>
        </w:rPr>
        <w:t> </w:t>
      </w:r>
      <w:r>
        <w:rPr>
          <w:rFonts w:ascii="Times New Roman"/>
          <w:sz w:val="24"/>
        </w:rPr>
        <w:t>resistant bacteria</w:t>
      </w:r>
      <w:r>
        <w:rPr>
          <w:rFonts w:ascii="Times New Roman"/>
          <w:spacing w:val="-2"/>
          <w:sz w:val="24"/>
        </w:rPr>
        <w:t> </w:t>
      </w:r>
      <w:r>
        <w:rPr>
          <w:rFonts w:ascii="Times New Roman"/>
          <w:sz w:val="24"/>
        </w:rPr>
        <w:t>can</w:t>
      </w:r>
      <w:r>
        <w:rPr>
          <w:rFonts w:ascii="Times New Roman"/>
          <w:spacing w:val="-1"/>
          <w:sz w:val="24"/>
        </w:rPr>
        <w:t> </w:t>
      </w:r>
      <w:r>
        <w:rPr>
          <w:rFonts w:ascii="Times New Roman"/>
          <w:sz w:val="24"/>
        </w:rPr>
        <w:t>be a major threat to</w:t>
      </w:r>
      <w:r>
        <w:rPr>
          <w:rFonts w:ascii="Times New Roman"/>
          <w:spacing w:val="-1"/>
          <w:sz w:val="24"/>
        </w:rPr>
        <w:t> </w:t>
      </w:r>
      <w:r>
        <w:rPr>
          <w:rFonts w:ascii="Times New Roman"/>
          <w:sz w:val="24"/>
        </w:rPr>
        <w:t>public health, as</w:t>
      </w:r>
      <w:r>
        <w:rPr>
          <w:rFonts w:ascii="Times New Roman"/>
          <w:spacing w:val="-3"/>
          <w:sz w:val="24"/>
        </w:rPr>
        <w:t> </w:t>
      </w:r>
      <w:r>
        <w:rPr>
          <w:rFonts w:ascii="Times New Roman"/>
          <w:sz w:val="24"/>
        </w:rPr>
        <w:t>the antibiotic resistant determinants can be transferred to other pathogenic bacteria potentially compromising the treatment of severe bacterial infections. This study was conducted to investigate the antibiotics susceptibility of bacterial isolates frompackaged milks marketed in Zaria. Two hundred</w:t>
      </w:r>
      <w:r>
        <w:rPr>
          <w:rFonts w:ascii="Times New Roman"/>
          <w:spacing w:val="-1"/>
          <w:sz w:val="24"/>
        </w:rPr>
        <w:t> </w:t>
      </w:r>
      <w:r>
        <w:rPr>
          <w:rFonts w:ascii="Times New Roman"/>
          <w:sz w:val="24"/>
        </w:rPr>
        <w:t>packaged milk</w:t>
      </w:r>
      <w:r>
        <w:rPr>
          <w:rFonts w:ascii="Times New Roman"/>
          <w:spacing w:val="-1"/>
          <w:sz w:val="24"/>
        </w:rPr>
        <w:t> </w:t>
      </w:r>
      <w:r>
        <w:rPr>
          <w:rFonts w:ascii="Times New Roman"/>
          <w:sz w:val="24"/>
        </w:rPr>
        <w:t>samples</w:t>
      </w:r>
      <w:r>
        <w:rPr>
          <w:rFonts w:ascii="Times New Roman"/>
          <w:spacing w:val="-3"/>
          <w:sz w:val="24"/>
        </w:rPr>
        <w:t> </w:t>
      </w:r>
      <w:r>
        <w:rPr>
          <w:rFonts w:ascii="Times New Roman"/>
          <w:sz w:val="24"/>
        </w:rPr>
        <w:t>were bought from</w:t>
      </w:r>
      <w:r>
        <w:rPr>
          <w:rFonts w:ascii="Times New Roman"/>
          <w:spacing w:val="-5"/>
          <w:sz w:val="24"/>
        </w:rPr>
        <w:t> </w:t>
      </w:r>
      <w:r>
        <w:rPr>
          <w:rFonts w:ascii="Times New Roman"/>
          <w:sz w:val="24"/>
        </w:rPr>
        <w:t>five locations</w:t>
      </w:r>
      <w:r>
        <w:rPr>
          <w:rFonts w:ascii="Times New Roman"/>
          <w:spacing w:val="-3"/>
          <w:sz w:val="24"/>
        </w:rPr>
        <w:t> </w:t>
      </w:r>
      <w:r>
        <w:rPr>
          <w:rFonts w:ascii="Times New Roman"/>
          <w:sz w:val="24"/>
        </w:rPr>
        <w:t>(forty</w:t>
      </w:r>
      <w:r>
        <w:rPr>
          <w:rFonts w:ascii="Times New Roman"/>
          <w:spacing w:val="-11"/>
          <w:sz w:val="24"/>
        </w:rPr>
        <w:t> </w:t>
      </w:r>
      <w:r>
        <w:rPr>
          <w:rFonts w:ascii="Times New Roman"/>
          <w:sz w:val="24"/>
        </w:rPr>
        <w:t>samples from each) in Zaria. Isolation and identification of the bacteria specieswere carried out using standard microbiological procedures. Antibiotics susceptibility of the isolates was determined using a panel of</w:t>
      </w:r>
      <w:r>
        <w:rPr>
          <w:rFonts w:ascii="Times New Roman"/>
          <w:spacing w:val="-3"/>
          <w:sz w:val="24"/>
        </w:rPr>
        <w:t> </w:t>
      </w:r>
      <w:r>
        <w:rPr>
          <w:rFonts w:ascii="Times New Roman"/>
          <w:sz w:val="24"/>
        </w:rPr>
        <w:t>12 antibiotics by</w:t>
      </w:r>
      <w:r>
        <w:rPr>
          <w:rFonts w:ascii="Times New Roman"/>
          <w:spacing w:val="-1"/>
          <w:sz w:val="24"/>
        </w:rPr>
        <w:t> </w:t>
      </w:r>
      <w:r>
        <w:rPr>
          <w:rFonts w:ascii="Times New Roman"/>
          <w:sz w:val="24"/>
        </w:rPr>
        <w:t>disc diffusion method following Clinical Laboratory Standard Institute guidelines. Minimum Inhibitory</w:t>
      </w:r>
      <w:r>
        <w:rPr>
          <w:rFonts w:ascii="Times New Roman"/>
          <w:spacing w:val="-1"/>
          <w:sz w:val="24"/>
        </w:rPr>
        <w:t> </w:t>
      </w:r>
      <w:r>
        <w:rPr>
          <w:rFonts w:ascii="Times New Roman"/>
          <w:sz w:val="24"/>
        </w:rPr>
        <w:t>Concentration (M.I.C.)was determined using agar plate dilution method.Conjugative studies were carried out with multiple antibiotics resistant isolates from</w:t>
      </w:r>
      <w:r>
        <w:rPr>
          <w:rFonts w:ascii="Times New Roman"/>
          <w:spacing w:val="40"/>
          <w:sz w:val="24"/>
        </w:rPr>
        <w:t> </w:t>
      </w:r>
      <w:r>
        <w:rPr>
          <w:rFonts w:ascii="Times New Roman"/>
          <w:sz w:val="24"/>
        </w:rPr>
        <w:t>milk samples. The resistant isolates were subjected to DNA isolation and agarose gel electrophoresis. The result obtained showed that the major contaminants of milk products analysed were </w:t>
      </w:r>
      <w:r>
        <w:rPr>
          <w:rFonts w:ascii="Times New Roman"/>
          <w:i/>
          <w:sz w:val="24"/>
        </w:rPr>
        <w:t>Pseudomonas spp</w:t>
      </w:r>
      <w:r>
        <w:rPr>
          <w:rFonts w:ascii="Times New Roman"/>
          <w:sz w:val="24"/>
        </w:rPr>
        <w:t>closely followed by </w:t>
      </w:r>
      <w:r>
        <w:rPr>
          <w:rFonts w:ascii="Times New Roman"/>
          <w:i/>
          <w:sz w:val="24"/>
        </w:rPr>
        <w:t>Enterobacterspp</w:t>
      </w:r>
      <w:r>
        <w:rPr>
          <w:rFonts w:ascii="Times New Roman"/>
          <w:sz w:val="24"/>
        </w:rPr>
        <w:t>and </w:t>
      </w:r>
      <w:r>
        <w:rPr>
          <w:rFonts w:ascii="Times New Roman"/>
          <w:i/>
          <w:sz w:val="24"/>
        </w:rPr>
        <w:t>Escherichia coli </w:t>
      </w:r>
      <w:r>
        <w:rPr>
          <w:rFonts w:ascii="Times New Roman"/>
          <w:sz w:val="24"/>
        </w:rPr>
        <w:t>and the overall contamination level of bacterial isolates in this study was 76.5%. One hundred and fifty-three bacterial isolates were identified from</w:t>
      </w:r>
      <w:r>
        <w:rPr>
          <w:rFonts w:ascii="Times New Roman"/>
          <w:spacing w:val="-6"/>
          <w:sz w:val="24"/>
        </w:rPr>
        <w:t> </w:t>
      </w:r>
      <w:r>
        <w:rPr>
          <w:rFonts w:ascii="Times New Roman"/>
          <w:sz w:val="24"/>
        </w:rPr>
        <w:t>the milk sample, 27.5% were</w:t>
      </w:r>
      <w:r>
        <w:rPr>
          <w:rFonts w:ascii="Times New Roman"/>
          <w:spacing w:val="-3"/>
          <w:sz w:val="24"/>
        </w:rPr>
        <w:t> </w:t>
      </w:r>
      <w:r>
        <w:rPr>
          <w:rFonts w:ascii="Times New Roman"/>
          <w:sz w:val="24"/>
        </w:rPr>
        <w:t>obtained from</w:t>
      </w:r>
      <w:r>
        <w:rPr>
          <w:rFonts w:ascii="Times New Roman"/>
          <w:spacing w:val="-6"/>
          <w:sz w:val="24"/>
        </w:rPr>
        <w:t> </w:t>
      </w:r>
      <w:r>
        <w:rPr>
          <w:rFonts w:ascii="Times New Roman"/>
          <w:sz w:val="24"/>
        </w:rPr>
        <w:t>the first brand of milk sample, 21.6% from</w:t>
      </w:r>
      <w:r>
        <w:rPr>
          <w:rFonts w:ascii="Times New Roman"/>
          <w:spacing w:val="-6"/>
          <w:sz w:val="24"/>
        </w:rPr>
        <w:t> </w:t>
      </w:r>
      <w:r>
        <w:rPr>
          <w:rFonts w:ascii="Times New Roman"/>
          <w:sz w:val="24"/>
        </w:rPr>
        <w:t>the second brand, 12.4% from</w:t>
      </w:r>
      <w:r>
        <w:rPr>
          <w:rFonts w:ascii="Times New Roman"/>
          <w:spacing w:val="-6"/>
          <w:sz w:val="24"/>
        </w:rPr>
        <w:t> </w:t>
      </w:r>
      <w:r>
        <w:rPr>
          <w:rFonts w:ascii="Times New Roman"/>
          <w:sz w:val="24"/>
        </w:rPr>
        <w:t>the third brand and 38.6% from the fourth brand of milk samples. Susceptibility result showedthat high percentage of isolates were resistant to cloxacillin (99.35%), erythromycin (98%), amoxicillin (83.01%), chloramphenicol (83%) and tetracycline (81.7%) but were however susceptible to ofloxacin (99.3%) and gentamicin (83%). Multiple antibiotics resistance indices (MARI) showed that bacterial isolates from the studied packaged milk samples were multi-resistant with MARI ranging from</w:t>
      </w:r>
      <w:r>
        <w:rPr>
          <w:rFonts w:ascii="Times New Roman"/>
          <w:spacing w:val="-2"/>
          <w:sz w:val="24"/>
        </w:rPr>
        <w:t> </w:t>
      </w:r>
      <w:r>
        <w:rPr>
          <w:rFonts w:ascii="Times New Roman"/>
          <w:sz w:val="24"/>
        </w:rPr>
        <w:t>0.2 to 1.0. Out of</w:t>
      </w:r>
      <w:r>
        <w:rPr>
          <w:rFonts w:ascii="Times New Roman"/>
          <w:spacing w:val="-2"/>
          <w:sz w:val="24"/>
        </w:rPr>
        <w:t> </w:t>
      </w:r>
      <w:r>
        <w:rPr>
          <w:rFonts w:ascii="Times New Roman"/>
          <w:sz w:val="24"/>
        </w:rPr>
        <w:t>ninety enterobacteriaceae studied, 93.3% of</w:t>
      </w:r>
      <w:r>
        <w:rPr>
          <w:rFonts w:ascii="Times New Roman"/>
          <w:spacing w:val="-2"/>
          <w:sz w:val="24"/>
        </w:rPr>
        <w:t> </w:t>
      </w:r>
      <w:r>
        <w:rPr>
          <w:rFonts w:ascii="Times New Roman"/>
          <w:sz w:val="24"/>
        </w:rPr>
        <w:t>the bacterial isolates had</w:t>
      </w:r>
      <w:r>
        <w:rPr>
          <w:rFonts w:ascii="Times New Roman"/>
          <w:spacing w:val="23"/>
          <w:sz w:val="24"/>
        </w:rPr>
        <w:t> </w:t>
      </w:r>
      <w:r>
        <w:rPr>
          <w:rFonts w:ascii="Times New Roman"/>
          <w:sz w:val="24"/>
        </w:rPr>
        <w:t>MAR</w:t>
      </w:r>
      <w:r>
        <w:rPr>
          <w:rFonts w:ascii="Times New Roman"/>
          <w:spacing w:val="26"/>
          <w:sz w:val="24"/>
        </w:rPr>
        <w:t> </w:t>
      </w:r>
      <w:r>
        <w:rPr>
          <w:rFonts w:ascii="Times New Roman"/>
          <w:sz w:val="24"/>
        </w:rPr>
        <w:t>index</w:t>
      </w:r>
      <w:r>
        <w:rPr>
          <w:rFonts w:ascii="Times New Roman"/>
          <w:spacing w:val="18"/>
          <w:sz w:val="24"/>
        </w:rPr>
        <w:t> </w:t>
      </w:r>
      <w:r>
        <w:rPr>
          <w:rFonts w:ascii="Times New Roman"/>
          <w:sz w:val="24"/>
        </w:rPr>
        <w:t>of</w:t>
      </w:r>
      <w:r>
        <w:rPr>
          <w:rFonts w:ascii="Times New Roman"/>
          <w:spacing w:val="15"/>
          <w:sz w:val="24"/>
        </w:rPr>
        <w:t> </w:t>
      </w:r>
      <w:r>
        <w:rPr>
          <w:rFonts w:ascii="Times New Roman"/>
          <w:sz w:val="24"/>
        </w:rPr>
        <w:t>0.3</w:t>
      </w:r>
      <w:r>
        <w:rPr>
          <w:rFonts w:ascii="Times New Roman"/>
          <w:spacing w:val="24"/>
          <w:sz w:val="24"/>
        </w:rPr>
        <w:t> </w:t>
      </w:r>
      <w:r>
        <w:rPr>
          <w:rFonts w:ascii="Times New Roman"/>
          <w:sz w:val="24"/>
        </w:rPr>
        <w:t>and</w:t>
      </w:r>
      <w:r>
        <w:rPr>
          <w:rFonts w:ascii="Times New Roman"/>
          <w:spacing w:val="23"/>
          <w:sz w:val="24"/>
        </w:rPr>
        <w:t> </w:t>
      </w:r>
      <w:r>
        <w:rPr>
          <w:rFonts w:ascii="Times New Roman"/>
          <w:sz w:val="24"/>
        </w:rPr>
        <w:t>above.Conjugation</w:t>
      </w:r>
      <w:r>
        <w:rPr>
          <w:rFonts w:ascii="Times New Roman"/>
          <w:spacing w:val="18"/>
          <w:sz w:val="24"/>
        </w:rPr>
        <w:t> </w:t>
      </w:r>
      <w:r>
        <w:rPr>
          <w:rFonts w:ascii="Times New Roman"/>
          <w:sz w:val="24"/>
        </w:rPr>
        <w:t>studies</w:t>
      </w:r>
      <w:r>
        <w:rPr>
          <w:rFonts w:ascii="Times New Roman"/>
          <w:spacing w:val="21"/>
          <w:sz w:val="24"/>
        </w:rPr>
        <w:t> </w:t>
      </w:r>
      <w:r>
        <w:rPr>
          <w:rFonts w:ascii="Times New Roman"/>
          <w:sz w:val="24"/>
        </w:rPr>
        <w:t>revealed</w:t>
      </w:r>
      <w:r>
        <w:rPr>
          <w:rFonts w:ascii="Times New Roman"/>
          <w:spacing w:val="23"/>
          <w:sz w:val="24"/>
        </w:rPr>
        <w:t> </w:t>
      </w:r>
      <w:r>
        <w:rPr>
          <w:rFonts w:ascii="Times New Roman"/>
          <w:sz w:val="24"/>
        </w:rPr>
        <w:t>that</w:t>
      </w:r>
      <w:r>
        <w:rPr>
          <w:rFonts w:ascii="Times New Roman"/>
          <w:spacing w:val="28"/>
          <w:sz w:val="24"/>
        </w:rPr>
        <w:t> </w:t>
      </w:r>
      <w:r>
        <w:rPr>
          <w:rFonts w:ascii="Times New Roman"/>
          <w:sz w:val="24"/>
        </w:rPr>
        <w:t>nineteen</w:t>
      </w:r>
      <w:r>
        <w:rPr>
          <w:rFonts w:ascii="Times New Roman"/>
          <w:spacing w:val="18"/>
          <w:sz w:val="24"/>
        </w:rPr>
        <w:t> </w:t>
      </w:r>
      <w:r>
        <w:rPr>
          <w:rFonts w:ascii="Times New Roman"/>
          <w:sz w:val="24"/>
        </w:rPr>
        <w:t>out</w:t>
      </w:r>
      <w:r>
        <w:rPr>
          <w:rFonts w:ascii="Times New Roman"/>
          <w:spacing w:val="23"/>
          <w:sz w:val="24"/>
        </w:rPr>
        <w:t> </w:t>
      </w:r>
      <w:r>
        <w:rPr>
          <w:rFonts w:ascii="Times New Roman"/>
          <w:sz w:val="24"/>
        </w:rPr>
        <w:t>of</w:t>
      </w:r>
      <w:r>
        <w:rPr>
          <w:rFonts w:ascii="Times New Roman"/>
          <w:spacing w:val="15"/>
          <w:sz w:val="24"/>
        </w:rPr>
        <w:t> </w:t>
      </w:r>
      <w:r>
        <w:rPr>
          <w:rFonts w:ascii="Times New Roman"/>
          <w:sz w:val="24"/>
        </w:rPr>
        <w:t>twenty-six</w:t>
      </w:r>
    </w:p>
    <w:p>
      <w:pPr>
        <w:spacing w:after="0" w:line="480" w:lineRule="auto"/>
        <w:jc w:val="both"/>
        <w:rPr>
          <w:rFonts w:ascii="Times New Roman"/>
          <w:sz w:val="24"/>
        </w:rPr>
        <w:sectPr>
          <w:pgSz w:w="12240" w:h="15840"/>
          <w:pgMar w:header="0" w:footer="1017" w:top="1360" w:bottom="1200" w:left="520" w:right="260"/>
        </w:sectPr>
      </w:pPr>
    </w:p>
    <w:p>
      <w:pPr>
        <w:spacing w:line="480" w:lineRule="auto" w:before="72"/>
        <w:ind w:left="920" w:right="1171" w:firstLine="0"/>
        <w:jc w:val="both"/>
        <w:rPr>
          <w:rFonts w:ascii="Times New Roman"/>
          <w:sz w:val="24"/>
        </w:rPr>
      </w:pPr>
      <w:r>
        <w:rPr>
          <w:rFonts w:ascii="Times New Roman"/>
          <w:sz w:val="24"/>
        </w:rPr>
        <w:t>donor isolates transferred resistant trait to the recipients while plasmid analysis yielded seven different plasmid</w:t>
      </w:r>
      <w:r>
        <w:rPr>
          <w:rFonts w:ascii="Times New Roman"/>
          <w:spacing w:val="-1"/>
          <w:sz w:val="24"/>
        </w:rPr>
        <w:t> </w:t>
      </w:r>
      <w:r>
        <w:rPr>
          <w:rFonts w:ascii="Times New Roman"/>
          <w:sz w:val="24"/>
        </w:rPr>
        <w:t>profiles</w:t>
      </w:r>
      <w:r>
        <w:rPr>
          <w:rFonts w:ascii="Times New Roman"/>
          <w:spacing w:val="-3"/>
          <w:sz w:val="24"/>
        </w:rPr>
        <w:t> </w:t>
      </w:r>
      <w:r>
        <w:rPr>
          <w:rFonts w:ascii="Times New Roman"/>
          <w:sz w:val="24"/>
        </w:rPr>
        <w:t>comprising</w:t>
      </w:r>
      <w:r>
        <w:rPr>
          <w:rFonts w:ascii="Times New Roman"/>
          <w:spacing w:val="-1"/>
          <w:sz w:val="24"/>
        </w:rPr>
        <w:t> </w:t>
      </w:r>
      <w:r>
        <w:rPr>
          <w:rFonts w:ascii="Times New Roman"/>
          <w:sz w:val="24"/>
        </w:rPr>
        <w:t>one</w:t>
      </w:r>
      <w:r>
        <w:rPr>
          <w:rFonts w:ascii="Times New Roman"/>
          <w:spacing w:val="-2"/>
          <w:sz w:val="24"/>
        </w:rPr>
        <w:t> </w:t>
      </w:r>
      <w:r>
        <w:rPr>
          <w:rFonts w:ascii="Times New Roman"/>
          <w:sz w:val="24"/>
        </w:rPr>
        <w:t>or two plasmids numbers</w:t>
      </w:r>
      <w:r>
        <w:rPr>
          <w:rFonts w:ascii="Times New Roman"/>
          <w:spacing w:val="-3"/>
          <w:sz w:val="24"/>
        </w:rPr>
        <w:t> </w:t>
      </w:r>
      <w:r>
        <w:rPr>
          <w:rFonts w:ascii="Times New Roman"/>
          <w:sz w:val="24"/>
        </w:rPr>
        <w:t>with</w:t>
      </w:r>
      <w:r>
        <w:rPr>
          <w:rFonts w:ascii="Times New Roman"/>
          <w:spacing w:val="-1"/>
          <w:sz w:val="24"/>
        </w:rPr>
        <w:t> </w:t>
      </w:r>
      <w:r>
        <w:rPr>
          <w:rFonts w:ascii="Times New Roman"/>
          <w:sz w:val="24"/>
        </w:rPr>
        <w:t>estimated</w:t>
      </w:r>
      <w:r>
        <w:rPr>
          <w:rFonts w:ascii="Times New Roman"/>
          <w:spacing w:val="-1"/>
          <w:sz w:val="24"/>
        </w:rPr>
        <w:t> </w:t>
      </w:r>
      <w:r>
        <w:rPr>
          <w:rFonts w:ascii="Times New Roman"/>
          <w:sz w:val="24"/>
        </w:rPr>
        <w:t>sizes between 2.512kb and 10kb. This study showed that transfer of multi-antibiotic resistant gene to other pathogenic bacteria could result in serious health concern; therefore, packaged milk products industries should maintain high processing standards.</w:t>
      </w:r>
    </w:p>
    <w:p>
      <w:pPr>
        <w:spacing w:after="0" w:line="480" w:lineRule="auto"/>
        <w:jc w:val="both"/>
        <w:rPr>
          <w:rFonts w:ascii="Times New Roman"/>
          <w:sz w:val="24"/>
        </w:rPr>
        <w:sectPr>
          <w:pgSz w:w="12240" w:h="15840"/>
          <w:pgMar w:header="0" w:footer="1017" w:top="1360" w:bottom="1200" w:left="520" w:right="260"/>
        </w:sectPr>
      </w:pPr>
    </w:p>
    <w:p>
      <w:pPr>
        <w:spacing w:before="76"/>
        <w:ind w:left="940" w:right="1207" w:firstLine="0"/>
        <w:jc w:val="center"/>
        <w:rPr>
          <w:rFonts w:ascii="Times New Roman"/>
          <w:b/>
          <w:sz w:val="24"/>
        </w:rPr>
      </w:pPr>
      <w:r>
        <w:rPr>
          <w:rFonts w:ascii="Times New Roman"/>
          <w:b/>
          <w:sz w:val="24"/>
        </w:rPr>
        <w:t>TABLE</w:t>
      </w:r>
      <w:r>
        <w:rPr>
          <w:rFonts w:ascii="Times New Roman"/>
          <w:b/>
          <w:spacing w:val="-6"/>
          <w:sz w:val="24"/>
        </w:rPr>
        <w:t> </w:t>
      </w:r>
      <w:r>
        <w:rPr>
          <w:rFonts w:ascii="Times New Roman"/>
          <w:b/>
          <w:sz w:val="24"/>
        </w:rPr>
        <w:t>OF</w:t>
      </w:r>
      <w:r>
        <w:rPr>
          <w:rFonts w:ascii="Times New Roman"/>
          <w:b/>
          <w:spacing w:val="-6"/>
          <w:sz w:val="24"/>
        </w:rPr>
        <w:t> </w:t>
      </w:r>
      <w:r>
        <w:rPr>
          <w:rFonts w:ascii="Times New Roman"/>
          <w:b/>
          <w:spacing w:val="-2"/>
          <w:sz w:val="24"/>
        </w:rPr>
        <w:t>CONTENTS</w:t>
      </w:r>
    </w:p>
    <w:p>
      <w:pPr>
        <w:tabs>
          <w:tab w:pos="8839" w:val="left" w:leader="none"/>
        </w:tabs>
        <w:spacing w:before="41"/>
        <w:ind w:left="920" w:right="0" w:firstLine="0"/>
        <w:jc w:val="left"/>
        <w:rPr>
          <w:rFonts w:ascii="Times New Roman"/>
          <w:b/>
          <w:sz w:val="24"/>
        </w:rPr>
      </w:pPr>
      <w:r>
        <w:rPr>
          <w:rFonts w:ascii="Times New Roman"/>
          <w:b/>
          <w:spacing w:val="-2"/>
          <w:sz w:val="24"/>
        </w:rPr>
        <w:t>CONTENTS</w:t>
      </w:r>
      <w:r>
        <w:rPr>
          <w:rFonts w:ascii="Times New Roman"/>
          <w:b/>
          <w:sz w:val="24"/>
        </w:rPr>
        <w:tab/>
      </w:r>
      <w:r>
        <w:rPr>
          <w:rFonts w:ascii="Times New Roman"/>
          <w:b/>
          <w:spacing w:val="-2"/>
          <w:sz w:val="24"/>
        </w:rPr>
        <w:t>PAGES</w:t>
      </w:r>
    </w:p>
    <w:p>
      <w:pPr>
        <w:spacing w:after="0"/>
        <w:jc w:val="left"/>
        <w:rPr>
          <w:rFonts w:ascii="Times New Roman"/>
          <w:sz w:val="24"/>
        </w:rPr>
        <w:sectPr>
          <w:pgSz w:w="12240" w:h="15840"/>
          <w:pgMar w:header="0" w:footer="1017" w:top="1360" w:bottom="1982" w:left="520" w:right="260"/>
        </w:sectPr>
      </w:pPr>
    </w:p>
    <w:sdt>
      <w:sdtPr>
        <w:docPartObj>
          <w:docPartGallery w:val="Table of Contents"/>
          <w:docPartUnique/>
        </w:docPartObj>
      </w:sdtPr>
      <w:sdtEndPr/>
      <w:sdtContent>
        <w:p>
          <w:pPr>
            <w:pStyle w:val="TOC2"/>
            <w:tabs>
              <w:tab w:pos="10199" w:val="right" w:leader="dot"/>
            </w:tabs>
            <w:spacing w:before="36"/>
            <w:ind w:left="920" w:firstLine="0"/>
          </w:pPr>
          <w:r>
            <w:rPr/>
            <w:t>Cover</w:t>
          </w:r>
          <w:r>
            <w:rPr>
              <w:spacing w:val="-7"/>
            </w:rPr>
            <w:t> </w:t>
          </w:r>
          <w:r>
            <w:rPr>
              <w:spacing w:val="-4"/>
            </w:rPr>
            <w:t>Page</w:t>
          </w:r>
          <w:r>
            <w:rPr/>
            <w:tab/>
          </w:r>
          <w:r>
            <w:rPr>
              <w:spacing w:val="-10"/>
            </w:rPr>
            <w:t>i</w:t>
          </w:r>
        </w:p>
        <w:p>
          <w:pPr>
            <w:pStyle w:val="TOC2"/>
            <w:tabs>
              <w:tab w:pos="10246" w:val="right" w:leader="dot"/>
            </w:tabs>
            <w:spacing w:before="358"/>
            <w:ind w:left="920" w:firstLine="0"/>
          </w:pPr>
          <w:r>
            <w:rPr/>
            <w:t>Title</w:t>
          </w:r>
          <w:r>
            <w:rPr>
              <w:spacing w:val="-10"/>
            </w:rPr>
            <w:t> </w:t>
          </w:r>
          <w:r>
            <w:rPr>
              <w:spacing w:val="-4"/>
            </w:rPr>
            <w:t>Page</w:t>
          </w:r>
          <w:r>
            <w:rPr/>
            <w:tab/>
          </w:r>
          <w:r>
            <w:rPr>
              <w:spacing w:val="-5"/>
            </w:rPr>
            <w:t>ii</w:t>
          </w:r>
        </w:p>
        <w:p>
          <w:pPr>
            <w:pStyle w:val="TOC2"/>
            <w:tabs>
              <w:tab w:pos="10271" w:val="right" w:leader="dot"/>
            </w:tabs>
            <w:spacing w:before="362"/>
            <w:ind w:left="920" w:firstLine="0"/>
          </w:pPr>
          <w:hyperlink w:history="true" w:anchor="_TOC_250090">
            <w:r>
              <w:rPr>
                <w:spacing w:val="-2"/>
              </w:rPr>
              <w:t>Declaration</w:t>
            </w:r>
            <w:r>
              <w:rPr/>
              <w:tab/>
            </w:r>
            <w:r>
              <w:rPr>
                <w:spacing w:val="-5"/>
              </w:rPr>
              <w:t>iii</w:t>
            </w:r>
          </w:hyperlink>
        </w:p>
        <w:p>
          <w:pPr>
            <w:pStyle w:val="TOC2"/>
            <w:tabs>
              <w:tab w:pos="10237" w:val="right" w:leader="dot"/>
            </w:tabs>
            <w:spacing w:before="358"/>
            <w:ind w:left="920" w:firstLine="0"/>
          </w:pPr>
          <w:hyperlink w:history="true" w:anchor="_TOC_250089">
            <w:r>
              <w:rPr>
                <w:spacing w:val="-2"/>
              </w:rPr>
              <w:t>Certification</w:t>
            </w:r>
            <w:r>
              <w:rPr/>
              <w:tab/>
            </w:r>
            <w:r>
              <w:rPr>
                <w:spacing w:val="-5"/>
              </w:rPr>
              <w:t>iv</w:t>
            </w:r>
          </w:hyperlink>
        </w:p>
        <w:p>
          <w:pPr>
            <w:pStyle w:val="TOC2"/>
            <w:tabs>
              <w:tab w:pos="10252" w:val="right" w:leader="dot"/>
            </w:tabs>
            <w:spacing w:before="358"/>
            <w:ind w:left="920" w:firstLine="0"/>
          </w:pPr>
          <w:hyperlink w:history="true" w:anchor="_TOC_250088">
            <w:r>
              <w:rPr>
                <w:spacing w:val="-2"/>
              </w:rPr>
              <w:t>Dedication</w:t>
            </w:r>
            <w:r>
              <w:rPr/>
              <w:tab/>
            </w:r>
            <w:r>
              <w:rPr>
                <w:spacing w:val="-10"/>
              </w:rPr>
              <w:t>v</w:t>
            </w:r>
          </w:hyperlink>
        </w:p>
        <w:p>
          <w:pPr>
            <w:pStyle w:val="TOC2"/>
            <w:tabs>
              <w:tab w:pos="10245" w:val="right" w:leader="dot"/>
            </w:tabs>
            <w:ind w:left="920" w:firstLine="0"/>
          </w:pPr>
          <w:hyperlink w:history="true" w:anchor="_TOC_250087">
            <w:r>
              <w:rPr>
                <w:spacing w:val="-2"/>
              </w:rPr>
              <w:t>Acknowledgement</w:t>
            </w:r>
            <w:r>
              <w:rPr/>
              <w:tab/>
            </w:r>
            <w:r>
              <w:rPr>
                <w:spacing w:val="-5"/>
              </w:rPr>
              <w:t>vi</w:t>
            </w:r>
          </w:hyperlink>
        </w:p>
        <w:p>
          <w:pPr>
            <w:pStyle w:val="TOC2"/>
            <w:tabs>
              <w:tab w:pos="10269" w:val="right" w:leader="dot"/>
            </w:tabs>
            <w:spacing w:before="363"/>
            <w:ind w:left="920" w:firstLine="0"/>
          </w:pPr>
          <w:hyperlink w:history="true" w:anchor="_TOC_250086">
            <w:r>
              <w:rPr>
                <w:spacing w:val="-2"/>
              </w:rPr>
              <w:t>Abstract</w:t>
            </w:r>
            <w:r>
              <w:rPr/>
              <w:tab/>
            </w:r>
            <w:r>
              <w:rPr>
                <w:spacing w:val="-4"/>
              </w:rPr>
              <w:t>viii</w:t>
            </w:r>
          </w:hyperlink>
        </w:p>
        <w:p>
          <w:pPr>
            <w:pStyle w:val="TOC2"/>
            <w:tabs>
              <w:tab w:pos="10228" w:val="right" w:leader="dot"/>
            </w:tabs>
            <w:ind w:left="920" w:firstLine="0"/>
          </w:pPr>
          <w:r>
            <w:rPr/>
            <w:t>Table</w:t>
          </w:r>
          <w:r>
            <w:rPr>
              <w:spacing w:val="-3"/>
            </w:rPr>
            <w:t> </w:t>
          </w:r>
          <w:r>
            <w:rPr/>
            <w:t>of</w:t>
          </w:r>
          <w:r>
            <w:rPr>
              <w:spacing w:val="-10"/>
            </w:rPr>
            <w:t> </w:t>
          </w:r>
          <w:r>
            <w:rPr>
              <w:spacing w:val="-2"/>
            </w:rPr>
            <w:t>content</w:t>
          </w:r>
          <w:r>
            <w:rPr/>
            <w:tab/>
          </w:r>
          <w:r>
            <w:rPr>
              <w:spacing w:val="-10"/>
            </w:rPr>
            <w:t>x</w:t>
          </w:r>
        </w:p>
        <w:p>
          <w:pPr>
            <w:pStyle w:val="TOC2"/>
            <w:tabs>
              <w:tab w:pos="10264" w:val="right" w:leader="dot"/>
            </w:tabs>
            <w:spacing w:before="358"/>
            <w:ind w:left="920" w:firstLine="0"/>
          </w:pPr>
          <w:hyperlink w:history="true" w:anchor="_TOC_250085">
            <w:r>
              <w:rPr/>
              <w:t>List</w:t>
            </w:r>
            <w:r>
              <w:rPr>
                <w:spacing w:val="-1"/>
              </w:rPr>
              <w:t> </w:t>
            </w:r>
            <w:r>
              <w:rPr/>
              <w:t>of</w:t>
            </w:r>
            <w:r>
              <w:rPr>
                <w:spacing w:val="-9"/>
              </w:rPr>
              <w:t> </w:t>
            </w:r>
            <w:r>
              <w:rPr>
                <w:spacing w:val="-2"/>
              </w:rPr>
              <w:t>Figures</w:t>
            </w:r>
            <w:r>
              <w:rPr/>
              <w:tab/>
            </w:r>
            <w:r>
              <w:rPr>
                <w:spacing w:val="-4"/>
              </w:rPr>
              <w:t>xvii</w:t>
            </w:r>
          </w:hyperlink>
        </w:p>
        <w:p>
          <w:pPr>
            <w:pStyle w:val="TOC2"/>
            <w:tabs>
              <w:tab w:pos="10255" w:val="right" w:leader="dot"/>
            </w:tabs>
            <w:ind w:left="920" w:firstLine="0"/>
          </w:pPr>
          <w:hyperlink w:history="true" w:anchor="_TOC_250084">
            <w:r>
              <w:rPr/>
              <w:t>List</w:t>
            </w:r>
            <w:r>
              <w:rPr>
                <w:spacing w:val="-1"/>
              </w:rPr>
              <w:t> </w:t>
            </w:r>
            <w:r>
              <w:rPr/>
              <w:t>of</w:t>
            </w:r>
            <w:r>
              <w:rPr>
                <w:spacing w:val="-9"/>
              </w:rPr>
              <w:t> </w:t>
            </w:r>
            <w:r>
              <w:rPr>
                <w:spacing w:val="-2"/>
              </w:rPr>
              <w:t>Tables</w:t>
            </w:r>
            <w:r>
              <w:rPr/>
              <w:tab/>
            </w:r>
            <w:r>
              <w:rPr>
                <w:spacing w:val="-2"/>
              </w:rPr>
              <w:t>xviii</w:t>
            </w:r>
          </w:hyperlink>
        </w:p>
        <w:p>
          <w:pPr>
            <w:pStyle w:val="TOC2"/>
            <w:tabs>
              <w:tab w:pos="10226" w:val="right" w:leader="dot"/>
            </w:tabs>
            <w:spacing w:before="363"/>
            <w:ind w:left="920" w:firstLine="0"/>
          </w:pPr>
          <w:hyperlink w:history="true" w:anchor="_TOC_250083">
            <w:r>
              <w:rPr/>
              <w:t>List</w:t>
            </w:r>
            <w:r>
              <w:rPr>
                <w:spacing w:val="-1"/>
              </w:rPr>
              <w:t> </w:t>
            </w:r>
            <w:r>
              <w:rPr/>
              <w:t>of</w:t>
            </w:r>
            <w:r>
              <w:rPr>
                <w:spacing w:val="-9"/>
              </w:rPr>
              <w:t> </w:t>
            </w:r>
            <w:r>
              <w:rPr>
                <w:spacing w:val="-2"/>
              </w:rPr>
              <w:t>Plates</w:t>
            </w:r>
            <w:r>
              <w:rPr/>
              <w:tab/>
            </w:r>
            <w:r>
              <w:rPr>
                <w:spacing w:val="-5"/>
              </w:rPr>
              <w:t>xx</w:t>
            </w:r>
          </w:hyperlink>
        </w:p>
        <w:p>
          <w:pPr>
            <w:pStyle w:val="TOC2"/>
            <w:tabs>
              <w:tab w:pos="10250" w:val="right" w:leader="dot"/>
            </w:tabs>
            <w:spacing w:before="358"/>
            <w:ind w:left="920" w:firstLine="0"/>
          </w:pPr>
          <w:hyperlink w:history="true" w:anchor="_TOC_250082">
            <w:r>
              <w:rPr/>
              <w:t>List</w:t>
            </w:r>
            <w:r>
              <w:rPr>
                <w:spacing w:val="-1"/>
              </w:rPr>
              <w:t> </w:t>
            </w:r>
            <w:r>
              <w:rPr/>
              <w:t>of</w:t>
            </w:r>
            <w:r>
              <w:rPr>
                <w:spacing w:val="-4"/>
              </w:rPr>
              <w:t> </w:t>
            </w:r>
            <w:r>
              <w:rPr>
                <w:spacing w:val="-2"/>
              </w:rPr>
              <w:t>Appendices</w:t>
            </w:r>
            <w:r>
              <w:rPr/>
              <w:tab/>
            </w:r>
            <w:r>
              <w:rPr>
                <w:spacing w:val="-5"/>
              </w:rPr>
              <w:t>xxi</w:t>
            </w:r>
          </w:hyperlink>
        </w:p>
        <w:p>
          <w:pPr>
            <w:pStyle w:val="TOC1"/>
          </w:pPr>
          <w:r>
            <w:rPr>
              <w:spacing w:val="-2"/>
            </w:rPr>
            <w:t>CHAPTER</w:t>
          </w:r>
          <w:r>
            <w:rPr>
              <w:spacing w:val="-3"/>
            </w:rPr>
            <w:t> </w:t>
          </w:r>
          <w:r>
            <w:rPr>
              <w:spacing w:val="-5"/>
            </w:rPr>
            <w:t>ONE</w:t>
          </w:r>
        </w:p>
        <w:p>
          <w:pPr>
            <w:pStyle w:val="TOC2"/>
            <w:numPr>
              <w:ilvl w:val="1"/>
              <w:numId w:val="1"/>
            </w:numPr>
            <w:tabs>
              <w:tab w:pos="1283" w:val="left" w:leader="none"/>
              <w:tab w:pos="10265" w:val="right" w:leader="dot"/>
            </w:tabs>
            <w:spacing w:line="240" w:lineRule="auto" w:before="353" w:after="0"/>
            <w:ind w:left="1283" w:right="0" w:hanging="363"/>
            <w:jc w:val="left"/>
          </w:pPr>
          <w:r>
            <w:rPr>
              <w:spacing w:val="-2"/>
            </w:rPr>
            <w:t>Introduction</w:t>
          </w:r>
          <w:r>
            <w:rPr/>
            <w:tab/>
          </w:r>
          <w:r>
            <w:rPr>
              <w:spacing w:val="-10"/>
            </w:rPr>
            <w:t>1</w:t>
          </w:r>
        </w:p>
        <w:p>
          <w:pPr>
            <w:pStyle w:val="TOC2"/>
            <w:numPr>
              <w:ilvl w:val="1"/>
              <w:numId w:val="1"/>
            </w:numPr>
            <w:tabs>
              <w:tab w:pos="1283" w:val="left" w:leader="none"/>
              <w:tab w:pos="10250" w:val="right" w:leader="dot"/>
            </w:tabs>
            <w:spacing w:line="240" w:lineRule="auto" w:before="362" w:after="0"/>
            <w:ind w:left="1283" w:right="0" w:hanging="363"/>
            <w:jc w:val="left"/>
          </w:pPr>
          <w:hyperlink w:history="true" w:anchor="_TOC_250081">
            <w:r>
              <w:rPr/>
              <w:t>Background</w:t>
            </w:r>
            <w:r>
              <w:rPr>
                <w:spacing w:val="-13"/>
              </w:rPr>
              <w:t> </w:t>
            </w:r>
            <w:r>
              <w:rPr>
                <w:spacing w:val="-2"/>
              </w:rPr>
              <w:t>information</w:t>
            </w:r>
            <w:r>
              <w:rPr/>
              <w:tab/>
            </w:r>
            <w:r>
              <w:rPr>
                <w:spacing w:val="-10"/>
              </w:rPr>
              <w:t>1</w:t>
            </w:r>
          </w:hyperlink>
        </w:p>
        <w:p>
          <w:pPr>
            <w:pStyle w:val="TOC2"/>
            <w:numPr>
              <w:ilvl w:val="1"/>
              <w:numId w:val="1"/>
            </w:numPr>
            <w:tabs>
              <w:tab w:pos="1283" w:val="left" w:leader="none"/>
              <w:tab w:pos="10252" w:val="right" w:leader="dot"/>
            </w:tabs>
            <w:spacing w:line="240" w:lineRule="auto" w:before="358" w:after="0"/>
            <w:ind w:left="1283" w:right="0" w:hanging="363"/>
            <w:jc w:val="left"/>
          </w:pPr>
          <w:hyperlink w:history="true" w:anchor="_TOC_250080">
            <w:r>
              <w:rPr/>
              <w:t>Statement</w:t>
            </w:r>
            <w:r>
              <w:rPr>
                <w:spacing w:val="-7"/>
              </w:rPr>
              <w:t> </w:t>
            </w:r>
            <w:r>
              <w:rPr/>
              <w:t>of</w:t>
            </w:r>
            <w:r>
              <w:rPr>
                <w:spacing w:val="-15"/>
              </w:rPr>
              <w:t> </w:t>
            </w:r>
            <w:r>
              <w:rPr/>
              <w:t>Research</w:t>
            </w:r>
            <w:r>
              <w:rPr>
                <w:spacing w:val="-11"/>
              </w:rPr>
              <w:t> </w:t>
            </w:r>
            <w:r>
              <w:rPr>
                <w:spacing w:val="-2"/>
              </w:rPr>
              <w:t>Problem</w:t>
            </w:r>
            <w:r>
              <w:rPr/>
              <w:tab/>
            </w:r>
            <w:r>
              <w:rPr>
                <w:spacing w:val="-10"/>
              </w:rPr>
              <w:t>4</w:t>
            </w:r>
          </w:hyperlink>
        </w:p>
        <w:p>
          <w:pPr>
            <w:pStyle w:val="TOC2"/>
            <w:numPr>
              <w:ilvl w:val="1"/>
              <w:numId w:val="1"/>
            </w:numPr>
            <w:tabs>
              <w:tab w:pos="1283" w:val="left" w:leader="none"/>
              <w:tab w:pos="10252" w:val="right" w:leader="dot"/>
            </w:tabs>
            <w:spacing w:line="240" w:lineRule="auto" w:before="357" w:after="0"/>
            <w:ind w:left="1283" w:right="0" w:hanging="363"/>
            <w:jc w:val="left"/>
          </w:pPr>
          <w:hyperlink w:history="true" w:anchor="_TOC_250079">
            <w:r>
              <w:rPr>
                <w:spacing w:val="-2"/>
              </w:rPr>
              <w:t>Justification</w:t>
            </w:r>
            <w:r>
              <w:rPr/>
              <w:tab/>
            </w:r>
            <w:r>
              <w:rPr>
                <w:spacing w:val="-10"/>
              </w:rPr>
              <w:t>6</w:t>
            </w:r>
          </w:hyperlink>
        </w:p>
        <w:p>
          <w:pPr>
            <w:pStyle w:val="TOC2"/>
            <w:numPr>
              <w:ilvl w:val="1"/>
              <w:numId w:val="1"/>
            </w:numPr>
            <w:tabs>
              <w:tab w:pos="1283" w:val="left" w:leader="none"/>
              <w:tab w:pos="10277" w:val="right" w:leader="dot"/>
            </w:tabs>
            <w:spacing w:line="240" w:lineRule="auto" w:before="358" w:after="0"/>
            <w:ind w:left="1283" w:right="0" w:hanging="363"/>
            <w:jc w:val="left"/>
          </w:pPr>
          <w:hyperlink w:history="true" w:anchor="_TOC_250078">
            <w:r>
              <w:rPr/>
              <w:t>Aim</w:t>
            </w:r>
            <w:r>
              <w:rPr>
                <w:spacing w:val="-9"/>
              </w:rPr>
              <w:t> </w:t>
            </w:r>
            <w:r>
              <w:rPr/>
              <w:t>of</w:t>
            </w:r>
            <w:r>
              <w:rPr>
                <w:spacing w:val="-8"/>
              </w:rPr>
              <w:t> </w:t>
            </w:r>
            <w:r>
              <w:rPr/>
              <w:t>the</w:t>
            </w:r>
            <w:r>
              <w:rPr>
                <w:spacing w:val="-1"/>
              </w:rPr>
              <w:t> </w:t>
            </w:r>
            <w:r>
              <w:rPr>
                <w:spacing w:val="-2"/>
              </w:rPr>
              <w:t>study</w:t>
            </w:r>
            <w:r>
              <w:rPr/>
              <w:tab/>
            </w:r>
            <w:r>
              <w:rPr>
                <w:spacing w:val="-10"/>
              </w:rPr>
              <w:t>8</w:t>
            </w:r>
          </w:hyperlink>
        </w:p>
        <w:p>
          <w:pPr>
            <w:pStyle w:val="TOC2"/>
            <w:numPr>
              <w:ilvl w:val="1"/>
              <w:numId w:val="1"/>
            </w:numPr>
            <w:tabs>
              <w:tab w:pos="1283" w:val="left" w:leader="none"/>
              <w:tab w:pos="10228" w:val="right" w:leader="dot"/>
            </w:tabs>
            <w:spacing w:line="240" w:lineRule="auto" w:before="363" w:after="87"/>
            <w:ind w:left="1283" w:right="0" w:hanging="363"/>
            <w:jc w:val="left"/>
          </w:pPr>
          <w:hyperlink w:history="true" w:anchor="_TOC_250077">
            <w:r>
              <w:rPr>
                <w:spacing w:val="-2"/>
              </w:rPr>
              <w:t>Objectives</w:t>
            </w:r>
            <w:r>
              <w:rPr/>
              <w:tab/>
            </w:r>
            <w:r>
              <w:rPr>
                <w:spacing w:val="-10"/>
              </w:rPr>
              <w:t>8</w:t>
            </w:r>
          </w:hyperlink>
        </w:p>
        <w:p>
          <w:pPr>
            <w:pStyle w:val="TOC2"/>
            <w:numPr>
              <w:ilvl w:val="1"/>
              <w:numId w:val="1"/>
            </w:numPr>
            <w:tabs>
              <w:tab w:pos="1283" w:val="left" w:leader="none"/>
              <w:tab w:pos="10284" w:val="right" w:leader="dot"/>
            </w:tabs>
            <w:spacing w:line="240" w:lineRule="auto" w:before="72" w:after="0"/>
            <w:ind w:left="1283" w:right="0" w:hanging="363"/>
            <w:jc w:val="left"/>
          </w:pPr>
          <w:hyperlink w:history="true" w:anchor="_TOC_250076">
            <w:r>
              <w:rPr>
                <w:spacing w:val="-2"/>
              </w:rPr>
              <w:t>Hypothesis</w:t>
            </w:r>
            <w:r>
              <w:rPr/>
              <w:tab/>
            </w:r>
            <w:r>
              <w:rPr>
                <w:spacing w:val="-10"/>
              </w:rPr>
              <w:t>8</w:t>
            </w:r>
          </w:hyperlink>
        </w:p>
        <w:p>
          <w:pPr>
            <w:pStyle w:val="TOC2"/>
            <w:numPr>
              <w:ilvl w:val="1"/>
              <w:numId w:val="1"/>
            </w:numPr>
            <w:tabs>
              <w:tab w:pos="1283" w:val="left" w:leader="none"/>
              <w:tab w:pos="10248" w:val="right" w:leader="dot"/>
            </w:tabs>
            <w:spacing w:line="240" w:lineRule="auto" w:before="357" w:after="0"/>
            <w:ind w:left="1283" w:right="0" w:hanging="363"/>
            <w:jc w:val="left"/>
          </w:pPr>
          <w:hyperlink w:history="true" w:anchor="_TOC_250075">
            <w:r>
              <w:rPr>
                <w:spacing w:val="-2"/>
              </w:rPr>
              <w:t>Limitations</w:t>
            </w:r>
            <w:r>
              <w:rPr/>
              <w:tab/>
            </w:r>
            <w:r>
              <w:rPr>
                <w:spacing w:val="-10"/>
              </w:rPr>
              <w:t>9</w:t>
            </w:r>
          </w:hyperlink>
        </w:p>
        <w:p>
          <w:pPr>
            <w:pStyle w:val="TOC1"/>
            <w:spacing w:before="363"/>
          </w:pPr>
          <w:r>
            <w:rPr>
              <w:spacing w:val="-2"/>
            </w:rPr>
            <w:t>CHAPTER</w:t>
          </w:r>
          <w:r>
            <w:rPr>
              <w:spacing w:val="-4"/>
            </w:rPr>
            <w:t> </w:t>
          </w:r>
          <w:r>
            <w:rPr>
              <w:spacing w:val="-5"/>
            </w:rPr>
            <w:t>TWO</w:t>
          </w:r>
        </w:p>
        <w:p>
          <w:pPr>
            <w:pStyle w:val="TOC2"/>
            <w:numPr>
              <w:ilvl w:val="1"/>
              <w:numId w:val="2"/>
            </w:numPr>
            <w:tabs>
              <w:tab w:pos="1283" w:val="left" w:leader="none"/>
              <w:tab w:pos="10276" w:val="right" w:leader="dot"/>
            </w:tabs>
            <w:spacing w:line="240" w:lineRule="auto" w:before="357" w:after="0"/>
            <w:ind w:left="1283" w:right="0" w:hanging="363"/>
            <w:jc w:val="left"/>
          </w:pPr>
          <w:r>
            <w:rPr/>
            <w:t>Literature</w:t>
          </w:r>
          <w:r>
            <w:rPr>
              <w:spacing w:val="-11"/>
            </w:rPr>
            <w:t> </w:t>
          </w:r>
          <w:r>
            <w:rPr>
              <w:spacing w:val="-2"/>
            </w:rPr>
            <w:t>Review…</w:t>
          </w:r>
          <w:r>
            <w:rPr/>
            <w:tab/>
          </w:r>
          <w:r>
            <w:rPr>
              <w:spacing w:val="-5"/>
            </w:rPr>
            <w:t>10</w:t>
          </w:r>
        </w:p>
        <w:p>
          <w:pPr>
            <w:pStyle w:val="TOC2"/>
            <w:numPr>
              <w:ilvl w:val="1"/>
              <w:numId w:val="2"/>
            </w:numPr>
            <w:tabs>
              <w:tab w:pos="1283" w:val="left" w:leader="none"/>
              <w:tab w:pos="10263" w:val="right" w:leader="dot"/>
            </w:tabs>
            <w:spacing w:line="240" w:lineRule="auto" w:before="358" w:after="0"/>
            <w:ind w:left="1283" w:right="0" w:hanging="363"/>
            <w:jc w:val="left"/>
          </w:pPr>
          <w:hyperlink w:history="true" w:anchor="_TOC_250074">
            <w:r>
              <w:rPr/>
              <w:t>Overview</w:t>
            </w:r>
            <w:r>
              <w:rPr>
                <w:spacing w:val="-8"/>
              </w:rPr>
              <w:t> </w:t>
            </w:r>
            <w:r>
              <w:rPr/>
              <w:t>of</w:t>
            </w:r>
            <w:r>
              <w:rPr>
                <w:spacing w:val="-14"/>
              </w:rPr>
              <w:t> </w:t>
            </w:r>
            <w:r>
              <w:rPr/>
              <w:t>Milk</w:t>
            </w:r>
            <w:r>
              <w:rPr>
                <w:spacing w:val="-7"/>
              </w:rPr>
              <w:t> </w:t>
            </w:r>
            <w:r>
              <w:rPr>
                <w:spacing w:val="-2"/>
              </w:rPr>
              <w:t>Quality</w:t>
            </w:r>
            <w:r>
              <w:rPr/>
              <w:tab/>
            </w:r>
            <w:r>
              <w:rPr>
                <w:spacing w:val="-5"/>
              </w:rPr>
              <w:t>10</w:t>
            </w:r>
          </w:hyperlink>
        </w:p>
        <w:p>
          <w:pPr>
            <w:pStyle w:val="TOC2"/>
            <w:numPr>
              <w:ilvl w:val="1"/>
              <w:numId w:val="2"/>
            </w:numPr>
            <w:tabs>
              <w:tab w:pos="1283" w:val="left" w:leader="none"/>
              <w:tab w:pos="10236" w:val="right" w:leader="dot"/>
            </w:tabs>
            <w:spacing w:line="240" w:lineRule="auto" w:before="358" w:after="0"/>
            <w:ind w:left="1283" w:right="0" w:hanging="363"/>
            <w:jc w:val="left"/>
          </w:pPr>
          <w:hyperlink w:history="true" w:anchor="_TOC_250073">
            <w:r>
              <w:rPr/>
              <w:t>Milk</w:t>
            </w:r>
            <w:r>
              <w:rPr>
                <w:spacing w:val="-10"/>
              </w:rPr>
              <w:t> </w:t>
            </w:r>
            <w:r>
              <w:rPr/>
              <w:t>Composition</w:t>
            </w:r>
            <w:r>
              <w:rPr>
                <w:spacing w:val="-14"/>
              </w:rPr>
              <w:t> </w:t>
            </w:r>
            <w:r>
              <w:rPr/>
              <w:t>and</w:t>
            </w:r>
            <w:r>
              <w:rPr>
                <w:spacing w:val="-10"/>
              </w:rPr>
              <w:t> </w:t>
            </w:r>
            <w:r>
              <w:rPr/>
              <w:t>Nutritive</w:t>
            </w:r>
            <w:r>
              <w:rPr>
                <w:spacing w:val="-11"/>
              </w:rPr>
              <w:t> </w:t>
            </w:r>
            <w:r>
              <w:rPr>
                <w:spacing w:val="-4"/>
              </w:rPr>
              <w:t>Value</w:t>
            </w:r>
            <w:r>
              <w:rPr/>
              <w:tab/>
            </w:r>
            <w:r>
              <w:rPr>
                <w:spacing w:val="-5"/>
              </w:rPr>
              <w:t>11</w:t>
            </w:r>
          </w:hyperlink>
        </w:p>
        <w:p>
          <w:pPr>
            <w:pStyle w:val="TOC2"/>
            <w:numPr>
              <w:ilvl w:val="2"/>
              <w:numId w:val="2"/>
            </w:numPr>
            <w:tabs>
              <w:tab w:pos="1461" w:val="left" w:leader="none"/>
              <w:tab w:pos="10268" w:val="right" w:leader="dot"/>
            </w:tabs>
            <w:spacing w:line="240" w:lineRule="auto" w:before="357" w:after="0"/>
            <w:ind w:left="1461" w:right="0" w:hanging="541"/>
            <w:jc w:val="left"/>
          </w:pPr>
          <w:hyperlink w:history="true" w:anchor="_TOC_250072">
            <w:r>
              <w:rPr/>
              <w:t>Milk</w:t>
            </w:r>
            <w:r>
              <w:rPr>
                <w:spacing w:val="-11"/>
              </w:rPr>
              <w:t> </w:t>
            </w:r>
            <w:r>
              <w:rPr>
                <w:spacing w:val="-5"/>
              </w:rPr>
              <w:t>Fat</w:t>
            </w:r>
            <w:r>
              <w:rPr/>
              <w:tab/>
            </w:r>
            <w:r>
              <w:rPr>
                <w:spacing w:val="-5"/>
              </w:rPr>
              <w:t>12</w:t>
            </w:r>
          </w:hyperlink>
        </w:p>
        <w:p>
          <w:pPr>
            <w:pStyle w:val="TOC2"/>
            <w:numPr>
              <w:ilvl w:val="2"/>
              <w:numId w:val="2"/>
            </w:numPr>
            <w:tabs>
              <w:tab w:pos="1460" w:val="left" w:leader="none"/>
              <w:tab w:pos="10220" w:val="right" w:leader="dot"/>
            </w:tabs>
            <w:spacing w:line="240" w:lineRule="auto" w:before="363" w:after="0"/>
            <w:ind w:left="1460" w:right="0" w:hanging="540"/>
            <w:jc w:val="left"/>
          </w:pPr>
          <w:hyperlink w:history="true" w:anchor="_TOC_250071">
            <w:r>
              <w:rPr>
                <w:spacing w:val="-2"/>
              </w:rPr>
              <w:t>Proteins</w:t>
            </w:r>
            <w:r>
              <w:rPr/>
              <w:tab/>
            </w:r>
            <w:r>
              <w:rPr>
                <w:spacing w:val="-5"/>
              </w:rPr>
              <w:t>12</w:t>
            </w:r>
          </w:hyperlink>
        </w:p>
        <w:p>
          <w:pPr>
            <w:pStyle w:val="TOC2"/>
            <w:numPr>
              <w:ilvl w:val="2"/>
              <w:numId w:val="2"/>
            </w:numPr>
            <w:tabs>
              <w:tab w:pos="1460" w:val="left" w:leader="none"/>
              <w:tab w:pos="10258" w:val="right" w:leader="dot"/>
            </w:tabs>
            <w:spacing w:line="240" w:lineRule="auto" w:before="357" w:after="0"/>
            <w:ind w:left="1460" w:right="0" w:hanging="540"/>
            <w:jc w:val="left"/>
          </w:pPr>
          <w:hyperlink w:history="true" w:anchor="_TOC_250070">
            <w:r>
              <w:rPr>
                <w:spacing w:val="-2"/>
              </w:rPr>
              <w:t>Carbohydrate</w:t>
            </w:r>
            <w:r>
              <w:rPr/>
              <w:tab/>
            </w:r>
            <w:r>
              <w:rPr>
                <w:spacing w:val="-5"/>
              </w:rPr>
              <w:t>13</w:t>
            </w:r>
          </w:hyperlink>
        </w:p>
        <w:p>
          <w:pPr>
            <w:pStyle w:val="TOC2"/>
            <w:numPr>
              <w:ilvl w:val="2"/>
              <w:numId w:val="2"/>
            </w:numPr>
            <w:tabs>
              <w:tab w:pos="1460" w:val="left" w:leader="none"/>
              <w:tab w:pos="10224" w:val="right" w:leader="dot"/>
            </w:tabs>
            <w:spacing w:line="240" w:lineRule="auto" w:before="358" w:after="0"/>
            <w:ind w:left="1460" w:right="0" w:hanging="540"/>
            <w:jc w:val="left"/>
          </w:pPr>
          <w:hyperlink w:history="true" w:anchor="_TOC_250069">
            <w:r>
              <w:rPr>
                <w:spacing w:val="-2"/>
              </w:rPr>
              <w:t>Minerals</w:t>
            </w:r>
            <w:r>
              <w:rPr/>
              <w:tab/>
            </w:r>
            <w:r>
              <w:rPr>
                <w:spacing w:val="-5"/>
              </w:rPr>
              <w:t>14</w:t>
            </w:r>
          </w:hyperlink>
        </w:p>
        <w:p>
          <w:pPr>
            <w:pStyle w:val="TOC2"/>
            <w:numPr>
              <w:ilvl w:val="2"/>
              <w:numId w:val="2"/>
            </w:numPr>
            <w:tabs>
              <w:tab w:pos="1460" w:val="left" w:leader="none"/>
              <w:tab w:pos="10253" w:val="right" w:leader="dot"/>
            </w:tabs>
            <w:spacing w:line="240" w:lineRule="auto" w:before="357" w:after="0"/>
            <w:ind w:left="1460" w:right="0" w:hanging="540"/>
            <w:jc w:val="left"/>
          </w:pPr>
          <w:hyperlink w:history="true" w:anchor="_TOC_250068">
            <w:r>
              <w:rPr>
                <w:spacing w:val="-2"/>
              </w:rPr>
              <w:t>Vitamins</w:t>
            </w:r>
            <w:r>
              <w:rPr/>
              <w:tab/>
            </w:r>
            <w:r>
              <w:rPr>
                <w:spacing w:val="-5"/>
              </w:rPr>
              <w:t>14</w:t>
            </w:r>
          </w:hyperlink>
        </w:p>
        <w:p>
          <w:pPr>
            <w:pStyle w:val="TOC2"/>
            <w:numPr>
              <w:ilvl w:val="1"/>
              <w:numId w:val="2"/>
            </w:numPr>
            <w:tabs>
              <w:tab w:pos="1283" w:val="left" w:leader="none"/>
              <w:tab w:pos="10226" w:val="right" w:leader="dot"/>
            </w:tabs>
            <w:spacing w:line="240" w:lineRule="auto" w:before="363" w:after="0"/>
            <w:ind w:left="1283" w:right="0" w:hanging="363"/>
            <w:jc w:val="left"/>
          </w:pPr>
          <w:hyperlink w:history="true" w:anchor="_TOC_250067">
            <w:r>
              <w:rPr/>
              <w:t>Sources</w:t>
            </w:r>
            <w:r>
              <w:rPr>
                <w:spacing w:val="-10"/>
              </w:rPr>
              <w:t> </w:t>
            </w:r>
            <w:r>
              <w:rPr/>
              <w:t>of</w:t>
            </w:r>
            <w:r>
              <w:rPr>
                <w:spacing w:val="-14"/>
              </w:rPr>
              <w:t> </w:t>
            </w:r>
            <w:r>
              <w:rPr/>
              <w:t>Bacterial</w:t>
            </w:r>
            <w:r>
              <w:rPr>
                <w:spacing w:val="-10"/>
              </w:rPr>
              <w:t> </w:t>
            </w:r>
            <w:r>
              <w:rPr/>
              <w:t>Contamination</w:t>
            </w:r>
            <w:r>
              <w:rPr>
                <w:spacing w:val="-8"/>
              </w:rPr>
              <w:t> </w:t>
            </w:r>
            <w:r>
              <w:rPr/>
              <w:t>in</w:t>
            </w:r>
            <w:r>
              <w:rPr>
                <w:spacing w:val="-11"/>
              </w:rPr>
              <w:t> </w:t>
            </w:r>
            <w:r>
              <w:rPr/>
              <w:t>Milk</w:t>
            </w:r>
            <w:r>
              <w:rPr>
                <w:spacing w:val="-8"/>
              </w:rPr>
              <w:t> </w:t>
            </w:r>
            <w:r>
              <w:rPr>
                <w:spacing w:val="-2"/>
              </w:rPr>
              <w:t>Products</w:t>
            </w:r>
            <w:r>
              <w:rPr/>
              <w:tab/>
            </w:r>
            <w:r>
              <w:rPr>
                <w:spacing w:val="-5"/>
              </w:rPr>
              <w:t>15</w:t>
            </w:r>
          </w:hyperlink>
        </w:p>
        <w:p>
          <w:pPr>
            <w:pStyle w:val="TOC2"/>
            <w:numPr>
              <w:ilvl w:val="2"/>
              <w:numId w:val="2"/>
            </w:numPr>
            <w:tabs>
              <w:tab w:pos="1461" w:val="left" w:leader="none"/>
              <w:tab w:pos="10274" w:val="right" w:leader="dot"/>
            </w:tabs>
            <w:spacing w:line="240" w:lineRule="auto" w:before="358" w:after="0"/>
            <w:ind w:left="1461" w:right="0" w:hanging="541"/>
            <w:jc w:val="left"/>
          </w:pPr>
          <w:hyperlink w:history="true" w:anchor="_TOC_250066">
            <w:r>
              <w:rPr/>
              <w:t>Contamination</w:t>
            </w:r>
            <w:r>
              <w:rPr>
                <w:spacing w:val="-12"/>
              </w:rPr>
              <w:t> </w:t>
            </w:r>
            <w:r>
              <w:rPr/>
              <w:t>from</w:t>
            </w:r>
            <w:r>
              <w:rPr>
                <w:spacing w:val="-15"/>
              </w:rPr>
              <w:t> </w:t>
            </w:r>
            <w:r>
              <w:rPr/>
              <w:t>Cow’s</w:t>
            </w:r>
            <w:r>
              <w:rPr>
                <w:spacing w:val="-12"/>
              </w:rPr>
              <w:t> </w:t>
            </w:r>
            <w:r>
              <w:rPr>
                <w:spacing w:val="-2"/>
              </w:rPr>
              <w:t>Udder</w:t>
            </w:r>
            <w:r>
              <w:rPr/>
              <w:tab/>
            </w:r>
            <w:r>
              <w:rPr>
                <w:spacing w:val="-7"/>
              </w:rPr>
              <w:t>15</w:t>
            </w:r>
          </w:hyperlink>
        </w:p>
        <w:p>
          <w:pPr>
            <w:pStyle w:val="TOC2"/>
            <w:numPr>
              <w:ilvl w:val="2"/>
              <w:numId w:val="2"/>
            </w:numPr>
            <w:tabs>
              <w:tab w:pos="1461" w:val="left" w:leader="none"/>
              <w:tab w:pos="10241" w:val="right" w:leader="dot"/>
            </w:tabs>
            <w:spacing w:line="240" w:lineRule="auto" w:before="357" w:after="0"/>
            <w:ind w:left="1461" w:right="0" w:hanging="541"/>
            <w:jc w:val="left"/>
          </w:pPr>
          <w:hyperlink w:history="true" w:anchor="_TOC_250065">
            <w:r>
              <w:rPr>
                <w:spacing w:val="-2"/>
              </w:rPr>
              <w:t>Contamination</w:t>
            </w:r>
            <w:r>
              <w:rPr>
                <w:spacing w:val="6"/>
              </w:rPr>
              <w:t> </w:t>
            </w:r>
            <w:r>
              <w:rPr>
                <w:spacing w:val="-2"/>
              </w:rPr>
              <w:t>from</w:t>
            </w:r>
            <w:r>
              <w:rPr>
                <w:spacing w:val="-3"/>
              </w:rPr>
              <w:t> </w:t>
            </w:r>
            <w:r>
              <w:rPr>
                <w:spacing w:val="-2"/>
              </w:rPr>
              <w:t>Environment</w:t>
            </w:r>
            <w:r>
              <w:rPr/>
              <w:tab/>
            </w:r>
            <w:r>
              <w:rPr>
                <w:spacing w:val="-5"/>
              </w:rPr>
              <w:t>16</w:t>
            </w:r>
          </w:hyperlink>
        </w:p>
        <w:p>
          <w:pPr>
            <w:pStyle w:val="TOC2"/>
            <w:numPr>
              <w:ilvl w:val="2"/>
              <w:numId w:val="2"/>
            </w:numPr>
            <w:tabs>
              <w:tab w:pos="1461" w:val="left" w:leader="none"/>
              <w:tab w:pos="10281" w:val="right" w:leader="dot"/>
            </w:tabs>
            <w:spacing w:line="240" w:lineRule="auto" w:before="358" w:after="0"/>
            <w:ind w:left="1461" w:right="0" w:hanging="541"/>
            <w:jc w:val="left"/>
          </w:pPr>
          <w:hyperlink w:history="true" w:anchor="_TOC_250064">
            <w:r>
              <w:rPr/>
              <w:t>Contamination</w:t>
            </w:r>
            <w:r>
              <w:rPr>
                <w:spacing w:val="-14"/>
              </w:rPr>
              <w:t> </w:t>
            </w:r>
            <w:r>
              <w:rPr/>
              <w:t>from</w:t>
            </w:r>
            <w:r>
              <w:rPr>
                <w:spacing w:val="-15"/>
              </w:rPr>
              <w:t> </w:t>
            </w:r>
            <w:r>
              <w:rPr/>
              <w:t>Milking</w:t>
            </w:r>
            <w:r>
              <w:rPr>
                <w:spacing w:val="-10"/>
              </w:rPr>
              <w:t> </w:t>
            </w:r>
            <w:r>
              <w:rPr/>
              <w:t>Equipment</w:t>
            </w:r>
            <w:r>
              <w:rPr>
                <w:spacing w:val="-6"/>
              </w:rPr>
              <w:t> </w:t>
            </w:r>
            <w:r>
              <w:rPr/>
              <w:t>and</w:t>
            </w:r>
            <w:r>
              <w:rPr>
                <w:spacing w:val="-11"/>
              </w:rPr>
              <w:t> </w:t>
            </w:r>
            <w:r>
              <w:rPr>
                <w:spacing w:val="-2"/>
              </w:rPr>
              <w:t>Storage</w:t>
            </w:r>
            <w:r>
              <w:rPr/>
              <w:tab/>
            </w:r>
            <w:r>
              <w:rPr>
                <w:spacing w:val="-5"/>
              </w:rPr>
              <w:t>17</w:t>
            </w:r>
          </w:hyperlink>
        </w:p>
        <w:p>
          <w:pPr>
            <w:pStyle w:val="TOC2"/>
            <w:numPr>
              <w:ilvl w:val="1"/>
              <w:numId w:val="2"/>
            </w:numPr>
            <w:tabs>
              <w:tab w:pos="1283" w:val="left" w:leader="none"/>
              <w:tab w:pos="10254" w:val="right" w:leader="dot"/>
            </w:tabs>
            <w:spacing w:line="240" w:lineRule="auto" w:before="362" w:after="0"/>
            <w:ind w:left="1283" w:right="0" w:hanging="363"/>
            <w:jc w:val="left"/>
          </w:pPr>
          <w:hyperlink w:history="true" w:anchor="_TOC_250063">
            <w:r>
              <w:rPr/>
              <w:t>Bacteriological</w:t>
            </w:r>
            <w:r>
              <w:rPr>
                <w:spacing w:val="-10"/>
              </w:rPr>
              <w:t> </w:t>
            </w:r>
            <w:r>
              <w:rPr/>
              <w:t>Quality</w:t>
            </w:r>
            <w:r>
              <w:rPr>
                <w:spacing w:val="-15"/>
              </w:rPr>
              <w:t> </w:t>
            </w:r>
            <w:r>
              <w:rPr/>
              <w:t>of</w:t>
            </w:r>
            <w:r>
              <w:rPr>
                <w:spacing w:val="-13"/>
              </w:rPr>
              <w:t> </w:t>
            </w:r>
            <w:r>
              <w:rPr>
                <w:spacing w:val="-4"/>
              </w:rPr>
              <w:t>Milk…</w:t>
            </w:r>
            <w:r>
              <w:rPr/>
              <w:tab/>
            </w:r>
            <w:r>
              <w:rPr>
                <w:spacing w:val="-5"/>
              </w:rPr>
              <w:t>18</w:t>
            </w:r>
          </w:hyperlink>
        </w:p>
        <w:p>
          <w:pPr>
            <w:pStyle w:val="TOC3"/>
            <w:numPr>
              <w:ilvl w:val="2"/>
              <w:numId w:val="2"/>
            </w:numPr>
            <w:tabs>
              <w:tab w:pos="1403" w:val="left" w:leader="none"/>
              <w:tab w:pos="10226" w:val="right" w:leader="dot"/>
            </w:tabs>
            <w:spacing w:line="240" w:lineRule="auto" w:before="358" w:after="0"/>
            <w:ind w:left="1403" w:right="0" w:hanging="483"/>
            <w:jc w:val="left"/>
            <w:rPr>
              <w:i w:val="0"/>
            </w:rPr>
          </w:pPr>
          <w:hyperlink w:history="true" w:anchor="_TOC_250062">
            <w:r>
              <w:rPr/>
              <w:t>Escherichia</w:t>
            </w:r>
            <w:r>
              <w:rPr>
                <w:spacing w:val="-15"/>
              </w:rPr>
              <w:t> </w:t>
            </w:r>
            <w:r>
              <w:rPr>
                <w:spacing w:val="-4"/>
              </w:rPr>
              <w:t>coli</w:t>
            </w:r>
            <w:r>
              <w:rPr/>
              <w:tab/>
            </w:r>
            <w:r>
              <w:rPr>
                <w:i w:val="0"/>
                <w:spacing w:val="-5"/>
              </w:rPr>
              <w:t>19</w:t>
            </w:r>
          </w:hyperlink>
        </w:p>
        <w:p>
          <w:pPr>
            <w:pStyle w:val="TOC4"/>
            <w:numPr>
              <w:ilvl w:val="2"/>
              <w:numId w:val="2"/>
            </w:numPr>
            <w:tabs>
              <w:tab w:pos="1461" w:val="left" w:leader="none"/>
              <w:tab w:pos="10280" w:val="right" w:leader="dot"/>
            </w:tabs>
            <w:spacing w:line="240" w:lineRule="auto" w:before="357" w:after="0"/>
            <w:ind w:left="1461" w:right="0" w:hanging="541"/>
            <w:jc w:val="left"/>
            <w:rPr>
              <w:b w:val="0"/>
              <w:i w:val="0"/>
              <w:sz w:val="24"/>
            </w:rPr>
          </w:pPr>
          <w:r>
            <w:rPr>
              <w:b w:val="0"/>
              <w:sz w:val="24"/>
            </w:rPr>
            <w:t>Salmonella</w:t>
          </w:r>
          <w:r>
            <w:rPr>
              <w:b w:val="0"/>
              <w:spacing w:val="-9"/>
              <w:sz w:val="24"/>
            </w:rPr>
            <w:t> </w:t>
          </w:r>
          <w:r>
            <w:rPr>
              <w:b w:val="0"/>
              <w:i w:val="0"/>
              <w:spacing w:val="-2"/>
              <w:sz w:val="24"/>
            </w:rPr>
            <w:t>specie</w:t>
          </w:r>
          <w:r>
            <w:rPr>
              <w:b w:val="0"/>
              <w:i w:val="0"/>
              <w:sz w:val="24"/>
            </w:rPr>
            <w:tab/>
          </w:r>
          <w:r>
            <w:rPr>
              <w:b w:val="0"/>
              <w:i w:val="0"/>
              <w:spacing w:val="-5"/>
              <w:sz w:val="24"/>
            </w:rPr>
            <w:t>21</w:t>
          </w:r>
        </w:p>
        <w:p>
          <w:pPr>
            <w:pStyle w:val="TOC4"/>
            <w:numPr>
              <w:ilvl w:val="2"/>
              <w:numId w:val="2"/>
            </w:numPr>
            <w:tabs>
              <w:tab w:pos="1461" w:val="left" w:leader="none"/>
              <w:tab w:pos="10229" w:val="right" w:leader="dot"/>
            </w:tabs>
            <w:spacing w:line="240" w:lineRule="auto" w:before="358" w:after="0"/>
            <w:ind w:left="1461" w:right="0" w:hanging="541"/>
            <w:jc w:val="left"/>
            <w:rPr>
              <w:b w:val="0"/>
              <w:i w:val="0"/>
              <w:sz w:val="24"/>
            </w:rPr>
          </w:pPr>
          <w:r>
            <w:rPr>
              <w:b w:val="0"/>
              <w:sz w:val="24"/>
            </w:rPr>
            <w:t>Enterobacter</w:t>
          </w:r>
          <w:r>
            <w:rPr>
              <w:b w:val="0"/>
              <w:spacing w:val="-15"/>
              <w:sz w:val="24"/>
            </w:rPr>
            <w:t> </w:t>
          </w:r>
          <w:r>
            <w:rPr>
              <w:b w:val="0"/>
              <w:i w:val="0"/>
              <w:spacing w:val="-2"/>
              <w:sz w:val="24"/>
            </w:rPr>
            <w:t>specie</w:t>
          </w:r>
          <w:r>
            <w:rPr>
              <w:b w:val="0"/>
              <w:i w:val="0"/>
              <w:sz w:val="24"/>
            </w:rPr>
            <w:tab/>
          </w:r>
          <w:r>
            <w:rPr>
              <w:b w:val="0"/>
              <w:i w:val="0"/>
              <w:spacing w:val="-5"/>
              <w:sz w:val="24"/>
            </w:rPr>
            <w:t>22</w:t>
          </w:r>
        </w:p>
        <w:p>
          <w:pPr>
            <w:pStyle w:val="TOC3"/>
            <w:numPr>
              <w:ilvl w:val="2"/>
              <w:numId w:val="2"/>
            </w:numPr>
            <w:tabs>
              <w:tab w:pos="1461" w:val="left" w:leader="none"/>
              <w:tab w:pos="10263" w:val="right" w:leader="dot"/>
            </w:tabs>
            <w:spacing w:line="240" w:lineRule="auto" w:before="362" w:after="87"/>
            <w:ind w:left="1461" w:right="0" w:hanging="541"/>
            <w:jc w:val="left"/>
            <w:rPr>
              <w:i w:val="0"/>
            </w:rPr>
          </w:pPr>
          <w:hyperlink w:history="true" w:anchor="_TOC_250061">
            <w:r>
              <w:rPr>
                <w:spacing w:val="-2"/>
              </w:rPr>
              <w:t>Staphylococcus</w:t>
            </w:r>
            <w:r>
              <w:rPr>
                <w:spacing w:val="8"/>
              </w:rPr>
              <w:t> </w:t>
            </w:r>
            <w:r>
              <w:rPr>
                <w:spacing w:val="-2"/>
              </w:rPr>
              <w:t>aureus</w:t>
            </w:r>
            <w:r>
              <w:rPr/>
              <w:tab/>
            </w:r>
            <w:r>
              <w:rPr>
                <w:i w:val="0"/>
                <w:spacing w:val="-7"/>
              </w:rPr>
              <w:t>24</w:t>
            </w:r>
          </w:hyperlink>
        </w:p>
        <w:p>
          <w:pPr>
            <w:pStyle w:val="TOC4"/>
            <w:numPr>
              <w:ilvl w:val="2"/>
              <w:numId w:val="2"/>
            </w:numPr>
            <w:tabs>
              <w:tab w:pos="1461" w:val="left" w:leader="none"/>
              <w:tab w:pos="10234" w:val="right" w:leader="dot"/>
            </w:tabs>
            <w:spacing w:line="240" w:lineRule="auto" w:before="72" w:after="0"/>
            <w:ind w:left="1461" w:right="0" w:hanging="541"/>
            <w:jc w:val="left"/>
            <w:rPr>
              <w:b w:val="0"/>
              <w:i w:val="0"/>
              <w:sz w:val="24"/>
            </w:rPr>
          </w:pPr>
          <w:r>
            <w:rPr>
              <w:b w:val="0"/>
              <w:spacing w:val="-2"/>
              <w:sz w:val="24"/>
            </w:rPr>
            <w:t>Pseudomonas</w:t>
          </w:r>
          <w:r>
            <w:rPr>
              <w:b w:val="0"/>
              <w:i w:val="0"/>
              <w:spacing w:val="-2"/>
              <w:sz w:val="24"/>
            </w:rPr>
            <w:t>specie</w:t>
          </w:r>
          <w:r>
            <w:rPr>
              <w:b w:val="0"/>
              <w:i w:val="0"/>
              <w:sz w:val="24"/>
            </w:rPr>
            <w:tab/>
          </w:r>
          <w:r>
            <w:rPr>
              <w:b w:val="0"/>
              <w:i w:val="0"/>
              <w:spacing w:val="-5"/>
              <w:sz w:val="24"/>
            </w:rPr>
            <w:t>25</w:t>
          </w:r>
        </w:p>
        <w:p>
          <w:pPr>
            <w:pStyle w:val="TOC4"/>
            <w:numPr>
              <w:ilvl w:val="2"/>
              <w:numId w:val="2"/>
            </w:numPr>
            <w:tabs>
              <w:tab w:pos="1461" w:val="left" w:leader="none"/>
              <w:tab w:pos="10234" w:val="right" w:leader="dot"/>
            </w:tabs>
            <w:spacing w:line="240" w:lineRule="auto" w:before="357" w:after="0"/>
            <w:ind w:left="1461" w:right="0" w:hanging="541"/>
            <w:jc w:val="left"/>
            <w:rPr>
              <w:b w:val="0"/>
              <w:i w:val="0"/>
              <w:sz w:val="24"/>
            </w:rPr>
          </w:pPr>
          <w:r>
            <w:rPr>
              <w:b w:val="0"/>
              <w:spacing w:val="-2"/>
              <w:sz w:val="24"/>
            </w:rPr>
            <w:t>Yersinia</w:t>
          </w:r>
          <w:r>
            <w:rPr>
              <w:b w:val="0"/>
              <w:spacing w:val="-1"/>
              <w:sz w:val="24"/>
            </w:rPr>
            <w:t> </w:t>
          </w:r>
          <w:r>
            <w:rPr>
              <w:b w:val="0"/>
              <w:i w:val="0"/>
              <w:spacing w:val="-2"/>
              <w:sz w:val="24"/>
            </w:rPr>
            <w:t>specie</w:t>
          </w:r>
          <w:r>
            <w:rPr>
              <w:b w:val="0"/>
              <w:i w:val="0"/>
              <w:sz w:val="24"/>
            </w:rPr>
            <w:tab/>
          </w:r>
          <w:r>
            <w:rPr>
              <w:b w:val="0"/>
              <w:i w:val="0"/>
              <w:spacing w:val="-5"/>
              <w:sz w:val="24"/>
            </w:rPr>
            <w:t>27</w:t>
          </w:r>
        </w:p>
        <w:p>
          <w:pPr>
            <w:pStyle w:val="TOC2"/>
            <w:numPr>
              <w:ilvl w:val="1"/>
              <w:numId w:val="2"/>
            </w:numPr>
            <w:tabs>
              <w:tab w:pos="1283" w:val="left" w:leader="none"/>
              <w:tab w:pos="10231" w:val="right" w:leader="dot"/>
            </w:tabs>
            <w:spacing w:line="240" w:lineRule="auto" w:before="358" w:after="0"/>
            <w:ind w:left="1283" w:right="0" w:hanging="363"/>
            <w:jc w:val="left"/>
          </w:pPr>
          <w:hyperlink w:history="true" w:anchor="_TOC_250060">
            <w:r>
              <w:rPr/>
              <w:t>Bacteriological</w:t>
            </w:r>
            <w:r>
              <w:rPr>
                <w:spacing w:val="-12"/>
              </w:rPr>
              <w:t> </w:t>
            </w:r>
            <w:r>
              <w:rPr/>
              <w:t>Quality</w:t>
            </w:r>
            <w:r>
              <w:rPr>
                <w:spacing w:val="-15"/>
              </w:rPr>
              <w:t> </w:t>
            </w:r>
            <w:r>
              <w:rPr/>
              <w:t>Tests</w:t>
            </w:r>
            <w:r>
              <w:rPr>
                <w:spacing w:val="-5"/>
              </w:rPr>
              <w:t> </w:t>
            </w:r>
            <w:r>
              <w:rPr/>
              <w:t>for</w:t>
            </w:r>
            <w:r>
              <w:rPr>
                <w:spacing w:val="-7"/>
              </w:rPr>
              <w:t> </w:t>
            </w:r>
            <w:r>
              <w:rPr>
                <w:spacing w:val="-4"/>
              </w:rPr>
              <w:t>Milk…</w:t>
            </w:r>
            <w:r>
              <w:rPr/>
              <w:tab/>
            </w:r>
            <w:r>
              <w:rPr>
                <w:spacing w:val="-5"/>
              </w:rPr>
              <w:t>29</w:t>
            </w:r>
          </w:hyperlink>
        </w:p>
        <w:p>
          <w:pPr>
            <w:pStyle w:val="TOC2"/>
            <w:numPr>
              <w:ilvl w:val="2"/>
              <w:numId w:val="2"/>
            </w:numPr>
            <w:tabs>
              <w:tab w:pos="1460" w:val="left" w:leader="none"/>
              <w:tab w:pos="10232" w:val="right" w:leader="dot"/>
            </w:tabs>
            <w:spacing w:line="240" w:lineRule="auto" w:before="362" w:after="0"/>
            <w:ind w:left="1460" w:right="0" w:hanging="540"/>
            <w:jc w:val="left"/>
          </w:pPr>
          <w:hyperlink w:history="true" w:anchor="_TOC_250059">
            <w:r>
              <w:rPr>
                <w:spacing w:val="-2"/>
              </w:rPr>
              <w:t>Dye-reduction</w:t>
            </w:r>
            <w:r>
              <w:rPr>
                <w:spacing w:val="3"/>
              </w:rPr>
              <w:t> </w:t>
            </w:r>
            <w:r>
              <w:rPr>
                <w:spacing w:val="-4"/>
              </w:rPr>
              <w:t>tests</w:t>
            </w:r>
            <w:r>
              <w:rPr/>
              <w:tab/>
            </w:r>
            <w:r>
              <w:rPr>
                <w:spacing w:val="-5"/>
              </w:rPr>
              <w:t>29</w:t>
            </w:r>
          </w:hyperlink>
        </w:p>
        <w:p>
          <w:pPr>
            <w:pStyle w:val="TOC2"/>
            <w:numPr>
              <w:ilvl w:val="3"/>
              <w:numId w:val="2"/>
            </w:numPr>
            <w:tabs>
              <w:tab w:pos="1637" w:val="left" w:leader="none"/>
              <w:tab w:pos="10274" w:val="right" w:leader="dot"/>
            </w:tabs>
            <w:spacing w:line="240" w:lineRule="auto" w:before="358" w:after="0"/>
            <w:ind w:left="1637" w:right="0" w:hanging="717"/>
            <w:jc w:val="left"/>
          </w:pPr>
          <w:r>
            <w:rPr/>
            <w:t>Methylene</w:t>
          </w:r>
          <w:r>
            <w:rPr>
              <w:spacing w:val="-9"/>
            </w:rPr>
            <w:t> </w:t>
          </w:r>
          <w:r>
            <w:rPr/>
            <w:t>Blue</w:t>
          </w:r>
          <w:r>
            <w:rPr>
              <w:spacing w:val="-9"/>
            </w:rPr>
            <w:t> </w:t>
          </w:r>
          <w:r>
            <w:rPr/>
            <w:t>Reduction</w:t>
          </w:r>
          <w:r>
            <w:rPr>
              <w:spacing w:val="-12"/>
            </w:rPr>
            <w:t> </w:t>
          </w:r>
          <w:r>
            <w:rPr>
              <w:spacing w:val="-4"/>
            </w:rPr>
            <w:t>Test</w:t>
          </w:r>
          <w:r>
            <w:rPr/>
            <w:tab/>
          </w:r>
          <w:r>
            <w:rPr>
              <w:spacing w:val="-5"/>
            </w:rPr>
            <w:t>30</w:t>
          </w:r>
        </w:p>
        <w:p>
          <w:pPr>
            <w:pStyle w:val="TOC2"/>
            <w:numPr>
              <w:ilvl w:val="3"/>
              <w:numId w:val="2"/>
            </w:numPr>
            <w:tabs>
              <w:tab w:pos="1637" w:val="left" w:leader="none"/>
              <w:tab w:pos="10221" w:val="right" w:leader="dot"/>
            </w:tabs>
            <w:spacing w:line="240" w:lineRule="auto" w:before="358" w:after="0"/>
            <w:ind w:left="1637" w:right="0" w:hanging="717"/>
            <w:jc w:val="left"/>
          </w:pPr>
          <w:r>
            <w:rPr/>
            <w:t>Resazurine</w:t>
          </w:r>
          <w:r>
            <w:rPr>
              <w:spacing w:val="-13"/>
            </w:rPr>
            <w:t> </w:t>
          </w:r>
          <w:r>
            <w:rPr/>
            <w:t>Reduction</w:t>
          </w:r>
          <w:r>
            <w:rPr>
              <w:spacing w:val="-15"/>
            </w:rPr>
            <w:t> </w:t>
          </w:r>
          <w:r>
            <w:rPr>
              <w:spacing w:val="-4"/>
            </w:rPr>
            <w:t>Test</w:t>
          </w:r>
          <w:r>
            <w:rPr/>
            <w:tab/>
          </w:r>
          <w:r>
            <w:rPr>
              <w:spacing w:val="-5"/>
            </w:rPr>
            <w:t>30</w:t>
          </w:r>
        </w:p>
        <w:p>
          <w:pPr>
            <w:pStyle w:val="TOC2"/>
            <w:numPr>
              <w:ilvl w:val="2"/>
              <w:numId w:val="2"/>
            </w:numPr>
            <w:tabs>
              <w:tab w:pos="1460" w:val="left" w:leader="none"/>
              <w:tab w:pos="10267" w:val="right" w:leader="dot"/>
            </w:tabs>
            <w:spacing w:line="240" w:lineRule="auto" w:before="357" w:after="0"/>
            <w:ind w:left="1460" w:right="0" w:hanging="540"/>
            <w:jc w:val="left"/>
          </w:pPr>
          <w:hyperlink w:history="true" w:anchor="_TOC_250058">
            <w:r>
              <w:rPr/>
              <w:t>Alcohol</w:t>
            </w:r>
            <w:r>
              <w:rPr>
                <w:spacing w:val="-13"/>
              </w:rPr>
              <w:t> </w:t>
            </w:r>
            <w:r>
              <w:rPr>
                <w:spacing w:val="-4"/>
              </w:rPr>
              <w:t>Test</w:t>
            </w:r>
            <w:r>
              <w:rPr/>
              <w:tab/>
            </w:r>
            <w:r>
              <w:rPr>
                <w:spacing w:val="-5"/>
              </w:rPr>
              <w:t>31</w:t>
            </w:r>
          </w:hyperlink>
        </w:p>
        <w:p>
          <w:pPr>
            <w:pStyle w:val="TOC2"/>
            <w:numPr>
              <w:ilvl w:val="2"/>
              <w:numId w:val="2"/>
            </w:numPr>
            <w:tabs>
              <w:tab w:pos="1461" w:val="left" w:leader="none"/>
              <w:tab w:pos="10226" w:val="right" w:leader="dot"/>
            </w:tabs>
            <w:spacing w:line="240" w:lineRule="auto" w:before="363" w:after="0"/>
            <w:ind w:left="1461" w:right="0" w:hanging="541"/>
            <w:jc w:val="left"/>
          </w:pPr>
          <w:r>
            <w:rPr/>
            <w:t>Standard</w:t>
          </w:r>
          <w:r>
            <w:rPr>
              <w:spacing w:val="-8"/>
            </w:rPr>
            <w:t> </w:t>
          </w:r>
          <w:r>
            <w:rPr/>
            <w:t>Plate</w:t>
          </w:r>
          <w:r>
            <w:rPr>
              <w:spacing w:val="-8"/>
            </w:rPr>
            <w:t> </w:t>
          </w:r>
          <w:r>
            <w:rPr>
              <w:spacing w:val="-4"/>
            </w:rPr>
            <w:t>count</w:t>
          </w:r>
          <w:r>
            <w:rPr/>
            <w:tab/>
          </w:r>
          <w:r>
            <w:rPr>
              <w:spacing w:val="-5"/>
            </w:rPr>
            <w:t>31</w:t>
          </w:r>
        </w:p>
        <w:p>
          <w:pPr>
            <w:pStyle w:val="TOC2"/>
            <w:numPr>
              <w:ilvl w:val="2"/>
              <w:numId w:val="2"/>
            </w:numPr>
            <w:tabs>
              <w:tab w:pos="1461" w:val="left" w:leader="none"/>
              <w:tab w:pos="10272" w:val="right" w:leader="dot"/>
            </w:tabs>
            <w:spacing w:line="240" w:lineRule="auto" w:before="357" w:after="0"/>
            <w:ind w:left="1461" w:right="0" w:hanging="541"/>
            <w:jc w:val="left"/>
          </w:pPr>
          <w:hyperlink w:history="true" w:anchor="_TOC_250057">
            <w:r>
              <w:rPr/>
              <w:t>Coliform</w:t>
            </w:r>
            <w:r>
              <w:rPr>
                <w:spacing w:val="-13"/>
              </w:rPr>
              <w:t> </w:t>
            </w:r>
            <w:r>
              <w:rPr/>
              <w:t>Bacteria</w:t>
            </w:r>
            <w:r>
              <w:rPr>
                <w:spacing w:val="-6"/>
              </w:rPr>
              <w:t> </w:t>
            </w:r>
            <w:r>
              <w:rPr/>
              <w:t>in</w:t>
            </w:r>
            <w:r>
              <w:rPr>
                <w:spacing w:val="-13"/>
              </w:rPr>
              <w:t> </w:t>
            </w:r>
            <w:r>
              <w:rPr>
                <w:spacing w:val="-4"/>
              </w:rPr>
              <w:t>Milk</w:t>
            </w:r>
            <w:r>
              <w:rPr/>
              <w:tab/>
            </w:r>
            <w:r>
              <w:rPr>
                <w:spacing w:val="-5"/>
              </w:rPr>
              <w:t>32</w:t>
            </w:r>
          </w:hyperlink>
        </w:p>
        <w:p>
          <w:pPr>
            <w:pStyle w:val="TOC2"/>
            <w:numPr>
              <w:ilvl w:val="2"/>
              <w:numId w:val="2"/>
            </w:numPr>
            <w:tabs>
              <w:tab w:pos="1461" w:val="left" w:leader="none"/>
              <w:tab w:pos="10256" w:val="right" w:leader="dot"/>
            </w:tabs>
            <w:spacing w:line="240" w:lineRule="auto" w:before="358" w:after="0"/>
            <w:ind w:left="1461" w:right="0" w:hanging="541"/>
            <w:jc w:val="left"/>
          </w:pPr>
          <w:hyperlink w:history="true" w:anchor="_TOC_250056">
            <w:r>
              <w:rPr/>
              <w:t>Tests</w:t>
            </w:r>
            <w:r>
              <w:rPr>
                <w:spacing w:val="-9"/>
              </w:rPr>
              <w:t> </w:t>
            </w:r>
            <w:r>
              <w:rPr/>
              <w:t>for</w:t>
            </w:r>
            <w:r>
              <w:rPr>
                <w:spacing w:val="-9"/>
              </w:rPr>
              <w:t> </w:t>
            </w:r>
            <w:r>
              <w:rPr/>
              <w:t>Specific</w:t>
            </w:r>
            <w:r>
              <w:rPr>
                <w:spacing w:val="-8"/>
              </w:rPr>
              <w:t> </w:t>
            </w:r>
            <w:r>
              <w:rPr>
                <w:spacing w:val="-2"/>
              </w:rPr>
              <w:t>Pathogens</w:t>
            </w:r>
            <w:r>
              <w:rPr/>
              <w:tab/>
            </w:r>
            <w:r>
              <w:rPr>
                <w:spacing w:val="-5"/>
              </w:rPr>
              <w:t>33</w:t>
            </w:r>
          </w:hyperlink>
        </w:p>
        <w:p>
          <w:pPr>
            <w:pStyle w:val="TOC2"/>
            <w:numPr>
              <w:ilvl w:val="2"/>
              <w:numId w:val="2"/>
            </w:numPr>
            <w:tabs>
              <w:tab w:pos="1461" w:val="left" w:leader="none"/>
              <w:tab w:pos="10240" w:val="right" w:leader="dot"/>
            </w:tabs>
            <w:spacing w:line="240" w:lineRule="auto" w:before="357" w:after="0"/>
            <w:ind w:left="1461" w:right="0" w:hanging="541"/>
            <w:jc w:val="left"/>
          </w:pPr>
          <w:hyperlink w:history="true" w:anchor="_TOC_250055">
            <w:r>
              <w:rPr/>
              <w:t>Somatic</w:t>
            </w:r>
            <w:r>
              <w:rPr>
                <w:spacing w:val="-8"/>
              </w:rPr>
              <w:t> </w:t>
            </w:r>
            <w:r>
              <w:rPr/>
              <w:t>Cell</w:t>
            </w:r>
            <w:r>
              <w:rPr>
                <w:spacing w:val="-10"/>
              </w:rPr>
              <w:t> </w:t>
            </w:r>
            <w:r>
              <w:rPr/>
              <w:t>Counts</w:t>
            </w:r>
            <w:r>
              <w:rPr>
                <w:spacing w:val="-8"/>
              </w:rPr>
              <w:t> </w:t>
            </w:r>
            <w:r>
              <w:rPr>
                <w:spacing w:val="-2"/>
              </w:rPr>
              <w:t>(SCC)</w:t>
            </w:r>
            <w:r>
              <w:rPr/>
              <w:tab/>
            </w:r>
            <w:r>
              <w:rPr>
                <w:spacing w:val="-5"/>
              </w:rPr>
              <w:t>33</w:t>
            </w:r>
          </w:hyperlink>
        </w:p>
        <w:p>
          <w:pPr>
            <w:pStyle w:val="TOC2"/>
            <w:numPr>
              <w:ilvl w:val="2"/>
              <w:numId w:val="2"/>
            </w:numPr>
            <w:tabs>
              <w:tab w:pos="1461" w:val="left" w:leader="none"/>
              <w:tab w:pos="10249" w:val="right" w:leader="dot"/>
            </w:tabs>
            <w:spacing w:line="240" w:lineRule="auto" w:before="363" w:after="0"/>
            <w:ind w:left="1461" w:right="0" w:hanging="541"/>
            <w:jc w:val="left"/>
          </w:pPr>
          <w:hyperlink w:history="true" w:anchor="_TOC_250054">
            <w:r>
              <w:rPr/>
              <w:t>Titrable</w:t>
            </w:r>
            <w:r>
              <w:rPr>
                <w:spacing w:val="-12"/>
              </w:rPr>
              <w:t> </w:t>
            </w:r>
            <w:r>
              <w:rPr/>
              <w:t>Acidity</w:t>
            </w:r>
            <w:r>
              <w:rPr>
                <w:spacing w:val="-14"/>
              </w:rPr>
              <w:t> </w:t>
            </w:r>
            <w:r>
              <w:rPr>
                <w:spacing w:val="-4"/>
              </w:rPr>
              <w:t>Test</w:t>
            </w:r>
            <w:r>
              <w:rPr/>
              <w:tab/>
            </w:r>
            <w:r>
              <w:rPr>
                <w:spacing w:val="-5"/>
              </w:rPr>
              <w:t>33</w:t>
            </w:r>
          </w:hyperlink>
        </w:p>
        <w:p>
          <w:pPr>
            <w:pStyle w:val="TOC2"/>
            <w:numPr>
              <w:ilvl w:val="2"/>
              <w:numId w:val="2"/>
            </w:numPr>
            <w:tabs>
              <w:tab w:pos="1460" w:val="left" w:leader="none"/>
              <w:tab w:pos="10258" w:val="right" w:leader="dot"/>
            </w:tabs>
            <w:spacing w:line="240" w:lineRule="auto" w:before="358" w:after="0"/>
            <w:ind w:left="1460" w:right="0" w:hanging="540"/>
            <w:jc w:val="left"/>
          </w:pPr>
          <w:hyperlink w:history="true" w:anchor="_TOC_250053">
            <w:r>
              <w:rPr>
                <w:spacing w:val="-2"/>
              </w:rPr>
              <w:t>Phosphatase</w:t>
            </w:r>
            <w:r>
              <w:rPr>
                <w:spacing w:val="5"/>
              </w:rPr>
              <w:t> </w:t>
            </w:r>
            <w:r>
              <w:rPr>
                <w:spacing w:val="-4"/>
              </w:rPr>
              <w:t>Test</w:t>
            </w:r>
            <w:r>
              <w:rPr/>
              <w:tab/>
            </w:r>
            <w:r>
              <w:rPr>
                <w:spacing w:val="-5"/>
              </w:rPr>
              <w:t>34</w:t>
            </w:r>
          </w:hyperlink>
        </w:p>
        <w:p>
          <w:pPr>
            <w:pStyle w:val="TOC2"/>
            <w:numPr>
              <w:ilvl w:val="2"/>
              <w:numId w:val="2"/>
            </w:numPr>
            <w:tabs>
              <w:tab w:pos="1460" w:val="left" w:leader="none"/>
              <w:tab w:pos="10235" w:val="right" w:leader="dot"/>
            </w:tabs>
            <w:spacing w:line="240" w:lineRule="auto" w:before="357" w:after="0"/>
            <w:ind w:left="1460" w:right="0" w:hanging="540"/>
            <w:jc w:val="left"/>
          </w:pPr>
          <w:hyperlink w:history="true" w:anchor="_TOC_250052">
            <w:r>
              <w:rPr/>
              <w:t>Other</w:t>
            </w:r>
            <w:r>
              <w:rPr>
                <w:spacing w:val="-8"/>
              </w:rPr>
              <w:t> </w:t>
            </w:r>
            <w:r>
              <w:rPr/>
              <w:t>Milk</w:t>
            </w:r>
            <w:r>
              <w:rPr>
                <w:spacing w:val="-8"/>
              </w:rPr>
              <w:t> </w:t>
            </w:r>
            <w:r>
              <w:rPr/>
              <w:t>Quality</w:t>
            </w:r>
            <w:r>
              <w:rPr>
                <w:spacing w:val="-15"/>
              </w:rPr>
              <w:t> </w:t>
            </w:r>
            <w:r>
              <w:rPr>
                <w:spacing w:val="-4"/>
              </w:rPr>
              <w:t>Tests</w:t>
            </w:r>
            <w:r>
              <w:rPr/>
              <w:tab/>
            </w:r>
            <w:r>
              <w:rPr>
                <w:spacing w:val="-5"/>
              </w:rPr>
              <w:t>34</w:t>
            </w:r>
          </w:hyperlink>
        </w:p>
        <w:p>
          <w:pPr>
            <w:pStyle w:val="TOC2"/>
            <w:numPr>
              <w:ilvl w:val="3"/>
              <w:numId w:val="2"/>
            </w:numPr>
            <w:tabs>
              <w:tab w:pos="1637" w:val="left" w:leader="none"/>
              <w:tab w:pos="10244" w:val="right" w:leader="dot"/>
            </w:tabs>
            <w:spacing w:line="240" w:lineRule="auto" w:before="358" w:after="0"/>
            <w:ind w:left="1637" w:right="0" w:hanging="717"/>
            <w:jc w:val="left"/>
          </w:pPr>
          <w:r>
            <w:rPr>
              <w:spacing w:val="-2"/>
            </w:rPr>
            <w:t>0rganoleptic</w:t>
          </w:r>
          <w:r>
            <w:rPr>
              <w:spacing w:val="8"/>
            </w:rPr>
            <w:t> </w:t>
          </w:r>
          <w:r>
            <w:rPr>
              <w:spacing w:val="-4"/>
            </w:rPr>
            <w:t>Tests</w:t>
          </w:r>
          <w:r>
            <w:rPr/>
            <w:tab/>
          </w:r>
          <w:r>
            <w:rPr>
              <w:spacing w:val="-5"/>
            </w:rPr>
            <w:t>34</w:t>
          </w:r>
        </w:p>
        <w:p>
          <w:pPr>
            <w:pStyle w:val="TOC2"/>
            <w:numPr>
              <w:ilvl w:val="3"/>
              <w:numId w:val="2"/>
            </w:numPr>
            <w:tabs>
              <w:tab w:pos="1637" w:val="left" w:leader="none"/>
              <w:tab w:pos="10277" w:val="right" w:leader="dot"/>
            </w:tabs>
            <w:spacing w:line="240" w:lineRule="auto" w:before="362" w:after="0"/>
            <w:ind w:left="1637" w:right="0" w:hanging="717"/>
            <w:jc w:val="left"/>
          </w:pPr>
          <w:r>
            <w:rPr>
              <w:spacing w:val="-2"/>
            </w:rPr>
            <w:t>Sedimentation</w:t>
          </w:r>
          <w:r>
            <w:rPr>
              <w:spacing w:val="6"/>
            </w:rPr>
            <w:t> </w:t>
          </w:r>
          <w:r>
            <w:rPr>
              <w:spacing w:val="-4"/>
            </w:rPr>
            <w:t>Test</w:t>
          </w:r>
          <w:r>
            <w:rPr/>
            <w:tab/>
          </w:r>
          <w:r>
            <w:rPr>
              <w:spacing w:val="-5"/>
            </w:rPr>
            <w:t>35</w:t>
          </w:r>
        </w:p>
        <w:p>
          <w:pPr>
            <w:pStyle w:val="TOC2"/>
            <w:numPr>
              <w:ilvl w:val="3"/>
              <w:numId w:val="2"/>
            </w:numPr>
            <w:tabs>
              <w:tab w:pos="1637" w:val="left" w:leader="none"/>
              <w:tab w:pos="10207" w:val="right" w:leader="dot"/>
            </w:tabs>
            <w:spacing w:line="240" w:lineRule="auto" w:before="358" w:after="0"/>
            <w:ind w:left="1637" w:right="0" w:hanging="717"/>
            <w:jc w:val="left"/>
          </w:pPr>
          <w:r>
            <w:rPr/>
            <w:t>Clot on</w:t>
          </w:r>
          <w:r>
            <w:rPr>
              <w:spacing w:val="-5"/>
            </w:rPr>
            <w:t> </w:t>
          </w:r>
          <w:r>
            <w:rPr>
              <w:spacing w:val="-2"/>
            </w:rPr>
            <w:t>BoilingTest</w:t>
          </w:r>
          <w:r>
            <w:rPr/>
            <w:tab/>
          </w:r>
          <w:r>
            <w:rPr>
              <w:spacing w:val="-5"/>
            </w:rPr>
            <w:t>35</w:t>
          </w:r>
        </w:p>
        <w:p>
          <w:pPr>
            <w:pStyle w:val="TOC2"/>
            <w:numPr>
              <w:ilvl w:val="3"/>
              <w:numId w:val="2"/>
            </w:numPr>
            <w:tabs>
              <w:tab w:pos="1637" w:val="left" w:leader="none"/>
              <w:tab w:pos="10226" w:val="right" w:leader="dot"/>
            </w:tabs>
            <w:spacing w:line="240" w:lineRule="auto" w:before="357" w:after="0"/>
            <w:ind w:left="1637" w:right="0" w:hanging="717"/>
            <w:jc w:val="left"/>
          </w:pPr>
          <w:r>
            <w:rPr/>
            <w:t>Catalase</w:t>
          </w:r>
          <w:r>
            <w:rPr>
              <w:spacing w:val="-15"/>
            </w:rPr>
            <w:t> </w:t>
          </w:r>
          <w:r>
            <w:rPr>
              <w:spacing w:val="-4"/>
            </w:rPr>
            <w:t>test</w:t>
          </w:r>
          <w:r>
            <w:rPr/>
            <w:tab/>
          </w:r>
          <w:r>
            <w:rPr>
              <w:spacing w:val="-5"/>
            </w:rPr>
            <w:t>35</w:t>
          </w:r>
        </w:p>
        <w:p>
          <w:pPr>
            <w:pStyle w:val="TOC2"/>
            <w:numPr>
              <w:ilvl w:val="3"/>
              <w:numId w:val="2"/>
            </w:numPr>
            <w:tabs>
              <w:tab w:pos="1637" w:val="left" w:leader="none"/>
              <w:tab w:pos="10234" w:val="right" w:leader="dot"/>
            </w:tabs>
            <w:spacing w:line="240" w:lineRule="auto" w:before="358" w:after="0"/>
            <w:ind w:left="1637" w:right="0" w:hanging="717"/>
            <w:jc w:val="left"/>
          </w:pPr>
          <w:r>
            <w:rPr/>
            <w:t>Specific</w:t>
          </w:r>
          <w:r>
            <w:rPr>
              <w:spacing w:val="-13"/>
            </w:rPr>
            <w:t> </w:t>
          </w:r>
          <w:r>
            <w:rPr>
              <w:spacing w:val="-2"/>
            </w:rPr>
            <w:t>Gravity</w:t>
          </w:r>
          <w:r>
            <w:rPr/>
            <w:tab/>
          </w:r>
          <w:r>
            <w:rPr>
              <w:spacing w:val="-5"/>
            </w:rPr>
            <w:t>36</w:t>
          </w:r>
        </w:p>
        <w:p>
          <w:pPr>
            <w:pStyle w:val="TOC2"/>
            <w:numPr>
              <w:ilvl w:val="3"/>
              <w:numId w:val="2"/>
            </w:numPr>
            <w:tabs>
              <w:tab w:pos="1637" w:val="left" w:leader="none"/>
              <w:tab w:pos="10268" w:val="right" w:leader="dot"/>
            </w:tabs>
            <w:spacing w:line="240" w:lineRule="auto" w:before="362" w:after="87"/>
            <w:ind w:left="1637" w:right="0" w:hanging="717"/>
            <w:jc w:val="left"/>
          </w:pPr>
          <w:r>
            <w:rPr/>
            <w:t>Freezing</w:t>
          </w:r>
          <w:r>
            <w:rPr>
              <w:spacing w:val="-14"/>
            </w:rPr>
            <w:t> </w:t>
          </w:r>
          <w:r>
            <w:rPr>
              <w:spacing w:val="-4"/>
            </w:rPr>
            <w:t>Test</w:t>
          </w:r>
          <w:r>
            <w:rPr/>
            <w:tab/>
          </w:r>
          <w:r>
            <w:rPr>
              <w:spacing w:val="-5"/>
            </w:rPr>
            <w:t>36</w:t>
          </w:r>
        </w:p>
        <w:p>
          <w:pPr>
            <w:pStyle w:val="TOC2"/>
            <w:numPr>
              <w:ilvl w:val="1"/>
              <w:numId w:val="2"/>
            </w:numPr>
            <w:tabs>
              <w:tab w:pos="1283" w:val="left" w:leader="none"/>
              <w:tab w:pos="10236" w:val="right" w:leader="dot"/>
            </w:tabs>
            <w:spacing w:line="240" w:lineRule="auto" w:before="72" w:after="0"/>
            <w:ind w:left="1283" w:right="0" w:hanging="363"/>
            <w:jc w:val="left"/>
          </w:pPr>
          <w:hyperlink w:history="true" w:anchor="_TOC_250051">
            <w:r>
              <w:rPr>
                <w:spacing w:val="-2"/>
              </w:rPr>
              <w:t>Antibiotic</w:t>
            </w:r>
            <w:r>
              <w:rPr>
                <w:spacing w:val="2"/>
              </w:rPr>
              <w:t> </w:t>
            </w:r>
            <w:r>
              <w:rPr>
                <w:spacing w:val="-2"/>
              </w:rPr>
              <w:t>Susceptibility</w:t>
            </w:r>
            <w:r>
              <w:rPr/>
              <w:tab/>
            </w:r>
            <w:r>
              <w:rPr>
                <w:spacing w:val="-5"/>
              </w:rPr>
              <w:t>36</w:t>
            </w:r>
          </w:hyperlink>
        </w:p>
        <w:p>
          <w:pPr>
            <w:pStyle w:val="TOC2"/>
            <w:numPr>
              <w:ilvl w:val="2"/>
              <w:numId w:val="2"/>
            </w:numPr>
            <w:tabs>
              <w:tab w:pos="1461" w:val="left" w:leader="none"/>
              <w:tab w:pos="10246" w:val="right" w:leader="dot"/>
            </w:tabs>
            <w:spacing w:line="240" w:lineRule="auto" w:before="357" w:after="0"/>
            <w:ind w:left="1461" w:right="0" w:hanging="541"/>
            <w:jc w:val="left"/>
          </w:pPr>
          <w:hyperlink w:history="true" w:anchor="_TOC_250050">
            <w:r>
              <w:rPr/>
              <w:t>Determinants</w:t>
            </w:r>
            <w:r>
              <w:rPr>
                <w:spacing w:val="-11"/>
              </w:rPr>
              <w:t> </w:t>
            </w:r>
            <w:r>
              <w:rPr/>
              <w:t>of</w:t>
            </w:r>
            <w:r>
              <w:rPr>
                <w:spacing w:val="-15"/>
              </w:rPr>
              <w:t> </w:t>
            </w:r>
            <w:r>
              <w:rPr/>
              <w:t>Resistance</w:t>
            </w:r>
            <w:r>
              <w:rPr>
                <w:spacing w:val="-6"/>
              </w:rPr>
              <w:t> </w:t>
            </w:r>
            <w:r>
              <w:rPr/>
              <w:t>in</w:t>
            </w:r>
            <w:r>
              <w:rPr>
                <w:spacing w:val="-13"/>
              </w:rPr>
              <w:t> </w:t>
            </w:r>
            <w:r>
              <w:rPr>
                <w:spacing w:val="-2"/>
              </w:rPr>
              <w:t>Bacteria</w:t>
            </w:r>
            <w:r>
              <w:rPr/>
              <w:tab/>
            </w:r>
            <w:r>
              <w:rPr>
                <w:spacing w:val="-5"/>
              </w:rPr>
              <w:t>43</w:t>
            </w:r>
          </w:hyperlink>
        </w:p>
        <w:p>
          <w:pPr>
            <w:pStyle w:val="TOC2"/>
            <w:numPr>
              <w:ilvl w:val="3"/>
              <w:numId w:val="2"/>
            </w:numPr>
            <w:tabs>
              <w:tab w:pos="1637" w:val="left" w:leader="none"/>
              <w:tab w:pos="10256" w:val="right" w:leader="dot"/>
            </w:tabs>
            <w:spacing w:line="240" w:lineRule="auto" w:before="358" w:after="0"/>
            <w:ind w:left="1637" w:right="0" w:hanging="717"/>
            <w:jc w:val="left"/>
          </w:pPr>
          <w:hyperlink w:history="true" w:anchor="_TOC_250049">
            <w:r>
              <w:rPr>
                <w:spacing w:val="-2"/>
              </w:rPr>
              <w:t>Mutation</w:t>
            </w:r>
            <w:r>
              <w:rPr/>
              <w:tab/>
            </w:r>
            <w:r>
              <w:rPr>
                <w:spacing w:val="-5"/>
              </w:rPr>
              <w:t>43</w:t>
            </w:r>
          </w:hyperlink>
        </w:p>
        <w:p>
          <w:pPr>
            <w:pStyle w:val="TOC2"/>
            <w:numPr>
              <w:ilvl w:val="3"/>
              <w:numId w:val="2"/>
            </w:numPr>
            <w:tabs>
              <w:tab w:pos="1637" w:val="left" w:leader="none"/>
              <w:tab w:pos="10273" w:val="right" w:leader="dot"/>
            </w:tabs>
            <w:spacing w:line="240" w:lineRule="auto" w:before="362" w:after="0"/>
            <w:ind w:left="1637" w:right="0" w:hanging="717"/>
            <w:jc w:val="left"/>
          </w:pPr>
          <w:hyperlink w:history="true" w:anchor="_TOC_250048">
            <w:r>
              <w:rPr/>
              <w:t>Gene</w:t>
            </w:r>
            <w:r>
              <w:rPr>
                <w:spacing w:val="-11"/>
              </w:rPr>
              <w:t> </w:t>
            </w:r>
            <w:r>
              <w:rPr>
                <w:spacing w:val="-2"/>
              </w:rPr>
              <w:t>Transfer</w:t>
            </w:r>
            <w:r>
              <w:rPr/>
              <w:tab/>
            </w:r>
            <w:r>
              <w:rPr>
                <w:spacing w:val="-5"/>
              </w:rPr>
              <w:t>44</w:t>
            </w:r>
          </w:hyperlink>
        </w:p>
        <w:p>
          <w:pPr>
            <w:pStyle w:val="TOC2"/>
            <w:numPr>
              <w:ilvl w:val="2"/>
              <w:numId w:val="2"/>
            </w:numPr>
            <w:tabs>
              <w:tab w:pos="1460" w:val="left" w:leader="none"/>
              <w:tab w:pos="10274" w:val="right" w:leader="dot"/>
            </w:tabs>
            <w:spacing w:line="240" w:lineRule="auto" w:before="358" w:after="0"/>
            <w:ind w:left="1460" w:right="0" w:hanging="540"/>
            <w:jc w:val="left"/>
          </w:pPr>
          <w:hyperlink w:history="true" w:anchor="_TOC_250047">
            <w:r>
              <w:rPr/>
              <w:t>Mobile</w:t>
            </w:r>
            <w:r>
              <w:rPr>
                <w:spacing w:val="-12"/>
              </w:rPr>
              <w:t> </w:t>
            </w:r>
            <w:r>
              <w:rPr/>
              <w:t>Genetic</w:t>
            </w:r>
            <w:r>
              <w:rPr>
                <w:spacing w:val="-11"/>
              </w:rPr>
              <w:t> </w:t>
            </w:r>
            <w:r>
              <w:rPr>
                <w:spacing w:val="-2"/>
              </w:rPr>
              <w:t>Elements</w:t>
            </w:r>
            <w:r>
              <w:rPr/>
              <w:tab/>
            </w:r>
            <w:r>
              <w:rPr>
                <w:spacing w:val="-5"/>
              </w:rPr>
              <w:t>46</w:t>
            </w:r>
          </w:hyperlink>
        </w:p>
        <w:p>
          <w:pPr>
            <w:pStyle w:val="TOC2"/>
            <w:numPr>
              <w:ilvl w:val="3"/>
              <w:numId w:val="2"/>
            </w:numPr>
            <w:tabs>
              <w:tab w:pos="1637" w:val="left" w:leader="none"/>
              <w:tab w:pos="10246" w:val="right" w:leader="dot"/>
            </w:tabs>
            <w:spacing w:line="240" w:lineRule="auto" w:before="358" w:after="0"/>
            <w:ind w:left="1637" w:right="0" w:hanging="717"/>
            <w:jc w:val="left"/>
          </w:pPr>
          <w:r>
            <w:rPr>
              <w:spacing w:val="-2"/>
            </w:rPr>
            <w:t>Plasmids</w:t>
          </w:r>
          <w:r>
            <w:rPr/>
            <w:tab/>
          </w:r>
          <w:r>
            <w:rPr>
              <w:spacing w:val="-5"/>
            </w:rPr>
            <w:t>46</w:t>
          </w:r>
        </w:p>
        <w:p>
          <w:pPr>
            <w:pStyle w:val="TOC2"/>
            <w:numPr>
              <w:ilvl w:val="3"/>
              <w:numId w:val="2"/>
            </w:numPr>
            <w:tabs>
              <w:tab w:pos="1637" w:val="left" w:leader="none"/>
              <w:tab w:pos="10236" w:val="right" w:leader="dot"/>
            </w:tabs>
            <w:spacing w:line="240" w:lineRule="auto" w:before="357" w:after="0"/>
            <w:ind w:left="1637" w:right="0" w:hanging="717"/>
            <w:jc w:val="left"/>
          </w:pPr>
          <w:r>
            <w:rPr>
              <w:spacing w:val="-2"/>
            </w:rPr>
            <w:t>Transposons</w:t>
          </w:r>
          <w:r>
            <w:rPr/>
            <w:tab/>
          </w:r>
          <w:r>
            <w:rPr>
              <w:spacing w:val="-5"/>
            </w:rPr>
            <w:t>47</w:t>
          </w:r>
        </w:p>
        <w:p>
          <w:pPr>
            <w:pStyle w:val="TOC2"/>
            <w:numPr>
              <w:ilvl w:val="3"/>
              <w:numId w:val="2"/>
            </w:numPr>
            <w:tabs>
              <w:tab w:pos="1637" w:val="left" w:leader="none"/>
              <w:tab w:pos="10226" w:val="right" w:leader="dot"/>
            </w:tabs>
            <w:spacing w:line="240" w:lineRule="auto" w:before="363" w:after="0"/>
            <w:ind w:left="1637" w:right="0" w:hanging="717"/>
            <w:jc w:val="left"/>
          </w:pPr>
          <w:r>
            <w:rPr>
              <w:spacing w:val="-2"/>
            </w:rPr>
            <w:t>Integrons</w:t>
          </w:r>
          <w:r>
            <w:rPr/>
            <w:tab/>
          </w:r>
          <w:r>
            <w:rPr>
              <w:spacing w:val="-5"/>
            </w:rPr>
            <w:t>47</w:t>
          </w:r>
        </w:p>
        <w:p>
          <w:pPr>
            <w:pStyle w:val="TOC2"/>
            <w:numPr>
              <w:ilvl w:val="2"/>
              <w:numId w:val="2"/>
            </w:numPr>
            <w:tabs>
              <w:tab w:pos="1461" w:val="left" w:leader="none"/>
              <w:tab w:pos="10202" w:val="right" w:leader="dot"/>
            </w:tabs>
            <w:spacing w:line="240" w:lineRule="auto" w:before="357" w:after="0"/>
            <w:ind w:left="1461" w:right="0" w:hanging="541"/>
            <w:jc w:val="left"/>
          </w:pPr>
          <w:hyperlink w:history="true" w:anchor="_TOC_250046">
            <w:r>
              <w:rPr/>
              <w:t>Drivers</w:t>
            </w:r>
            <w:r>
              <w:rPr>
                <w:spacing w:val="-8"/>
              </w:rPr>
              <w:t> </w:t>
            </w:r>
            <w:r>
              <w:rPr/>
              <w:t>of</w:t>
            </w:r>
            <w:r>
              <w:rPr>
                <w:spacing w:val="-13"/>
              </w:rPr>
              <w:t> </w:t>
            </w:r>
            <w:r>
              <w:rPr/>
              <w:t>Antibiotic</w:t>
            </w:r>
            <w:r>
              <w:rPr>
                <w:spacing w:val="-7"/>
              </w:rPr>
              <w:t> </w:t>
            </w:r>
            <w:r>
              <w:rPr>
                <w:spacing w:val="-2"/>
              </w:rPr>
              <w:t>Resistance</w:t>
            </w:r>
            <w:r>
              <w:rPr/>
              <w:tab/>
            </w:r>
            <w:r>
              <w:rPr>
                <w:spacing w:val="-5"/>
              </w:rPr>
              <w:t>48</w:t>
            </w:r>
          </w:hyperlink>
        </w:p>
        <w:p>
          <w:pPr>
            <w:pStyle w:val="TOC2"/>
            <w:numPr>
              <w:ilvl w:val="3"/>
              <w:numId w:val="2"/>
            </w:numPr>
            <w:tabs>
              <w:tab w:pos="1637" w:val="left" w:leader="none"/>
              <w:tab w:pos="10202" w:val="right" w:leader="dot"/>
            </w:tabs>
            <w:spacing w:line="240" w:lineRule="auto" w:before="358" w:after="0"/>
            <w:ind w:left="1637" w:right="0" w:hanging="717"/>
            <w:jc w:val="left"/>
          </w:pPr>
          <w:hyperlink w:history="true" w:anchor="_TOC_250045">
            <w:r>
              <w:rPr/>
              <w:t>Use</w:t>
            </w:r>
            <w:r>
              <w:rPr>
                <w:spacing w:val="-5"/>
              </w:rPr>
              <w:t> </w:t>
            </w:r>
            <w:r>
              <w:rPr/>
              <w:t>and</w:t>
            </w:r>
            <w:r>
              <w:rPr>
                <w:spacing w:val="-3"/>
              </w:rPr>
              <w:t> </w:t>
            </w:r>
            <w:r>
              <w:rPr/>
              <w:t>Misuse</w:t>
            </w:r>
            <w:r>
              <w:rPr>
                <w:spacing w:val="-4"/>
              </w:rPr>
              <w:t> </w:t>
            </w:r>
            <w:r>
              <w:rPr/>
              <w:t>of</w:t>
            </w:r>
            <w:r>
              <w:rPr>
                <w:spacing w:val="-11"/>
              </w:rPr>
              <w:t> </w:t>
            </w:r>
            <w:r>
              <w:rPr>
                <w:spacing w:val="-2"/>
              </w:rPr>
              <w:t>Antibiotics</w:t>
            </w:r>
            <w:r>
              <w:rPr/>
              <w:tab/>
            </w:r>
            <w:r>
              <w:rPr>
                <w:spacing w:val="-5"/>
              </w:rPr>
              <w:t>48</w:t>
            </w:r>
          </w:hyperlink>
        </w:p>
        <w:p>
          <w:pPr>
            <w:pStyle w:val="TOC2"/>
            <w:numPr>
              <w:ilvl w:val="3"/>
              <w:numId w:val="2"/>
            </w:numPr>
            <w:tabs>
              <w:tab w:pos="1637" w:val="left" w:leader="none"/>
              <w:tab w:pos="10202" w:val="right" w:leader="dot"/>
            </w:tabs>
            <w:spacing w:line="240" w:lineRule="auto" w:before="357" w:after="0"/>
            <w:ind w:left="1637" w:right="0" w:hanging="717"/>
            <w:jc w:val="left"/>
          </w:pPr>
          <w:hyperlink w:history="true" w:anchor="_TOC_250044">
            <w:r>
              <w:rPr>
                <w:spacing w:val="-2"/>
              </w:rPr>
              <w:t>Environmental</w:t>
            </w:r>
            <w:r>
              <w:rPr>
                <w:spacing w:val="5"/>
              </w:rPr>
              <w:t> </w:t>
            </w:r>
            <w:r>
              <w:rPr>
                <w:spacing w:val="-2"/>
              </w:rPr>
              <w:t>Stresses</w:t>
            </w:r>
            <w:r>
              <w:rPr/>
              <w:tab/>
            </w:r>
            <w:r>
              <w:rPr>
                <w:spacing w:val="-5"/>
              </w:rPr>
              <w:t>50</w:t>
            </w:r>
          </w:hyperlink>
        </w:p>
        <w:p>
          <w:pPr>
            <w:pStyle w:val="TOC2"/>
            <w:numPr>
              <w:ilvl w:val="3"/>
              <w:numId w:val="2"/>
            </w:numPr>
            <w:tabs>
              <w:tab w:pos="1637" w:val="left" w:leader="none"/>
              <w:tab w:pos="10202" w:val="right" w:leader="dot"/>
            </w:tabs>
            <w:spacing w:line="240" w:lineRule="auto" w:before="363" w:after="0"/>
            <w:ind w:left="1637" w:right="0" w:hanging="717"/>
            <w:jc w:val="left"/>
          </w:pPr>
          <w:hyperlink w:history="true" w:anchor="_TOC_250043">
            <w:r>
              <w:rPr>
                <w:spacing w:val="-2"/>
              </w:rPr>
              <w:t>Socio-economic</w:t>
            </w:r>
            <w:r>
              <w:rPr>
                <w:spacing w:val="6"/>
              </w:rPr>
              <w:t> </w:t>
            </w:r>
            <w:r>
              <w:rPr>
                <w:spacing w:val="-2"/>
              </w:rPr>
              <w:t>Factors</w:t>
            </w:r>
            <w:r>
              <w:rPr/>
              <w:tab/>
            </w:r>
            <w:r>
              <w:rPr>
                <w:spacing w:val="-5"/>
              </w:rPr>
              <w:t>50</w:t>
            </w:r>
          </w:hyperlink>
        </w:p>
        <w:p>
          <w:pPr>
            <w:pStyle w:val="TOC2"/>
            <w:numPr>
              <w:ilvl w:val="3"/>
              <w:numId w:val="2"/>
            </w:numPr>
            <w:tabs>
              <w:tab w:pos="1637" w:val="left" w:leader="none"/>
              <w:tab w:pos="10236" w:val="right" w:leader="dot"/>
            </w:tabs>
            <w:spacing w:line="240" w:lineRule="auto" w:before="358" w:after="0"/>
            <w:ind w:left="1637" w:right="0" w:hanging="717"/>
            <w:jc w:val="left"/>
          </w:pPr>
          <w:hyperlink w:history="true" w:anchor="_TOC_250042">
            <w:r>
              <w:rPr/>
              <w:t>Role</w:t>
            </w:r>
            <w:r>
              <w:rPr>
                <w:spacing w:val="-5"/>
              </w:rPr>
              <w:t> </w:t>
            </w:r>
            <w:r>
              <w:rPr/>
              <w:t>of</w:t>
            </w:r>
            <w:r>
              <w:rPr>
                <w:spacing w:val="-12"/>
              </w:rPr>
              <w:t> </w:t>
            </w:r>
            <w:r>
              <w:rPr/>
              <w:t>Antibiotic</w:t>
            </w:r>
            <w:r>
              <w:rPr>
                <w:spacing w:val="-4"/>
              </w:rPr>
              <w:t> </w:t>
            </w:r>
            <w:r>
              <w:rPr/>
              <w:t>Residues</w:t>
            </w:r>
            <w:r>
              <w:rPr>
                <w:spacing w:val="-2"/>
              </w:rPr>
              <w:t> </w:t>
            </w:r>
            <w:r>
              <w:rPr/>
              <w:t>in</w:t>
            </w:r>
            <w:r>
              <w:rPr>
                <w:spacing w:val="-8"/>
              </w:rPr>
              <w:t> </w:t>
            </w:r>
            <w:r>
              <w:rPr/>
              <w:t>Foods</w:t>
            </w:r>
            <w:r>
              <w:rPr>
                <w:spacing w:val="-10"/>
              </w:rPr>
              <w:t> </w:t>
            </w:r>
            <w:r>
              <w:rPr/>
              <w:t>of</w:t>
            </w:r>
            <w:r>
              <w:rPr>
                <w:spacing w:val="-6"/>
              </w:rPr>
              <w:t> </w:t>
            </w:r>
            <w:r>
              <w:rPr/>
              <w:t>Animal</w:t>
            </w:r>
            <w:r>
              <w:rPr>
                <w:spacing w:val="-12"/>
              </w:rPr>
              <w:t> </w:t>
            </w:r>
            <w:r>
              <w:rPr>
                <w:spacing w:val="-2"/>
              </w:rPr>
              <w:t>Origin</w:t>
            </w:r>
            <w:r>
              <w:rPr/>
              <w:tab/>
            </w:r>
            <w:r>
              <w:rPr>
                <w:spacing w:val="-5"/>
              </w:rPr>
              <w:t>51</w:t>
            </w:r>
          </w:hyperlink>
        </w:p>
        <w:p>
          <w:pPr>
            <w:pStyle w:val="TOC2"/>
            <w:numPr>
              <w:ilvl w:val="1"/>
              <w:numId w:val="2"/>
            </w:numPr>
            <w:tabs>
              <w:tab w:pos="1283" w:val="left" w:leader="none"/>
            </w:tabs>
            <w:spacing w:line="240" w:lineRule="auto" w:before="357" w:after="0"/>
            <w:ind w:left="1283" w:right="0" w:hanging="363"/>
            <w:jc w:val="left"/>
          </w:pPr>
          <w:r>
            <w:rPr/>
            <w:t>Primary</w:t>
          </w:r>
          <w:r>
            <w:rPr>
              <w:spacing w:val="-15"/>
            </w:rPr>
            <w:t> </w:t>
          </w:r>
          <w:r>
            <w:rPr/>
            <w:t>Mechanisms</w:t>
          </w:r>
          <w:r>
            <w:rPr>
              <w:spacing w:val="-12"/>
            </w:rPr>
            <w:t> </w:t>
          </w:r>
          <w:r>
            <w:rPr/>
            <w:t>of</w:t>
          </w:r>
          <w:r>
            <w:rPr>
              <w:spacing w:val="-12"/>
            </w:rPr>
            <w:t> </w:t>
          </w:r>
          <w:r>
            <w:rPr/>
            <w:t>Antibiotic</w:t>
          </w:r>
          <w:r>
            <w:rPr>
              <w:spacing w:val="-10"/>
            </w:rPr>
            <w:t> </w:t>
          </w:r>
          <w:r>
            <w:rPr/>
            <w:t>Resistance</w:t>
          </w:r>
          <w:r>
            <w:rPr>
              <w:spacing w:val="-11"/>
            </w:rPr>
            <w:t> </w:t>
          </w:r>
          <w:r>
            <w:rPr/>
            <w:t>Development</w:t>
          </w:r>
          <w:r>
            <w:rPr>
              <w:spacing w:val="-5"/>
            </w:rPr>
            <w:t> </w:t>
          </w:r>
          <w:r>
            <w:rPr/>
            <w:t>of</w:t>
          </w:r>
          <w:r>
            <w:rPr>
              <w:spacing w:val="-15"/>
            </w:rPr>
            <w:t> </w:t>
          </w:r>
          <w:r>
            <w:rPr>
              <w:spacing w:val="-2"/>
            </w:rPr>
            <w:t>Commonly</w:t>
          </w:r>
        </w:p>
        <w:p>
          <w:pPr>
            <w:pStyle w:val="TOC2"/>
            <w:tabs>
              <w:tab w:pos="10265" w:val="right" w:leader="dot"/>
            </w:tabs>
            <w:spacing w:before="41"/>
            <w:ind w:left="920" w:firstLine="0"/>
          </w:pPr>
          <w:r>
            <w:rPr/>
            <w:t>Prescribed</w:t>
          </w:r>
          <w:r>
            <w:rPr>
              <w:spacing w:val="-11"/>
            </w:rPr>
            <w:t> </w:t>
          </w:r>
          <w:r>
            <w:rPr>
              <w:spacing w:val="-2"/>
            </w:rPr>
            <w:t>Antibiotics</w:t>
          </w:r>
          <w:r>
            <w:rPr/>
            <w:tab/>
          </w:r>
          <w:r>
            <w:rPr>
              <w:spacing w:val="-5"/>
            </w:rPr>
            <w:t>52</w:t>
          </w:r>
        </w:p>
        <w:p>
          <w:pPr>
            <w:pStyle w:val="TOC2"/>
            <w:numPr>
              <w:ilvl w:val="2"/>
              <w:numId w:val="2"/>
            </w:numPr>
            <w:tabs>
              <w:tab w:pos="1461" w:val="left" w:leader="none"/>
              <w:tab w:pos="10274" w:val="right" w:leader="dot"/>
            </w:tabs>
            <w:spacing w:line="240" w:lineRule="auto" w:before="276" w:after="0"/>
            <w:ind w:left="1461" w:right="0" w:hanging="541"/>
            <w:jc w:val="left"/>
          </w:pPr>
          <w:hyperlink w:history="true" w:anchor="_TOC_250041">
            <w:r>
              <w:rPr>
                <w:spacing w:val="-2"/>
              </w:rPr>
              <w:t>Beta-lactams</w:t>
            </w:r>
            <w:r>
              <w:rPr/>
              <w:tab/>
            </w:r>
            <w:r>
              <w:rPr>
                <w:spacing w:val="-5"/>
              </w:rPr>
              <w:t>52</w:t>
            </w:r>
          </w:hyperlink>
        </w:p>
        <w:p>
          <w:pPr>
            <w:pStyle w:val="TOC2"/>
            <w:numPr>
              <w:ilvl w:val="2"/>
              <w:numId w:val="2"/>
            </w:numPr>
            <w:tabs>
              <w:tab w:pos="1460" w:val="left" w:leader="none"/>
              <w:tab w:pos="10255" w:val="right" w:leader="dot"/>
            </w:tabs>
            <w:spacing w:line="240" w:lineRule="auto" w:before="276" w:after="0"/>
            <w:ind w:left="1460" w:right="0" w:hanging="540"/>
            <w:jc w:val="left"/>
          </w:pPr>
          <w:hyperlink w:history="true" w:anchor="_TOC_250040">
            <w:r>
              <w:rPr>
                <w:spacing w:val="-2"/>
              </w:rPr>
              <w:t>Tetracyclines</w:t>
            </w:r>
            <w:r>
              <w:rPr/>
              <w:tab/>
            </w:r>
            <w:r>
              <w:rPr>
                <w:spacing w:val="-5"/>
              </w:rPr>
              <w:t>52</w:t>
            </w:r>
          </w:hyperlink>
        </w:p>
        <w:p>
          <w:pPr>
            <w:pStyle w:val="TOC2"/>
            <w:numPr>
              <w:ilvl w:val="2"/>
              <w:numId w:val="2"/>
            </w:numPr>
            <w:tabs>
              <w:tab w:pos="1460" w:val="left" w:leader="none"/>
              <w:tab w:pos="10274" w:val="right" w:leader="dot"/>
            </w:tabs>
            <w:spacing w:line="240" w:lineRule="auto" w:before="276" w:after="0"/>
            <w:ind w:left="1460" w:right="0" w:hanging="540"/>
            <w:jc w:val="left"/>
          </w:pPr>
          <w:r>
            <w:rPr/>
            <w:t>Quinolones</w:t>
          </w:r>
          <w:r>
            <w:rPr>
              <w:spacing w:val="-12"/>
            </w:rPr>
            <w:t> </w:t>
          </w:r>
          <w:r>
            <w:rPr/>
            <w:t>and</w:t>
          </w:r>
          <w:r>
            <w:rPr>
              <w:spacing w:val="-10"/>
            </w:rPr>
            <w:t> </w:t>
          </w:r>
          <w:r>
            <w:rPr>
              <w:spacing w:val="-2"/>
            </w:rPr>
            <w:t>Fluoroquinolone</w:t>
          </w:r>
          <w:r>
            <w:rPr/>
            <w:tab/>
          </w:r>
          <w:r>
            <w:rPr>
              <w:spacing w:val="-5"/>
            </w:rPr>
            <w:t>53</w:t>
          </w:r>
        </w:p>
        <w:p>
          <w:pPr>
            <w:pStyle w:val="TOC2"/>
            <w:numPr>
              <w:ilvl w:val="2"/>
              <w:numId w:val="2"/>
            </w:numPr>
            <w:tabs>
              <w:tab w:pos="1461" w:val="left" w:leader="none"/>
              <w:tab w:pos="10248" w:val="right" w:leader="dot"/>
            </w:tabs>
            <w:spacing w:line="240" w:lineRule="auto" w:before="358" w:after="0"/>
            <w:ind w:left="1461" w:right="0" w:hanging="541"/>
            <w:jc w:val="left"/>
          </w:pPr>
          <w:hyperlink w:history="true" w:anchor="_TOC_250039">
            <w:r>
              <w:rPr/>
              <w:t>Aminoglycosides</w:t>
            </w:r>
            <w:r>
              <w:rPr>
                <w:spacing w:val="-15"/>
              </w:rPr>
              <w:t> </w:t>
            </w:r>
            <w:r>
              <w:rPr/>
              <w:t>and</w:t>
            </w:r>
            <w:r>
              <w:rPr>
                <w:spacing w:val="-13"/>
              </w:rPr>
              <w:t> </w:t>
            </w:r>
            <w:r>
              <w:rPr>
                <w:spacing w:val="-2"/>
              </w:rPr>
              <w:t>Aminocyclitols</w:t>
            </w:r>
            <w:r>
              <w:rPr/>
              <w:tab/>
            </w:r>
            <w:r>
              <w:rPr>
                <w:spacing w:val="-5"/>
              </w:rPr>
              <w:t>54</w:t>
            </w:r>
          </w:hyperlink>
        </w:p>
        <w:p>
          <w:pPr>
            <w:pStyle w:val="TOC2"/>
            <w:numPr>
              <w:ilvl w:val="2"/>
              <w:numId w:val="2"/>
            </w:numPr>
            <w:tabs>
              <w:tab w:pos="1461" w:val="left" w:leader="none"/>
              <w:tab w:pos="10236" w:val="right" w:leader="dot"/>
            </w:tabs>
            <w:spacing w:line="240" w:lineRule="auto" w:before="362" w:after="0"/>
            <w:ind w:left="1461" w:right="0" w:hanging="541"/>
            <w:jc w:val="left"/>
          </w:pPr>
          <w:hyperlink w:history="true" w:anchor="_TOC_250038">
            <w:r>
              <w:rPr/>
              <w:t>Chloramphenicol</w:t>
            </w:r>
            <w:r>
              <w:rPr>
                <w:spacing w:val="-15"/>
              </w:rPr>
              <w:t> </w:t>
            </w:r>
            <w:r>
              <w:rPr/>
              <w:t>and</w:t>
            </w:r>
            <w:r>
              <w:rPr>
                <w:spacing w:val="-14"/>
              </w:rPr>
              <w:t> </w:t>
            </w:r>
            <w:r>
              <w:rPr>
                <w:spacing w:val="-2"/>
              </w:rPr>
              <w:t>Florfenicol</w:t>
            </w:r>
            <w:r>
              <w:rPr/>
              <w:tab/>
            </w:r>
            <w:r>
              <w:rPr>
                <w:spacing w:val="-5"/>
              </w:rPr>
              <w:t>55</w:t>
            </w:r>
          </w:hyperlink>
        </w:p>
        <w:p>
          <w:pPr>
            <w:pStyle w:val="TOC2"/>
            <w:numPr>
              <w:ilvl w:val="2"/>
              <w:numId w:val="2"/>
            </w:numPr>
            <w:tabs>
              <w:tab w:pos="1461" w:val="left" w:leader="none"/>
              <w:tab w:pos="10274" w:val="right" w:leader="dot"/>
            </w:tabs>
            <w:spacing w:line="240" w:lineRule="auto" w:before="358" w:after="20"/>
            <w:ind w:left="1461" w:right="0" w:hanging="541"/>
            <w:jc w:val="left"/>
          </w:pPr>
          <w:hyperlink w:history="true" w:anchor="_TOC_250037">
            <w:r>
              <w:rPr>
                <w:spacing w:val="-2"/>
              </w:rPr>
              <w:t>Sulphonamides</w:t>
            </w:r>
            <w:r>
              <w:rPr>
                <w:spacing w:val="-1"/>
              </w:rPr>
              <w:t> </w:t>
            </w:r>
            <w:r>
              <w:rPr>
                <w:spacing w:val="-2"/>
              </w:rPr>
              <w:t>and</w:t>
            </w:r>
            <w:r>
              <w:rPr>
                <w:spacing w:val="1"/>
              </w:rPr>
              <w:t> </w:t>
            </w:r>
            <w:r>
              <w:rPr>
                <w:spacing w:val="-2"/>
              </w:rPr>
              <w:t>Trimethoprim</w:t>
            </w:r>
            <w:r>
              <w:rPr/>
              <w:tab/>
            </w:r>
            <w:r>
              <w:rPr>
                <w:spacing w:val="-7"/>
              </w:rPr>
              <w:t>55</w:t>
            </w:r>
          </w:hyperlink>
        </w:p>
        <w:p>
          <w:pPr>
            <w:pStyle w:val="TOC1"/>
            <w:spacing w:before="76"/>
          </w:pPr>
          <w:r>
            <w:rPr>
              <w:spacing w:val="-2"/>
            </w:rPr>
            <w:t>CHAPTER</w:t>
          </w:r>
          <w:r>
            <w:rPr>
              <w:spacing w:val="-3"/>
            </w:rPr>
            <w:t> </w:t>
          </w:r>
          <w:r>
            <w:rPr>
              <w:spacing w:val="-4"/>
            </w:rPr>
            <w:t>THREE</w:t>
          </w:r>
        </w:p>
        <w:p>
          <w:pPr>
            <w:pStyle w:val="TOC2"/>
            <w:numPr>
              <w:ilvl w:val="1"/>
              <w:numId w:val="3"/>
            </w:numPr>
            <w:tabs>
              <w:tab w:pos="1283" w:val="left" w:leader="none"/>
              <w:tab w:pos="10033" w:val="left" w:leader="dot"/>
            </w:tabs>
            <w:spacing w:line="240" w:lineRule="auto" w:before="353" w:after="0"/>
            <w:ind w:left="1283" w:right="0" w:hanging="363"/>
            <w:jc w:val="left"/>
          </w:pPr>
          <w:r>
            <w:rPr/>
            <w:t>Materials</w:t>
          </w:r>
          <w:r>
            <w:rPr>
              <w:spacing w:val="-15"/>
            </w:rPr>
            <w:t> </w:t>
          </w:r>
          <w:r>
            <w:rPr/>
            <w:t>and</w:t>
          </w:r>
          <w:r>
            <w:rPr>
              <w:spacing w:val="-12"/>
            </w:rPr>
            <w:t> </w:t>
          </w:r>
          <w:r>
            <w:rPr>
              <w:spacing w:val="-2"/>
            </w:rPr>
            <w:t>Methods</w:t>
          </w:r>
          <w:r>
            <w:rPr/>
            <w:tab/>
          </w:r>
          <w:r>
            <w:rPr>
              <w:spacing w:val="-5"/>
            </w:rPr>
            <w:t>57</w:t>
          </w:r>
        </w:p>
        <w:p>
          <w:pPr>
            <w:pStyle w:val="TOC2"/>
            <w:numPr>
              <w:ilvl w:val="1"/>
              <w:numId w:val="3"/>
            </w:numPr>
            <w:tabs>
              <w:tab w:pos="1283" w:val="left" w:leader="none"/>
              <w:tab w:pos="10015" w:val="left" w:leader="dot"/>
            </w:tabs>
            <w:spacing w:line="240" w:lineRule="auto" w:before="358" w:after="0"/>
            <w:ind w:left="1283" w:right="0" w:hanging="363"/>
            <w:jc w:val="left"/>
          </w:pPr>
          <w:r>
            <w:rPr>
              <w:spacing w:val="-2"/>
            </w:rPr>
            <w:t>Material</w:t>
          </w:r>
          <w:r>
            <w:rPr/>
            <w:tab/>
          </w:r>
          <w:r>
            <w:rPr>
              <w:spacing w:val="-5"/>
            </w:rPr>
            <w:t>57</w:t>
          </w:r>
        </w:p>
        <w:p>
          <w:pPr>
            <w:pStyle w:val="TOC2"/>
            <w:numPr>
              <w:ilvl w:val="2"/>
              <w:numId w:val="3"/>
            </w:numPr>
            <w:tabs>
              <w:tab w:pos="1461" w:val="left" w:leader="none"/>
              <w:tab w:pos="10012" w:val="left" w:leader="dot"/>
            </w:tabs>
            <w:spacing w:line="240" w:lineRule="auto" w:before="362" w:after="0"/>
            <w:ind w:left="1461" w:right="0" w:hanging="541"/>
            <w:jc w:val="left"/>
          </w:pPr>
          <w:r>
            <w:rPr>
              <w:spacing w:val="-2"/>
            </w:rPr>
            <w:t>Equipment</w:t>
          </w:r>
          <w:r>
            <w:rPr/>
            <w:tab/>
          </w:r>
          <w:r>
            <w:rPr>
              <w:spacing w:val="-5"/>
            </w:rPr>
            <w:t>57</w:t>
          </w:r>
        </w:p>
        <w:p>
          <w:pPr>
            <w:pStyle w:val="TOC2"/>
            <w:numPr>
              <w:ilvl w:val="2"/>
              <w:numId w:val="3"/>
            </w:numPr>
            <w:tabs>
              <w:tab w:pos="1460" w:val="left" w:leader="none"/>
              <w:tab w:pos="9985" w:val="left" w:leader="dot"/>
            </w:tabs>
            <w:spacing w:line="240" w:lineRule="auto" w:before="358" w:after="0"/>
            <w:ind w:left="1460" w:right="0" w:hanging="540"/>
            <w:jc w:val="left"/>
          </w:pPr>
          <w:hyperlink w:history="true" w:anchor="_TOC_250036">
            <w:r>
              <w:rPr>
                <w:spacing w:val="-2"/>
              </w:rPr>
              <w:t>Media</w:t>
            </w:r>
            <w:r>
              <w:rPr/>
              <w:tab/>
            </w:r>
            <w:r>
              <w:rPr>
                <w:spacing w:val="-5"/>
              </w:rPr>
              <w:t>57</w:t>
            </w:r>
          </w:hyperlink>
        </w:p>
        <w:p>
          <w:pPr>
            <w:pStyle w:val="TOC2"/>
            <w:numPr>
              <w:ilvl w:val="2"/>
              <w:numId w:val="3"/>
            </w:numPr>
            <w:tabs>
              <w:tab w:pos="1460" w:val="left" w:leader="none"/>
              <w:tab w:pos="10014" w:val="left" w:leader="dot"/>
            </w:tabs>
            <w:spacing w:line="240" w:lineRule="auto" w:before="358" w:after="0"/>
            <w:ind w:left="1460" w:right="0" w:hanging="540"/>
            <w:jc w:val="left"/>
          </w:pPr>
          <w:hyperlink w:history="true" w:anchor="_TOC_250035">
            <w:r>
              <w:rPr>
                <w:spacing w:val="-2"/>
              </w:rPr>
              <w:t>Reagents</w:t>
            </w:r>
            <w:r>
              <w:rPr/>
              <w:tab/>
            </w:r>
            <w:r>
              <w:rPr>
                <w:spacing w:val="-5"/>
              </w:rPr>
              <w:t>58</w:t>
            </w:r>
          </w:hyperlink>
        </w:p>
        <w:p>
          <w:pPr>
            <w:pStyle w:val="TOC2"/>
            <w:numPr>
              <w:ilvl w:val="1"/>
              <w:numId w:val="3"/>
            </w:numPr>
            <w:tabs>
              <w:tab w:pos="1283" w:val="left" w:leader="none"/>
              <w:tab w:pos="10033" w:val="left" w:leader="dot"/>
            </w:tabs>
            <w:spacing w:line="240" w:lineRule="auto" w:before="357" w:after="0"/>
            <w:ind w:left="1283" w:right="0" w:hanging="363"/>
            <w:jc w:val="left"/>
          </w:pPr>
          <w:hyperlink w:history="true" w:anchor="_TOC_250034">
            <w:r>
              <w:rPr>
                <w:spacing w:val="-2"/>
              </w:rPr>
              <w:t>Methods</w:t>
            </w:r>
            <w:r>
              <w:rPr/>
              <w:tab/>
            </w:r>
            <w:r>
              <w:rPr>
                <w:spacing w:val="-5"/>
              </w:rPr>
              <w:t>58</w:t>
            </w:r>
          </w:hyperlink>
        </w:p>
        <w:p>
          <w:pPr>
            <w:pStyle w:val="TOC2"/>
            <w:numPr>
              <w:ilvl w:val="2"/>
              <w:numId w:val="3"/>
            </w:numPr>
            <w:tabs>
              <w:tab w:pos="1461" w:val="left" w:leader="none"/>
              <w:tab w:pos="9980" w:val="left" w:leader="dot"/>
            </w:tabs>
            <w:spacing w:line="240" w:lineRule="auto" w:before="363" w:after="0"/>
            <w:ind w:left="1461" w:right="0" w:hanging="541"/>
            <w:jc w:val="left"/>
          </w:pPr>
          <w:hyperlink w:history="true" w:anchor="_TOC_250033">
            <w:r>
              <w:rPr/>
              <w:t>Study</w:t>
            </w:r>
            <w:r>
              <w:rPr>
                <w:spacing w:val="-8"/>
              </w:rPr>
              <w:t> </w:t>
            </w:r>
            <w:r>
              <w:rPr>
                <w:spacing w:val="-4"/>
              </w:rPr>
              <w:t>Area</w:t>
            </w:r>
            <w:r>
              <w:rPr/>
              <w:tab/>
            </w:r>
            <w:r>
              <w:rPr>
                <w:spacing w:val="-5"/>
              </w:rPr>
              <w:t>58</w:t>
            </w:r>
          </w:hyperlink>
        </w:p>
        <w:p>
          <w:pPr>
            <w:pStyle w:val="TOC2"/>
            <w:numPr>
              <w:ilvl w:val="2"/>
              <w:numId w:val="4"/>
            </w:numPr>
            <w:tabs>
              <w:tab w:pos="1460" w:val="left" w:leader="none"/>
              <w:tab w:pos="10019" w:val="left" w:leader="dot"/>
            </w:tabs>
            <w:spacing w:line="240" w:lineRule="auto" w:before="357" w:after="0"/>
            <w:ind w:left="1460" w:right="0" w:hanging="540"/>
            <w:jc w:val="left"/>
          </w:pPr>
          <w:r>
            <w:rPr/>
            <w:t>Media</w:t>
          </w:r>
          <w:r>
            <w:rPr>
              <w:spacing w:val="-14"/>
            </w:rPr>
            <w:t> </w:t>
          </w:r>
          <w:r>
            <w:rPr>
              <w:spacing w:val="-2"/>
            </w:rPr>
            <w:t>Preparation</w:t>
          </w:r>
          <w:r>
            <w:rPr/>
            <w:tab/>
          </w:r>
          <w:r>
            <w:rPr>
              <w:spacing w:val="-5"/>
            </w:rPr>
            <w:t>58</w:t>
          </w:r>
        </w:p>
        <w:p>
          <w:pPr>
            <w:pStyle w:val="TOC2"/>
            <w:numPr>
              <w:ilvl w:val="2"/>
              <w:numId w:val="3"/>
            </w:numPr>
            <w:tabs>
              <w:tab w:pos="1460" w:val="left" w:leader="none"/>
              <w:tab w:pos="9998" w:val="left" w:leader="dot"/>
            </w:tabs>
            <w:spacing w:line="240" w:lineRule="auto" w:before="358" w:after="0"/>
            <w:ind w:left="1460" w:right="0" w:hanging="540"/>
            <w:jc w:val="left"/>
          </w:pPr>
          <w:r>
            <w:rPr>
              <w:spacing w:val="-2"/>
            </w:rPr>
            <w:t>Sampling…</w:t>
          </w:r>
          <w:r>
            <w:rPr/>
            <w:tab/>
          </w:r>
          <w:r>
            <w:rPr>
              <w:spacing w:val="-5"/>
            </w:rPr>
            <w:t>58</w:t>
          </w:r>
        </w:p>
        <w:p>
          <w:pPr>
            <w:pStyle w:val="TOC2"/>
            <w:numPr>
              <w:ilvl w:val="2"/>
              <w:numId w:val="4"/>
            </w:numPr>
            <w:tabs>
              <w:tab w:pos="1460" w:val="left" w:leader="none"/>
              <w:tab w:pos="9985" w:val="left" w:leader="dot"/>
            </w:tabs>
            <w:spacing w:line="240" w:lineRule="auto" w:before="357" w:after="0"/>
            <w:ind w:left="1460" w:right="0" w:hanging="540"/>
            <w:jc w:val="left"/>
          </w:pPr>
          <w:r>
            <w:rPr/>
            <w:t>Isolation</w:t>
          </w:r>
          <w:r>
            <w:rPr>
              <w:spacing w:val="-8"/>
            </w:rPr>
            <w:t> </w:t>
          </w:r>
          <w:r>
            <w:rPr/>
            <w:t>of</w:t>
          </w:r>
          <w:r>
            <w:rPr>
              <w:spacing w:val="-10"/>
            </w:rPr>
            <w:t> </w:t>
          </w:r>
          <w:r>
            <w:rPr>
              <w:spacing w:val="-2"/>
            </w:rPr>
            <w:t>Organism</w:t>
          </w:r>
          <w:r>
            <w:rPr/>
            <w:tab/>
          </w:r>
          <w:r>
            <w:rPr>
              <w:spacing w:val="-5"/>
            </w:rPr>
            <w:t>59</w:t>
          </w:r>
        </w:p>
        <w:p>
          <w:pPr>
            <w:pStyle w:val="TOC2"/>
            <w:numPr>
              <w:ilvl w:val="2"/>
              <w:numId w:val="4"/>
            </w:numPr>
            <w:tabs>
              <w:tab w:pos="1461" w:val="left" w:leader="none"/>
              <w:tab w:pos="10034" w:val="left" w:leader="dot"/>
            </w:tabs>
            <w:spacing w:line="240" w:lineRule="auto" w:before="363" w:after="0"/>
            <w:ind w:left="1461" w:right="0" w:hanging="541"/>
            <w:jc w:val="left"/>
          </w:pPr>
          <w:hyperlink w:history="true" w:anchor="_TOC_250032">
            <w:r>
              <w:rPr/>
              <w:t>Selective</w:t>
            </w:r>
            <w:r>
              <w:rPr>
                <w:spacing w:val="-10"/>
              </w:rPr>
              <w:t> </w:t>
            </w:r>
            <w:r>
              <w:rPr/>
              <w:t>Plating</w:t>
            </w:r>
            <w:r>
              <w:rPr>
                <w:spacing w:val="-8"/>
              </w:rPr>
              <w:t> </w:t>
            </w:r>
            <w:r>
              <w:rPr/>
              <w:t>and</w:t>
            </w:r>
            <w:r>
              <w:rPr>
                <w:spacing w:val="-8"/>
              </w:rPr>
              <w:t> </w:t>
            </w:r>
            <w:r>
              <w:rPr/>
              <w:t>Identification</w:t>
            </w:r>
            <w:r>
              <w:rPr>
                <w:spacing w:val="-13"/>
              </w:rPr>
              <w:t> </w:t>
            </w:r>
            <w:r>
              <w:rPr/>
              <w:t>of</w:t>
            </w:r>
            <w:r>
              <w:rPr>
                <w:spacing w:val="-14"/>
              </w:rPr>
              <w:t> </w:t>
            </w:r>
            <w:r>
              <w:rPr>
                <w:spacing w:val="-2"/>
              </w:rPr>
              <w:t>Isolates</w:t>
            </w:r>
            <w:r>
              <w:rPr/>
              <w:tab/>
            </w:r>
            <w:r>
              <w:rPr>
                <w:spacing w:val="-5"/>
              </w:rPr>
              <w:t>59</w:t>
            </w:r>
          </w:hyperlink>
        </w:p>
        <w:p>
          <w:pPr>
            <w:pStyle w:val="TOC2"/>
            <w:numPr>
              <w:ilvl w:val="2"/>
              <w:numId w:val="4"/>
            </w:numPr>
            <w:tabs>
              <w:tab w:pos="1460" w:val="left" w:leader="none"/>
              <w:tab w:pos="9990" w:val="left" w:leader="dot"/>
            </w:tabs>
            <w:spacing w:line="240" w:lineRule="auto" w:before="358" w:after="0"/>
            <w:ind w:left="1460" w:right="0" w:hanging="540"/>
            <w:jc w:val="left"/>
          </w:pPr>
          <w:hyperlink w:history="true" w:anchor="_TOC_250031">
            <w:r>
              <w:rPr>
                <w:spacing w:val="-2"/>
              </w:rPr>
              <w:t>Biochemical</w:t>
            </w:r>
            <w:r>
              <w:rPr>
                <w:spacing w:val="-1"/>
              </w:rPr>
              <w:t> </w:t>
            </w:r>
            <w:r>
              <w:rPr>
                <w:spacing w:val="-4"/>
              </w:rPr>
              <w:t>Test</w:t>
            </w:r>
            <w:r>
              <w:rPr/>
              <w:tab/>
            </w:r>
            <w:r>
              <w:rPr>
                <w:spacing w:val="-5"/>
              </w:rPr>
              <w:t>60</w:t>
            </w:r>
          </w:hyperlink>
        </w:p>
        <w:p>
          <w:pPr>
            <w:pStyle w:val="TOC2"/>
            <w:numPr>
              <w:ilvl w:val="3"/>
              <w:numId w:val="4"/>
            </w:numPr>
            <w:tabs>
              <w:tab w:pos="1641" w:val="left" w:leader="none"/>
              <w:tab w:pos="9986" w:val="left" w:leader="dot"/>
            </w:tabs>
            <w:spacing w:line="240" w:lineRule="auto" w:before="357" w:after="0"/>
            <w:ind w:left="1641" w:right="0" w:hanging="721"/>
            <w:jc w:val="left"/>
          </w:pPr>
          <w:hyperlink w:history="true" w:anchor="_TOC_250030">
            <w:r>
              <w:rPr/>
              <w:t>Indole</w:t>
            </w:r>
            <w:r>
              <w:rPr>
                <w:spacing w:val="-15"/>
              </w:rPr>
              <w:t> </w:t>
            </w:r>
            <w:r>
              <w:rPr>
                <w:spacing w:val="-4"/>
              </w:rPr>
              <w:t>Test</w:t>
            </w:r>
            <w:r>
              <w:rPr/>
              <w:tab/>
            </w:r>
            <w:r>
              <w:rPr>
                <w:spacing w:val="-5"/>
              </w:rPr>
              <w:t>60</w:t>
            </w:r>
          </w:hyperlink>
        </w:p>
        <w:p>
          <w:pPr>
            <w:pStyle w:val="TOC2"/>
            <w:numPr>
              <w:ilvl w:val="3"/>
              <w:numId w:val="4"/>
            </w:numPr>
            <w:tabs>
              <w:tab w:pos="1641" w:val="left" w:leader="none"/>
              <w:tab w:pos="10009" w:val="left" w:leader="dot"/>
            </w:tabs>
            <w:spacing w:line="240" w:lineRule="auto" w:before="358" w:after="0"/>
            <w:ind w:left="1641" w:right="0" w:hanging="721"/>
            <w:jc w:val="left"/>
          </w:pPr>
          <w:hyperlink w:history="true" w:anchor="_TOC_250029">
            <w:r>
              <w:rPr/>
              <w:t>Methyl</w:t>
            </w:r>
            <w:r>
              <w:rPr>
                <w:spacing w:val="-13"/>
              </w:rPr>
              <w:t> </w:t>
            </w:r>
            <w:r>
              <w:rPr/>
              <w:t>red-</w:t>
            </w:r>
            <w:r>
              <w:rPr>
                <w:spacing w:val="-9"/>
              </w:rPr>
              <w:t> </w:t>
            </w:r>
            <w:r>
              <w:rPr/>
              <w:t>Voges-Proskauer</w:t>
            </w:r>
            <w:r>
              <w:rPr>
                <w:spacing w:val="-12"/>
              </w:rPr>
              <w:t> </w:t>
            </w:r>
            <w:r>
              <w:rPr>
                <w:spacing w:val="-4"/>
              </w:rPr>
              <w:t>Test</w:t>
            </w:r>
            <w:r>
              <w:rPr/>
              <w:tab/>
            </w:r>
            <w:r>
              <w:rPr>
                <w:spacing w:val="-5"/>
              </w:rPr>
              <w:t>60</w:t>
            </w:r>
          </w:hyperlink>
        </w:p>
        <w:p>
          <w:pPr>
            <w:pStyle w:val="TOC2"/>
            <w:numPr>
              <w:ilvl w:val="3"/>
              <w:numId w:val="4"/>
            </w:numPr>
            <w:tabs>
              <w:tab w:pos="1641" w:val="left" w:leader="none"/>
              <w:tab w:pos="10024" w:val="left" w:leader="dot"/>
            </w:tabs>
            <w:spacing w:line="240" w:lineRule="auto" w:before="362" w:after="0"/>
            <w:ind w:left="1641" w:right="0" w:hanging="721"/>
            <w:jc w:val="left"/>
          </w:pPr>
          <w:hyperlink w:history="true" w:anchor="_TOC_250028">
            <w:r>
              <w:rPr/>
              <w:t>Citrate</w:t>
            </w:r>
            <w:r>
              <w:rPr>
                <w:spacing w:val="-11"/>
              </w:rPr>
              <w:t> </w:t>
            </w:r>
            <w:r>
              <w:rPr>
                <w:spacing w:val="-4"/>
              </w:rPr>
              <w:t>Test</w:t>
            </w:r>
            <w:r>
              <w:rPr/>
              <w:tab/>
            </w:r>
            <w:r>
              <w:rPr>
                <w:spacing w:val="-5"/>
              </w:rPr>
              <w:t>61</w:t>
            </w:r>
          </w:hyperlink>
        </w:p>
        <w:p>
          <w:pPr>
            <w:pStyle w:val="TOC2"/>
            <w:numPr>
              <w:ilvl w:val="3"/>
              <w:numId w:val="4"/>
            </w:numPr>
            <w:tabs>
              <w:tab w:pos="1641" w:val="left" w:leader="none"/>
              <w:tab w:pos="10024" w:val="left" w:leader="dot"/>
            </w:tabs>
            <w:spacing w:line="240" w:lineRule="auto" w:before="358" w:after="0"/>
            <w:ind w:left="1641" w:right="0" w:hanging="721"/>
            <w:jc w:val="left"/>
          </w:pPr>
          <w:hyperlink w:history="true" w:anchor="_TOC_250027">
            <w:r>
              <w:rPr/>
              <w:t>Triple</w:t>
            </w:r>
            <w:r>
              <w:rPr>
                <w:spacing w:val="-8"/>
              </w:rPr>
              <w:t> </w:t>
            </w:r>
            <w:r>
              <w:rPr/>
              <w:t>Sugar</w:t>
            </w:r>
            <w:r>
              <w:rPr>
                <w:spacing w:val="-6"/>
              </w:rPr>
              <w:t> </w:t>
            </w:r>
            <w:r>
              <w:rPr/>
              <w:t>Iron</w:t>
            </w:r>
            <w:r>
              <w:rPr>
                <w:spacing w:val="-11"/>
              </w:rPr>
              <w:t> </w:t>
            </w:r>
            <w:r>
              <w:rPr>
                <w:spacing w:val="-4"/>
              </w:rPr>
              <w:t>Test</w:t>
            </w:r>
            <w:r>
              <w:rPr/>
              <w:tab/>
            </w:r>
            <w:r>
              <w:rPr>
                <w:spacing w:val="-5"/>
              </w:rPr>
              <w:t>61</w:t>
            </w:r>
          </w:hyperlink>
        </w:p>
        <w:p>
          <w:pPr>
            <w:pStyle w:val="TOC2"/>
            <w:numPr>
              <w:ilvl w:val="3"/>
              <w:numId w:val="4"/>
            </w:numPr>
            <w:tabs>
              <w:tab w:pos="1641" w:val="left" w:leader="none"/>
              <w:tab w:pos="10009" w:val="left" w:leader="dot"/>
            </w:tabs>
            <w:spacing w:line="240" w:lineRule="auto" w:before="357" w:after="0"/>
            <w:ind w:left="1641" w:right="0" w:hanging="721"/>
            <w:jc w:val="left"/>
          </w:pPr>
          <w:hyperlink w:history="true" w:anchor="_TOC_250026">
            <w:r>
              <w:rPr>
                <w:spacing w:val="-2"/>
              </w:rPr>
              <w:t>Catalase</w:t>
            </w:r>
            <w:r>
              <w:rPr>
                <w:spacing w:val="-4"/>
              </w:rPr>
              <w:t> Test</w:t>
            </w:r>
            <w:r>
              <w:rPr/>
              <w:tab/>
            </w:r>
            <w:r>
              <w:rPr>
                <w:spacing w:val="-5"/>
              </w:rPr>
              <w:t>61</w:t>
            </w:r>
          </w:hyperlink>
        </w:p>
        <w:p>
          <w:pPr>
            <w:pStyle w:val="TOC2"/>
            <w:numPr>
              <w:ilvl w:val="3"/>
              <w:numId w:val="4"/>
            </w:numPr>
            <w:tabs>
              <w:tab w:pos="1641" w:val="left" w:leader="none"/>
              <w:tab w:pos="10038" w:val="left" w:leader="dot"/>
            </w:tabs>
            <w:spacing w:line="240" w:lineRule="auto" w:before="358" w:after="0"/>
            <w:ind w:left="1641" w:right="0" w:hanging="721"/>
            <w:jc w:val="left"/>
          </w:pPr>
          <w:hyperlink w:history="true" w:anchor="_TOC_250025">
            <w:r>
              <w:rPr/>
              <w:t>Oxidase</w:t>
            </w:r>
            <w:r>
              <w:rPr>
                <w:spacing w:val="-15"/>
              </w:rPr>
              <w:t> </w:t>
            </w:r>
            <w:r>
              <w:rPr>
                <w:spacing w:val="-4"/>
              </w:rPr>
              <w:t>Test</w:t>
            </w:r>
            <w:r>
              <w:rPr/>
              <w:tab/>
            </w:r>
            <w:r>
              <w:rPr>
                <w:spacing w:val="-5"/>
              </w:rPr>
              <w:t>62</w:t>
            </w:r>
          </w:hyperlink>
        </w:p>
        <w:p>
          <w:pPr>
            <w:pStyle w:val="TOC2"/>
            <w:numPr>
              <w:ilvl w:val="3"/>
              <w:numId w:val="4"/>
            </w:numPr>
            <w:tabs>
              <w:tab w:pos="1641" w:val="left" w:leader="none"/>
              <w:tab w:pos="10015" w:val="left" w:leader="dot"/>
            </w:tabs>
            <w:spacing w:line="240" w:lineRule="auto" w:before="362" w:after="87"/>
            <w:ind w:left="1641" w:right="0" w:hanging="721"/>
            <w:jc w:val="left"/>
          </w:pPr>
          <w:hyperlink w:history="true" w:anchor="_TOC_250024">
            <w:r>
              <w:rPr>
                <w:spacing w:val="-2"/>
              </w:rPr>
              <w:t>Coagulase </w:t>
            </w:r>
            <w:r>
              <w:rPr>
                <w:spacing w:val="-4"/>
              </w:rPr>
              <w:t>Test</w:t>
            </w:r>
            <w:r>
              <w:rPr/>
              <w:tab/>
            </w:r>
            <w:r>
              <w:rPr>
                <w:spacing w:val="-5"/>
              </w:rPr>
              <w:t>62</w:t>
            </w:r>
          </w:hyperlink>
        </w:p>
        <w:p>
          <w:pPr>
            <w:pStyle w:val="TOC2"/>
            <w:numPr>
              <w:ilvl w:val="3"/>
              <w:numId w:val="4"/>
            </w:numPr>
            <w:tabs>
              <w:tab w:pos="1641" w:val="left" w:leader="none"/>
              <w:tab w:pos="10279" w:val="right" w:leader="dot"/>
            </w:tabs>
            <w:spacing w:line="240" w:lineRule="auto" w:before="72" w:after="0"/>
            <w:ind w:left="1641" w:right="0" w:hanging="721"/>
            <w:jc w:val="left"/>
          </w:pPr>
          <w:hyperlink w:history="true" w:anchor="_TOC_250023">
            <w:r>
              <w:rPr/>
              <w:t>Urease</w:t>
            </w:r>
            <w:r>
              <w:rPr>
                <w:spacing w:val="-9"/>
              </w:rPr>
              <w:t> </w:t>
            </w:r>
            <w:r>
              <w:rPr>
                <w:spacing w:val="-4"/>
              </w:rPr>
              <w:t>Test</w:t>
            </w:r>
            <w:r>
              <w:rPr/>
              <w:tab/>
            </w:r>
            <w:r>
              <w:rPr>
                <w:spacing w:val="-5"/>
              </w:rPr>
              <w:t>62</w:t>
            </w:r>
          </w:hyperlink>
        </w:p>
        <w:p>
          <w:pPr>
            <w:pStyle w:val="TOC2"/>
            <w:numPr>
              <w:ilvl w:val="3"/>
              <w:numId w:val="4"/>
            </w:numPr>
            <w:tabs>
              <w:tab w:pos="1641" w:val="left" w:leader="none"/>
              <w:tab w:pos="10255" w:val="right" w:leader="dot"/>
            </w:tabs>
            <w:spacing w:line="240" w:lineRule="auto" w:before="357" w:after="0"/>
            <w:ind w:left="1641" w:right="0" w:hanging="721"/>
            <w:jc w:val="left"/>
          </w:pPr>
          <w:hyperlink w:history="true" w:anchor="_TOC_250022">
            <w:r>
              <w:rPr/>
              <w:t>Sugar</w:t>
            </w:r>
            <w:r>
              <w:rPr>
                <w:spacing w:val="-14"/>
              </w:rPr>
              <w:t> </w:t>
            </w:r>
            <w:r>
              <w:rPr/>
              <w:t>Fermentation</w:t>
            </w:r>
            <w:r>
              <w:rPr>
                <w:spacing w:val="-13"/>
              </w:rPr>
              <w:t> </w:t>
            </w:r>
            <w:r>
              <w:rPr>
                <w:spacing w:val="-4"/>
              </w:rPr>
              <w:t>Test</w:t>
            </w:r>
            <w:r>
              <w:rPr/>
              <w:tab/>
            </w:r>
            <w:r>
              <w:rPr>
                <w:spacing w:val="-7"/>
              </w:rPr>
              <w:t>62</w:t>
            </w:r>
          </w:hyperlink>
        </w:p>
        <w:p>
          <w:pPr>
            <w:pStyle w:val="TOC2"/>
            <w:numPr>
              <w:ilvl w:val="2"/>
              <w:numId w:val="4"/>
            </w:numPr>
            <w:tabs>
              <w:tab w:pos="1461" w:val="left" w:leader="none"/>
              <w:tab w:pos="10265" w:val="right" w:leader="dot"/>
            </w:tabs>
            <w:spacing w:line="240" w:lineRule="auto" w:before="358" w:after="0"/>
            <w:ind w:left="1461" w:right="0" w:hanging="541"/>
            <w:jc w:val="left"/>
          </w:pPr>
          <w:hyperlink w:history="true" w:anchor="_TOC_250021">
            <w:r>
              <w:rPr>
                <w:spacing w:val="-2"/>
              </w:rPr>
              <w:t>Antibiotics</w:t>
            </w:r>
            <w:r>
              <w:rPr>
                <w:spacing w:val="8"/>
              </w:rPr>
              <w:t> </w:t>
            </w:r>
            <w:r>
              <w:rPr>
                <w:spacing w:val="-2"/>
              </w:rPr>
              <w:t>Susceptibility</w:t>
            </w:r>
            <w:r>
              <w:rPr>
                <w:spacing w:val="7"/>
              </w:rPr>
              <w:t> </w:t>
            </w:r>
            <w:r>
              <w:rPr>
                <w:spacing w:val="-4"/>
              </w:rPr>
              <w:t>Test</w:t>
            </w:r>
            <w:r>
              <w:rPr/>
              <w:tab/>
            </w:r>
            <w:r>
              <w:rPr>
                <w:spacing w:val="-5"/>
              </w:rPr>
              <w:t>63</w:t>
            </w:r>
          </w:hyperlink>
        </w:p>
        <w:p>
          <w:pPr>
            <w:pStyle w:val="TOC2"/>
            <w:numPr>
              <w:ilvl w:val="2"/>
              <w:numId w:val="4"/>
            </w:numPr>
            <w:tabs>
              <w:tab w:pos="1460" w:val="left" w:leader="none"/>
              <w:tab w:pos="10279" w:val="right" w:leader="dot"/>
            </w:tabs>
            <w:spacing w:line="240" w:lineRule="auto" w:before="362" w:after="0"/>
            <w:ind w:left="1460" w:right="0" w:hanging="540"/>
            <w:jc w:val="left"/>
          </w:pPr>
          <w:hyperlink w:history="true" w:anchor="_TOC_250020">
            <w:r>
              <w:rPr/>
              <w:t>Determination</w:t>
            </w:r>
            <w:r>
              <w:rPr>
                <w:spacing w:val="-14"/>
              </w:rPr>
              <w:t> </w:t>
            </w:r>
            <w:r>
              <w:rPr/>
              <w:t>of</w:t>
            </w:r>
            <w:r>
              <w:rPr>
                <w:spacing w:val="-15"/>
              </w:rPr>
              <w:t> </w:t>
            </w:r>
            <w:r>
              <w:rPr/>
              <w:t>Minimum</w:t>
            </w:r>
            <w:r>
              <w:rPr>
                <w:spacing w:val="-14"/>
              </w:rPr>
              <w:t> </w:t>
            </w:r>
            <w:r>
              <w:rPr/>
              <w:t>Inhibitory</w:t>
            </w:r>
            <w:r>
              <w:rPr>
                <w:spacing w:val="-15"/>
              </w:rPr>
              <w:t> </w:t>
            </w:r>
            <w:r>
              <w:rPr/>
              <w:t>Concentrations</w:t>
            </w:r>
            <w:r>
              <w:rPr>
                <w:spacing w:val="-10"/>
              </w:rPr>
              <w:t> </w:t>
            </w:r>
            <w:r>
              <w:rPr>
                <w:spacing w:val="-2"/>
              </w:rPr>
              <w:t>(MIC)</w:t>
            </w:r>
            <w:r>
              <w:rPr/>
              <w:tab/>
            </w:r>
            <w:r>
              <w:rPr>
                <w:spacing w:val="-5"/>
              </w:rPr>
              <w:t>63</w:t>
            </w:r>
          </w:hyperlink>
        </w:p>
        <w:p>
          <w:pPr>
            <w:pStyle w:val="TOC2"/>
            <w:numPr>
              <w:ilvl w:val="2"/>
              <w:numId w:val="4"/>
            </w:numPr>
            <w:tabs>
              <w:tab w:pos="1461" w:val="left" w:leader="none"/>
              <w:tab w:pos="10231" w:val="right" w:leader="dot"/>
            </w:tabs>
            <w:spacing w:line="240" w:lineRule="auto" w:before="358" w:after="0"/>
            <w:ind w:left="1461" w:right="0" w:hanging="541"/>
            <w:jc w:val="left"/>
          </w:pPr>
          <w:hyperlink w:history="true" w:anchor="_TOC_250019">
            <w:r>
              <w:rPr/>
              <w:t>Beta-</w:t>
            </w:r>
            <w:r>
              <w:rPr>
                <w:spacing w:val="-13"/>
              </w:rPr>
              <w:t> </w:t>
            </w:r>
            <w:r>
              <w:rPr/>
              <w:t>Lactamase</w:t>
            </w:r>
            <w:r>
              <w:rPr>
                <w:spacing w:val="-11"/>
              </w:rPr>
              <w:t> </w:t>
            </w:r>
            <w:r>
              <w:rPr/>
              <w:t>Production</w:t>
            </w:r>
            <w:r>
              <w:rPr>
                <w:spacing w:val="-13"/>
              </w:rPr>
              <w:t> </w:t>
            </w:r>
            <w:r>
              <w:rPr>
                <w:spacing w:val="-4"/>
              </w:rPr>
              <w:t>Test</w:t>
            </w:r>
            <w:r>
              <w:rPr/>
              <w:tab/>
            </w:r>
            <w:r>
              <w:rPr>
                <w:spacing w:val="-5"/>
              </w:rPr>
              <w:t>64</w:t>
            </w:r>
          </w:hyperlink>
        </w:p>
        <w:p>
          <w:pPr>
            <w:pStyle w:val="TOC2"/>
            <w:numPr>
              <w:ilvl w:val="2"/>
              <w:numId w:val="4"/>
            </w:numPr>
            <w:tabs>
              <w:tab w:pos="1638" w:val="left" w:leader="none"/>
              <w:tab w:pos="10255" w:val="right" w:leader="dot"/>
            </w:tabs>
            <w:spacing w:line="240" w:lineRule="auto" w:before="358" w:after="0"/>
            <w:ind w:left="1638" w:right="0" w:hanging="718"/>
            <w:jc w:val="left"/>
          </w:pPr>
          <w:hyperlink w:history="true" w:anchor="_TOC_250018">
            <w:r>
              <w:rPr>
                <w:spacing w:val="-2"/>
              </w:rPr>
              <w:t>Conjugation</w:t>
            </w:r>
            <w:r>
              <w:rPr>
                <w:spacing w:val="4"/>
              </w:rPr>
              <w:t> </w:t>
            </w:r>
            <w:r>
              <w:rPr>
                <w:spacing w:val="-2"/>
              </w:rPr>
              <w:t>Studies</w:t>
            </w:r>
            <w:r>
              <w:rPr/>
              <w:tab/>
            </w:r>
            <w:r>
              <w:rPr>
                <w:spacing w:val="-5"/>
              </w:rPr>
              <w:t>65</w:t>
            </w:r>
          </w:hyperlink>
        </w:p>
        <w:p>
          <w:pPr>
            <w:pStyle w:val="TOC2"/>
            <w:numPr>
              <w:ilvl w:val="2"/>
              <w:numId w:val="4"/>
            </w:numPr>
            <w:tabs>
              <w:tab w:pos="1580" w:val="left" w:leader="none"/>
              <w:tab w:pos="10274" w:val="right" w:leader="dot"/>
            </w:tabs>
            <w:spacing w:line="240" w:lineRule="auto" w:before="357" w:after="0"/>
            <w:ind w:left="1580" w:right="0" w:hanging="660"/>
            <w:jc w:val="left"/>
          </w:pPr>
          <w:hyperlink w:history="true" w:anchor="_TOC_250017">
            <w:r>
              <w:rPr/>
              <w:t>Curing</w:t>
            </w:r>
            <w:r>
              <w:rPr>
                <w:spacing w:val="-6"/>
              </w:rPr>
              <w:t> </w:t>
            </w:r>
            <w:r>
              <w:rPr/>
              <w:t>of</w:t>
            </w:r>
            <w:r>
              <w:rPr>
                <w:spacing w:val="-13"/>
              </w:rPr>
              <w:t> </w:t>
            </w:r>
            <w:r>
              <w:rPr>
                <w:spacing w:val="-2"/>
              </w:rPr>
              <w:t>Transconjugants</w:t>
            </w:r>
            <w:r>
              <w:rPr/>
              <w:tab/>
            </w:r>
            <w:r>
              <w:rPr>
                <w:spacing w:val="-5"/>
              </w:rPr>
              <w:t>65</w:t>
            </w:r>
          </w:hyperlink>
        </w:p>
        <w:p>
          <w:pPr>
            <w:pStyle w:val="TOC2"/>
            <w:numPr>
              <w:ilvl w:val="2"/>
              <w:numId w:val="4"/>
            </w:numPr>
            <w:tabs>
              <w:tab w:pos="1580" w:val="left" w:leader="none"/>
              <w:tab w:pos="10236" w:val="right" w:leader="dot"/>
            </w:tabs>
            <w:spacing w:line="240" w:lineRule="auto" w:before="363" w:after="0"/>
            <w:ind w:left="1580" w:right="0" w:hanging="660"/>
            <w:jc w:val="left"/>
          </w:pPr>
          <w:hyperlink w:history="true" w:anchor="_TOC_250016">
            <w:r>
              <w:rPr/>
              <w:t>Isolation</w:t>
            </w:r>
            <w:r>
              <w:rPr>
                <w:spacing w:val="-7"/>
              </w:rPr>
              <w:t> </w:t>
            </w:r>
            <w:r>
              <w:rPr/>
              <w:t>of</w:t>
            </w:r>
            <w:r>
              <w:rPr>
                <w:spacing w:val="-10"/>
              </w:rPr>
              <w:t> </w:t>
            </w:r>
            <w:r>
              <w:rPr>
                <w:spacing w:val="-2"/>
              </w:rPr>
              <w:t>Plasmid…</w:t>
            </w:r>
            <w:r>
              <w:rPr/>
              <w:tab/>
            </w:r>
            <w:r>
              <w:rPr>
                <w:spacing w:val="-5"/>
              </w:rPr>
              <w:t>66</w:t>
            </w:r>
          </w:hyperlink>
        </w:p>
        <w:p>
          <w:pPr>
            <w:pStyle w:val="TOC2"/>
            <w:numPr>
              <w:ilvl w:val="2"/>
              <w:numId w:val="4"/>
            </w:numPr>
            <w:tabs>
              <w:tab w:pos="1580" w:val="left" w:leader="none"/>
              <w:tab w:pos="10279" w:val="right" w:leader="dot"/>
            </w:tabs>
            <w:spacing w:line="240" w:lineRule="auto" w:before="357" w:after="0"/>
            <w:ind w:left="1580" w:right="0" w:hanging="660"/>
            <w:jc w:val="left"/>
          </w:pPr>
          <w:hyperlink w:history="true" w:anchor="_TOC_250015">
            <w:r>
              <w:rPr/>
              <w:t>Agarose</w:t>
            </w:r>
            <w:r>
              <w:rPr>
                <w:spacing w:val="-6"/>
              </w:rPr>
              <w:t> </w:t>
            </w:r>
            <w:r>
              <w:rPr/>
              <w:t>Gel</w:t>
            </w:r>
            <w:r>
              <w:rPr>
                <w:spacing w:val="-12"/>
              </w:rPr>
              <w:t> </w:t>
            </w:r>
            <w:r>
              <w:rPr>
                <w:spacing w:val="-2"/>
              </w:rPr>
              <w:t>Electrophoresis</w:t>
            </w:r>
            <w:r>
              <w:rPr/>
              <w:tab/>
            </w:r>
            <w:r>
              <w:rPr>
                <w:spacing w:val="-5"/>
              </w:rPr>
              <w:t>67</w:t>
            </w:r>
          </w:hyperlink>
        </w:p>
        <w:p>
          <w:pPr>
            <w:pStyle w:val="TOC1"/>
            <w:spacing w:before="363"/>
          </w:pPr>
          <w:hyperlink w:history="true" w:anchor="_TOC_250014">
            <w:r>
              <w:rPr>
                <w:spacing w:val="-2"/>
              </w:rPr>
              <w:t>CHAPTER</w:t>
            </w:r>
            <w:r>
              <w:rPr>
                <w:spacing w:val="-3"/>
              </w:rPr>
              <w:t> </w:t>
            </w:r>
            <w:r>
              <w:rPr>
                <w:spacing w:val="-4"/>
              </w:rPr>
              <w:t>FOUR</w:t>
            </w:r>
          </w:hyperlink>
        </w:p>
        <w:p>
          <w:pPr>
            <w:pStyle w:val="TOC2"/>
            <w:numPr>
              <w:ilvl w:val="1"/>
              <w:numId w:val="5"/>
            </w:numPr>
            <w:tabs>
              <w:tab w:pos="1283" w:val="left" w:leader="none"/>
              <w:tab w:pos="10270" w:val="right" w:leader="dot"/>
            </w:tabs>
            <w:spacing w:line="240" w:lineRule="auto" w:before="352" w:after="0"/>
            <w:ind w:left="1283" w:right="0" w:hanging="363"/>
            <w:jc w:val="left"/>
          </w:pPr>
          <w:hyperlink w:history="true" w:anchor="_TOC_250013">
            <w:r>
              <w:rPr>
                <w:spacing w:val="-2"/>
              </w:rPr>
              <w:t>Results</w:t>
            </w:r>
            <w:r>
              <w:rPr/>
              <w:tab/>
            </w:r>
            <w:r>
              <w:rPr>
                <w:spacing w:val="-5"/>
              </w:rPr>
              <w:t>69</w:t>
            </w:r>
          </w:hyperlink>
        </w:p>
        <w:p>
          <w:pPr>
            <w:pStyle w:val="TOC2"/>
            <w:numPr>
              <w:ilvl w:val="1"/>
              <w:numId w:val="5"/>
            </w:numPr>
            <w:tabs>
              <w:tab w:pos="1283" w:val="left" w:leader="none"/>
              <w:tab w:pos="10241" w:val="right" w:leader="dot"/>
            </w:tabs>
            <w:spacing w:line="240" w:lineRule="auto" w:before="363" w:after="0"/>
            <w:ind w:left="1283" w:right="0" w:hanging="363"/>
            <w:jc w:val="left"/>
          </w:pPr>
          <w:hyperlink w:history="true" w:anchor="_TOC_250012">
            <w:r>
              <w:rPr/>
              <w:t>Isolation</w:t>
            </w:r>
            <w:r>
              <w:rPr>
                <w:spacing w:val="-13"/>
              </w:rPr>
              <w:t> </w:t>
            </w:r>
            <w:r>
              <w:rPr/>
              <w:t>and</w:t>
            </w:r>
            <w:r>
              <w:rPr>
                <w:spacing w:val="-9"/>
              </w:rPr>
              <w:t> </w:t>
            </w:r>
            <w:r>
              <w:rPr>
                <w:spacing w:val="-2"/>
              </w:rPr>
              <w:t>Identification</w:t>
            </w:r>
            <w:r>
              <w:rPr/>
              <w:tab/>
            </w:r>
            <w:r>
              <w:rPr>
                <w:spacing w:val="-5"/>
              </w:rPr>
              <w:t>69</w:t>
            </w:r>
          </w:hyperlink>
        </w:p>
        <w:p>
          <w:pPr>
            <w:pStyle w:val="TOC2"/>
            <w:numPr>
              <w:ilvl w:val="1"/>
              <w:numId w:val="5"/>
            </w:numPr>
            <w:tabs>
              <w:tab w:pos="1283" w:val="left" w:leader="none"/>
              <w:tab w:pos="10267" w:val="right" w:leader="dot"/>
            </w:tabs>
            <w:spacing w:line="240" w:lineRule="auto" w:before="358" w:after="0"/>
            <w:ind w:left="1283" w:right="0" w:hanging="363"/>
            <w:jc w:val="left"/>
          </w:pPr>
          <w:hyperlink w:history="true" w:anchor="_TOC_250011">
            <w:r>
              <w:rPr>
                <w:spacing w:val="-2"/>
              </w:rPr>
              <w:t>Antibiotics</w:t>
            </w:r>
            <w:r>
              <w:rPr>
                <w:spacing w:val="9"/>
              </w:rPr>
              <w:t> </w:t>
            </w:r>
            <w:r>
              <w:rPr>
                <w:spacing w:val="-2"/>
              </w:rPr>
              <w:t>Susceptibility</w:t>
            </w:r>
            <w:r>
              <w:rPr>
                <w:spacing w:val="2"/>
              </w:rPr>
              <w:t> </w:t>
            </w:r>
            <w:r>
              <w:rPr>
                <w:spacing w:val="-2"/>
              </w:rPr>
              <w:t>Testing…</w:t>
            </w:r>
            <w:r>
              <w:rPr/>
              <w:tab/>
            </w:r>
            <w:r>
              <w:rPr>
                <w:spacing w:val="-5"/>
              </w:rPr>
              <w:t>75</w:t>
            </w:r>
          </w:hyperlink>
        </w:p>
        <w:p>
          <w:pPr>
            <w:pStyle w:val="TOC2"/>
            <w:numPr>
              <w:ilvl w:val="1"/>
              <w:numId w:val="5"/>
            </w:numPr>
            <w:tabs>
              <w:tab w:pos="1283" w:val="left" w:leader="none"/>
              <w:tab w:pos="10239" w:val="right" w:leader="dot"/>
            </w:tabs>
            <w:spacing w:line="240" w:lineRule="auto" w:before="357" w:after="0"/>
            <w:ind w:left="1283" w:right="0" w:hanging="363"/>
            <w:jc w:val="left"/>
          </w:pPr>
          <w:r>
            <w:rPr/>
            <w:t>Minimum</w:t>
          </w:r>
          <w:r>
            <w:rPr>
              <w:spacing w:val="-15"/>
            </w:rPr>
            <w:t> </w:t>
          </w:r>
          <w:r>
            <w:rPr/>
            <w:t>Inhibitory</w:t>
          </w:r>
          <w:r>
            <w:rPr>
              <w:spacing w:val="-15"/>
            </w:rPr>
            <w:t> </w:t>
          </w:r>
          <w:r>
            <w:rPr/>
            <w:t>Concentration</w:t>
          </w:r>
          <w:r>
            <w:rPr>
              <w:spacing w:val="-12"/>
            </w:rPr>
            <w:t> </w:t>
          </w:r>
          <w:r>
            <w:rPr/>
            <w:t>of</w:t>
          </w:r>
          <w:r>
            <w:rPr>
              <w:spacing w:val="-14"/>
            </w:rPr>
            <w:t> </w:t>
          </w:r>
          <w:r>
            <w:rPr/>
            <w:t>Selected</w:t>
          </w:r>
          <w:r>
            <w:rPr>
              <w:spacing w:val="-7"/>
            </w:rPr>
            <w:t> </w:t>
          </w:r>
          <w:r>
            <w:rPr>
              <w:spacing w:val="-2"/>
            </w:rPr>
            <w:t>Antibiotics</w:t>
          </w:r>
          <w:r>
            <w:rPr/>
            <w:tab/>
          </w:r>
          <w:r>
            <w:rPr>
              <w:spacing w:val="-5"/>
            </w:rPr>
            <w:t>80</w:t>
          </w:r>
        </w:p>
        <w:p>
          <w:pPr>
            <w:pStyle w:val="TOC2"/>
            <w:numPr>
              <w:ilvl w:val="1"/>
              <w:numId w:val="5"/>
            </w:numPr>
            <w:tabs>
              <w:tab w:pos="1283" w:val="left" w:leader="none"/>
              <w:tab w:pos="10274" w:val="right" w:leader="dot"/>
            </w:tabs>
            <w:spacing w:line="240" w:lineRule="auto" w:before="358" w:after="0"/>
            <w:ind w:left="1283" w:right="0" w:hanging="363"/>
            <w:jc w:val="left"/>
          </w:pPr>
          <w:hyperlink w:history="true" w:anchor="_TOC_250010">
            <w:r>
              <w:rPr>
                <w:spacing w:val="-2"/>
              </w:rPr>
              <w:t>Beta-lactamase</w:t>
            </w:r>
            <w:r>
              <w:rPr>
                <w:spacing w:val="6"/>
              </w:rPr>
              <w:t> </w:t>
            </w:r>
            <w:r>
              <w:rPr>
                <w:spacing w:val="-2"/>
              </w:rPr>
              <w:t>Production</w:t>
            </w:r>
            <w:r>
              <w:rPr>
                <w:spacing w:val="1"/>
              </w:rPr>
              <w:t> </w:t>
            </w:r>
            <w:r>
              <w:rPr>
                <w:spacing w:val="-4"/>
              </w:rPr>
              <w:t>Test</w:t>
            </w:r>
            <w:r>
              <w:rPr/>
              <w:tab/>
            </w:r>
            <w:r>
              <w:rPr>
                <w:spacing w:val="-5"/>
              </w:rPr>
              <w:t>85</w:t>
            </w:r>
          </w:hyperlink>
        </w:p>
        <w:p>
          <w:pPr>
            <w:pStyle w:val="TOC2"/>
            <w:numPr>
              <w:ilvl w:val="1"/>
              <w:numId w:val="5"/>
            </w:numPr>
            <w:tabs>
              <w:tab w:pos="1283" w:val="left" w:leader="none"/>
              <w:tab w:pos="10254" w:val="right" w:leader="dot"/>
            </w:tabs>
            <w:spacing w:line="240" w:lineRule="auto" w:before="362" w:after="0"/>
            <w:ind w:left="1283" w:right="0" w:hanging="363"/>
            <w:jc w:val="left"/>
          </w:pPr>
          <w:hyperlink w:history="true" w:anchor="_TOC_250009">
            <w:r>
              <w:rPr>
                <w:spacing w:val="-2"/>
              </w:rPr>
              <w:t>Conjugation</w:t>
            </w:r>
            <w:r>
              <w:rPr/>
              <w:t> </w:t>
            </w:r>
            <w:r>
              <w:rPr>
                <w:spacing w:val="-2"/>
              </w:rPr>
              <w:t>Studies</w:t>
            </w:r>
            <w:r>
              <w:rPr/>
              <w:tab/>
            </w:r>
            <w:r>
              <w:rPr>
                <w:spacing w:val="-5"/>
              </w:rPr>
              <w:t>85</w:t>
            </w:r>
          </w:hyperlink>
        </w:p>
        <w:p>
          <w:pPr>
            <w:pStyle w:val="TOC2"/>
            <w:numPr>
              <w:ilvl w:val="1"/>
              <w:numId w:val="5"/>
            </w:numPr>
            <w:tabs>
              <w:tab w:pos="1283" w:val="left" w:leader="none"/>
              <w:tab w:pos="10279" w:val="right" w:leader="dot"/>
            </w:tabs>
            <w:spacing w:line="240" w:lineRule="auto" w:before="358" w:after="0"/>
            <w:ind w:left="1283" w:right="0" w:hanging="363"/>
            <w:jc w:val="left"/>
          </w:pPr>
          <w:r>
            <w:rPr>
              <w:spacing w:val="-2"/>
            </w:rPr>
            <w:t>Transconjugant</w:t>
          </w:r>
          <w:r>
            <w:rPr>
              <w:spacing w:val="6"/>
            </w:rPr>
            <w:t> </w:t>
          </w:r>
          <w:r>
            <w:rPr>
              <w:spacing w:val="-2"/>
            </w:rPr>
            <w:t>Curing…</w:t>
          </w:r>
          <w:r>
            <w:rPr/>
            <w:tab/>
          </w:r>
          <w:r>
            <w:rPr>
              <w:spacing w:val="-5"/>
            </w:rPr>
            <w:t>85</w:t>
          </w:r>
        </w:p>
        <w:p>
          <w:pPr>
            <w:pStyle w:val="TOC2"/>
            <w:numPr>
              <w:ilvl w:val="1"/>
              <w:numId w:val="5"/>
            </w:numPr>
            <w:tabs>
              <w:tab w:pos="1283" w:val="left" w:leader="none"/>
              <w:tab w:pos="10284" w:val="right" w:leader="dot"/>
            </w:tabs>
            <w:spacing w:line="240" w:lineRule="auto" w:before="357" w:after="0"/>
            <w:ind w:left="1283" w:right="0" w:hanging="363"/>
            <w:jc w:val="left"/>
          </w:pPr>
          <w:hyperlink w:history="true" w:anchor="_TOC_250008">
            <w:r>
              <w:rPr/>
              <w:t>Agarose</w:t>
            </w:r>
            <w:r>
              <w:rPr>
                <w:spacing w:val="-8"/>
              </w:rPr>
              <w:t> </w:t>
            </w:r>
            <w:r>
              <w:rPr/>
              <w:t>Gel</w:t>
            </w:r>
            <w:r>
              <w:rPr>
                <w:spacing w:val="-14"/>
              </w:rPr>
              <w:t> </w:t>
            </w:r>
            <w:r>
              <w:rPr>
                <w:spacing w:val="-2"/>
              </w:rPr>
              <w:t>Electrophoresis</w:t>
            </w:r>
            <w:r>
              <w:rPr/>
              <w:tab/>
            </w:r>
            <w:r>
              <w:rPr>
                <w:spacing w:val="-5"/>
              </w:rPr>
              <w:t>89</w:t>
            </w:r>
          </w:hyperlink>
        </w:p>
        <w:p>
          <w:pPr>
            <w:pStyle w:val="TOC1"/>
            <w:spacing w:before="363"/>
          </w:pPr>
          <w:hyperlink w:history="true" w:anchor="_TOC_250007">
            <w:r>
              <w:rPr>
                <w:spacing w:val="-2"/>
              </w:rPr>
              <w:t>CHAPTER</w:t>
            </w:r>
            <w:r>
              <w:rPr>
                <w:spacing w:val="-3"/>
              </w:rPr>
              <w:t> </w:t>
            </w:r>
            <w:r>
              <w:rPr>
                <w:spacing w:val="-4"/>
              </w:rPr>
              <w:t>FIVE</w:t>
            </w:r>
          </w:hyperlink>
        </w:p>
        <w:p>
          <w:pPr>
            <w:pStyle w:val="TOC2"/>
            <w:numPr>
              <w:ilvl w:val="1"/>
              <w:numId w:val="6"/>
            </w:numPr>
            <w:tabs>
              <w:tab w:pos="1283" w:val="left" w:leader="none"/>
              <w:tab w:pos="10244" w:val="right" w:leader="dot"/>
            </w:tabs>
            <w:spacing w:line="240" w:lineRule="auto" w:before="357" w:after="87"/>
            <w:ind w:left="1283" w:right="0" w:hanging="363"/>
            <w:jc w:val="left"/>
          </w:pPr>
          <w:hyperlink w:history="true" w:anchor="_TOC_250006">
            <w:r>
              <w:rPr>
                <w:spacing w:val="-2"/>
              </w:rPr>
              <w:t>Discussion</w:t>
            </w:r>
            <w:r>
              <w:rPr/>
              <w:tab/>
            </w:r>
            <w:r>
              <w:rPr>
                <w:spacing w:val="-5"/>
              </w:rPr>
              <w:t>95</w:t>
            </w:r>
          </w:hyperlink>
        </w:p>
        <w:p>
          <w:pPr>
            <w:pStyle w:val="TOC2"/>
            <w:numPr>
              <w:ilvl w:val="1"/>
              <w:numId w:val="6"/>
            </w:numPr>
            <w:tabs>
              <w:tab w:pos="1283" w:val="left" w:leader="none"/>
              <w:tab w:pos="10226" w:val="right" w:leader="dot"/>
            </w:tabs>
            <w:spacing w:line="240" w:lineRule="auto" w:before="72" w:after="0"/>
            <w:ind w:left="1283" w:right="0" w:hanging="363"/>
            <w:jc w:val="left"/>
          </w:pPr>
          <w:r>
            <w:rPr/>
            <w:t>Bacterial</w:t>
          </w:r>
          <w:r>
            <w:rPr>
              <w:spacing w:val="-14"/>
            </w:rPr>
            <w:t> </w:t>
          </w:r>
          <w:r>
            <w:rPr/>
            <w:t>Contamination</w:t>
          </w:r>
          <w:r>
            <w:rPr>
              <w:spacing w:val="-11"/>
            </w:rPr>
            <w:t> </w:t>
          </w:r>
          <w:r>
            <w:rPr/>
            <w:t>of</w:t>
          </w:r>
          <w:r>
            <w:rPr>
              <w:spacing w:val="-14"/>
            </w:rPr>
            <w:t> </w:t>
          </w:r>
          <w:r>
            <w:rPr/>
            <w:t>Milk</w:t>
          </w:r>
          <w:r>
            <w:rPr>
              <w:spacing w:val="-7"/>
            </w:rPr>
            <w:t> </w:t>
          </w:r>
          <w:r>
            <w:rPr/>
            <w:t>Products</w:t>
          </w:r>
          <w:r>
            <w:rPr>
              <w:spacing w:val="-8"/>
            </w:rPr>
            <w:t> </w:t>
          </w:r>
          <w:r>
            <w:rPr/>
            <w:t>Sold</w:t>
          </w:r>
          <w:r>
            <w:rPr>
              <w:spacing w:val="-3"/>
            </w:rPr>
            <w:t> </w:t>
          </w:r>
          <w:r>
            <w:rPr/>
            <w:t>in</w:t>
          </w:r>
          <w:r>
            <w:rPr>
              <w:spacing w:val="-11"/>
            </w:rPr>
            <w:t> </w:t>
          </w:r>
          <w:r>
            <w:rPr>
              <w:spacing w:val="-2"/>
            </w:rPr>
            <w:t>Zaria</w:t>
          </w:r>
          <w:r>
            <w:rPr/>
            <w:tab/>
          </w:r>
          <w:r>
            <w:rPr>
              <w:spacing w:val="-5"/>
            </w:rPr>
            <w:t>95</w:t>
          </w:r>
        </w:p>
        <w:p>
          <w:pPr>
            <w:pStyle w:val="TOC2"/>
            <w:numPr>
              <w:ilvl w:val="1"/>
              <w:numId w:val="6"/>
            </w:numPr>
            <w:tabs>
              <w:tab w:pos="1283" w:val="left" w:leader="none"/>
              <w:tab w:pos="10230" w:val="right" w:leader="dot"/>
            </w:tabs>
            <w:spacing w:line="240" w:lineRule="auto" w:before="357" w:after="0"/>
            <w:ind w:left="1283" w:right="0" w:hanging="363"/>
            <w:jc w:val="left"/>
          </w:pPr>
          <w:r>
            <w:rPr/>
            <w:t>Antibiotics</w:t>
          </w:r>
          <w:r>
            <w:rPr>
              <w:spacing w:val="-8"/>
            </w:rPr>
            <w:t> </w:t>
          </w:r>
          <w:r>
            <w:rPr/>
            <w:t>Susceptibility</w:t>
          </w:r>
          <w:r>
            <w:rPr>
              <w:spacing w:val="-14"/>
            </w:rPr>
            <w:t> </w:t>
          </w:r>
          <w:r>
            <w:rPr/>
            <w:t>of</w:t>
          </w:r>
          <w:r>
            <w:rPr>
              <w:spacing w:val="-12"/>
            </w:rPr>
            <w:t> </w:t>
          </w:r>
          <w:r>
            <w:rPr/>
            <w:t>Bacterial</w:t>
          </w:r>
          <w:r>
            <w:rPr>
              <w:spacing w:val="-14"/>
            </w:rPr>
            <w:t> </w:t>
          </w:r>
          <w:r>
            <w:rPr/>
            <w:t>Isolates</w:t>
          </w:r>
          <w:r>
            <w:rPr>
              <w:spacing w:val="-7"/>
            </w:rPr>
            <w:t> </w:t>
          </w:r>
          <w:r>
            <w:rPr/>
            <w:t>from</w:t>
          </w:r>
          <w:r>
            <w:rPr>
              <w:spacing w:val="-13"/>
            </w:rPr>
            <w:t> </w:t>
          </w:r>
          <w:r>
            <w:rPr/>
            <w:t>Milk</w:t>
          </w:r>
          <w:r>
            <w:rPr>
              <w:spacing w:val="-6"/>
            </w:rPr>
            <w:t> </w:t>
          </w:r>
          <w:r>
            <w:rPr/>
            <w:t>Sold</w:t>
          </w:r>
          <w:r>
            <w:rPr>
              <w:spacing w:val="-1"/>
            </w:rPr>
            <w:t> </w:t>
          </w:r>
          <w:r>
            <w:rPr/>
            <w:t>in</w:t>
          </w:r>
          <w:r>
            <w:rPr>
              <w:spacing w:val="-5"/>
            </w:rPr>
            <w:t> </w:t>
          </w:r>
          <w:r>
            <w:rPr>
              <w:spacing w:val="-2"/>
            </w:rPr>
            <w:t>Zaria</w:t>
          </w:r>
          <w:r>
            <w:rPr/>
            <w:tab/>
          </w:r>
          <w:r>
            <w:rPr>
              <w:spacing w:val="-5"/>
            </w:rPr>
            <w:t>97</w:t>
          </w:r>
        </w:p>
        <w:p>
          <w:pPr>
            <w:pStyle w:val="TOC2"/>
            <w:numPr>
              <w:ilvl w:val="1"/>
              <w:numId w:val="6"/>
            </w:numPr>
            <w:tabs>
              <w:tab w:pos="1283" w:val="left" w:leader="none"/>
              <w:tab w:pos="10265" w:val="right" w:leader="dot"/>
            </w:tabs>
            <w:spacing w:line="240" w:lineRule="auto" w:before="358" w:after="0"/>
            <w:ind w:left="1283" w:right="0" w:hanging="363"/>
            <w:jc w:val="left"/>
          </w:pPr>
          <w:r>
            <w:rPr/>
            <w:t>Multiple</w:t>
          </w:r>
          <w:r>
            <w:rPr>
              <w:spacing w:val="-4"/>
            </w:rPr>
            <w:t> </w:t>
          </w:r>
          <w:r>
            <w:rPr/>
            <w:t>Antibiotic</w:t>
          </w:r>
          <w:r>
            <w:rPr>
              <w:spacing w:val="-8"/>
            </w:rPr>
            <w:t> </w:t>
          </w:r>
          <w:r>
            <w:rPr/>
            <w:t>Resistance</w:t>
          </w:r>
          <w:r>
            <w:rPr>
              <w:spacing w:val="-8"/>
            </w:rPr>
            <w:t> </w:t>
          </w:r>
          <w:r>
            <w:rPr/>
            <w:t>Index</w:t>
          </w:r>
          <w:r>
            <w:rPr>
              <w:spacing w:val="-12"/>
            </w:rPr>
            <w:t> </w:t>
          </w:r>
          <w:r>
            <w:rPr/>
            <w:t>of</w:t>
          </w:r>
          <w:r>
            <w:rPr>
              <w:spacing w:val="-13"/>
            </w:rPr>
            <w:t> </w:t>
          </w:r>
          <w:r>
            <w:rPr/>
            <w:t>Bacterial</w:t>
          </w:r>
          <w:r>
            <w:rPr>
              <w:spacing w:val="-15"/>
            </w:rPr>
            <w:t> </w:t>
          </w:r>
          <w:r>
            <w:rPr/>
            <w:t>Isolates</w:t>
          </w:r>
          <w:r>
            <w:rPr>
              <w:spacing w:val="-9"/>
            </w:rPr>
            <w:t> </w:t>
          </w:r>
          <w:r>
            <w:rPr/>
            <w:t>from</w:t>
          </w:r>
          <w:r>
            <w:rPr>
              <w:spacing w:val="-15"/>
            </w:rPr>
            <w:t> </w:t>
          </w:r>
          <w:r>
            <w:rPr>
              <w:spacing w:val="-2"/>
            </w:rPr>
            <w:t>Milk…</w:t>
          </w:r>
          <w:r>
            <w:rPr/>
            <w:tab/>
          </w:r>
          <w:r>
            <w:rPr>
              <w:spacing w:val="-5"/>
            </w:rPr>
            <w:t>99</w:t>
          </w:r>
        </w:p>
        <w:p>
          <w:pPr>
            <w:pStyle w:val="TOC2"/>
            <w:numPr>
              <w:ilvl w:val="1"/>
              <w:numId w:val="6"/>
            </w:numPr>
            <w:tabs>
              <w:tab w:pos="1283" w:val="left" w:leader="none"/>
              <w:tab w:pos="10245" w:val="right" w:leader="dot"/>
            </w:tabs>
            <w:spacing w:line="240" w:lineRule="auto" w:before="362" w:after="0"/>
            <w:ind w:left="1283" w:right="0" w:hanging="363"/>
            <w:jc w:val="left"/>
          </w:pPr>
          <w:r>
            <w:rPr/>
            <w:t>Beta-lactamase</w:t>
          </w:r>
          <w:r>
            <w:rPr>
              <w:spacing w:val="-10"/>
            </w:rPr>
            <w:t> </w:t>
          </w:r>
          <w:r>
            <w:rPr/>
            <w:t>Production</w:t>
          </w:r>
          <w:r>
            <w:rPr>
              <w:spacing w:val="-12"/>
            </w:rPr>
            <w:t> </w:t>
          </w:r>
          <w:r>
            <w:rPr/>
            <w:t>of</w:t>
          </w:r>
          <w:r>
            <w:rPr>
              <w:spacing w:val="-15"/>
            </w:rPr>
            <w:t> </w:t>
          </w:r>
          <w:r>
            <w:rPr/>
            <w:t>Bacterial</w:t>
          </w:r>
          <w:r>
            <w:rPr>
              <w:spacing w:val="-11"/>
            </w:rPr>
            <w:t> </w:t>
          </w:r>
          <w:r>
            <w:rPr/>
            <w:t>Isolates</w:t>
          </w:r>
          <w:r>
            <w:rPr>
              <w:spacing w:val="-6"/>
            </w:rPr>
            <w:t> </w:t>
          </w:r>
          <w:r>
            <w:rPr/>
            <w:t>from</w:t>
          </w:r>
          <w:r>
            <w:rPr>
              <w:spacing w:val="-15"/>
            </w:rPr>
            <w:t> </w:t>
          </w:r>
          <w:r>
            <w:rPr/>
            <w:t>Milk</w:t>
          </w:r>
          <w:r>
            <w:rPr>
              <w:spacing w:val="-8"/>
            </w:rPr>
            <w:t> </w:t>
          </w:r>
          <w:r>
            <w:rPr>
              <w:spacing w:val="-2"/>
            </w:rPr>
            <w:t>Sample</w:t>
          </w:r>
          <w:r>
            <w:rPr/>
            <w:tab/>
          </w:r>
          <w:r>
            <w:rPr>
              <w:spacing w:val="-5"/>
            </w:rPr>
            <w:t>100</w:t>
          </w:r>
        </w:p>
        <w:p>
          <w:pPr>
            <w:pStyle w:val="TOC2"/>
            <w:numPr>
              <w:ilvl w:val="1"/>
              <w:numId w:val="6"/>
            </w:numPr>
            <w:tabs>
              <w:tab w:pos="1283" w:val="left" w:leader="none"/>
              <w:tab w:pos="10226" w:val="right" w:leader="dot"/>
            </w:tabs>
            <w:spacing w:line="240" w:lineRule="auto" w:before="358" w:after="0"/>
            <w:ind w:left="1283" w:right="0" w:hanging="363"/>
            <w:jc w:val="left"/>
          </w:pPr>
          <w:r>
            <w:rPr/>
            <w:t>Conjugation</w:t>
          </w:r>
          <w:r>
            <w:rPr>
              <w:spacing w:val="-11"/>
            </w:rPr>
            <w:t> </w:t>
          </w:r>
          <w:r>
            <w:rPr/>
            <w:t>Studies</w:t>
          </w:r>
          <w:r>
            <w:rPr>
              <w:spacing w:val="-7"/>
            </w:rPr>
            <w:t> </w:t>
          </w:r>
          <w:r>
            <w:rPr/>
            <w:t>of</w:t>
          </w:r>
          <w:r>
            <w:rPr>
              <w:spacing w:val="-13"/>
            </w:rPr>
            <w:t> </w:t>
          </w:r>
          <w:r>
            <w:rPr/>
            <w:t>Bacterial</w:t>
          </w:r>
          <w:r>
            <w:rPr>
              <w:spacing w:val="-13"/>
            </w:rPr>
            <w:t> </w:t>
          </w:r>
          <w:r>
            <w:rPr/>
            <w:t>Isolates</w:t>
          </w:r>
          <w:r>
            <w:rPr>
              <w:spacing w:val="-8"/>
            </w:rPr>
            <w:t> </w:t>
          </w:r>
          <w:r>
            <w:rPr/>
            <w:t>from</w:t>
          </w:r>
          <w:r>
            <w:rPr>
              <w:spacing w:val="-13"/>
            </w:rPr>
            <w:t> </w:t>
          </w:r>
          <w:r>
            <w:rPr/>
            <w:t>Milk</w:t>
          </w:r>
          <w:r>
            <w:rPr>
              <w:spacing w:val="-6"/>
            </w:rPr>
            <w:t> </w:t>
          </w:r>
          <w:r>
            <w:rPr>
              <w:spacing w:val="-2"/>
            </w:rPr>
            <w:t>Products</w:t>
          </w:r>
          <w:r>
            <w:rPr/>
            <w:tab/>
          </w:r>
          <w:r>
            <w:rPr>
              <w:spacing w:val="-5"/>
            </w:rPr>
            <w:t>100</w:t>
          </w:r>
        </w:p>
        <w:p>
          <w:pPr>
            <w:pStyle w:val="TOC2"/>
            <w:numPr>
              <w:ilvl w:val="1"/>
              <w:numId w:val="6"/>
            </w:numPr>
            <w:tabs>
              <w:tab w:pos="1283" w:val="left" w:leader="none"/>
              <w:tab w:pos="10231" w:val="right" w:leader="dot"/>
            </w:tabs>
            <w:spacing w:line="240" w:lineRule="auto" w:before="358" w:after="0"/>
            <w:ind w:left="1283" w:right="0" w:hanging="363"/>
            <w:jc w:val="left"/>
          </w:pPr>
          <w:hyperlink w:history="true" w:anchor="_TOC_250005">
            <w:r>
              <w:rPr/>
              <w:t>Plasmid</w:t>
            </w:r>
            <w:r>
              <w:rPr>
                <w:spacing w:val="-9"/>
              </w:rPr>
              <w:t> </w:t>
            </w:r>
            <w:r>
              <w:rPr/>
              <w:t>Investigation</w:t>
            </w:r>
            <w:r>
              <w:rPr>
                <w:spacing w:val="-13"/>
              </w:rPr>
              <w:t> </w:t>
            </w:r>
            <w:r>
              <w:rPr/>
              <w:t>Using</w:t>
            </w:r>
            <w:r>
              <w:rPr>
                <w:spacing w:val="-9"/>
              </w:rPr>
              <w:t> </w:t>
            </w:r>
            <w:r>
              <w:rPr/>
              <w:t>Agarose</w:t>
            </w:r>
            <w:r>
              <w:rPr>
                <w:spacing w:val="-9"/>
              </w:rPr>
              <w:t> </w:t>
            </w:r>
            <w:r>
              <w:rPr/>
              <w:t>Gel</w:t>
            </w:r>
            <w:r>
              <w:rPr>
                <w:spacing w:val="-14"/>
              </w:rPr>
              <w:t> </w:t>
            </w:r>
            <w:r>
              <w:rPr>
                <w:spacing w:val="-2"/>
              </w:rPr>
              <w:t>Electrophoresis</w:t>
            </w:r>
            <w:r>
              <w:rPr/>
              <w:tab/>
            </w:r>
            <w:r>
              <w:rPr>
                <w:spacing w:val="-5"/>
              </w:rPr>
              <w:t>101</w:t>
            </w:r>
          </w:hyperlink>
        </w:p>
        <w:p>
          <w:pPr>
            <w:pStyle w:val="TOC1"/>
          </w:pPr>
          <w:hyperlink w:history="true" w:anchor="_TOC_250004">
            <w:r>
              <w:rPr>
                <w:spacing w:val="-2"/>
              </w:rPr>
              <w:t>CHAPTER</w:t>
            </w:r>
            <w:r>
              <w:rPr>
                <w:spacing w:val="-3"/>
              </w:rPr>
              <w:t> </w:t>
            </w:r>
            <w:r>
              <w:rPr>
                <w:spacing w:val="-5"/>
              </w:rPr>
              <w:t>SIX</w:t>
            </w:r>
          </w:hyperlink>
        </w:p>
        <w:p>
          <w:pPr>
            <w:pStyle w:val="TOC2"/>
            <w:numPr>
              <w:ilvl w:val="1"/>
              <w:numId w:val="7"/>
            </w:numPr>
            <w:tabs>
              <w:tab w:pos="1639" w:val="left" w:leader="none"/>
              <w:tab w:pos="10278" w:val="right" w:leader="dot"/>
            </w:tabs>
            <w:spacing w:line="240" w:lineRule="auto" w:before="314" w:after="0"/>
            <w:ind w:left="1639" w:right="0" w:hanging="719"/>
            <w:jc w:val="left"/>
          </w:pPr>
          <w:hyperlink w:history="true" w:anchor="_TOC_250003">
            <w:r>
              <w:rPr/>
              <w:t>Summary,</w:t>
            </w:r>
            <w:r>
              <w:rPr>
                <w:spacing w:val="-15"/>
              </w:rPr>
              <w:t> </w:t>
            </w:r>
            <w:r>
              <w:rPr/>
              <w:t>Conclusion,</w:t>
            </w:r>
            <w:r>
              <w:rPr>
                <w:spacing w:val="-15"/>
              </w:rPr>
              <w:t> </w:t>
            </w:r>
            <w:r>
              <w:rPr>
                <w:spacing w:val="-2"/>
              </w:rPr>
              <w:t>Recommendation</w:t>
            </w:r>
            <w:r>
              <w:rPr/>
              <w:tab/>
            </w:r>
            <w:r>
              <w:rPr>
                <w:spacing w:val="-5"/>
              </w:rPr>
              <w:t>104</w:t>
            </w:r>
          </w:hyperlink>
        </w:p>
        <w:p>
          <w:pPr>
            <w:pStyle w:val="TOC2"/>
            <w:numPr>
              <w:ilvl w:val="1"/>
              <w:numId w:val="7"/>
            </w:numPr>
            <w:tabs>
              <w:tab w:pos="1639" w:val="left" w:leader="none"/>
              <w:tab w:pos="10254" w:val="right" w:leader="dot"/>
            </w:tabs>
            <w:spacing w:line="240" w:lineRule="auto" w:before="358" w:after="0"/>
            <w:ind w:left="1639" w:right="0" w:hanging="719"/>
            <w:jc w:val="left"/>
          </w:pPr>
          <w:hyperlink w:history="true" w:anchor="_TOC_250002">
            <w:r>
              <w:rPr>
                <w:spacing w:val="-2"/>
              </w:rPr>
              <w:t>Summary</w:t>
            </w:r>
            <w:r>
              <w:rPr/>
              <w:tab/>
            </w:r>
            <w:r>
              <w:rPr>
                <w:spacing w:val="-5"/>
              </w:rPr>
              <w:t>104</w:t>
            </w:r>
          </w:hyperlink>
        </w:p>
        <w:p>
          <w:pPr>
            <w:pStyle w:val="TOC2"/>
            <w:numPr>
              <w:ilvl w:val="1"/>
              <w:numId w:val="7"/>
            </w:numPr>
            <w:tabs>
              <w:tab w:pos="1639" w:val="left" w:leader="none"/>
              <w:tab w:pos="10235" w:val="right" w:leader="dot"/>
            </w:tabs>
            <w:spacing w:line="240" w:lineRule="auto" w:before="362" w:after="0"/>
            <w:ind w:left="1639" w:right="0" w:hanging="719"/>
            <w:jc w:val="left"/>
          </w:pPr>
          <w:hyperlink w:history="true" w:anchor="_TOC_250001">
            <w:r>
              <w:rPr>
                <w:spacing w:val="-2"/>
              </w:rPr>
              <w:t>Conclusion</w:t>
            </w:r>
            <w:r>
              <w:rPr/>
              <w:tab/>
            </w:r>
            <w:r>
              <w:rPr>
                <w:spacing w:val="-5"/>
              </w:rPr>
              <w:t>104</w:t>
            </w:r>
          </w:hyperlink>
        </w:p>
        <w:p>
          <w:pPr>
            <w:pStyle w:val="TOC2"/>
            <w:numPr>
              <w:ilvl w:val="1"/>
              <w:numId w:val="7"/>
            </w:numPr>
            <w:tabs>
              <w:tab w:pos="1639" w:val="left" w:leader="none"/>
              <w:tab w:pos="10235" w:val="right" w:leader="dot"/>
            </w:tabs>
            <w:spacing w:line="240" w:lineRule="auto" w:before="358" w:after="0"/>
            <w:ind w:left="1639" w:right="0" w:hanging="719"/>
            <w:jc w:val="left"/>
          </w:pPr>
          <w:r>
            <w:rPr>
              <w:spacing w:val="-2"/>
            </w:rPr>
            <w:t>Recommendation</w:t>
          </w:r>
          <w:r>
            <w:rPr/>
            <w:tab/>
          </w:r>
          <w:r>
            <w:rPr>
              <w:spacing w:val="-5"/>
            </w:rPr>
            <w:t>105</w:t>
          </w:r>
        </w:p>
        <w:p>
          <w:pPr>
            <w:pStyle w:val="TOC4"/>
            <w:tabs>
              <w:tab w:pos="10274" w:val="right" w:leader="dot"/>
            </w:tabs>
            <w:spacing w:before="358"/>
            <w:ind w:left="920" w:firstLine="0"/>
            <w:rPr>
              <w:b w:val="0"/>
              <w:i w:val="0"/>
              <w:sz w:val="24"/>
            </w:rPr>
          </w:pPr>
          <w:hyperlink w:history="true" w:anchor="_TOC_250000">
            <w:r>
              <w:rPr>
                <w:i w:val="0"/>
                <w:spacing w:val="-2"/>
                <w:sz w:val="24"/>
              </w:rPr>
              <w:t>REFERENCES</w:t>
            </w:r>
            <w:r>
              <w:rPr>
                <w:i w:val="0"/>
                <w:sz w:val="24"/>
              </w:rPr>
              <w:tab/>
            </w:r>
            <w:r>
              <w:rPr>
                <w:b w:val="0"/>
                <w:i w:val="0"/>
                <w:spacing w:val="-5"/>
                <w:sz w:val="24"/>
              </w:rPr>
              <w:t>106</w:t>
            </w:r>
          </w:hyperlink>
        </w:p>
        <w:p>
          <w:pPr>
            <w:pStyle w:val="TOC4"/>
            <w:tabs>
              <w:tab w:pos="10255" w:val="right" w:leader="dot"/>
            </w:tabs>
            <w:spacing w:before="319"/>
            <w:ind w:left="920" w:firstLine="0"/>
            <w:rPr>
              <w:b w:val="0"/>
              <w:i w:val="0"/>
              <w:sz w:val="24"/>
            </w:rPr>
          </w:pPr>
          <w:r>
            <w:rPr>
              <w:i w:val="0"/>
              <w:spacing w:val="-2"/>
              <w:sz w:val="24"/>
            </w:rPr>
            <w:t>APPENDICES</w:t>
          </w:r>
          <w:r>
            <w:rPr>
              <w:i w:val="0"/>
              <w:sz w:val="24"/>
            </w:rPr>
            <w:tab/>
          </w:r>
          <w:r>
            <w:rPr>
              <w:b w:val="0"/>
              <w:i w:val="0"/>
              <w:spacing w:val="-5"/>
              <w:sz w:val="24"/>
            </w:rPr>
            <w:t>137</w:t>
          </w:r>
        </w:p>
      </w:sdtContent>
    </w:sdt>
    <w:p>
      <w:pPr>
        <w:spacing w:after="0"/>
        <w:rPr>
          <w:sz w:val="24"/>
        </w:rPr>
        <w:sectPr>
          <w:type w:val="continuous"/>
          <w:pgSz w:w="12240" w:h="15840"/>
          <w:pgMar w:header="0" w:footer="1017" w:top="1359" w:bottom="1982" w:left="520" w:right="260"/>
        </w:sectPr>
      </w:pPr>
    </w:p>
    <w:p>
      <w:pPr>
        <w:pStyle w:val="Heading2"/>
        <w:spacing w:before="76"/>
        <w:ind w:left="940" w:right="1208"/>
      </w:pPr>
      <w:bookmarkStart w:name="_TOC_250085" w:id="6"/>
      <w:r>
        <w:rPr/>
        <w:t>LIST</w:t>
      </w:r>
      <w:r>
        <w:rPr>
          <w:spacing w:val="-5"/>
        </w:rPr>
        <w:t> </w:t>
      </w:r>
      <w:r>
        <w:rPr/>
        <w:t>OF</w:t>
      </w:r>
      <w:r>
        <w:rPr>
          <w:spacing w:val="-6"/>
        </w:rPr>
        <w:t> </w:t>
      </w:r>
      <w:bookmarkEnd w:id="6"/>
      <w:r>
        <w:rPr>
          <w:spacing w:val="-2"/>
        </w:rPr>
        <w:t>FIGURES</w:t>
      </w:r>
    </w:p>
    <w:p>
      <w:pPr>
        <w:tabs>
          <w:tab w:pos="8839" w:val="left" w:leader="none"/>
        </w:tabs>
        <w:spacing w:before="41"/>
        <w:ind w:left="920" w:right="0" w:firstLine="0"/>
        <w:jc w:val="left"/>
        <w:rPr>
          <w:rFonts w:ascii="Times New Roman"/>
          <w:b/>
          <w:sz w:val="24"/>
        </w:rPr>
      </w:pPr>
      <w:r>
        <w:rPr>
          <w:rFonts w:ascii="Times New Roman"/>
          <w:b/>
          <w:spacing w:val="-2"/>
          <w:sz w:val="24"/>
        </w:rPr>
        <w:t>FIGURES</w:t>
      </w:r>
      <w:r>
        <w:rPr>
          <w:rFonts w:ascii="Times New Roman"/>
          <w:b/>
          <w:sz w:val="24"/>
        </w:rPr>
        <w:tab/>
      </w:r>
      <w:r>
        <w:rPr>
          <w:rFonts w:ascii="Times New Roman"/>
          <w:b/>
          <w:spacing w:val="-4"/>
          <w:sz w:val="24"/>
        </w:rPr>
        <w:t>PAGE</w:t>
      </w:r>
    </w:p>
    <w:p>
      <w:pPr>
        <w:pStyle w:val="BodyText"/>
        <w:spacing w:before="77"/>
        <w:rPr>
          <w:rFonts w:ascii="Times New Roman"/>
          <w:b/>
          <w:sz w:val="24"/>
        </w:rPr>
      </w:pPr>
    </w:p>
    <w:p>
      <w:pPr>
        <w:spacing w:before="0"/>
        <w:ind w:left="920" w:right="0" w:firstLine="0"/>
        <w:jc w:val="left"/>
        <w:rPr>
          <w:rFonts w:ascii="Times New Roman"/>
          <w:sz w:val="24"/>
        </w:rPr>
      </w:pPr>
      <w:r>
        <w:rPr>
          <w:rFonts w:ascii="Times New Roman"/>
          <w:b/>
          <w:sz w:val="24"/>
        </w:rPr>
        <w:t>Figure</w:t>
      </w:r>
      <w:r>
        <w:rPr>
          <w:rFonts w:ascii="Times New Roman"/>
          <w:b/>
          <w:spacing w:val="-18"/>
          <w:sz w:val="24"/>
        </w:rPr>
        <w:t> </w:t>
      </w:r>
      <w:r>
        <w:rPr>
          <w:rFonts w:ascii="Times New Roman"/>
          <w:b/>
          <w:sz w:val="24"/>
        </w:rPr>
        <w:t>4.1</w:t>
      </w:r>
      <w:r>
        <w:rPr>
          <w:rFonts w:ascii="Times New Roman"/>
          <w:sz w:val="24"/>
        </w:rPr>
        <w:t>:</w:t>
      </w:r>
      <w:r>
        <w:rPr>
          <w:rFonts w:ascii="Times New Roman"/>
          <w:spacing w:val="-11"/>
          <w:sz w:val="24"/>
        </w:rPr>
        <w:t> </w:t>
      </w:r>
      <w:r>
        <w:rPr>
          <w:rFonts w:ascii="Times New Roman"/>
          <w:sz w:val="24"/>
        </w:rPr>
        <w:t>Semi-logarithm</w:t>
      </w:r>
      <w:r>
        <w:rPr>
          <w:rFonts w:ascii="Times New Roman"/>
          <w:spacing w:val="-13"/>
          <w:sz w:val="24"/>
        </w:rPr>
        <w:t> </w:t>
      </w:r>
      <w:r>
        <w:rPr>
          <w:rFonts w:ascii="Times New Roman"/>
          <w:sz w:val="24"/>
        </w:rPr>
        <w:t>graph</w:t>
      </w:r>
      <w:r>
        <w:rPr>
          <w:rFonts w:ascii="Times New Roman"/>
          <w:spacing w:val="-10"/>
          <w:sz w:val="24"/>
        </w:rPr>
        <w:t> </w:t>
      </w:r>
      <w:r>
        <w:rPr>
          <w:rFonts w:ascii="Times New Roman"/>
          <w:sz w:val="24"/>
        </w:rPr>
        <w:t>of</w:t>
      </w:r>
      <w:r>
        <w:rPr>
          <w:rFonts w:ascii="Times New Roman"/>
          <w:spacing w:val="-13"/>
          <w:sz w:val="24"/>
        </w:rPr>
        <w:t> </w:t>
      </w:r>
      <w:r>
        <w:rPr>
          <w:rFonts w:ascii="Times New Roman"/>
          <w:sz w:val="24"/>
        </w:rPr>
        <w:t>the</w:t>
      </w:r>
      <w:r>
        <w:rPr>
          <w:rFonts w:ascii="Times New Roman"/>
          <w:spacing w:val="-1"/>
          <w:sz w:val="24"/>
        </w:rPr>
        <w:t> </w:t>
      </w:r>
      <w:r>
        <w:rPr>
          <w:rFonts w:ascii="Times New Roman"/>
          <w:sz w:val="24"/>
        </w:rPr>
        <w:t>molecular</w:t>
      </w:r>
      <w:r>
        <w:rPr>
          <w:rFonts w:ascii="Times New Roman"/>
          <w:spacing w:val="-5"/>
          <w:sz w:val="24"/>
        </w:rPr>
        <w:t> </w:t>
      </w:r>
      <w:r>
        <w:rPr>
          <w:rFonts w:ascii="Times New Roman"/>
          <w:sz w:val="24"/>
        </w:rPr>
        <w:t>weight</w:t>
      </w:r>
      <w:r>
        <w:rPr>
          <w:rFonts w:ascii="Times New Roman"/>
          <w:spacing w:val="-4"/>
          <w:sz w:val="24"/>
        </w:rPr>
        <w:t> </w:t>
      </w:r>
      <w:r>
        <w:rPr>
          <w:rFonts w:ascii="Times New Roman"/>
          <w:sz w:val="24"/>
        </w:rPr>
        <w:t>of</w:t>
      </w:r>
      <w:r>
        <w:rPr>
          <w:rFonts w:ascii="Times New Roman"/>
          <w:spacing w:val="-13"/>
          <w:sz w:val="24"/>
        </w:rPr>
        <w:t> </w:t>
      </w:r>
      <w:r>
        <w:rPr>
          <w:rFonts w:ascii="Times New Roman"/>
          <w:sz w:val="24"/>
        </w:rPr>
        <w:t>the</w:t>
      </w:r>
      <w:r>
        <w:rPr>
          <w:rFonts w:ascii="Times New Roman"/>
          <w:spacing w:val="-4"/>
          <w:sz w:val="24"/>
        </w:rPr>
        <w:t> </w:t>
      </w:r>
      <w:r>
        <w:rPr>
          <w:rFonts w:ascii="Times New Roman"/>
          <w:spacing w:val="-2"/>
          <w:sz w:val="24"/>
        </w:rPr>
        <w:t>standard</w:t>
      </w:r>
    </w:p>
    <w:p>
      <w:pPr>
        <w:tabs>
          <w:tab w:pos="8969" w:val="left" w:leader="dot"/>
        </w:tabs>
        <w:spacing w:before="41"/>
        <w:ind w:left="2124" w:right="0" w:firstLine="0"/>
        <w:jc w:val="left"/>
        <w:rPr>
          <w:rFonts w:ascii="Times New Roman" w:hAnsi="Times New Roman"/>
          <w:sz w:val="24"/>
        </w:rPr>
      </w:pPr>
      <w:r>
        <w:rPr>
          <w:rFonts w:ascii="Times New Roman" w:hAnsi="Times New Roman"/>
          <w:sz w:val="24"/>
        </w:rPr>
        <w:t>DNA</w:t>
      </w:r>
      <w:r>
        <w:rPr>
          <w:rFonts w:ascii="Times New Roman" w:hAnsi="Times New Roman"/>
          <w:spacing w:val="-7"/>
          <w:sz w:val="24"/>
        </w:rPr>
        <w:t> </w:t>
      </w:r>
      <w:r>
        <w:rPr>
          <w:rFonts w:ascii="Times New Roman" w:hAnsi="Times New Roman"/>
          <w:sz w:val="24"/>
        </w:rPr>
        <w:t>ladder</w:t>
      </w:r>
      <w:r>
        <w:rPr>
          <w:rFonts w:ascii="Times New Roman" w:hAnsi="Times New Roman"/>
          <w:spacing w:val="-6"/>
          <w:sz w:val="24"/>
        </w:rPr>
        <w:t> </w:t>
      </w:r>
      <w:r>
        <w:rPr>
          <w:rFonts w:ascii="Times New Roman" w:hAnsi="Times New Roman"/>
          <w:sz w:val="24"/>
        </w:rPr>
        <w:t>Vs</w:t>
      </w:r>
      <w:r>
        <w:rPr>
          <w:rFonts w:ascii="Times New Roman" w:hAnsi="Times New Roman"/>
          <w:spacing w:val="-9"/>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distance</w:t>
      </w:r>
      <w:r>
        <w:rPr>
          <w:rFonts w:ascii="Times New Roman" w:hAnsi="Times New Roman"/>
          <w:spacing w:val="-8"/>
          <w:sz w:val="24"/>
        </w:rPr>
        <w:t> </w:t>
      </w:r>
      <w:r>
        <w:rPr>
          <w:rFonts w:ascii="Times New Roman" w:hAnsi="Times New Roman"/>
          <w:spacing w:val="-2"/>
          <w:sz w:val="24"/>
        </w:rPr>
        <w:t>travelled…</w:t>
      </w:r>
      <w:r>
        <w:rPr>
          <w:rFonts w:ascii="Times New Roman" w:hAnsi="Times New Roman"/>
          <w:sz w:val="24"/>
        </w:rPr>
        <w:tab/>
      </w:r>
      <w:r>
        <w:rPr>
          <w:rFonts w:ascii="Times New Roman" w:hAnsi="Times New Roman"/>
          <w:spacing w:val="-5"/>
          <w:sz w:val="24"/>
        </w:rPr>
        <w:t>93</w:t>
      </w:r>
    </w:p>
    <w:p>
      <w:pPr>
        <w:spacing w:after="0"/>
        <w:jc w:val="left"/>
        <w:rPr>
          <w:rFonts w:ascii="Times New Roman" w:hAnsi="Times New Roman"/>
          <w:sz w:val="24"/>
        </w:rPr>
        <w:sectPr>
          <w:pgSz w:w="12240" w:h="15840"/>
          <w:pgMar w:header="0" w:footer="1017" w:top="1360" w:bottom="1200" w:left="520" w:right="260"/>
        </w:sectPr>
      </w:pPr>
    </w:p>
    <w:p>
      <w:pPr>
        <w:pStyle w:val="Heading2"/>
        <w:spacing w:before="76"/>
        <w:ind w:right="263"/>
      </w:pPr>
      <w:bookmarkStart w:name="_TOC_250084" w:id="7"/>
      <w:r>
        <w:rPr/>
        <w:t>LIST</w:t>
      </w:r>
      <w:r>
        <w:rPr>
          <w:spacing w:val="-5"/>
        </w:rPr>
        <w:t> </w:t>
      </w:r>
      <w:r>
        <w:rPr/>
        <w:t>OF</w:t>
      </w:r>
      <w:r>
        <w:rPr>
          <w:spacing w:val="-6"/>
        </w:rPr>
        <w:t> </w:t>
      </w:r>
      <w:bookmarkEnd w:id="7"/>
      <w:r>
        <w:rPr>
          <w:spacing w:val="-2"/>
        </w:rPr>
        <w:t>TABLES</w:t>
      </w:r>
    </w:p>
    <w:p>
      <w:pPr>
        <w:pStyle w:val="BodyText"/>
        <w:spacing w:before="82"/>
        <w:rPr>
          <w:rFonts w:ascii="Times New Roman"/>
          <w:b/>
          <w:sz w:val="24"/>
        </w:rPr>
      </w:pPr>
    </w:p>
    <w:p>
      <w:pPr>
        <w:tabs>
          <w:tab w:pos="8839" w:val="left" w:leader="none"/>
        </w:tabs>
        <w:spacing w:before="0"/>
        <w:ind w:left="920" w:right="0" w:firstLine="0"/>
        <w:jc w:val="left"/>
        <w:rPr>
          <w:rFonts w:ascii="Times New Roman"/>
          <w:b/>
          <w:sz w:val="24"/>
        </w:rPr>
      </w:pPr>
      <w:r>
        <w:rPr>
          <w:rFonts w:ascii="Times New Roman"/>
          <w:b/>
          <w:spacing w:val="-2"/>
          <w:sz w:val="24"/>
        </w:rPr>
        <w:t>TABLES</w:t>
      </w:r>
      <w:r>
        <w:rPr>
          <w:rFonts w:ascii="Times New Roman"/>
          <w:b/>
          <w:sz w:val="24"/>
        </w:rPr>
        <w:tab/>
      </w:r>
      <w:r>
        <w:rPr>
          <w:rFonts w:ascii="Times New Roman"/>
          <w:b/>
          <w:spacing w:val="-4"/>
          <w:sz w:val="24"/>
        </w:rPr>
        <w:t>PAGE</w:t>
      </w:r>
    </w:p>
    <w:p>
      <w:pPr>
        <w:tabs>
          <w:tab w:pos="9732" w:val="left" w:leader="dot"/>
        </w:tabs>
        <w:spacing w:before="353"/>
        <w:ind w:left="920" w:right="0" w:firstLine="0"/>
        <w:jc w:val="left"/>
        <w:rPr>
          <w:rFonts w:ascii="Times New Roman"/>
          <w:sz w:val="24"/>
        </w:rPr>
      </w:pPr>
      <w:r>
        <w:rPr>
          <w:rFonts w:ascii="Times New Roman"/>
          <w:b/>
          <w:sz w:val="24"/>
        </w:rPr>
        <w:t>Table</w:t>
      </w:r>
      <w:r>
        <w:rPr>
          <w:rFonts w:ascii="Times New Roman"/>
          <w:b/>
          <w:spacing w:val="-6"/>
          <w:sz w:val="24"/>
        </w:rPr>
        <w:t> </w:t>
      </w:r>
      <w:r>
        <w:rPr>
          <w:rFonts w:ascii="Times New Roman"/>
          <w:b/>
          <w:sz w:val="24"/>
        </w:rPr>
        <w:t>2.1:</w:t>
      </w:r>
      <w:r>
        <w:rPr>
          <w:rFonts w:ascii="Times New Roman"/>
          <w:b/>
          <w:spacing w:val="-2"/>
          <w:sz w:val="24"/>
        </w:rPr>
        <w:t> </w:t>
      </w:r>
      <w:r>
        <w:rPr>
          <w:rFonts w:ascii="Times New Roman"/>
          <w:sz w:val="24"/>
        </w:rPr>
        <w:t>Grade</w:t>
      </w:r>
      <w:r>
        <w:rPr>
          <w:rFonts w:ascii="Times New Roman"/>
          <w:spacing w:val="-9"/>
          <w:sz w:val="24"/>
        </w:rPr>
        <w:t> </w:t>
      </w:r>
      <w:r>
        <w:rPr>
          <w:rFonts w:ascii="Times New Roman"/>
          <w:sz w:val="24"/>
        </w:rPr>
        <w:t>of</w:t>
      </w:r>
      <w:r>
        <w:rPr>
          <w:rFonts w:ascii="Times New Roman"/>
          <w:spacing w:val="-11"/>
          <w:sz w:val="24"/>
        </w:rPr>
        <w:t> </w:t>
      </w:r>
      <w:r>
        <w:rPr>
          <w:rFonts w:ascii="Times New Roman"/>
          <w:sz w:val="24"/>
        </w:rPr>
        <w:t>Milk</w:t>
      </w:r>
      <w:r>
        <w:rPr>
          <w:rFonts w:ascii="Times New Roman"/>
          <w:spacing w:val="-5"/>
          <w:sz w:val="24"/>
        </w:rPr>
        <w:t> </w:t>
      </w:r>
      <w:r>
        <w:rPr>
          <w:rFonts w:ascii="Times New Roman"/>
          <w:sz w:val="24"/>
        </w:rPr>
        <w:t>Based</w:t>
      </w:r>
      <w:r>
        <w:rPr>
          <w:rFonts w:ascii="Times New Roman"/>
          <w:spacing w:val="-4"/>
          <w:sz w:val="24"/>
        </w:rPr>
        <w:t> </w:t>
      </w:r>
      <w:r>
        <w:rPr>
          <w:rFonts w:ascii="Times New Roman"/>
          <w:sz w:val="24"/>
        </w:rPr>
        <w:t>on</w:t>
      </w:r>
      <w:r>
        <w:rPr>
          <w:rFonts w:ascii="Times New Roman"/>
          <w:spacing w:val="-8"/>
          <w:sz w:val="24"/>
        </w:rPr>
        <w:t> </w:t>
      </w:r>
      <w:r>
        <w:rPr>
          <w:rFonts w:ascii="Times New Roman"/>
          <w:sz w:val="24"/>
        </w:rPr>
        <w:t>Standard</w:t>
      </w:r>
      <w:r>
        <w:rPr>
          <w:rFonts w:ascii="Times New Roman"/>
          <w:spacing w:val="-4"/>
          <w:sz w:val="24"/>
        </w:rPr>
        <w:t> </w:t>
      </w:r>
      <w:r>
        <w:rPr>
          <w:rFonts w:ascii="Times New Roman"/>
          <w:sz w:val="24"/>
        </w:rPr>
        <w:t>Plate</w:t>
      </w:r>
      <w:r>
        <w:rPr>
          <w:rFonts w:ascii="Times New Roman"/>
          <w:spacing w:val="-5"/>
          <w:sz w:val="24"/>
        </w:rPr>
        <w:t> </w:t>
      </w:r>
      <w:r>
        <w:rPr>
          <w:rFonts w:ascii="Times New Roman"/>
          <w:spacing w:val="-2"/>
          <w:sz w:val="24"/>
        </w:rPr>
        <w:t>count</w:t>
      </w:r>
      <w:r>
        <w:rPr>
          <w:rFonts w:ascii="Times New Roman"/>
          <w:sz w:val="24"/>
        </w:rPr>
        <w:tab/>
      </w:r>
      <w:r>
        <w:rPr>
          <w:rFonts w:ascii="Times New Roman"/>
          <w:spacing w:val="-5"/>
          <w:sz w:val="24"/>
        </w:rPr>
        <w:t>32</w:t>
      </w:r>
    </w:p>
    <w:p>
      <w:pPr>
        <w:tabs>
          <w:tab w:pos="10035" w:val="left" w:leader="dot"/>
        </w:tabs>
        <w:spacing w:line="276" w:lineRule="auto" w:before="362"/>
        <w:ind w:left="1908" w:right="1181" w:hanging="989"/>
        <w:jc w:val="left"/>
        <w:rPr>
          <w:rFonts w:ascii="Times New Roman"/>
          <w:sz w:val="24"/>
        </w:rPr>
      </w:pPr>
      <w:r>
        <w:rPr>
          <w:rFonts w:ascii="Times New Roman"/>
          <w:b/>
          <w:sz w:val="24"/>
        </w:rPr>
        <w:t>Table 4.1: </w:t>
      </w:r>
      <w:r>
        <w:rPr>
          <w:rFonts w:ascii="Times New Roman"/>
          <w:sz w:val="24"/>
        </w:rPr>
        <w:t>Mean</w:t>
      </w:r>
      <w:r>
        <w:rPr>
          <w:rFonts w:ascii="Times New Roman"/>
          <w:spacing w:val="-3"/>
          <w:sz w:val="24"/>
        </w:rPr>
        <w:t> </w:t>
      </w:r>
      <w:r>
        <w:rPr>
          <w:rFonts w:ascii="Times New Roman"/>
          <w:sz w:val="24"/>
        </w:rPr>
        <w:t>of</w:t>
      </w:r>
      <w:r>
        <w:rPr>
          <w:rFonts w:ascii="Times New Roman"/>
          <w:spacing w:val="-6"/>
          <w:sz w:val="24"/>
        </w:rPr>
        <w:t> </w:t>
      </w:r>
      <w:r>
        <w:rPr>
          <w:rFonts w:ascii="Times New Roman"/>
          <w:sz w:val="24"/>
        </w:rPr>
        <w:t>Total Aerobic Bacterial Counts of four Brands of</w:t>
      </w:r>
      <w:r>
        <w:rPr>
          <w:rFonts w:ascii="Times New Roman"/>
          <w:spacing w:val="-6"/>
          <w:sz w:val="24"/>
        </w:rPr>
        <w:t> </w:t>
      </w:r>
      <w:r>
        <w:rPr>
          <w:rFonts w:ascii="Times New Roman"/>
          <w:sz w:val="24"/>
        </w:rPr>
        <w:t>Packaged Milk Samples in </w:t>
      </w:r>
      <w:r>
        <w:rPr>
          <w:rFonts w:ascii="Times New Roman"/>
          <w:spacing w:val="-4"/>
          <w:sz w:val="24"/>
        </w:rPr>
        <w:t>Zaria</w:t>
      </w:r>
      <w:r>
        <w:rPr>
          <w:rFonts w:ascii="Times New Roman"/>
          <w:sz w:val="24"/>
        </w:rPr>
        <w:tab/>
      </w:r>
      <w:r>
        <w:rPr>
          <w:rFonts w:ascii="Times New Roman"/>
          <w:spacing w:val="-5"/>
          <w:sz w:val="24"/>
        </w:rPr>
        <w:t>71</w:t>
      </w:r>
    </w:p>
    <w:p>
      <w:pPr>
        <w:tabs>
          <w:tab w:pos="10001" w:val="left" w:leader="dot"/>
        </w:tabs>
        <w:spacing w:before="316"/>
        <w:ind w:left="920" w:right="0" w:firstLine="0"/>
        <w:jc w:val="left"/>
        <w:rPr>
          <w:rFonts w:ascii="Times New Roman"/>
          <w:sz w:val="24"/>
        </w:rPr>
      </w:pPr>
      <w:r>
        <w:rPr>
          <w:rFonts w:ascii="Times New Roman"/>
          <w:b/>
          <w:sz w:val="24"/>
        </w:rPr>
        <w:t>Table</w:t>
      </w:r>
      <w:r>
        <w:rPr>
          <w:rFonts w:ascii="Times New Roman"/>
          <w:b/>
          <w:spacing w:val="-6"/>
          <w:sz w:val="24"/>
        </w:rPr>
        <w:t> </w:t>
      </w:r>
      <w:r>
        <w:rPr>
          <w:rFonts w:ascii="Times New Roman"/>
          <w:b/>
          <w:sz w:val="24"/>
        </w:rPr>
        <w:t>4.2:</w:t>
      </w:r>
      <w:r>
        <w:rPr>
          <w:rFonts w:ascii="Times New Roman"/>
          <w:b/>
          <w:spacing w:val="-2"/>
          <w:sz w:val="24"/>
        </w:rPr>
        <w:t> </w:t>
      </w:r>
      <w:r>
        <w:rPr>
          <w:rFonts w:ascii="Times New Roman"/>
          <w:sz w:val="24"/>
        </w:rPr>
        <w:t>Mean</w:t>
      </w:r>
      <w:r>
        <w:rPr>
          <w:rFonts w:ascii="Times New Roman"/>
          <w:spacing w:val="-9"/>
          <w:sz w:val="24"/>
        </w:rPr>
        <w:t> </w:t>
      </w:r>
      <w:r>
        <w:rPr>
          <w:rFonts w:ascii="Times New Roman"/>
          <w:sz w:val="24"/>
        </w:rPr>
        <w:t>Count</w:t>
      </w:r>
      <w:r>
        <w:rPr>
          <w:rFonts w:ascii="Times New Roman"/>
          <w:spacing w:val="-4"/>
          <w:sz w:val="24"/>
        </w:rPr>
        <w:t> </w:t>
      </w:r>
      <w:r>
        <w:rPr>
          <w:rFonts w:ascii="Times New Roman"/>
          <w:sz w:val="24"/>
        </w:rPr>
        <w:t>of</w:t>
      </w:r>
      <w:r>
        <w:rPr>
          <w:rFonts w:ascii="Times New Roman"/>
          <w:spacing w:val="-11"/>
          <w:sz w:val="24"/>
        </w:rPr>
        <w:t> </w:t>
      </w:r>
      <w:r>
        <w:rPr>
          <w:rFonts w:ascii="Times New Roman"/>
          <w:sz w:val="24"/>
        </w:rPr>
        <w:t>Brands</w:t>
      </w:r>
      <w:r>
        <w:rPr>
          <w:rFonts w:ascii="Times New Roman"/>
          <w:spacing w:val="-6"/>
          <w:sz w:val="24"/>
        </w:rPr>
        <w:t> </w:t>
      </w:r>
      <w:r>
        <w:rPr>
          <w:rFonts w:ascii="Times New Roman"/>
          <w:sz w:val="24"/>
        </w:rPr>
        <w:t>of</w:t>
      </w:r>
      <w:r>
        <w:rPr>
          <w:rFonts w:ascii="Times New Roman"/>
          <w:spacing w:val="-12"/>
          <w:sz w:val="24"/>
        </w:rPr>
        <w:t> </w:t>
      </w:r>
      <w:r>
        <w:rPr>
          <w:rFonts w:ascii="Times New Roman"/>
          <w:sz w:val="24"/>
        </w:rPr>
        <w:t>Packaged</w:t>
      </w:r>
      <w:r>
        <w:rPr>
          <w:rFonts w:ascii="Times New Roman"/>
          <w:spacing w:val="-4"/>
          <w:sz w:val="24"/>
        </w:rPr>
        <w:t> </w:t>
      </w:r>
      <w:r>
        <w:rPr>
          <w:rFonts w:ascii="Times New Roman"/>
          <w:sz w:val="24"/>
        </w:rPr>
        <w:t>Milk</w:t>
      </w:r>
      <w:r>
        <w:rPr>
          <w:rFonts w:ascii="Times New Roman"/>
          <w:spacing w:val="-5"/>
          <w:sz w:val="24"/>
        </w:rPr>
        <w:t> </w:t>
      </w:r>
      <w:r>
        <w:rPr>
          <w:rFonts w:ascii="Times New Roman"/>
          <w:sz w:val="24"/>
        </w:rPr>
        <w:t>based</w:t>
      </w:r>
      <w:r>
        <w:rPr>
          <w:rFonts w:ascii="Times New Roman"/>
          <w:spacing w:val="-4"/>
          <w:sz w:val="24"/>
        </w:rPr>
        <w:t> </w:t>
      </w:r>
      <w:r>
        <w:rPr>
          <w:rFonts w:ascii="Times New Roman"/>
          <w:sz w:val="24"/>
        </w:rPr>
        <w:t>on</w:t>
      </w:r>
      <w:r>
        <w:rPr>
          <w:rFonts w:ascii="Times New Roman"/>
          <w:spacing w:val="-9"/>
          <w:sz w:val="24"/>
        </w:rPr>
        <w:t> </w:t>
      </w:r>
      <w:r>
        <w:rPr>
          <w:rFonts w:ascii="Times New Roman"/>
          <w:spacing w:val="-2"/>
          <w:sz w:val="24"/>
        </w:rPr>
        <w:t>Location</w:t>
      </w:r>
      <w:r>
        <w:rPr>
          <w:rFonts w:ascii="Times New Roman"/>
          <w:sz w:val="24"/>
        </w:rPr>
        <w:tab/>
      </w:r>
      <w:r>
        <w:rPr>
          <w:rFonts w:ascii="Times New Roman"/>
          <w:spacing w:val="-5"/>
          <w:sz w:val="24"/>
        </w:rPr>
        <w:t>72</w:t>
      </w:r>
    </w:p>
    <w:p>
      <w:pPr>
        <w:spacing w:before="358"/>
        <w:ind w:left="0" w:right="1184" w:firstLine="0"/>
        <w:jc w:val="right"/>
        <w:rPr>
          <w:rFonts w:ascii="Times New Roman"/>
          <w:sz w:val="24"/>
        </w:rPr>
      </w:pPr>
      <w:r>
        <w:rPr>
          <w:rFonts w:ascii="Times New Roman"/>
          <w:b/>
          <w:sz w:val="24"/>
        </w:rPr>
        <w:t>Table</w:t>
      </w:r>
      <w:r>
        <w:rPr>
          <w:rFonts w:ascii="Times New Roman"/>
          <w:b/>
          <w:spacing w:val="74"/>
          <w:w w:val="150"/>
          <w:sz w:val="24"/>
        </w:rPr>
        <w:t> </w:t>
      </w:r>
      <w:r>
        <w:rPr>
          <w:rFonts w:ascii="Times New Roman"/>
          <w:b/>
          <w:sz w:val="24"/>
        </w:rPr>
        <w:t>4.3:</w:t>
      </w:r>
      <w:r>
        <w:rPr>
          <w:rFonts w:ascii="Times New Roman"/>
          <w:b/>
          <w:spacing w:val="77"/>
          <w:w w:val="150"/>
          <w:sz w:val="24"/>
        </w:rPr>
        <w:t> </w:t>
      </w:r>
      <w:r>
        <w:rPr>
          <w:rFonts w:ascii="Times New Roman"/>
          <w:sz w:val="24"/>
        </w:rPr>
        <w:t>Distribution</w:t>
      </w:r>
      <w:r>
        <w:rPr>
          <w:rFonts w:ascii="Times New Roman"/>
          <w:spacing w:val="71"/>
          <w:w w:val="150"/>
          <w:sz w:val="24"/>
        </w:rPr>
        <w:t> </w:t>
      </w:r>
      <w:r>
        <w:rPr>
          <w:rFonts w:ascii="Times New Roman"/>
          <w:sz w:val="24"/>
        </w:rPr>
        <w:t>of</w:t>
      </w:r>
      <w:r>
        <w:rPr>
          <w:rFonts w:ascii="Times New Roman"/>
          <w:spacing w:val="69"/>
          <w:w w:val="150"/>
          <w:sz w:val="24"/>
        </w:rPr>
        <w:t> </w:t>
      </w:r>
      <w:r>
        <w:rPr>
          <w:rFonts w:ascii="Times New Roman"/>
          <w:sz w:val="24"/>
        </w:rPr>
        <w:t>Organisms</w:t>
      </w:r>
      <w:r>
        <w:rPr>
          <w:rFonts w:ascii="Times New Roman"/>
          <w:spacing w:val="77"/>
          <w:w w:val="150"/>
          <w:sz w:val="24"/>
        </w:rPr>
        <w:t> </w:t>
      </w:r>
      <w:r>
        <w:rPr>
          <w:rFonts w:ascii="Times New Roman"/>
          <w:sz w:val="24"/>
        </w:rPr>
        <w:t>in</w:t>
      </w:r>
      <w:r>
        <w:rPr>
          <w:rFonts w:ascii="Times New Roman"/>
          <w:spacing w:val="75"/>
          <w:w w:val="150"/>
          <w:sz w:val="24"/>
        </w:rPr>
        <w:t> </w:t>
      </w:r>
      <w:r>
        <w:rPr>
          <w:rFonts w:ascii="Times New Roman"/>
          <w:sz w:val="24"/>
        </w:rPr>
        <w:t>different</w:t>
      </w:r>
      <w:r>
        <w:rPr>
          <w:rFonts w:ascii="Times New Roman"/>
          <w:spacing w:val="25"/>
          <w:sz w:val="24"/>
        </w:rPr>
        <w:t>  </w:t>
      </w:r>
      <w:r>
        <w:rPr>
          <w:rFonts w:ascii="Times New Roman"/>
          <w:sz w:val="24"/>
        </w:rPr>
        <w:t>Brands</w:t>
      </w:r>
      <w:r>
        <w:rPr>
          <w:rFonts w:ascii="Times New Roman"/>
          <w:spacing w:val="74"/>
          <w:w w:val="150"/>
          <w:sz w:val="24"/>
        </w:rPr>
        <w:t> </w:t>
      </w:r>
      <w:r>
        <w:rPr>
          <w:rFonts w:ascii="Times New Roman"/>
          <w:sz w:val="24"/>
        </w:rPr>
        <w:t>of</w:t>
      </w:r>
      <w:r>
        <w:rPr>
          <w:rFonts w:ascii="Times New Roman"/>
          <w:spacing w:val="68"/>
          <w:w w:val="150"/>
          <w:sz w:val="24"/>
        </w:rPr>
        <w:t> </w:t>
      </w:r>
      <w:r>
        <w:rPr>
          <w:rFonts w:ascii="Times New Roman"/>
          <w:sz w:val="24"/>
        </w:rPr>
        <w:t>Packaged</w:t>
      </w:r>
      <w:r>
        <w:rPr>
          <w:rFonts w:ascii="Times New Roman"/>
          <w:spacing w:val="25"/>
          <w:sz w:val="24"/>
        </w:rPr>
        <w:t>  </w:t>
      </w:r>
      <w:r>
        <w:rPr>
          <w:rFonts w:ascii="Times New Roman"/>
          <w:sz w:val="24"/>
        </w:rPr>
        <w:t>Milk</w:t>
      </w:r>
      <w:r>
        <w:rPr>
          <w:rFonts w:ascii="Times New Roman"/>
          <w:spacing w:val="75"/>
          <w:w w:val="150"/>
          <w:sz w:val="24"/>
        </w:rPr>
        <w:t> </w:t>
      </w:r>
      <w:r>
        <w:rPr>
          <w:rFonts w:ascii="Times New Roman"/>
          <w:spacing w:val="-2"/>
          <w:sz w:val="24"/>
        </w:rPr>
        <w:t>Samples</w:t>
      </w:r>
    </w:p>
    <w:p>
      <w:pPr>
        <w:spacing w:before="40"/>
        <w:ind w:left="0" w:right="1207" w:firstLine="0"/>
        <w:jc w:val="right"/>
        <w:rPr>
          <w:rFonts w:ascii="Times New Roman" w:hAnsi="Times New Roman"/>
          <w:sz w:val="24"/>
        </w:rPr>
      </w:pPr>
      <w:r>
        <w:rPr>
          <w:rFonts w:ascii="Times New Roman" w:hAnsi="Times New Roman"/>
          <w:spacing w:val="-2"/>
          <w:sz w:val="24"/>
        </w:rPr>
        <w:t>………………………………………………………………………………………...73</w:t>
      </w:r>
    </w:p>
    <w:p>
      <w:pPr>
        <w:spacing w:before="363"/>
        <w:ind w:left="920" w:right="0" w:firstLine="0"/>
        <w:jc w:val="left"/>
        <w:rPr>
          <w:rFonts w:ascii="Times New Roman"/>
          <w:sz w:val="24"/>
        </w:rPr>
      </w:pPr>
      <w:r>
        <w:rPr>
          <w:rFonts w:ascii="Times New Roman"/>
          <w:b/>
          <w:sz w:val="24"/>
        </w:rPr>
        <w:t>Table</w:t>
      </w:r>
      <w:r>
        <w:rPr>
          <w:rFonts w:ascii="Times New Roman"/>
          <w:b/>
          <w:spacing w:val="22"/>
          <w:sz w:val="24"/>
        </w:rPr>
        <w:t> </w:t>
      </w:r>
      <w:r>
        <w:rPr>
          <w:rFonts w:ascii="Times New Roman"/>
          <w:b/>
          <w:sz w:val="24"/>
        </w:rPr>
        <w:t>4.4:</w:t>
      </w:r>
      <w:r>
        <w:rPr>
          <w:rFonts w:ascii="Times New Roman"/>
          <w:b/>
          <w:spacing w:val="25"/>
          <w:sz w:val="24"/>
        </w:rPr>
        <w:t> </w:t>
      </w:r>
      <w:r>
        <w:rPr>
          <w:rFonts w:ascii="Times New Roman"/>
          <w:sz w:val="24"/>
        </w:rPr>
        <w:t>Distribution</w:t>
      </w:r>
      <w:r>
        <w:rPr>
          <w:rFonts w:ascii="Times New Roman"/>
          <w:spacing w:val="18"/>
          <w:sz w:val="24"/>
        </w:rPr>
        <w:t> </w:t>
      </w:r>
      <w:r>
        <w:rPr>
          <w:rFonts w:ascii="Times New Roman"/>
          <w:sz w:val="24"/>
        </w:rPr>
        <w:t>of</w:t>
      </w:r>
      <w:r>
        <w:rPr>
          <w:rFonts w:ascii="Times New Roman"/>
          <w:spacing w:val="16"/>
          <w:sz w:val="24"/>
        </w:rPr>
        <w:t> </w:t>
      </w:r>
      <w:r>
        <w:rPr>
          <w:rFonts w:ascii="Times New Roman"/>
          <w:sz w:val="24"/>
        </w:rPr>
        <w:t>Organisms</w:t>
      </w:r>
      <w:r>
        <w:rPr>
          <w:rFonts w:ascii="Times New Roman"/>
          <w:spacing w:val="30"/>
          <w:sz w:val="24"/>
        </w:rPr>
        <w:t> </w:t>
      </w:r>
      <w:r>
        <w:rPr>
          <w:rFonts w:ascii="Times New Roman"/>
          <w:sz w:val="24"/>
        </w:rPr>
        <w:t>in</w:t>
      </w:r>
      <w:r>
        <w:rPr>
          <w:rFonts w:ascii="Times New Roman"/>
          <w:spacing w:val="23"/>
          <w:sz w:val="24"/>
        </w:rPr>
        <w:t> </w:t>
      </w:r>
      <w:r>
        <w:rPr>
          <w:rFonts w:ascii="Times New Roman"/>
          <w:sz w:val="24"/>
        </w:rPr>
        <w:t>Milk</w:t>
      </w:r>
      <w:r>
        <w:rPr>
          <w:rFonts w:ascii="Times New Roman"/>
          <w:spacing w:val="23"/>
          <w:sz w:val="24"/>
        </w:rPr>
        <w:t> </w:t>
      </w:r>
      <w:r>
        <w:rPr>
          <w:rFonts w:ascii="Times New Roman"/>
          <w:sz w:val="24"/>
        </w:rPr>
        <w:t>Samples</w:t>
      </w:r>
      <w:r>
        <w:rPr>
          <w:rFonts w:ascii="Times New Roman"/>
          <w:spacing w:val="25"/>
          <w:sz w:val="24"/>
        </w:rPr>
        <w:t> </w:t>
      </w:r>
      <w:r>
        <w:rPr>
          <w:rFonts w:ascii="Times New Roman"/>
          <w:sz w:val="24"/>
        </w:rPr>
        <w:t>based</w:t>
      </w:r>
      <w:r>
        <w:rPr>
          <w:rFonts w:ascii="Times New Roman"/>
          <w:spacing w:val="24"/>
          <w:sz w:val="24"/>
        </w:rPr>
        <w:t> </w:t>
      </w:r>
      <w:r>
        <w:rPr>
          <w:rFonts w:ascii="Times New Roman"/>
          <w:sz w:val="24"/>
        </w:rPr>
        <w:t>on</w:t>
      </w:r>
      <w:r>
        <w:rPr>
          <w:rFonts w:ascii="Times New Roman"/>
          <w:spacing w:val="18"/>
          <w:sz w:val="24"/>
        </w:rPr>
        <w:t> </w:t>
      </w:r>
      <w:r>
        <w:rPr>
          <w:rFonts w:ascii="Times New Roman"/>
          <w:sz w:val="24"/>
        </w:rPr>
        <w:t>Sampling</w:t>
      </w:r>
      <w:r>
        <w:rPr>
          <w:rFonts w:ascii="Times New Roman"/>
          <w:spacing w:val="24"/>
          <w:sz w:val="24"/>
        </w:rPr>
        <w:t> </w:t>
      </w:r>
      <w:r>
        <w:rPr>
          <w:rFonts w:ascii="Times New Roman"/>
          <w:sz w:val="24"/>
        </w:rPr>
        <w:t>Locations</w:t>
      </w:r>
      <w:r>
        <w:rPr>
          <w:rFonts w:ascii="Times New Roman"/>
          <w:spacing w:val="25"/>
          <w:sz w:val="24"/>
        </w:rPr>
        <w:t> </w:t>
      </w:r>
      <w:r>
        <w:rPr>
          <w:rFonts w:ascii="Times New Roman"/>
          <w:sz w:val="24"/>
        </w:rPr>
        <w:t>in</w:t>
      </w:r>
      <w:r>
        <w:rPr>
          <w:rFonts w:ascii="Times New Roman"/>
          <w:spacing w:val="23"/>
          <w:sz w:val="24"/>
        </w:rPr>
        <w:t> </w:t>
      </w:r>
      <w:r>
        <w:rPr>
          <w:rFonts w:ascii="Times New Roman"/>
          <w:spacing w:val="-2"/>
          <w:sz w:val="24"/>
        </w:rPr>
        <w:t>Zaria</w:t>
      </w:r>
    </w:p>
    <w:p>
      <w:pPr>
        <w:tabs>
          <w:tab w:pos="10011" w:val="left" w:leader="dot"/>
        </w:tabs>
        <w:spacing w:before="41"/>
        <w:ind w:left="1908" w:right="0" w:firstLine="0"/>
        <w:jc w:val="left"/>
        <w:rPr>
          <w:rFonts w:ascii="Times New Roman" w:hAnsi="Times New Roman"/>
          <w:sz w:val="24"/>
        </w:rPr>
      </w:pPr>
      <w:r>
        <w:rPr>
          <w:rFonts w:ascii="Times New Roman" w:hAnsi="Times New Roman"/>
          <w:spacing w:val="-10"/>
          <w:sz w:val="24"/>
        </w:rPr>
        <w:t>…</w:t>
      </w:r>
      <w:r>
        <w:rPr>
          <w:rFonts w:ascii="Times New Roman" w:hAnsi="Times New Roman"/>
          <w:sz w:val="24"/>
        </w:rPr>
        <w:tab/>
      </w:r>
      <w:r>
        <w:rPr>
          <w:rFonts w:ascii="Times New Roman" w:hAnsi="Times New Roman"/>
          <w:spacing w:val="-5"/>
          <w:sz w:val="24"/>
        </w:rPr>
        <w:t>74</w:t>
      </w:r>
    </w:p>
    <w:p>
      <w:pPr>
        <w:tabs>
          <w:tab w:pos="791" w:val="left" w:leader="none"/>
          <w:tab w:pos="2447" w:val="left" w:leader="none"/>
          <w:tab w:pos="3977" w:val="left" w:leader="none"/>
          <w:tab w:pos="4855" w:val="left" w:leader="none"/>
          <w:tab w:pos="5263" w:val="left" w:leader="none"/>
          <w:tab w:pos="6333" w:val="left" w:leader="none"/>
          <w:tab w:pos="7288" w:val="left" w:leader="none"/>
          <w:tab w:pos="7955" w:val="left" w:leader="none"/>
          <w:tab w:pos="8631" w:val="left" w:leader="none"/>
        </w:tabs>
        <w:spacing w:before="357"/>
        <w:ind w:left="0" w:right="1181" w:firstLine="0"/>
        <w:jc w:val="right"/>
        <w:rPr>
          <w:rFonts w:ascii="Times New Roman"/>
          <w:sz w:val="24"/>
        </w:rPr>
      </w:pPr>
      <w:r>
        <w:rPr>
          <w:rFonts w:ascii="Times New Roman"/>
          <w:b/>
          <w:spacing w:val="-2"/>
          <w:sz w:val="24"/>
        </w:rPr>
        <w:t>Table</w:t>
      </w:r>
      <w:r>
        <w:rPr>
          <w:rFonts w:ascii="Times New Roman"/>
          <w:b/>
          <w:sz w:val="24"/>
        </w:rPr>
        <w:tab/>
      </w:r>
      <w:r>
        <w:rPr>
          <w:rFonts w:ascii="Times New Roman"/>
          <w:b/>
          <w:spacing w:val="-2"/>
          <w:sz w:val="24"/>
        </w:rPr>
        <w:t>4</w:t>
      </w:r>
      <w:r>
        <w:rPr>
          <w:rFonts w:ascii="Times New Roman"/>
          <w:spacing w:val="-2"/>
          <w:sz w:val="24"/>
        </w:rPr>
        <w:t>.5</w:t>
      </w:r>
      <w:r>
        <w:rPr>
          <w:rFonts w:ascii="Times New Roman"/>
          <w:b/>
          <w:spacing w:val="-2"/>
          <w:sz w:val="24"/>
        </w:rPr>
        <w:t>:</w:t>
      </w:r>
      <w:r>
        <w:rPr>
          <w:rFonts w:ascii="Times New Roman"/>
          <w:spacing w:val="-2"/>
          <w:sz w:val="24"/>
        </w:rPr>
        <w:t>Antibiotics</w:t>
      </w:r>
      <w:r>
        <w:rPr>
          <w:rFonts w:ascii="Times New Roman"/>
          <w:sz w:val="24"/>
        </w:rPr>
        <w:tab/>
      </w:r>
      <w:r>
        <w:rPr>
          <w:rFonts w:ascii="Times New Roman"/>
          <w:spacing w:val="-2"/>
          <w:sz w:val="24"/>
        </w:rPr>
        <w:t>Susceptibility</w:t>
      </w:r>
      <w:r>
        <w:rPr>
          <w:rFonts w:ascii="Times New Roman"/>
          <w:sz w:val="24"/>
        </w:rPr>
        <w:tab/>
      </w:r>
      <w:r>
        <w:rPr>
          <w:rFonts w:ascii="Times New Roman"/>
          <w:spacing w:val="-2"/>
          <w:sz w:val="24"/>
        </w:rPr>
        <w:t>pattern</w:t>
      </w:r>
      <w:r>
        <w:rPr>
          <w:rFonts w:ascii="Times New Roman"/>
          <w:sz w:val="24"/>
        </w:rPr>
        <w:tab/>
      </w:r>
      <w:r>
        <w:rPr>
          <w:rFonts w:ascii="Times New Roman"/>
          <w:spacing w:val="-5"/>
          <w:sz w:val="24"/>
        </w:rPr>
        <w:t>of</w:t>
      </w:r>
      <w:r>
        <w:rPr>
          <w:rFonts w:ascii="Times New Roman"/>
          <w:sz w:val="24"/>
        </w:rPr>
        <w:tab/>
      </w:r>
      <w:r>
        <w:rPr>
          <w:rFonts w:ascii="Times New Roman"/>
          <w:spacing w:val="-2"/>
          <w:sz w:val="24"/>
        </w:rPr>
        <w:t>Bacterial</w:t>
      </w:r>
      <w:r>
        <w:rPr>
          <w:rFonts w:ascii="Times New Roman"/>
          <w:sz w:val="24"/>
        </w:rPr>
        <w:tab/>
      </w:r>
      <w:r>
        <w:rPr>
          <w:rFonts w:ascii="Times New Roman"/>
          <w:spacing w:val="-2"/>
          <w:sz w:val="24"/>
        </w:rPr>
        <w:t>Isolates</w:t>
      </w:r>
      <w:r>
        <w:rPr>
          <w:rFonts w:ascii="Times New Roman"/>
          <w:sz w:val="24"/>
        </w:rPr>
        <w:tab/>
      </w:r>
      <w:r>
        <w:rPr>
          <w:rFonts w:ascii="Times New Roman"/>
          <w:spacing w:val="-4"/>
          <w:sz w:val="24"/>
        </w:rPr>
        <w:t>from</w:t>
      </w:r>
      <w:r>
        <w:rPr>
          <w:rFonts w:ascii="Times New Roman"/>
          <w:sz w:val="24"/>
        </w:rPr>
        <w:tab/>
      </w:r>
      <w:r>
        <w:rPr>
          <w:rFonts w:ascii="Times New Roman"/>
          <w:spacing w:val="-4"/>
          <w:sz w:val="24"/>
        </w:rPr>
        <w:t>Milk</w:t>
      </w:r>
      <w:r>
        <w:rPr>
          <w:rFonts w:ascii="Times New Roman"/>
          <w:sz w:val="24"/>
        </w:rPr>
        <w:tab/>
      </w:r>
      <w:r>
        <w:rPr>
          <w:rFonts w:ascii="Times New Roman"/>
          <w:spacing w:val="-2"/>
          <w:sz w:val="24"/>
        </w:rPr>
        <w:t>Sample</w:t>
      </w:r>
    </w:p>
    <w:p>
      <w:pPr>
        <w:spacing w:before="41"/>
        <w:ind w:left="0" w:right="1207" w:firstLine="0"/>
        <w:jc w:val="right"/>
        <w:rPr>
          <w:rFonts w:ascii="Times New Roman" w:hAnsi="Times New Roman"/>
          <w:sz w:val="24"/>
        </w:rPr>
      </w:pPr>
      <w:r>
        <w:rPr>
          <w:rFonts w:ascii="Times New Roman" w:hAnsi="Times New Roman"/>
          <w:spacing w:val="-2"/>
          <w:sz w:val="24"/>
        </w:rPr>
        <w:t>……………………………………………………………………………………...…76</w:t>
      </w:r>
    </w:p>
    <w:p>
      <w:pPr>
        <w:spacing w:before="358"/>
        <w:ind w:left="0" w:right="1183" w:firstLine="0"/>
        <w:jc w:val="right"/>
        <w:rPr>
          <w:rFonts w:ascii="Times New Roman"/>
          <w:sz w:val="24"/>
        </w:rPr>
      </w:pPr>
      <w:r>
        <w:rPr>
          <w:rFonts w:ascii="Times New Roman"/>
          <w:b/>
          <w:sz w:val="24"/>
        </w:rPr>
        <w:t>Table</w:t>
      </w:r>
      <w:r>
        <w:rPr>
          <w:rFonts w:ascii="Times New Roman"/>
          <w:b/>
          <w:spacing w:val="55"/>
          <w:w w:val="150"/>
          <w:sz w:val="24"/>
        </w:rPr>
        <w:t> </w:t>
      </w:r>
      <w:r>
        <w:rPr>
          <w:rFonts w:ascii="Times New Roman"/>
          <w:b/>
          <w:sz w:val="24"/>
        </w:rPr>
        <w:t>4.6:</w:t>
      </w:r>
      <w:r>
        <w:rPr>
          <w:rFonts w:ascii="Times New Roman"/>
          <w:sz w:val="24"/>
        </w:rPr>
        <w:t>Frequency</w:t>
      </w:r>
      <w:r>
        <w:rPr>
          <w:rFonts w:ascii="Times New Roman"/>
          <w:spacing w:val="78"/>
          <w:sz w:val="24"/>
        </w:rPr>
        <w:t> </w:t>
      </w:r>
      <w:r>
        <w:rPr>
          <w:rFonts w:ascii="Times New Roman"/>
          <w:sz w:val="24"/>
        </w:rPr>
        <w:t>of</w:t>
      </w:r>
      <w:r>
        <w:rPr>
          <w:rFonts w:ascii="Times New Roman"/>
          <w:spacing w:val="79"/>
          <w:sz w:val="24"/>
        </w:rPr>
        <w:t> </w:t>
      </w:r>
      <w:r>
        <w:rPr>
          <w:rFonts w:ascii="Times New Roman"/>
          <w:sz w:val="24"/>
        </w:rPr>
        <w:t>Antibiotic</w:t>
      </w:r>
      <w:r>
        <w:rPr>
          <w:rFonts w:ascii="Times New Roman"/>
          <w:spacing w:val="55"/>
          <w:w w:val="150"/>
          <w:sz w:val="24"/>
        </w:rPr>
        <w:t> </w:t>
      </w:r>
      <w:r>
        <w:rPr>
          <w:rFonts w:ascii="Times New Roman"/>
          <w:sz w:val="24"/>
        </w:rPr>
        <w:t>Resistance</w:t>
      </w:r>
      <w:r>
        <w:rPr>
          <w:rFonts w:ascii="Times New Roman"/>
          <w:spacing w:val="55"/>
          <w:w w:val="150"/>
          <w:sz w:val="24"/>
        </w:rPr>
        <w:t> </w:t>
      </w:r>
      <w:r>
        <w:rPr>
          <w:rFonts w:ascii="Times New Roman"/>
          <w:sz w:val="24"/>
        </w:rPr>
        <w:t>among</w:t>
      </w:r>
      <w:r>
        <w:rPr>
          <w:rFonts w:ascii="Times New Roman"/>
          <w:spacing w:val="52"/>
          <w:w w:val="150"/>
          <w:sz w:val="24"/>
        </w:rPr>
        <w:t> </w:t>
      </w:r>
      <w:r>
        <w:rPr>
          <w:rFonts w:ascii="Times New Roman"/>
          <w:sz w:val="24"/>
        </w:rPr>
        <w:t>Isolates</w:t>
      </w:r>
      <w:r>
        <w:rPr>
          <w:rFonts w:ascii="Times New Roman"/>
          <w:spacing w:val="55"/>
          <w:w w:val="150"/>
          <w:sz w:val="24"/>
        </w:rPr>
        <w:t> </w:t>
      </w:r>
      <w:r>
        <w:rPr>
          <w:rFonts w:ascii="Times New Roman"/>
          <w:sz w:val="24"/>
        </w:rPr>
        <w:t>based</w:t>
      </w:r>
      <w:r>
        <w:rPr>
          <w:rFonts w:ascii="Times New Roman"/>
          <w:spacing w:val="51"/>
          <w:w w:val="150"/>
          <w:sz w:val="24"/>
        </w:rPr>
        <w:t> </w:t>
      </w:r>
      <w:r>
        <w:rPr>
          <w:rFonts w:ascii="Times New Roman"/>
          <w:sz w:val="24"/>
        </w:rPr>
        <w:t>on</w:t>
      </w:r>
      <w:r>
        <w:rPr>
          <w:rFonts w:ascii="Times New Roman"/>
          <w:spacing w:val="54"/>
          <w:w w:val="150"/>
          <w:sz w:val="24"/>
        </w:rPr>
        <w:t> </w:t>
      </w:r>
      <w:r>
        <w:rPr>
          <w:rFonts w:ascii="Times New Roman"/>
          <w:sz w:val="24"/>
        </w:rPr>
        <w:t>Brands</w:t>
      </w:r>
      <w:r>
        <w:rPr>
          <w:rFonts w:ascii="Times New Roman"/>
          <w:spacing w:val="79"/>
          <w:sz w:val="24"/>
        </w:rPr>
        <w:t> </w:t>
      </w:r>
      <w:r>
        <w:rPr>
          <w:rFonts w:ascii="Times New Roman"/>
          <w:sz w:val="24"/>
        </w:rPr>
        <w:t>of</w:t>
      </w:r>
      <w:r>
        <w:rPr>
          <w:rFonts w:ascii="Times New Roman"/>
          <w:spacing w:val="79"/>
          <w:sz w:val="24"/>
        </w:rPr>
        <w:t> </w:t>
      </w:r>
      <w:r>
        <w:rPr>
          <w:rFonts w:ascii="Times New Roman"/>
          <w:spacing w:val="-4"/>
          <w:sz w:val="24"/>
        </w:rPr>
        <w:t>Milk</w:t>
      </w:r>
    </w:p>
    <w:p>
      <w:pPr>
        <w:spacing w:before="45"/>
        <w:ind w:left="0" w:right="1207" w:firstLine="0"/>
        <w:jc w:val="right"/>
        <w:rPr>
          <w:rFonts w:ascii="Times New Roman" w:hAnsi="Times New Roman"/>
          <w:sz w:val="24"/>
        </w:rPr>
      </w:pPr>
      <w:r>
        <w:rPr>
          <w:rFonts w:ascii="Times New Roman" w:hAnsi="Times New Roman"/>
          <w:spacing w:val="-2"/>
          <w:sz w:val="24"/>
        </w:rPr>
        <w:t>…………………………………………………………………………………...……77</w:t>
      </w:r>
    </w:p>
    <w:p>
      <w:pPr>
        <w:tabs>
          <w:tab w:pos="10015" w:val="left" w:leader="dot"/>
        </w:tabs>
        <w:spacing w:before="358"/>
        <w:ind w:left="920" w:right="0" w:firstLine="0"/>
        <w:jc w:val="left"/>
        <w:rPr>
          <w:rFonts w:ascii="Times New Roman"/>
          <w:sz w:val="24"/>
        </w:rPr>
      </w:pPr>
      <w:r>
        <w:rPr>
          <w:rFonts w:ascii="Times New Roman"/>
          <w:b/>
          <w:sz w:val="24"/>
        </w:rPr>
        <w:t>Table</w:t>
      </w:r>
      <w:r>
        <w:rPr>
          <w:rFonts w:ascii="Times New Roman"/>
          <w:b/>
          <w:spacing w:val="-8"/>
          <w:sz w:val="24"/>
        </w:rPr>
        <w:t> </w:t>
      </w:r>
      <w:r>
        <w:rPr>
          <w:rFonts w:ascii="Times New Roman"/>
          <w:b/>
          <w:sz w:val="24"/>
        </w:rPr>
        <w:t>4.7:</w:t>
      </w:r>
      <w:r>
        <w:rPr>
          <w:rFonts w:ascii="Times New Roman"/>
          <w:sz w:val="24"/>
        </w:rPr>
        <w:t>Antibiotics</w:t>
      </w:r>
      <w:r>
        <w:rPr>
          <w:rFonts w:ascii="Times New Roman"/>
          <w:spacing w:val="-9"/>
          <w:sz w:val="24"/>
        </w:rPr>
        <w:t> </w:t>
      </w:r>
      <w:r>
        <w:rPr>
          <w:rFonts w:ascii="Times New Roman"/>
          <w:sz w:val="24"/>
        </w:rPr>
        <w:t>Resistance</w:t>
      </w:r>
      <w:r>
        <w:rPr>
          <w:rFonts w:ascii="Times New Roman"/>
          <w:spacing w:val="-7"/>
          <w:sz w:val="24"/>
        </w:rPr>
        <w:t> </w:t>
      </w:r>
      <w:r>
        <w:rPr>
          <w:rFonts w:ascii="Times New Roman"/>
          <w:sz w:val="24"/>
        </w:rPr>
        <w:t>Profile</w:t>
      </w:r>
      <w:r>
        <w:rPr>
          <w:rFonts w:ascii="Times New Roman"/>
          <w:spacing w:val="-8"/>
          <w:sz w:val="24"/>
        </w:rPr>
        <w:t> </w:t>
      </w:r>
      <w:r>
        <w:rPr>
          <w:rFonts w:ascii="Times New Roman"/>
          <w:sz w:val="24"/>
        </w:rPr>
        <w:t>of</w:t>
      </w:r>
      <w:r>
        <w:rPr>
          <w:rFonts w:ascii="Times New Roman"/>
          <w:spacing w:val="-13"/>
          <w:sz w:val="24"/>
        </w:rPr>
        <w:t> </w:t>
      </w:r>
      <w:r>
        <w:rPr>
          <w:rFonts w:ascii="Times New Roman"/>
          <w:sz w:val="24"/>
        </w:rPr>
        <w:t>Bacterial</w:t>
      </w:r>
      <w:r>
        <w:rPr>
          <w:rFonts w:ascii="Times New Roman"/>
          <w:spacing w:val="-15"/>
          <w:sz w:val="24"/>
        </w:rPr>
        <w:t> </w:t>
      </w:r>
      <w:r>
        <w:rPr>
          <w:rFonts w:ascii="Times New Roman"/>
          <w:sz w:val="24"/>
        </w:rPr>
        <w:t>Isolates</w:t>
      </w:r>
      <w:r>
        <w:rPr>
          <w:rFonts w:ascii="Times New Roman"/>
          <w:spacing w:val="-7"/>
          <w:sz w:val="24"/>
        </w:rPr>
        <w:t> </w:t>
      </w:r>
      <w:r>
        <w:rPr>
          <w:rFonts w:ascii="Times New Roman"/>
          <w:sz w:val="24"/>
        </w:rPr>
        <w:t>from</w:t>
      </w:r>
      <w:r>
        <w:rPr>
          <w:rFonts w:ascii="Times New Roman"/>
          <w:spacing w:val="-15"/>
          <w:sz w:val="24"/>
        </w:rPr>
        <w:t> </w:t>
      </w:r>
      <w:r>
        <w:rPr>
          <w:rFonts w:ascii="Times New Roman"/>
          <w:sz w:val="24"/>
        </w:rPr>
        <w:t>Five</w:t>
      </w:r>
      <w:r>
        <w:rPr>
          <w:rFonts w:ascii="Times New Roman"/>
          <w:spacing w:val="-8"/>
          <w:sz w:val="24"/>
        </w:rPr>
        <w:t> </w:t>
      </w:r>
      <w:r>
        <w:rPr>
          <w:rFonts w:ascii="Times New Roman"/>
          <w:spacing w:val="-2"/>
          <w:sz w:val="24"/>
        </w:rPr>
        <w:t>Locations</w:t>
      </w:r>
      <w:r>
        <w:rPr>
          <w:rFonts w:ascii="Times New Roman"/>
          <w:sz w:val="24"/>
        </w:rPr>
        <w:tab/>
      </w:r>
      <w:r>
        <w:rPr>
          <w:rFonts w:ascii="Times New Roman"/>
          <w:spacing w:val="-5"/>
          <w:sz w:val="24"/>
        </w:rPr>
        <w:t>78</w:t>
      </w:r>
    </w:p>
    <w:p>
      <w:pPr>
        <w:tabs>
          <w:tab w:pos="9996" w:val="left" w:leader="dot"/>
        </w:tabs>
        <w:spacing w:line="276" w:lineRule="auto" w:before="358"/>
        <w:ind w:left="2211" w:right="1221" w:hanging="1292"/>
        <w:jc w:val="left"/>
        <w:rPr>
          <w:rFonts w:ascii="Times New Roman"/>
          <w:sz w:val="24"/>
        </w:rPr>
      </w:pPr>
      <w:r>
        <w:rPr>
          <w:rFonts w:ascii="Times New Roman"/>
          <w:b/>
          <w:sz w:val="24"/>
        </w:rPr>
        <w:t>Table 4.8:</w:t>
      </w:r>
      <w:r>
        <w:rPr>
          <w:rFonts w:ascii="Times New Roman"/>
          <w:b/>
          <w:spacing w:val="40"/>
          <w:sz w:val="24"/>
        </w:rPr>
        <w:t> </w:t>
      </w:r>
      <w:r>
        <w:rPr>
          <w:rFonts w:ascii="Times New Roman"/>
          <w:sz w:val="24"/>
        </w:rPr>
        <w:t>Distribution of Bacterial Isolates Resistance Based on Zone of Inhibition Produced By Test Antibiotic (%)</w:t>
      </w:r>
      <w:r>
        <w:rPr>
          <w:rFonts w:ascii="Times New Roman"/>
          <w:sz w:val="24"/>
        </w:rPr>
        <w:tab/>
      </w:r>
      <w:r>
        <w:rPr>
          <w:rFonts w:ascii="Times New Roman"/>
          <w:spacing w:val="-6"/>
          <w:sz w:val="24"/>
        </w:rPr>
        <w:t>79</w:t>
      </w:r>
    </w:p>
    <w:p>
      <w:pPr>
        <w:tabs>
          <w:tab w:pos="9961" w:val="left" w:leader="dot"/>
        </w:tabs>
        <w:spacing w:line="276" w:lineRule="auto" w:before="315"/>
        <w:ind w:left="1908" w:right="1255" w:hanging="989"/>
        <w:jc w:val="left"/>
        <w:rPr>
          <w:rFonts w:ascii="Times New Roman"/>
          <w:sz w:val="24"/>
        </w:rPr>
      </w:pPr>
      <w:r>
        <w:rPr>
          <w:rFonts w:ascii="Times New Roman"/>
          <w:b/>
          <w:sz w:val="24"/>
        </w:rPr>
        <w:t>Table 4.9:</w:t>
      </w:r>
      <w:r>
        <w:rPr>
          <w:rFonts w:ascii="Times New Roman"/>
          <w:sz w:val="24"/>
        </w:rPr>
        <w:t>Antibiotics Susceptibility</w:t>
      </w:r>
      <w:r>
        <w:rPr>
          <w:rFonts w:ascii="Times New Roman"/>
          <w:spacing w:val="-3"/>
          <w:sz w:val="24"/>
        </w:rPr>
        <w:t> </w:t>
      </w:r>
      <w:r>
        <w:rPr>
          <w:rFonts w:ascii="Times New Roman"/>
          <w:sz w:val="24"/>
        </w:rPr>
        <w:t>Profiles of</w:t>
      </w:r>
      <w:r>
        <w:rPr>
          <w:rFonts w:ascii="Times New Roman"/>
          <w:spacing w:val="-1"/>
          <w:sz w:val="24"/>
        </w:rPr>
        <w:t> </w:t>
      </w:r>
      <w:r>
        <w:rPr>
          <w:rFonts w:ascii="Times New Roman"/>
          <w:sz w:val="24"/>
        </w:rPr>
        <w:t>Selected Isolates based on their M.I.C and Peak </w:t>
      </w:r>
      <w:r>
        <w:rPr>
          <w:rFonts w:ascii="Times New Roman"/>
          <w:spacing w:val="-2"/>
          <w:sz w:val="24"/>
        </w:rPr>
        <w:t>PlasmaLevels</w:t>
      </w:r>
      <w:r>
        <w:rPr>
          <w:rFonts w:ascii="Times New Roman"/>
          <w:sz w:val="24"/>
        </w:rPr>
        <w:tab/>
      </w:r>
      <w:r>
        <w:rPr>
          <w:rFonts w:ascii="Times New Roman"/>
          <w:spacing w:val="-6"/>
          <w:sz w:val="24"/>
        </w:rPr>
        <w:t>81</w:t>
      </w:r>
    </w:p>
    <w:p>
      <w:pPr>
        <w:tabs>
          <w:tab w:pos="9985" w:val="left" w:leader="dot"/>
        </w:tabs>
        <w:spacing w:line="276" w:lineRule="auto" w:before="321"/>
        <w:ind w:left="1908" w:right="1185" w:hanging="989"/>
        <w:jc w:val="left"/>
        <w:rPr>
          <w:rFonts w:ascii="Times New Roman"/>
          <w:sz w:val="24"/>
        </w:rPr>
      </w:pPr>
      <w:r>
        <w:rPr>
          <w:rFonts w:ascii="Times New Roman"/>
          <w:b/>
          <w:sz w:val="24"/>
        </w:rPr>
        <w:t>Table 4.10:</w:t>
      </w:r>
      <w:r>
        <w:rPr>
          <w:rFonts w:ascii="Times New Roman"/>
          <w:b/>
          <w:spacing w:val="80"/>
          <w:sz w:val="24"/>
        </w:rPr>
        <w:t> </w:t>
      </w:r>
      <w:r>
        <w:rPr>
          <w:rFonts w:ascii="Times New Roman"/>
          <w:sz w:val="24"/>
        </w:rPr>
        <w:t>Resistance Profile of selected Isolates from Five Locations in Zaria based on their </w:t>
      </w:r>
      <w:r>
        <w:rPr>
          <w:rFonts w:ascii="Times New Roman"/>
          <w:spacing w:val="-4"/>
          <w:sz w:val="24"/>
        </w:rPr>
        <w:t>M.I.C</w:t>
      </w:r>
      <w:r>
        <w:rPr>
          <w:rFonts w:ascii="Times New Roman"/>
          <w:sz w:val="24"/>
        </w:rPr>
        <w:tab/>
      </w:r>
      <w:r>
        <w:rPr>
          <w:rFonts w:ascii="Times New Roman"/>
          <w:spacing w:val="-5"/>
          <w:sz w:val="24"/>
        </w:rPr>
        <w:t>82</w:t>
      </w:r>
    </w:p>
    <w:p>
      <w:pPr>
        <w:spacing w:before="315"/>
        <w:ind w:left="920" w:right="0" w:firstLine="0"/>
        <w:jc w:val="left"/>
        <w:rPr>
          <w:rFonts w:ascii="Times New Roman"/>
          <w:sz w:val="24"/>
        </w:rPr>
      </w:pPr>
      <w:r>
        <w:rPr>
          <w:rFonts w:ascii="Times New Roman"/>
          <w:b/>
          <w:sz w:val="24"/>
        </w:rPr>
        <w:t>Table</w:t>
      </w:r>
      <w:r>
        <w:rPr>
          <w:rFonts w:ascii="Times New Roman"/>
          <w:b/>
          <w:spacing w:val="-6"/>
          <w:sz w:val="24"/>
        </w:rPr>
        <w:t> </w:t>
      </w:r>
      <w:r>
        <w:rPr>
          <w:rFonts w:ascii="Times New Roman"/>
          <w:b/>
          <w:sz w:val="24"/>
        </w:rPr>
        <w:t>4.11:</w:t>
      </w:r>
      <w:r>
        <w:rPr>
          <w:rFonts w:ascii="Times New Roman"/>
          <w:b/>
          <w:spacing w:val="53"/>
          <w:sz w:val="24"/>
        </w:rPr>
        <w:t> </w:t>
      </w:r>
      <w:r>
        <w:rPr>
          <w:rFonts w:ascii="Times New Roman"/>
          <w:sz w:val="24"/>
        </w:rPr>
        <w:t>Resistance</w:t>
      </w:r>
      <w:r>
        <w:rPr>
          <w:rFonts w:ascii="Times New Roman"/>
          <w:spacing w:val="-6"/>
          <w:sz w:val="24"/>
        </w:rPr>
        <w:t> </w:t>
      </w:r>
      <w:r>
        <w:rPr>
          <w:rFonts w:ascii="Times New Roman"/>
          <w:sz w:val="24"/>
        </w:rPr>
        <w:t>Pattern</w:t>
      </w:r>
      <w:r>
        <w:rPr>
          <w:rFonts w:ascii="Times New Roman"/>
          <w:spacing w:val="-12"/>
          <w:sz w:val="24"/>
        </w:rPr>
        <w:t> </w:t>
      </w:r>
      <w:r>
        <w:rPr>
          <w:rFonts w:ascii="Times New Roman"/>
          <w:sz w:val="24"/>
        </w:rPr>
        <w:t>of</w:t>
      </w:r>
      <w:r>
        <w:rPr>
          <w:rFonts w:ascii="Times New Roman"/>
          <w:spacing w:val="-12"/>
          <w:sz w:val="24"/>
        </w:rPr>
        <w:t> </w:t>
      </w:r>
      <w:r>
        <w:rPr>
          <w:rFonts w:ascii="Times New Roman"/>
          <w:sz w:val="24"/>
        </w:rPr>
        <w:t>Isolates</w:t>
      </w:r>
      <w:r>
        <w:rPr>
          <w:rFonts w:ascii="Times New Roman"/>
          <w:spacing w:val="-6"/>
          <w:sz w:val="24"/>
        </w:rPr>
        <w:t> </w:t>
      </w:r>
      <w:r>
        <w:rPr>
          <w:rFonts w:ascii="Times New Roman"/>
          <w:sz w:val="24"/>
        </w:rPr>
        <w:t>Based</w:t>
      </w:r>
      <w:r>
        <w:rPr>
          <w:rFonts w:ascii="Times New Roman"/>
          <w:spacing w:val="-5"/>
          <w:sz w:val="24"/>
        </w:rPr>
        <w:t> </w:t>
      </w:r>
      <w:r>
        <w:rPr>
          <w:rFonts w:ascii="Times New Roman"/>
          <w:sz w:val="24"/>
        </w:rPr>
        <w:t>on</w:t>
      </w:r>
      <w:r>
        <w:rPr>
          <w:rFonts w:ascii="Times New Roman"/>
          <w:spacing w:val="-9"/>
          <w:sz w:val="24"/>
        </w:rPr>
        <w:t> </w:t>
      </w:r>
      <w:r>
        <w:rPr>
          <w:rFonts w:ascii="Times New Roman"/>
          <w:sz w:val="24"/>
        </w:rPr>
        <w:t>Minimum</w:t>
      </w:r>
      <w:r>
        <w:rPr>
          <w:rFonts w:ascii="Times New Roman"/>
          <w:spacing w:val="-13"/>
          <w:sz w:val="24"/>
        </w:rPr>
        <w:t> </w:t>
      </w:r>
      <w:r>
        <w:rPr>
          <w:rFonts w:ascii="Times New Roman"/>
          <w:sz w:val="24"/>
        </w:rPr>
        <w:t>Inhibitory</w:t>
      </w:r>
      <w:r>
        <w:rPr>
          <w:rFonts w:ascii="Times New Roman"/>
          <w:spacing w:val="-13"/>
          <w:sz w:val="24"/>
        </w:rPr>
        <w:t> </w:t>
      </w:r>
      <w:r>
        <w:rPr>
          <w:rFonts w:ascii="Times New Roman"/>
          <w:spacing w:val="-2"/>
          <w:sz w:val="24"/>
        </w:rPr>
        <w:t>Concentrations</w:t>
      </w:r>
    </w:p>
    <w:p>
      <w:pPr>
        <w:tabs>
          <w:tab w:pos="9982" w:val="left" w:leader="dot"/>
        </w:tabs>
        <w:spacing w:before="41"/>
        <w:ind w:left="2393" w:right="0" w:firstLine="0"/>
        <w:jc w:val="left"/>
        <w:rPr>
          <w:rFonts w:ascii="Times New Roman"/>
          <w:sz w:val="24"/>
        </w:rPr>
      </w:pPr>
      <w:r>
        <w:rPr>
          <w:rFonts w:ascii="Times New Roman"/>
          <w:sz w:val="24"/>
        </w:rPr>
        <w:t>Of</w:t>
      </w:r>
      <w:r>
        <w:rPr>
          <w:rFonts w:ascii="Times New Roman"/>
          <w:spacing w:val="-13"/>
          <w:sz w:val="24"/>
        </w:rPr>
        <w:t> </w:t>
      </w:r>
      <w:r>
        <w:rPr>
          <w:rFonts w:ascii="Times New Roman"/>
          <w:sz w:val="24"/>
        </w:rPr>
        <w:t>Selected</w:t>
      </w:r>
      <w:r>
        <w:rPr>
          <w:rFonts w:ascii="Times New Roman"/>
          <w:spacing w:val="-5"/>
          <w:sz w:val="24"/>
        </w:rPr>
        <w:t> </w:t>
      </w:r>
      <w:r>
        <w:rPr>
          <w:rFonts w:ascii="Times New Roman"/>
          <w:spacing w:val="-2"/>
          <w:sz w:val="24"/>
        </w:rPr>
        <w:t>Antibiotics</w:t>
      </w:r>
      <w:r>
        <w:rPr>
          <w:rFonts w:ascii="Times New Roman"/>
          <w:sz w:val="24"/>
        </w:rPr>
        <w:tab/>
      </w:r>
      <w:r>
        <w:rPr>
          <w:rFonts w:ascii="Times New Roman"/>
          <w:spacing w:val="-5"/>
          <w:sz w:val="24"/>
        </w:rPr>
        <w:t>83</w:t>
      </w:r>
    </w:p>
    <w:p>
      <w:pPr>
        <w:tabs>
          <w:tab w:pos="10001" w:val="left" w:leader="dot"/>
        </w:tabs>
        <w:spacing w:before="358"/>
        <w:ind w:left="920" w:right="0" w:firstLine="0"/>
        <w:jc w:val="left"/>
        <w:rPr>
          <w:rFonts w:ascii="Times New Roman"/>
          <w:sz w:val="24"/>
        </w:rPr>
      </w:pPr>
      <w:r>
        <w:rPr>
          <w:rFonts w:ascii="Times New Roman"/>
          <w:b/>
          <w:sz w:val="24"/>
        </w:rPr>
        <w:t>Table</w:t>
      </w:r>
      <w:r>
        <w:rPr>
          <w:rFonts w:ascii="Times New Roman"/>
          <w:b/>
          <w:spacing w:val="-8"/>
          <w:sz w:val="24"/>
        </w:rPr>
        <w:t> </w:t>
      </w:r>
      <w:r>
        <w:rPr>
          <w:rFonts w:ascii="Times New Roman"/>
          <w:b/>
          <w:sz w:val="24"/>
        </w:rPr>
        <w:t>4.12:</w:t>
      </w:r>
      <w:r>
        <w:rPr>
          <w:rFonts w:ascii="Times New Roman"/>
          <w:b/>
          <w:spacing w:val="48"/>
          <w:sz w:val="24"/>
        </w:rPr>
        <w:t> </w:t>
      </w:r>
      <w:r>
        <w:rPr>
          <w:rFonts w:ascii="Times New Roman"/>
          <w:sz w:val="24"/>
        </w:rPr>
        <w:t>Multiple</w:t>
      </w:r>
      <w:r>
        <w:rPr>
          <w:rFonts w:ascii="Times New Roman"/>
          <w:spacing w:val="-3"/>
          <w:sz w:val="24"/>
        </w:rPr>
        <w:t> </w:t>
      </w:r>
      <w:r>
        <w:rPr>
          <w:rFonts w:ascii="Times New Roman"/>
          <w:sz w:val="24"/>
        </w:rPr>
        <w:t>Antibiotics</w:t>
      </w:r>
      <w:r>
        <w:rPr>
          <w:rFonts w:ascii="Times New Roman"/>
          <w:spacing w:val="-9"/>
          <w:sz w:val="24"/>
        </w:rPr>
        <w:t> </w:t>
      </w:r>
      <w:r>
        <w:rPr>
          <w:rFonts w:ascii="Times New Roman"/>
          <w:sz w:val="24"/>
        </w:rPr>
        <w:t>Resistance</w:t>
      </w:r>
      <w:r>
        <w:rPr>
          <w:rFonts w:ascii="Times New Roman"/>
          <w:spacing w:val="-8"/>
          <w:sz w:val="24"/>
        </w:rPr>
        <w:t> </w:t>
      </w:r>
      <w:r>
        <w:rPr>
          <w:rFonts w:ascii="Times New Roman"/>
          <w:sz w:val="24"/>
        </w:rPr>
        <w:t>Index</w:t>
      </w:r>
      <w:r>
        <w:rPr>
          <w:rFonts w:ascii="Times New Roman"/>
          <w:spacing w:val="-11"/>
          <w:sz w:val="24"/>
        </w:rPr>
        <w:t> </w:t>
      </w:r>
      <w:r>
        <w:rPr>
          <w:rFonts w:ascii="Times New Roman"/>
          <w:sz w:val="24"/>
        </w:rPr>
        <w:t>of</w:t>
      </w:r>
      <w:r>
        <w:rPr>
          <w:rFonts w:ascii="Times New Roman"/>
          <w:spacing w:val="-13"/>
          <w:sz w:val="24"/>
        </w:rPr>
        <w:t> </w:t>
      </w:r>
      <w:r>
        <w:rPr>
          <w:rFonts w:ascii="Times New Roman"/>
          <w:sz w:val="24"/>
        </w:rPr>
        <w:t>Isolates</w:t>
      </w:r>
      <w:r>
        <w:rPr>
          <w:rFonts w:ascii="Times New Roman"/>
          <w:spacing w:val="-5"/>
          <w:sz w:val="24"/>
        </w:rPr>
        <w:t> </w:t>
      </w:r>
      <w:r>
        <w:rPr>
          <w:rFonts w:ascii="Times New Roman"/>
          <w:sz w:val="24"/>
        </w:rPr>
        <w:t>in</w:t>
      </w:r>
      <w:r>
        <w:rPr>
          <w:rFonts w:ascii="Times New Roman"/>
          <w:spacing w:val="-11"/>
          <w:sz w:val="24"/>
        </w:rPr>
        <w:t> </w:t>
      </w:r>
      <w:r>
        <w:rPr>
          <w:rFonts w:ascii="Times New Roman"/>
          <w:sz w:val="24"/>
        </w:rPr>
        <w:t>Milk</w:t>
      </w:r>
      <w:r>
        <w:rPr>
          <w:rFonts w:ascii="Times New Roman"/>
          <w:spacing w:val="-6"/>
          <w:sz w:val="24"/>
        </w:rPr>
        <w:t> </w:t>
      </w:r>
      <w:r>
        <w:rPr>
          <w:rFonts w:ascii="Times New Roman"/>
          <w:sz w:val="24"/>
        </w:rPr>
        <w:t>Sample</w:t>
      </w:r>
      <w:r>
        <w:rPr>
          <w:rFonts w:ascii="Times New Roman"/>
          <w:spacing w:val="-8"/>
          <w:sz w:val="24"/>
        </w:rPr>
        <w:t> </w:t>
      </w:r>
      <w:r>
        <w:rPr>
          <w:rFonts w:ascii="Times New Roman"/>
          <w:spacing w:val="-5"/>
          <w:sz w:val="24"/>
        </w:rPr>
        <w:t>(%)</w:t>
      </w:r>
      <w:r>
        <w:rPr>
          <w:rFonts w:ascii="Times New Roman"/>
          <w:sz w:val="24"/>
        </w:rPr>
        <w:tab/>
      </w:r>
      <w:r>
        <w:rPr>
          <w:rFonts w:ascii="Times New Roman"/>
          <w:spacing w:val="-5"/>
          <w:sz w:val="24"/>
        </w:rPr>
        <w:t>84</w:t>
      </w:r>
    </w:p>
    <w:p>
      <w:pPr>
        <w:spacing w:after="0"/>
        <w:jc w:val="left"/>
        <w:rPr>
          <w:rFonts w:ascii="Times New Roman"/>
          <w:sz w:val="24"/>
        </w:rPr>
        <w:sectPr>
          <w:pgSz w:w="12240" w:h="15840"/>
          <w:pgMar w:header="0" w:footer="1017" w:top="1360" w:bottom="1200" w:left="520" w:right="260"/>
        </w:sectPr>
      </w:pPr>
    </w:p>
    <w:p>
      <w:pPr>
        <w:tabs>
          <w:tab w:pos="1774" w:val="left" w:leader="none"/>
          <w:tab w:pos="2815" w:val="left" w:leader="none"/>
          <w:tab w:pos="9996" w:val="left" w:leader="dot"/>
        </w:tabs>
        <w:spacing w:line="276" w:lineRule="auto" w:before="72"/>
        <w:ind w:left="1908" w:right="1185" w:hanging="989"/>
        <w:jc w:val="left"/>
        <w:rPr>
          <w:rFonts w:ascii="Times New Roman"/>
          <w:sz w:val="24"/>
        </w:rPr>
      </w:pPr>
      <w:r>
        <w:rPr>
          <w:rFonts w:ascii="Times New Roman"/>
          <w:b/>
          <w:spacing w:val="-2"/>
          <w:sz w:val="24"/>
        </w:rPr>
        <w:t>Table</w:t>
      </w:r>
      <w:r>
        <w:rPr>
          <w:rFonts w:ascii="Times New Roman"/>
          <w:b/>
          <w:sz w:val="24"/>
        </w:rPr>
        <w:tab/>
      </w:r>
      <w:r>
        <w:rPr>
          <w:rFonts w:ascii="Times New Roman"/>
          <w:b/>
          <w:spacing w:val="-2"/>
          <w:sz w:val="24"/>
        </w:rPr>
        <w:t>4.13:</w:t>
      </w:r>
      <w:r>
        <w:rPr>
          <w:rFonts w:ascii="Times New Roman"/>
          <w:b/>
          <w:sz w:val="24"/>
        </w:rPr>
        <w:tab/>
      </w:r>
      <w:r>
        <w:rPr>
          <w:rFonts w:ascii="Times New Roman"/>
          <w:sz w:val="24"/>
        </w:rPr>
        <w:t>Minimum</w:t>
      </w:r>
      <w:r>
        <w:rPr>
          <w:rFonts w:ascii="Times New Roman"/>
          <w:spacing w:val="70"/>
          <w:sz w:val="24"/>
        </w:rPr>
        <w:t>  </w:t>
      </w:r>
      <w:r>
        <w:rPr>
          <w:rFonts w:ascii="Times New Roman"/>
          <w:sz w:val="24"/>
        </w:rPr>
        <w:t>Inhibitory</w:t>
      </w:r>
      <w:r>
        <w:rPr>
          <w:rFonts w:ascii="Times New Roman"/>
          <w:spacing w:val="68"/>
          <w:sz w:val="24"/>
        </w:rPr>
        <w:t>  </w:t>
      </w:r>
      <w:r>
        <w:rPr>
          <w:rFonts w:ascii="Times New Roman"/>
          <w:sz w:val="24"/>
        </w:rPr>
        <w:t>Concentration</w:t>
      </w:r>
      <w:r>
        <w:rPr>
          <w:rFonts w:ascii="Times New Roman"/>
          <w:spacing w:val="70"/>
          <w:sz w:val="24"/>
        </w:rPr>
        <w:t>  </w:t>
      </w:r>
      <w:r>
        <w:rPr>
          <w:rFonts w:ascii="Times New Roman"/>
          <w:sz w:val="24"/>
        </w:rPr>
        <w:t>ofOfloxacin</w:t>
      </w:r>
      <w:r>
        <w:rPr>
          <w:rFonts w:ascii="Times New Roman"/>
          <w:spacing w:val="75"/>
          <w:sz w:val="24"/>
        </w:rPr>
        <w:t>  </w:t>
      </w:r>
      <w:r>
        <w:rPr>
          <w:rFonts w:ascii="Times New Roman"/>
          <w:sz w:val="24"/>
        </w:rPr>
        <w:t>before</w:t>
      </w:r>
      <w:r>
        <w:rPr>
          <w:rFonts w:ascii="Times New Roman"/>
          <w:spacing w:val="72"/>
          <w:sz w:val="24"/>
        </w:rPr>
        <w:t>  </w:t>
      </w:r>
      <w:r>
        <w:rPr>
          <w:rFonts w:ascii="Times New Roman"/>
          <w:sz w:val="24"/>
        </w:rPr>
        <w:t>and</w:t>
      </w:r>
      <w:r>
        <w:rPr>
          <w:rFonts w:ascii="Times New Roman"/>
          <w:spacing w:val="75"/>
          <w:sz w:val="24"/>
        </w:rPr>
        <w:t>  </w:t>
      </w:r>
      <w:r>
        <w:rPr>
          <w:rFonts w:ascii="Times New Roman"/>
          <w:sz w:val="24"/>
        </w:rPr>
        <w:t>after </w:t>
      </w:r>
      <w:r>
        <w:rPr>
          <w:rFonts w:ascii="Times New Roman"/>
          <w:spacing w:val="-2"/>
          <w:sz w:val="24"/>
        </w:rPr>
        <w:t>Conjugation</w:t>
      </w:r>
      <w:r>
        <w:rPr>
          <w:rFonts w:ascii="Times New Roman"/>
          <w:sz w:val="24"/>
        </w:rPr>
        <w:tab/>
      </w:r>
      <w:r>
        <w:rPr>
          <w:rFonts w:ascii="Times New Roman"/>
          <w:spacing w:val="-5"/>
          <w:sz w:val="24"/>
        </w:rPr>
        <w:t>86</w:t>
      </w:r>
    </w:p>
    <w:p>
      <w:pPr>
        <w:spacing w:before="315"/>
        <w:ind w:left="0" w:right="1184" w:firstLine="0"/>
        <w:jc w:val="right"/>
        <w:rPr>
          <w:rFonts w:ascii="Times New Roman"/>
          <w:sz w:val="24"/>
        </w:rPr>
      </w:pPr>
      <w:r>
        <w:rPr>
          <w:rFonts w:ascii="Times New Roman"/>
          <w:b/>
          <w:sz w:val="24"/>
        </w:rPr>
        <w:t>Table</w:t>
      </w:r>
      <w:r>
        <w:rPr>
          <w:rFonts w:ascii="Times New Roman"/>
          <w:b/>
          <w:spacing w:val="42"/>
          <w:sz w:val="24"/>
        </w:rPr>
        <w:t> </w:t>
      </w:r>
      <w:r>
        <w:rPr>
          <w:rFonts w:ascii="Times New Roman"/>
          <w:b/>
          <w:sz w:val="24"/>
        </w:rPr>
        <w:t>4.14:</w:t>
      </w:r>
      <w:r>
        <w:rPr>
          <w:rFonts w:ascii="Times New Roman"/>
          <w:sz w:val="24"/>
        </w:rPr>
        <w:t>Minimum</w:t>
      </w:r>
      <w:r>
        <w:rPr>
          <w:rFonts w:ascii="Times New Roman"/>
          <w:spacing w:val="36"/>
          <w:sz w:val="24"/>
        </w:rPr>
        <w:t> </w:t>
      </w:r>
      <w:r>
        <w:rPr>
          <w:rFonts w:ascii="Times New Roman"/>
          <w:sz w:val="24"/>
        </w:rPr>
        <w:t>Inhibitory</w:t>
      </w:r>
      <w:r>
        <w:rPr>
          <w:rFonts w:ascii="Times New Roman"/>
          <w:spacing w:val="39"/>
          <w:sz w:val="24"/>
        </w:rPr>
        <w:t> </w:t>
      </w:r>
      <w:r>
        <w:rPr>
          <w:rFonts w:ascii="Times New Roman"/>
          <w:sz w:val="24"/>
        </w:rPr>
        <w:t>Concentrations</w:t>
      </w:r>
      <w:r>
        <w:rPr>
          <w:rFonts w:ascii="Times New Roman"/>
          <w:spacing w:val="45"/>
          <w:sz w:val="24"/>
        </w:rPr>
        <w:t> </w:t>
      </w:r>
      <w:r>
        <w:rPr>
          <w:rFonts w:ascii="Times New Roman"/>
          <w:sz w:val="24"/>
        </w:rPr>
        <w:t>ofOfloxacin</w:t>
      </w:r>
      <w:r>
        <w:rPr>
          <w:rFonts w:ascii="Times New Roman"/>
          <w:spacing w:val="43"/>
          <w:sz w:val="24"/>
        </w:rPr>
        <w:t> </w:t>
      </w:r>
      <w:r>
        <w:rPr>
          <w:rFonts w:ascii="Times New Roman"/>
          <w:sz w:val="24"/>
        </w:rPr>
        <w:t>on</w:t>
      </w:r>
      <w:r>
        <w:rPr>
          <w:rFonts w:ascii="Times New Roman"/>
          <w:spacing w:val="40"/>
          <w:sz w:val="24"/>
        </w:rPr>
        <w:t> </w:t>
      </w:r>
      <w:r>
        <w:rPr>
          <w:rFonts w:ascii="Times New Roman"/>
          <w:sz w:val="24"/>
        </w:rPr>
        <w:t>Transconjugants</w:t>
      </w:r>
      <w:r>
        <w:rPr>
          <w:rFonts w:ascii="Times New Roman"/>
          <w:spacing w:val="42"/>
          <w:sz w:val="24"/>
        </w:rPr>
        <w:t> </w:t>
      </w:r>
      <w:r>
        <w:rPr>
          <w:rFonts w:ascii="Times New Roman"/>
          <w:spacing w:val="-2"/>
          <w:sz w:val="24"/>
        </w:rPr>
        <w:t>(10</w:t>
      </w:r>
      <w:r>
        <w:rPr>
          <w:rFonts w:ascii="Times New Roman"/>
          <w:spacing w:val="-2"/>
          <w:sz w:val="24"/>
          <w:vertAlign w:val="superscript"/>
        </w:rPr>
        <w:t>6</w:t>
      </w:r>
      <w:r>
        <w:rPr>
          <w:rFonts w:ascii="Times New Roman"/>
          <w:spacing w:val="-2"/>
          <w:sz w:val="24"/>
          <w:vertAlign w:val="baseline"/>
        </w:rPr>
        <w:t>cfu/ml)</w:t>
      </w:r>
    </w:p>
    <w:p>
      <w:pPr>
        <w:spacing w:before="41"/>
        <w:ind w:left="0" w:right="1207" w:firstLine="0"/>
        <w:jc w:val="right"/>
        <w:rPr>
          <w:rFonts w:ascii="Times New Roman" w:hAnsi="Times New Roman"/>
          <w:sz w:val="24"/>
        </w:rPr>
      </w:pPr>
      <w:r>
        <w:rPr>
          <w:rFonts w:ascii="Times New Roman" w:hAnsi="Times New Roman"/>
          <w:spacing w:val="-2"/>
          <w:sz w:val="24"/>
        </w:rPr>
        <w:t>……………………………………………………………………………...…………88</w:t>
      </w:r>
    </w:p>
    <w:p>
      <w:pPr>
        <w:tabs>
          <w:tab w:pos="10039" w:val="left" w:leader="dot"/>
        </w:tabs>
        <w:spacing w:before="363"/>
        <w:ind w:left="920" w:right="0" w:firstLine="0"/>
        <w:jc w:val="left"/>
        <w:rPr>
          <w:rFonts w:ascii="Times New Roman"/>
          <w:sz w:val="24"/>
        </w:rPr>
      </w:pPr>
      <w:r>
        <w:rPr>
          <w:rFonts w:ascii="Times New Roman"/>
          <w:b/>
          <w:sz w:val="24"/>
        </w:rPr>
        <w:t>Table</w:t>
      </w:r>
      <w:r>
        <w:rPr>
          <w:rFonts w:ascii="Times New Roman"/>
          <w:b/>
          <w:spacing w:val="-8"/>
          <w:sz w:val="24"/>
        </w:rPr>
        <w:t> </w:t>
      </w:r>
      <w:r>
        <w:rPr>
          <w:rFonts w:ascii="Times New Roman"/>
          <w:b/>
          <w:sz w:val="24"/>
        </w:rPr>
        <w:t>4.15:</w:t>
      </w:r>
      <w:r>
        <w:rPr>
          <w:rFonts w:ascii="Times New Roman"/>
          <w:b/>
          <w:spacing w:val="48"/>
          <w:sz w:val="24"/>
        </w:rPr>
        <w:t> </w:t>
      </w:r>
      <w:r>
        <w:rPr>
          <w:rFonts w:ascii="Times New Roman"/>
          <w:sz w:val="24"/>
        </w:rPr>
        <w:t>Plasmid</w:t>
      </w:r>
      <w:r>
        <w:rPr>
          <w:rFonts w:ascii="Times New Roman"/>
          <w:spacing w:val="-7"/>
          <w:sz w:val="24"/>
        </w:rPr>
        <w:t> </w:t>
      </w:r>
      <w:r>
        <w:rPr>
          <w:rFonts w:ascii="Times New Roman"/>
          <w:sz w:val="24"/>
        </w:rPr>
        <w:t>Profile</w:t>
      </w:r>
      <w:r>
        <w:rPr>
          <w:rFonts w:ascii="Times New Roman"/>
          <w:spacing w:val="-8"/>
          <w:sz w:val="24"/>
        </w:rPr>
        <w:t> </w:t>
      </w:r>
      <w:r>
        <w:rPr>
          <w:rFonts w:ascii="Times New Roman"/>
          <w:sz w:val="24"/>
        </w:rPr>
        <w:t>of</w:t>
      </w:r>
      <w:r>
        <w:rPr>
          <w:rFonts w:ascii="Times New Roman"/>
          <w:spacing w:val="-13"/>
          <w:sz w:val="24"/>
        </w:rPr>
        <w:t> </w:t>
      </w:r>
      <w:r>
        <w:rPr>
          <w:rFonts w:ascii="Times New Roman"/>
          <w:sz w:val="24"/>
        </w:rPr>
        <w:t>Isolates</w:t>
      </w:r>
      <w:r>
        <w:rPr>
          <w:rFonts w:ascii="Times New Roman"/>
          <w:spacing w:val="-9"/>
          <w:sz w:val="24"/>
        </w:rPr>
        <w:t> </w:t>
      </w:r>
      <w:r>
        <w:rPr>
          <w:rFonts w:ascii="Times New Roman"/>
          <w:sz w:val="24"/>
        </w:rPr>
        <w:t>Habouring</w:t>
      </w:r>
      <w:r>
        <w:rPr>
          <w:rFonts w:ascii="Times New Roman"/>
          <w:spacing w:val="-2"/>
          <w:sz w:val="24"/>
        </w:rPr>
        <w:t> Plasmids</w:t>
      </w:r>
      <w:r>
        <w:rPr>
          <w:rFonts w:ascii="Times New Roman"/>
          <w:sz w:val="24"/>
        </w:rPr>
        <w:tab/>
      </w:r>
      <w:r>
        <w:rPr>
          <w:rFonts w:ascii="Times New Roman"/>
          <w:spacing w:val="-5"/>
          <w:sz w:val="24"/>
        </w:rPr>
        <w:t>94</w:t>
      </w:r>
    </w:p>
    <w:p>
      <w:pPr>
        <w:spacing w:after="0"/>
        <w:jc w:val="left"/>
        <w:rPr>
          <w:rFonts w:ascii="Times New Roman"/>
          <w:sz w:val="24"/>
        </w:rPr>
        <w:sectPr>
          <w:pgSz w:w="12240" w:h="15840"/>
          <w:pgMar w:header="0" w:footer="1017" w:top="1360" w:bottom="1200" w:left="520" w:right="260"/>
        </w:sectPr>
      </w:pPr>
    </w:p>
    <w:p>
      <w:pPr>
        <w:pStyle w:val="Heading2"/>
        <w:spacing w:before="76"/>
        <w:ind w:left="940" w:right="1207"/>
      </w:pPr>
      <w:bookmarkStart w:name="_TOC_250083" w:id="8"/>
      <w:r>
        <w:rPr/>
        <w:t>LIST</w:t>
      </w:r>
      <w:r>
        <w:rPr>
          <w:spacing w:val="-5"/>
        </w:rPr>
        <w:t> </w:t>
      </w:r>
      <w:r>
        <w:rPr/>
        <w:t>OF</w:t>
      </w:r>
      <w:r>
        <w:rPr>
          <w:spacing w:val="-6"/>
        </w:rPr>
        <w:t> </w:t>
      </w:r>
      <w:bookmarkEnd w:id="8"/>
      <w:r>
        <w:rPr>
          <w:spacing w:val="-2"/>
        </w:rPr>
        <w:t>PLATES</w:t>
      </w:r>
    </w:p>
    <w:p>
      <w:pPr>
        <w:pStyle w:val="BodyText"/>
        <w:rPr>
          <w:rFonts w:ascii="Times New Roman"/>
          <w:b/>
          <w:sz w:val="24"/>
        </w:rPr>
      </w:pPr>
    </w:p>
    <w:p>
      <w:pPr>
        <w:pStyle w:val="BodyText"/>
        <w:spacing w:before="123"/>
        <w:rPr>
          <w:rFonts w:ascii="Times New Roman"/>
          <w:b/>
          <w:sz w:val="24"/>
        </w:rPr>
      </w:pPr>
    </w:p>
    <w:p>
      <w:pPr>
        <w:tabs>
          <w:tab w:pos="8639" w:val="left" w:leader="none"/>
        </w:tabs>
        <w:spacing w:before="0"/>
        <w:ind w:left="0" w:right="313" w:firstLine="0"/>
        <w:jc w:val="center"/>
        <w:rPr>
          <w:rFonts w:ascii="Times New Roman"/>
          <w:b/>
          <w:sz w:val="24"/>
        </w:rPr>
      </w:pPr>
      <w:r>
        <w:rPr>
          <w:rFonts w:ascii="Times New Roman"/>
          <w:b/>
          <w:spacing w:val="-2"/>
          <w:sz w:val="24"/>
        </w:rPr>
        <w:t>PLATES</w:t>
      </w:r>
      <w:r>
        <w:rPr>
          <w:rFonts w:ascii="Times New Roman"/>
          <w:b/>
          <w:sz w:val="24"/>
        </w:rPr>
        <w:tab/>
      </w:r>
      <w:r>
        <w:rPr>
          <w:rFonts w:ascii="Times New Roman"/>
          <w:b/>
          <w:spacing w:val="-4"/>
          <w:sz w:val="24"/>
        </w:rPr>
        <w:t>PAGE</w:t>
      </w:r>
    </w:p>
    <w:p>
      <w:pPr>
        <w:pStyle w:val="BodyText"/>
        <w:spacing w:before="81"/>
        <w:rPr>
          <w:rFonts w:ascii="Times New Roman"/>
          <w:b/>
          <w:sz w:val="24"/>
        </w:rPr>
      </w:pPr>
    </w:p>
    <w:p>
      <w:pPr>
        <w:spacing w:before="1"/>
        <w:ind w:left="920" w:right="0" w:firstLine="0"/>
        <w:jc w:val="left"/>
        <w:rPr>
          <w:rFonts w:ascii="Times New Roman"/>
          <w:sz w:val="24"/>
        </w:rPr>
      </w:pPr>
      <w:r>
        <w:rPr>
          <w:rFonts w:ascii="Times New Roman"/>
          <w:b/>
          <w:sz w:val="24"/>
        </w:rPr>
        <w:t>Plate</w:t>
      </w:r>
      <w:r>
        <w:rPr>
          <w:rFonts w:ascii="Times New Roman"/>
          <w:b/>
          <w:spacing w:val="-6"/>
          <w:sz w:val="24"/>
        </w:rPr>
        <w:t> </w:t>
      </w:r>
      <w:r>
        <w:rPr>
          <w:rFonts w:ascii="Times New Roman"/>
          <w:b/>
          <w:sz w:val="24"/>
        </w:rPr>
        <w:t>4.1:</w:t>
      </w:r>
      <w:r>
        <w:rPr>
          <w:rFonts w:ascii="Times New Roman"/>
          <w:b/>
          <w:spacing w:val="54"/>
          <w:sz w:val="24"/>
        </w:rPr>
        <w:t> </w:t>
      </w:r>
      <w:r>
        <w:rPr>
          <w:rFonts w:ascii="Times New Roman"/>
          <w:sz w:val="24"/>
        </w:rPr>
        <w:t>1%</w:t>
      </w:r>
      <w:r>
        <w:rPr>
          <w:rFonts w:ascii="Times New Roman"/>
          <w:spacing w:val="-7"/>
          <w:sz w:val="24"/>
        </w:rPr>
        <w:t> </w:t>
      </w:r>
      <w:r>
        <w:rPr>
          <w:rFonts w:ascii="Times New Roman"/>
          <w:sz w:val="24"/>
        </w:rPr>
        <w:t>Agarose</w:t>
      </w:r>
      <w:r>
        <w:rPr>
          <w:rFonts w:ascii="Times New Roman"/>
          <w:spacing w:val="-6"/>
          <w:sz w:val="24"/>
        </w:rPr>
        <w:t> </w:t>
      </w:r>
      <w:r>
        <w:rPr>
          <w:rFonts w:ascii="Times New Roman"/>
          <w:sz w:val="24"/>
        </w:rPr>
        <w:t>Gel</w:t>
      </w:r>
      <w:r>
        <w:rPr>
          <w:rFonts w:ascii="Times New Roman"/>
          <w:spacing w:val="-12"/>
          <w:sz w:val="24"/>
        </w:rPr>
        <w:t> </w:t>
      </w:r>
      <w:r>
        <w:rPr>
          <w:rFonts w:ascii="Times New Roman"/>
          <w:sz w:val="24"/>
        </w:rPr>
        <w:t>Electrophoresis</w:t>
      </w:r>
      <w:r>
        <w:rPr>
          <w:rFonts w:ascii="Times New Roman"/>
          <w:spacing w:val="-7"/>
          <w:sz w:val="24"/>
        </w:rPr>
        <w:t> </w:t>
      </w:r>
      <w:r>
        <w:rPr>
          <w:rFonts w:ascii="Times New Roman"/>
          <w:sz w:val="24"/>
        </w:rPr>
        <w:t>of</w:t>
      </w:r>
      <w:r>
        <w:rPr>
          <w:rFonts w:ascii="Times New Roman"/>
          <w:spacing w:val="-11"/>
          <w:sz w:val="24"/>
        </w:rPr>
        <w:t> </w:t>
      </w:r>
      <w:r>
        <w:rPr>
          <w:rFonts w:ascii="Times New Roman"/>
          <w:sz w:val="24"/>
        </w:rPr>
        <w:t>Plasmid</w:t>
      </w:r>
      <w:r>
        <w:rPr>
          <w:rFonts w:ascii="Times New Roman"/>
          <w:spacing w:val="-5"/>
          <w:sz w:val="24"/>
        </w:rPr>
        <w:t> </w:t>
      </w:r>
      <w:r>
        <w:rPr>
          <w:rFonts w:ascii="Times New Roman"/>
          <w:sz w:val="24"/>
        </w:rPr>
        <w:t>DNA</w:t>
      </w:r>
      <w:r>
        <w:rPr>
          <w:rFonts w:ascii="Times New Roman"/>
          <w:spacing w:val="-4"/>
          <w:sz w:val="24"/>
        </w:rPr>
        <w:t> </w:t>
      </w:r>
      <w:r>
        <w:rPr>
          <w:rFonts w:ascii="Times New Roman"/>
          <w:sz w:val="24"/>
        </w:rPr>
        <w:t>from</w:t>
      </w:r>
      <w:r>
        <w:rPr>
          <w:rFonts w:ascii="Times New Roman"/>
          <w:spacing w:val="-13"/>
          <w:sz w:val="24"/>
        </w:rPr>
        <w:t> </w:t>
      </w:r>
      <w:r>
        <w:rPr>
          <w:rFonts w:ascii="Times New Roman"/>
          <w:spacing w:val="-2"/>
          <w:sz w:val="24"/>
        </w:rPr>
        <w:t>Multiple</w:t>
      </w:r>
    </w:p>
    <w:p>
      <w:pPr>
        <w:tabs>
          <w:tab w:pos="9684" w:val="left" w:leader="dot"/>
        </w:tabs>
        <w:spacing w:before="40"/>
        <w:ind w:left="1942" w:right="0" w:firstLine="0"/>
        <w:jc w:val="left"/>
        <w:rPr>
          <w:rFonts w:ascii="Times New Roman"/>
          <w:sz w:val="24"/>
        </w:rPr>
      </w:pPr>
      <w:r>
        <w:rPr>
          <w:rFonts w:ascii="Times New Roman"/>
          <w:sz w:val="24"/>
        </w:rPr>
        <w:t>Antibiotic</w:t>
      </w:r>
      <w:r>
        <w:rPr>
          <w:rFonts w:ascii="Times New Roman"/>
          <w:spacing w:val="-15"/>
          <w:sz w:val="24"/>
        </w:rPr>
        <w:t> </w:t>
      </w:r>
      <w:r>
        <w:rPr>
          <w:rFonts w:ascii="Times New Roman"/>
          <w:sz w:val="24"/>
        </w:rPr>
        <w:t>Resistant</w:t>
      </w:r>
      <w:r>
        <w:rPr>
          <w:rFonts w:ascii="Times New Roman"/>
          <w:spacing w:val="-10"/>
          <w:sz w:val="24"/>
        </w:rPr>
        <w:t> </w:t>
      </w:r>
      <w:r>
        <w:rPr>
          <w:rFonts w:ascii="Times New Roman"/>
          <w:spacing w:val="-2"/>
          <w:sz w:val="24"/>
        </w:rPr>
        <w:t>Isolates</w:t>
      </w:r>
      <w:r>
        <w:rPr>
          <w:rFonts w:ascii="Times New Roman"/>
          <w:sz w:val="24"/>
        </w:rPr>
        <w:tab/>
      </w:r>
      <w:r>
        <w:rPr>
          <w:rFonts w:ascii="Times New Roman"/>
          <w:spacing w:val="-5"/>
          <w:sz w:val="24"/>
        </w:rPr>
        <w:t>90</w:t>
      </w:r>
    </w:p>
    <w:p>
      <w:pPr>
        <w:pStyle w:val="BodyText"/>
        <w:spacing w:before="82"/>
        <w:rPr>
          <w:rFonts w:ascii="Times New Roman"/>
          <w:sz w:val="24"/>
        </w:rPr>
      </w:pPr>
    </w:p>
    <w:p>
      <w:pPr>
        <w:spacing w:before="0"/>
        <w:ind w:left="920" w:right="0" w:firstLine="0"/>
        <w:jc w:val="left"/>
        <w:rPr>
          <w:rFonts w:ascii="Times New Roman"/>
          <w:sz w:val="24"/>
        </w:rPr>
      </w:pPr>
      <w:r>
        <w:rPr>
          <w:rFonts w:ascii="Times New Roman"/>
          <w:b/>
          <w:sz w:val="24"/>
        </w:rPr>
        <w:t>Plate</w:t>
      </w:r>
      <w:r>
        <w:rPr>
          <w:rFonts w:ascii="Times New Roman"/>
          <w:b/>
          <w:spacing w:val="-6"/>
          <w:sz w:val="24"/>
        </w:rPr>
        <w:t> </w:t>
      </w:r>
      <w:r>
        <w:rPr>
          <w:rFonts w:ascii="Times New Roman"/>
          <w:b/>
          <w:sz w:val="24"/>
        </w:rPr>
        <w:t>4.2:</w:t>
      </w:r>
      <w:r>
        <w:rPr>
          <w:rFonts w:ascii="Times New Roman"/>
          <w:b/>
          <w:spacing w:val="52"/>
          <w:sz w:val="24"/>
        </w:rPr>
        <w:t> </w:t>
      </w:r>
      <w:r>
        <w:rPr>
          <w:rFonts w:ascii="Times New Roman"/>
          <w:sz w:val="24"/>
        </w:rPr>
        <w:t>1%</w:t>
      </w:r>
      <w:r>
        <w:rPr>
          <w:rFonts w:ascii="Times New Roman"/>
          <w:spacing w:val="-7"/>
          <w:sz w:val="24"/>
        </w:rPr>
        <w:t> </w:t>
      </w:r>
      <w:r>
        <w:rPr>
          <w:rFonts w:ascii="Times New Roman"/>
          <w:sz w:val="24"/>
        </w:rPr>
        <w:t>Agarose</w:t>
      </w:r>
      <w:r>
        <w:rPr>
          <w:rFonts w:ascii="Times New Roman"/>
          <w:spacing w:val="-6"/>
          <w:sz w:val="24"/>
        </w:rPr>
        <w:t> </w:t>
      </w:r>
      <w:r>
        <w:rPr>
          <w:rFonts w:ascii="Times New Roman"/>
          <w:sz w:val="24"/>
        </w:rPr>
        <w:t>Gel</w:t>
      </w:r>
      <w:r>
        <w:rPr>
          <w:rFonts w:ascii="Times New Roman"/>
          <w:spacing w:val="-13"/>
          <w:sz w:val="24"/>
        </w:rPr>
        <w:t> </w:t>
      </w:r>
      <w:r>
        <w:rPr>
          <w:rFonts w:ascii="Times New Roman"/>
          <w:sz w:val="24"/>
        </w:rPr>
        <w:t>Electrophoresis</w:t>
      </w:r>
      <w:r>
        <w:rPr>
          <w:rFonts w:ascii="Times New Roman"/>
          <w:spacing w:val="-7"/>
          <w:sz w:val="24"/>
        </w:rPr>
        <w:t> </w:t>
      </w:r>
      <w:r>
        <w:rPr>
          <w:rFonts w:ascii="Times New Roman"/>
          <w:sz w:val="24"/>
        </w:rPr>
        <w:t>of</w:t>
      </w:r>
      <w:r>
        <w:rPr>
          <w:rFonts w:ascii="Times New Roman"/>
          <w:spacing w:val="-12"/>
          <w:sz w:val="24"/>
        </w:rPr>
        <w:t> </w:t>
      </w:r>
      <w:r>
        <w:rPr>
          <w:rFonts w:ascii="Times New Roman"/>
          <w:sz w:val="24"/>
        </w:rPr>
        <w:t>Plasmid</w:t>
      </w:r>
      <w:r>
        <w:rPr>
          <w:rFonts w:ascii="Times New Roman"/>
          <w:spacing w:val="-5"/>
          <w:sz w:val="24"/>
        </w:rPr>
        <w:t> </w:t>
      </w:r>
      <w:r>
        <w:rPr>
          <w:rFonts w:ascii="Times New Roman"/>
          <w:sz w:val="24"/>
        </w:rPr>
        <w:t>DNAs</w:t>
      </w:r>
      <w:r>
        <w:rPr>
          <w:rFonts w:ascii="Times New Roman"/>
          <w:spacing w:val="-3"/>
          <w:sz w:val="24"/>
        </w:rPr>
        <w:t> </w:t>
      </w:r>
      <w:r>
        <w:rPr>
          <w:rFonts w:ascii="Times New Roman"/>
          <w:sz w:val="24"/>
        </w:rPr>
        <w:t>from</w:t>
      </w:r>
      <w:r>
        <w:rPr>
          <w:rFonts w:ascii="Times New Roman"/>
          <w:spacing w:val="-13"/>
          <w:sz w:val="24"/>
        </w:rPr>
        <w:t> </w:t>
      </w:r>
      <w:r>
        <w:rPr>
          <w:rFonts w:ascii="Times New Roman"/>
          <w:spacing w:val="-2"/>
          <w:sz w:val="24"/>
        </w:rPr>
        <w:t>Multiple</w:t>
      </w:r>
    </w:p>
    <w:p>
      <w:pPr>
        <w:tabs>
          <w:tab w:pos="9699" w:val="left" w:leader="dot"/>
        </w:tabs>
        <w:spacing w:before="41"/>
        <w:ind w:left="1942" w:right="0" w:firstLine="0"/>
        <w:jc w:val="left"/>
        <w:rPr>
          <w:rFonts w:ascii="Times New Roman"/>
          <w:sz w:val="24"/>
        </w:rPr>
      </w:pPr>
      <w:r>
        <w:rPr>
          <w:rFonts w:ascii="Times New Roman"/>
          <w:sz w:val="24"/>
        </w:rPr>
        <w:t>Antibiotic</w:t>
      </w:r>
      <w:r>
        <w:rPr>
          <w:rFonts w:ascii="Times New Roman"/>
          <w:spacing w:val="-12"/>
          <w:sz w:val="24"/>
        </w:rPr>
        <w:t> </w:t>
      </w:r>
      <w:r>
        <w:rPr>
          <w:rFonts w:ascii="Times New Roman"/>
          <w:sz w:val="24"/>
        </w:rPr>
        <w:t>Resistant</w:t>
      </w:r>
      <w:r>
        <w:rPr>
          <w:rFonts w:ascii="Times New Roman"/>
          <w:spacing w:val="-7"/>
          <w:sz w:val="24"/>
        </w:rPr>
        <w:t> </w:t>
      </w:r>
      <w:r>
        <w:rPr>
          <w:rFonts w:ascii="Times New Roman"/>
          <w:sz w:val="24"/>
        </w:rPr>
        <w:t>Isolates</w:t>
      </w:r>
      <w:r>
        <w:rPr>
          <w:rFonts w:ascii="Times New Roman"/>
          <w:spacing w:val="-13"/>
          <w:sz w:val="24"/>
        </w:rPr>
        <w:t> </w:t>
      </w:r>
      <w:r>
        <w:rPr>
          <w:rFonts w:ascii="Times New Roman"/>
          <w:sz w:val="24"/>
        </w:rPr>
        <w:t>and</w:t>
      </w:r>
      <w:r>
        <w:rPr>
          <w:rFonts w:ascii="Times New Roman"/>
          <w:spacing w:val="-11"/>
          <w:sz w:val="24"/>
        </w:rPr>
        <w:t> </w:t>
      </w:r>
      <w:r>
        <w:rPr>
          <w:rFonts w:ascii="Times New Roman"/>
          <w:spacing w:val="-2"/>
          <w:sz w:val="24"/>
        </w:rPr>
        <w:t>Transconjugants</w:t>
      </w:r>
      <w:r>
        <w:rPr>
          <w:rFonts w:ascii="Times New Roman"/>
          <w:sz w:val="24"/>
        </w:rPr>
        <w:tab/>
      </w:r>
      <w:r>
        <w:rPr>
          <w:rFonts w:ascii="Times New Roman"/>
          <w:spacing w:val="-5"/>
          <w:sz w:val="24"/>
        </w:rPr>
        <w:t>91</w:t>
      </w:r>
    </w:p>
    <w:p>
      <w:pPr>
        <w:pStyle w:val="BodyText"/>
        <w:spacing w:before="81"/>
        <w:rPr>
          <w:rFonts w:ascii="Times New Roman"/>
          <w:sz w:val="24"/>
        </w:rPr>
      </w:pPr>
    </w:p>
    <w:p>
      <w:pPr>
        <w:tabs>
          <w:tab w:pos="9636" w:val="left" w:leader="dot"/>
        </w:tabs>
        <w:spacing w:line="276" w:lineRule="auto" w:before="0"/>
        <w:ind w:left="1942" w:right="1581" w:hanging="1023"/>
        <w:jc w:val="left"/>
        <w:rPr>
          <w:rFonts w:ascii="Times New Roman"/>
          <w:sz w:val="24"/>
        </w:rPr>
      </w:pPr>
      <w:r>
        <w:rPr>
          <w:rFonts w:ascii="Times New Roman"/>
          <w:b/>
          <w:sz w:val="24"/>
        </w:rPr>
        <w:t>Plate</w:t>
      </w:r>
      <w:r>
        <w:rPr>
          <w:rFonts w:ascii="Times New Roman"/>
          <w:b/>
          <w:spacing w:val="40"/>
          <w:sz w:val="24"/>
        </w:rPr>
        <w:t> </w:t>
      </w:r>
      <w:r>
        <w:rPr>
          <w:rFonts w:ascii="Times New Roman"/>
          <w:b/>
          <w:sz w:val="24"/>
        </w:rPr>
        <w:t>4.3:</w:t>
      </w:r>
      <w:r>
        <w:rPr>
          <w:rFonts w:ascii="Times New Roman"/>
          <w:b/>
          <w:spacing w:val="80"/>
          <w:sz w:val="24"/>
        </w:rPr>
        <w:t> </w:t>
      </w:r>
      <w:r>
        <w:rPr>
          <w:rFonts w:ascii="Times New Roman"/>
          <w:sz w:val="24"/>
        </w:rPr>
        <w:t>1%</w:t>
      </w:r>
      <w:r>
        <w:rPr>
          <w:rFonts w:ascii="Times New Roman"/>
          <w:spacing w:val="40"/>
          <w:sz w:val="24"/>
        </w:rPr>
        <w:t> </w:t>
      </w:r>
      <w:r>
        <w:rPr>
          <w:rFonts w:ascii="Times New Roman"/>
          <w:sz w:val="24"/>
        </w:rPr>
        <w:t>Agarose</w:t>
      </w:r>
      <w:r>
        <w:rPr>
          <w:rFonts w:ascii="Times New Roman"/>
          <w:spacing w:val="40"/>
          <w:sz w:val="24"/>
        </w:rPr>
        <w:t> </w:t>
      </w:r>
      <w:r>
        <w:rPr>
          <w:rFonts w:ascii="Times New Roman"/>
          <w:sz w:val="24"/>
        </w:rPr>
        <w:t>Gel Electrophoresis</w:t>
      </w:r>
      <w:r>
        <w:rPr>
          <w:rFonts w:ascii="Times New Roman"/>
          <w:spacing w:val="40"/>
          <w:sz w:val="24"/>
        </w:rPr>
        <w:t> </w:t>
      </w:r>
      <w:r>
        <w:rPr>
          <w:rFonts w:ascii="Times New Roman"/>
          <w:sz w:val="24"/>
        </w:rPr>
        <w:t>of Plasmid</w:t>
      </w:r>
      <w:r>
        <w:rPr>
          <w:rFonts w:ascii="Times New Roman"/>
          <w:spacing w:val="40"/>
          <w:sz w:val="24"/>
        </w:rPr>
        <w:t> </w:t>
      </w:r>
      <w:r>
        <w:rPr>
          <w:rFonts w:ascii="Times New Roman"/>
          <w:sz w:val="24"/>
        </w:rPr>
        <w:t>DNAs</w:t>
      </w:r>
      <w:r>
        <w:rPr>
          <w:rFonts w:ascii="Times New Roman"/>
          <w:spacing w:val="40"/>
          <w:sz w:val="24"/>
        </w:rPr>
        <w:t> </w:t>
      </w:r>
      <w:r>
        <w:rPr>
          <w:rFonts w:ascii="Times New Roman"/>
          <w:sz w:val="24"/>
        </w:rPr>
        <w:t>from Transconjugant</w:t>
      </w:r>
      <w:r>
        <w:rPr>
          <w:rFonts w:ascii="Times New Roman"/>
          <w:sz w:val="24"/>
        </w:rPr>
        <w:t> </w:t>
      </w:r>
      <w:r>
        <w:rPr>
          <w:rFonts w:ascii="Times New Roman"/>
          <w:spacing w:val="-2"/>
          <w:sz w:val="24"/>
        </w:rPr>
        <w:t>Isolates</w:t>
      </w:r>
      <w:r>
        <w:rPr>
          <w:rFonts w:ascii="Times New Roman"/>
          <w:sz w:val="24"/>
        </w:rPr>
        <w:tab/>
      </w:r>
      <w:r>
        <w:rPr>
          <w:rFonts w:ascii="Times New Roman"/>
          <w:spacing w:val="-6"/>
          <w:sz w:val="24"/>
        </w:rPr>
        <w:t>92</w:t>
      </w:r>
    </w:p>
    <w:p>
      <w:pPr>
        <w:spacing w:after="0" w:line="276" w:lineRule="auto"/>
        <w:jc w:val="left"/>
        <w:rPr>
          <w:rFonts w:ascii="Times New Roman"/>
          <w:sz w:val="24"/>
        </w:rPr>
        <w:sectPr>
          <w:pgSz w:w="12240" w:h="15840"/>
          <w:pgMar w:header="0" w:footer="1017" w:top="1360" w:bottom="1200" w:left="520" w:right="260"/>
        </w:sectPr>
      </w:pPr>
    </w:p>
    <w:p>
      <w:pPr>
        <w:pStyle w:val="Heading2"/>
        <w:spacing w:before="76"/>
        <w:ind w:right="262"/>
      </w:pPr>
      <w:bookmarkStart w:name="_TOC_250082" w:id="9"/>
      <w:r>
        <w:rPr/>
        <w:t>LIST</w:t>
      </w:r>
      <w:r>
        <w:rPr>
          <w:spacing w:val="-5"/>
        </w:rPr>
        <w:t> </w:t>
      </w:r>
      <w:r>
        <w:rPr/>
        <w:t>OF</w:t>
      </w:r>
      <w:r>
        <w:rPr>
          <w:spacing w:val="-6"/>
        </w:rPr>
        <w:t> </w:t>
      </w:r>
      <w:bookmarkEnd w:id="9"/>
      <w:r>
        <w:rPr>
          <w:spacing w:val="-2"/>
        </w:rPr>
        <w:t>APPENDICES</w:t>
      </w:r>
    </w:p>
    <w:p>
      <w:pPr>
        <w:tabs>
          <w:tab w:pos="8639" w:val="left" w:leader="none"/>
        </w:tabs>
        <w:spacing w:before="41"/>
        <w:ind w:left="0" w:right="313" w:firstLine="0"/>
        <w:jc w:val="center"/>
        <w:rPr>
          <w:rFonts w:ascii="Times New Roman"/>
          <w:b/>
          <w:sz w:val="24"/>
        </w:rPr>
      </w:pPr>
      <w:r>
        <w:rPr>
          <w:rFonts w:ascii="Times New Roman"/>
          <w:b/>
          <w:spacing w:val="-2"/>
          <w:sz w:val="24"/>
        </w:rPr>
        <w:t>APPENDICES</w:t>
      </w:r>
      <w:r>
        <w:rPr>
          <w:rFonts w:ascii="Times New Roman"/>
          <w:b/>
          <w:sz w:val="24"/>
        </w:rPr>
        <w:tab/>
      </w:r>
      <w:r>
        <w:rPr>
          <w:rFonts w:ascii="Times New Roman"/>
          <w:b/>
          <w:spacing w:val="-4"/>
          <w:sz w:val="24"/>
        </w:rPr>
        <w:t>PAGE</w:t>
      </w:r>
    </w:p>
    <w:p>
      <w:pPr>
        <w:tabs>
          <w:tab w:pos="10102" w:val="right" w:leader="dot"/>
        </w:tabs>
        <w:spacing w:before="353"/>
        <w:ind w:left="920" w:right="0" w:firstLine="0"/>
        <w:jc w:val="left"/>
        <w:rPr>
          <w:rFonts w:ascii="Times New Roman"/>
          <w:sz w:val="24"/>
        </w:rPr>
      </w:pPr>
      <w:r>
        <w:rPr>
          <w:rFonts w:ascii="Times New Roman"/>
          <w:b/>
          <w:sz w:val="24"/>
        </w:rPr>
        <w:t>APPENDIX</w:t>
      </w:r>
      <w:r>
        <w:rPr>
          <w:rFonts w:ascii="Times New Roman"/>
          <w:b/>
          <w:spacing w:val="-9"/>
          <w:sz w:val="24"/>
        </w:rPr>
        <w:t> </w:t>
      </w:r>
      <w:r>
        <w:rPr>
          <w:rFonts w:ascii="Times New Roman"/>
          <w:b/>
          <w:sz w:val="24"/>
        </w:rPr>
        <w:t>I:</w:t>
      </w:r>
      <w:r>
        <w:rPr>
          <w:rFonts w:ascii="Times New Roman"/>
          <w:sz w:val="24"/>
        </w:rPr>
        <w:t>Total</w:t>
      </w:r>
      <w:r>
        <w:rPr>
          <w:rFonts w:ascii="Times New Roman"/>
          <w:spacing w:val="-12"/>
          <w:sz w:val="24"/>
        </w:rPr>
        <w:t> </w:t>
      </w:r>
      <w:r>
        <w:rPr>
          <w:rFonts w:ascii="Times New Roman"/>
          <w:sz w:val="24"/>
        </w:rPr>
        <w:t>Aerobic</w:t>
      </w:r>
      <w:r>
        <w:rPr>
          <w:rFonts w:ascii="Times New Roman"/>
          <w:spacing w:val="-9"/>
          <w:sz w:val="24"/>
        </w:rPr>
        <w:t> </w:t>
      </w:r>
      <w:r>
        <w:rPr>
          <w:rFonts w:ascii="Times New Roman"/>
          <w:sz w:val="24"/>
        </w:rPr>
        <w:t>Count</w:t>
      </w:r>
      <w:r>
        <w:rPr>
          <w:rFonts w:ascii="Times New Roman"/>
          <w:spacing w:val="-4"/>
          <w:sz w:val="24"/>
        </w:rPr>
        <w:t> </w:t>
      </w:r>
      <w:r>
        <w:rPr>
          <w:rFonts w:ascii="Times New Roman"/>
          <w:sz w:val="24"/>
        </w:rPr>
        <w:t>(CFU/ml)</w:t>
      </w:r>
      <w:r>
        <w:rPr>
          <w:rFonts w:ascii="Times New Roman"/>
          <w:spacing w:val="-8"/>
          <w:sz w:val="24"/>
        </w:rPr>
        <w:t> </w:t>
      </w:r>
      <w:r>
        <w:rPr>
          <w:rFonts w:ascii="Times New Roman"/>
          <w:sz w:val="24"/>
        </w:rPr>
        <w:t>of</w:t>
      </w:r>
      <w:r>
        <w:rPr>
          <w:rFonts w:ascii="Times New Roman"/>
          <w:spacing w:val="-10"/>
          <w:sz w:val="24"/>
        </w:rPr>
        <w:t> </w:t>
      </w:r>
      <w:r>
        <w:rPr>
          <w:rFonts w:ascii="Times New Roman"/>
          <w:sz w:val="24"/>
        </w:rPr>
        <w:t>Milk</w:t>
      </w:r>
      <w:r>
        <w:rPr>
          <w:rFonts w:ascii="Times New Roman"/>
          <w:spacing w:val="-9"/>
          <w:sz w:val="24"/>
        </w:rPr>
        <w:t> </w:t>
      </w:r>
      <w:r>
        <w:rPr>
          <w:rFonts w:ascii="Times New Roman"/>
          <w:sz w:val="24"/>
        </w:rPr>
        <w:t>Sample</w:t>
      </w:r>
      <w:r>
        <w:rPr>
          <w:rFonts w:ascii="Times New Roman"/>
          <w:spacing w:val="-5"/>
          <w:sz w:val="24"/>
        </w:rPr>
        <w:t> </w:t>
      </w:r>
      <w:r>
        <w:rPr>
          <w:rFonts w:ascii="Times New Roman"/>
          <w:sz w:val="24"/>
        </w:rPr>
        <w:t>in</w:t>
      </w:r>
      <w:r>
        <w:rPr>
          <w:rFonts w:ascii="Times New Roman"/>
          <w:spacing w:val="-12"/>
          <w:sz w:val="24"/>
        </w:rPr>
        <w:t> </w:t>
      </w:r>
      <w:r>
        <w:rPr>
          <w:rFonts w:ascii="Times New Roman"/>
          <w:spacing w:val="-2"/>
          <w:sz w:val="24"/>
        </w:rPr>
        <w:t>Zaria</w:t>
      </w:r>
      <w:r>
        <w:rPr>
          <w:rFonts w:ascii="Times New Roman"/>
          <w:sz w:val="24"/>
        </w:rPr>
        <w:tab/>
      </w:r>
      <w:r>
        <w:rPr>
          <w:rFonts w:ascii="Times New Roman"/>
          <w:spacing w:val="-5"/>
          <w:sz w:val="24"/>
        </w:rPr>
        <w:t>137</w:t>
      </w:r>
    </w:p>
    <w:p>
      <w:pPr>
        <w:tabs>
          <w:tab w:pos="10054" w:val="right" w:leader="dot"/>
        </w:tabs>
        <w:spacing w:before="363"/>
        <w:ind w:left="920" w:right="0" w:firstLine="0"/>
        <w:jc w:val="left"/>
        <w:rPr>
          <w:rFonts w:ascii="Times New Roman"/>
          <w:sz w:val="24"/>
        </w:rPr>
      </w:pPr>
      <w:r>
        <w:rPr>
          <w:rFonts w:ascii="Times New Roman"/>
          <w:b/>
          <w:sz w:val="24"/>
        </w:rPr>
        <w:t>APPENDIX</w:t>
      </w:r>
      <w:r>
        <w:rPr>
          <w:rFonts w:ascii="Times New Roman"/>
          <w:b/>
          <w:spacing w:val="-8"/>
          <w:sz w:val="24"/>
        </w:rPr>
        <w:t> </w:t>
      </w:r>
      <w:r>
        <w:rPr>
          <w:rFonts w:ascii="Times New Roman"/>
          <w:b/>
          <w:sz w:val="24"/>
        </w:rPr>
        <w:t>II:</w:t>
      </w:r>
      <w:r>
        <w:rPr>
          <w:rFonts w:ascii="Times New Roman"/>
          <w:sz w:val="24"/>
        </w:rPr>
        <w:t>Zone</w:t>
      </w:r>
      <w:r>
        <w:rPr>
          <w:rFonts w:ascii="Times New Roman"/>
          <w:spacing w:val="-9"/>
          <w:sz w:val="24"/>
        </w:rPr>
        <w:t> </w:t>
      </w:r>
      <w:r>
        <w:rPr>
          <w:rFonts w:ascii="Times New Roman"/>
          <w:sz w:val="24"/>
        </w:rPr>
        <w:t>of</w:t>
      </w:r>
      <w:r>
        <w:rPr>
          <w:rFonts w:ascii="Times New Roman"/>
          <w:spacing w:val="-14"/>
          <w:sz w:val="24"/>
        </w:rPr>
        <w:t> </w:t>
      </w:r>
      <w:r>
        <w:rPr>
          <w:rFonts w:ascii="Times New Roman"/>
          <w:sz w:val="24"/>
        </w:rPr>
        <w:t>Inhibition</w:t>
      </w:r>
      <w:r>
        <w:rPr>
          <w:rFonts w:ascii="Times New Roman"/>
          <w:spacing w:val="-12"/>
          <w:sz w:val="24"/>
        </w:rPr>
        <w:t> </w:t>
      </w:r>
      <w:r>
        <w:rPr>
          <w:rFonts w:ascii="Times New Roman"/>
          <w:sz w:val="24"/>
        </w:rPr>
        <w:t>of</w:t>
      </w:r>
      <w:r>
        <w:rPr>
          <w:rFonts w:ascii="Times New Roman"/>
          <w:spacing w:val="-15"/>
          <w:sz w:val="24"/>
        </w:rPr>
        <w:t> </w:t>
      </w:r>
      <w:r>
        <w:rPr>
          <w:rFonts w:ascii="Times New Roman"/>
          <w:sz w:val="24"/>
        </w:rPr>
        <w:t>Test</w:t>
      </w:r>
      <w:r>
        <w:rPr>
          <w:rFonts w:ascii="Times New Roman"/>
          <w:spacing w:val="-4"/>
          <w:sz w:val="24"/>
        </w:rPr>
        <w:t> </w:t>
      </w:r>
      <w:r>
        <w:rPr>
          <w:rFonts w:ascii="Times New Roman"/>
          <w:sz w:val="24"/>
        </w:rPr>
        <w:t>Antibiotics</w:t>
      </w:r>
      <w:r>
        <w:rPr>
          <w:rFonts w:ascii="Times New Roman"/>
          <w:spacing w:val="-9"/>
          <w:sz w:val="24"/>
        </w:rPr>
        <w:t> </w:t>
      </w:r>
      <w:r>
        <w:rPr>
          <w:rFonts w:ascii="Times New Roman"/>
          <w:sz w:val="24"/>
        </w:rPr>
        <w:t>against</w:t>
      </w:r>
      <w:r>
        <w:rPr>
          <w:rFonts w:ascii="Times New Roman"/>
          <w:spacing w:val="-2"/>
          <w:sz w:val="24"/>
        </w:rPr>
        <w:t> </w:t>
      </w:r>
      <w:r>
        <w:rPr>
          <w:rFonts w:ascii="Times New Roman"/>
          <w:sz w:val="24"/>
        </w:rPr>
        <w:t>Bacteria</w:t>
      </w:r>
      <w:r>
        <w:rPr>
          <w:rFonts w:ascii="Times New Roman"/>
          <w:spacing w:val="-9"/>
          <w:sz w:val="24"/>
        </w:rPr>
        <w:t> </w:t>
      </w:r>
      <w:r>
        <w:rPr>
          <w:rFonts w:ascii="Times New Roman"/>
          <w:spacing w:val="-2"/>
          <w:sz w:val="24"/>
        </w:rPr>
        <w:t>Isolates</w:t>
      </w:r>
      <w:r>
        <w:rPr>
          <w:rFonts w:ascii="Times New Roman"/>
          <w:sz w:val="24"/>
        </w:rPr>
        <w:tab/>
      </w:r>
      <w:r>
        <w:rPr>
          <w:rFonts w:ascii="Times New Roman"/>
          <w:spacing w:val="-5"/>
          <w:sz w:val="24"/>
        </w:rPr>
        <w:t>138</w:t>
      </w:r>
    </w:p>
    <w:p>
      <w:pPr>
        <w:tabs>
          <w:tab w:pos="10144" w:val="right" w:leader="dot"/>
        </w:tabs>
        <w:spacing w:before="357"/>
        <w:ind w:left="920" w:right="0" w:firstLine="0"/>
        <w:jc w:val="left"/>
        <w:rPr>
          <w:rFonts w:ascii="Times New Roman"/>
          <w:sz w:val="24"/>
        </w:rPr>
      </w:pPr>
      <w:r>
        <w:rPr>
          <w:rFonts w:ascii="Times New Roman"/>
          <w:b/>
          <w:sz w:val="24"/>
        </w:rPr>
        <w:t>APPENDIX</w:t>
      </w:r>
      <w:r>
        <w:rPr>
          <w:rFonts w:ascii="Times New Roman"/>
          <w:b/>
          <w:spacing w:val="-7"/>
          <w:sz w:val="24"/>
        </w:rPr>
        <w:t> </w:t>
      </w:r>
      <w:r>
        <w:rPr>
          <w:rFonts w:ascii="Times New Roman"/>
          <w:b/>
          <w:sz w:val="24"/>
        </w:rPr>
        <w:t>III:</w:t>
      </w:r>
      <w:r>
        <w:rPr>
          <w:rFonts w:ascii="Times New Roman"/>
          <w:b/>
          <w:spacing w:val="-6"/>
          <w:sz w:val="24"/>
        </w:rPr>
        <w:t> </w:t>
      </w:r>
      <w:r>
        <w:rPr>
          <w:rFonts w:ascii="Times New Roman"/>
          <w:sz w:val="24"/>
        </w:rPr>
        <w:t>Antibiotics</w:t>
      </w:r>
      <w:r>
        <w:rPr>
          <w:rFonts w:ascii="Times New Roman"/>
          <w:spacing w:val="-8"/>
          <w:sz w:val="24"/>
        </w:rPr>
        <w:t> </w:t>
      </w:r>
      <w:r>
        <w:rPr>
          <w:rFonts w:ascii="Times New Roman"/>
          <w:sz w:val="24"/>
        </w:rPr>
        <w:t>Susceptibility</w:t>
      </w:r>
      <w:r>
        <w:rPr>
          <w:rFonts w:ascii="Times New Roman"/>
          <w:spacing w:val="-15"/>
          <w:sz w:val="24"/>
        </w:rPr>
        <w:t> </w:t>
      </w:r>
      <w:r>
        <w:rPr>
          <w:rFonts w:ascii="Times New Roman"/>
          <w:sz w:val="24"/>
        </w:rPr>
        <w:t>Pattern</w:t>
      </w:r>
      <w:r>
        <w:rPr>
          <w:rFonts w:ascii="Times New Roman"/>
          <w:spacing w:val="-14"/>
          <w:sz w:val="24"/>
        </w:rPr>
        <w:t> </w:t>
      </w:r>
      <w:r>
        <w:rPr>
          <w:rFonts w:ascii="Times New Roman"/>
          <w:sz w:val="24"/>
        </w:rPr>
        <w:t>of</w:t>
      </w:r>
      <w:r>
        <w:rPr>
          <w:rFonts w:ascii="Times New Roman"/>
          <w:spacing w:val="-14"/>
          <w:sz w:val="24"/>
        </w:rPr>
        <w:t> </w:t>
      </w:r>
      <w:r>
        <w:rPr>
          <w:rFonts w:ascii="Times New Roman"/>
          <w:sz w:val="24"/>
        </w:rPr>
        <w:t>Bacterial</w:t>
      </w:r>
      <w:r>
        <w:rPr>
          <w:rFonts w:ascii="Times New Roman"/>
          <w:spacing w:val="-10"/>
          <w:sz w:val="24"/>
        </w:rPr>
        <w:t> </w:t>
      </w:r>
      <w:r>
        <w:rPr>
          <w:rFonts w:ascii="Times New Roman"/>
          <w:spacing w:val="-2"/>
          <w:sz w:val="24"/>
        </w:rPr>
        <w:t>Isolates</w:t>
      </w:r>
      <w:r>
        <w:rPr>
          <w:rFonts w:ascii="Times New Roman"/>
          <w:sz w:val="24"/>
        </w:rPr>
        <w:tab/>
      </w:r>
      <w:r>
        <w:rPr>
          <w:rFonts w:ascii="Times New Roman"/>
          <w:spacing w:val="-5"/>
          <w:sz w:val="24"/>
        </w:rPr>
        <w:t>139</w:t>
      </w:r>
    </w:p>
    <w:p>
      <w:pPr>
        <w:tabs>
          <w:tab w:pos="10135" w:val="right" w:leader="dot"/>
        </w:tabs>
        <w:spacing w:before="358"/>
        <w:ind w:left="920" w:right="0" w:firstLine="0"/>
        <w:jc w:val="left"/>
        <w:rPr>
          <w:rFonts w:ascii="Times New Roman" w:hAnsi="Times New Roman"/>
          <w:sz w:val="24"/>
        </w:rPr>
      </w:pPr>
      <w:r>
        <w:rPr>
          <w:rFonts w:ascii="Times New Roman" w:hAnsi="Times New Roman"/>
          <w:b/>
          <w:sz w:val="24"/>
        </w:rPr>
        <w:t>APPENDIX</w:t>
      </w:r>
      <w:r>
        <w:rPr>
          <w:rFonts w:ascii="Times New Roman" w:hAnsi="Times New Roman"/>
          <w:b/>
          <w:spacing w:val="-9"/>
          <w:sz w:val="24"/>
        </w:rPr>
        <w:t> </w:t>
      </w:r>
      <w:r>
        <w:rPr>
          <w:rFonts w:ascii="Times New Roman" w:hAnsi="Times New Roman"/>
          <w:b/>
          <w:sz w:val="24"/>
        </w:rPr>
        <w:t>IV:</w:t>
      </w:r>
      <w:r>
        <w:rPr>
          <w:rFonts w:ascii="Times New Roman" w:hAnsi="Times New Roman"/>
          <w:sz w:val="24"/>
        </w:rPr>
        <w:t>Minimum</w:t>
      </w:r>
      <w:r>
        <w:rPr>
          <w:rFonts w:ascii="Times New Roman" w:hAnsi="Times New Roman"/>
          <w:spacing w:val="-14"/>
          <w:sz w:val="24"/>
        </w:rPr>
        <w:t> </w:t>
      </w:r>
      <w:r>
        <w:rPr>
          <w:rFonts w:ascii="Times New Roman" w:hAnsi="Times New Roman"/>
          <w:sz w:val="24"/>
        </w:rPr>
        <w:t>Inhibitory</w:t>
      </w:r>
      <w:r>
        <w:rPr>
          <w:rFonts w:ascii="Times New Roman" w:hAnsi="Times New Roman"/>
          <w:spacing w:val="-15"/>
          <w:sz w:val="24"/>
        </w:rPr>
        <w:t> </w:t>
      </w:r>
      <w:r>
        <w:rPr>
          <w:rFonts w:ascii="Times New Roman" w:hAnsi="Times New Roman"/>
          <w:sz w:val="24"/>
        </w:rPr>
        <w:t>Concentration</w:t>
      </w:r>
      <w:r>
        <w:rPr>
          <w:rFonts w:ascii="Times New Roman" w:hAnsi="Times New Roman"/>
          <w:spacing w:val="-12"/>
          <w:sz w:val="24"/>
        </w:rPr>
        <w:t> </w:t>
      </w:r>
      <w:r>
        <w:rPr>
          <w:rFonts w:ascii="Times New Roman" w:hAnsi="Times New Roman"/>
          <w:sz w:val="24"/>
        </w:rPr>
        <w:t>(MIC)</w:t>
      </w:r>
      <w:r>
        <w:rPr>
          <w:rFonts w:ascii="Times New Roman" w:hAnsi="Times New Roman"/>
          <w:spacing w:val="-6"/>
          <w:sz w:val="24"/>
        </w:rPr>
        <w:t> </w:t>
      </w:r>
      <w:r>
        <w:rPr>
          <w:rFonts w:ascii="Times New Roman" w:hAnsi="Times New Roman"/>
          <w:sz w:val="24"/>
        </w:rPr>
        <w:t>µg/ml</w:t>
      </w:r>
      <w:r>
        <w:rPr>
          <w:rFonts w:ascii="Times New Roman" w:hAnsi="Times New Roman"/>
          <w:spacing w:val="-11"/>
          <w:sz w:val="24"/>
        </w:rPr>
        <w:t> </w:t>
      </w:r>
      <w:r>
        <w:rPr>
          <w:rFonts w:ascii="Times New Roman" w:hAnsi="Times New Roman"/>
          <w:sz w:val="24"/>
        </w:rPr>
        <w:t>of</w:t>
      </w:r>
      <w:r>
        <w:rPr>
          <w:rFonts w:ascii="Times New Roman" w:hAnsi="Times New Roman"/>
          <w:spacing w:val="-10"/>
          <w:sz w:val="24"/>
        </w:rPr>
        <w:t> </w:t>
      </w:r>
      <w:r>
        <w:rPr>
          <w:rFonts w:ascii="Times New Roman" w:hAnsi="Times New Roman"/>
          <w:sz w:val="24"/>
        </w:rPr>
        <w:t>Four</w:t>
      </w:r>
      <w:r>
        <w:rPr>
          <w:rFonts w:ascii="Times New Roman" w:hAnsi="Times New Roman"/>
          <w:spacing w:val="-7"/>
          <w:sz w:val="24"/>
        </w:rPr>
        <w:t> </w:t>
      </w:r>
      <w:r>
        <w:rPr>
          <w:rFonts w:ascii="Times New Roman" w:hAnsi="Times New Roman"/>
          <w:spacing w:val="-2"/>
          <w:sz w:val="24"/>
        </w:rPr>
        <w:t>Antibiotics</w:t>
      </w:r>
      <w:r>
        <w:rPr>
          <w:rFonts w:ascii="Times New Roman" w:hAnsi="Times New Roman"/>
          <w:sz w:val="24"/>
        </w:rPr>
        <w:tab/>
      </w:r>
      <w:r>
        <w:rPr>
          <w:rFonts w:ascii="Times New Roman" w:hAnsi="Times New Roman"/>
          <w:spacing w:val="-5"/>
          <w:sz w:val="24"/>
        </w:rPr>
        <w:t>142</w:t>
      </w:r>
    </w:p>
    <w:p>
      <w:pPr>
        <w:tabs>
          <w:tab w:pos="10102" w:val="right" w:leader="dot"/>
        </w:tabs>
        <w:spacing w:before="357"/>
        <w:ind w:left="920" w:right="0" w:firstLine="0"/>
        <w:jc w:val="left"/>
        <w:rPr>
          <w:rFonts w:ascii="Times New Roman"/>
          <w:sz w:val="24"/>
        </w:rPr>
      </w:pPr>
      <w:r>
        <w:rPr>
          <w:rFonts w:ascii="Times New Roman"/>
          <w:b/>
          <w:sz w:val="24"/>
        </w:rPr>
        <w:t>APPENDIX</w:t>
      </w:r>
      <w:r>
        <w:rPr>
          <w:rFonts w:ascii="Times New Roman"/>
          <w:b/>
          <w:spacing w:val="-9"/>
          <w:sz w:val="24"/>
        </w:rPr>
        <w:t> </w:t>
      </w:r>
      <w:r>
        <w:rPr>
          <w:rFonts w:ascii="Times New Roman"/>
          <w:b/>
          <w:sz w:val="24"/>
        </w:rPr>
        <w:t>V:</w:t>
      </w:r>
      <w:r>
        <w:rPr>
          <w:rFonts w:ascii="Times New Roman"/>
          <w:b/>
          <w:spacing w:val="-8"/>
          <w:sz w:val="24"/>
        </w:rPr>
        <w:t> </w:t>
      </w:r>
      <w:r>
        <w:rPr>
          <w:rFonts w:ascii="Times New Roman"/>
          <w:sz w:val="24"/>
        </w:rPr>
        <w:t>Standard</w:t>
      </w:r>
      <w:r>
        <w:rPr>
          <w:rFonts w:ascii="Times New Roman"/>
          <w:spacing w:val="-8"/>
          <w:sz w:val="24"/>
        </w:rPr>
        <w:t> </w:t>
      </w:r>
      <w:r>
        <w:rPr>
          <w:rFonts w:ascii="Times New Roman"/>
          <w:sz w:val="24"/>
        </w:rPr>
        <w:t>Molecular</w:t>
      </w:r>
      <w:r>
        <w:rPr>
          <w:rFonts w:ascii="Times New Roman"/>
          <w:spacing w:val="-7"/>
          <w:sz w:val="24"/>
        </w:rPr>
        <w:t> </w:t>
      </w:r>
      <w:r>
        <w:rPr>
          <w:rFonts w:ascii="Times New Roman"/>
          <w:sz w:val="24"/>
        </w:rPr>
        <w:t>Weight</w:t>
      </w:r>
      <w:r>
        <w:rPr>
          <w:rFonts w:ascii="Times New Roman"/>
          <w:spacing w:val="-5"/>
          <w:sz w:val="24"/>
        </w:rPr>
        <w:t> </w:t>
      </w:r>
      <w:r>
        <w:rPr>
          <w:rFonts w:ascii="Times New Roman"/>
          <w:sz w:val="24"/>
        </w:rPr>
        <w:t>Sizes</w:t>
      </w:r>
      <w:r>
        <w:rPr>
          <w:rFonts w:ascii="Times New Roman"/>
          <w:spacing w:val="-6"/>
          <w:sz w:val="24"/>
        </w:rPr>
        <w:t> </w:t>
      </w:r>
      <w:r>
        <w:rPr>
          <w:rFonts w:ascii="Times New Roman"/>
          <w:sz w:val="24"/>
        </w:rPr>
        <w:t>of</w:t>
      </w:r>
      <w:r>
        <w:rPr>
          <w:rFonts w:ascii="Times New Roman"/>
          <w:spacing w:val="-15"/>
          <w:sz w:val="24"/>
        </w:rPr>
        <w:t> </w:t>
      </w:r>
      <w:r>
        <w:rPr>
          <w:rFonts w:ascii="Times New Roman"/>
          <w:sz w:val="24"/>
        </w:rPr>
        <w:t>DNA</w:t>
      </w:r>
      <w:r>
        <w:rPr>
          <w:rFonts w:ascii="Times New Roman"/>
          <w:spacing w:val="-12"/>
          <w:sz w:val="24"/>
        </w:rPr>
        <w:t> </w:t>
      </w:r>
      <w:r>
        <w:rPr>
          <w:rFonts w:ascii="Times New Roman"/>
          <w:spacing w:val="-2"/>
          <w:sz w:val="24"/>
        </w:rPr>
        <w:t>Ladder</w:t>
      </w:r>
      <w:r>
        <w:rPr>
          <w:rFonts w:ascii="Times New Roman"/>
          <w:sz w:val="24"/>
        </w:rPr>
        <w:tab/>
      </w:r>
      <w:r>
        <w:rPr>
          <w:rFonts w:ascii="Times New Roman"/>
          <w:spacing w:val="-5"/>
          <w:sz w:val="24"/>
        </w:rPr>
        <w:t>145</w:t>
      </w:r>
    </w:p>
    <w:p>
      <w:pPr>
        <w:tabs>
          <w:tab w:pos="10187" w:val="right" w:leader="dot"/>
        </w:tabs>
        <w:spacing w:before="478"/>
        <w:ind w:left="920" w:right="0" w:firstLine="0"/>
        <w:jc w:val="left"/>
        <w:rPr>
          <w:rFonts w:ascii="Times New Roman"/>
          <w:sz w:val="24"/>
        </w:rPr>
      </w:pPr>
      <w:r>
        <w:rPr>
          <w:rFonts w:ascii="Times New Roman"/>
          <w:b/>
          <w:sz w:val="24"/>
        </w:rPr>
        <w:t>APPENDIX</w:t>
      </w:r>
      <w:r>
        <w:rPr>
          <w:rFonts w:ascii="Times New Roman"/>
          <w:b/>
          <w:spacing w:val="-8"/>
          <w:sz w:val="24"/>
        </w:rPr>
        <w:t> </w:t>
      </w:r>
      <w:r>
        <w:rPr>
          <w:rFonts w:ascii="Times New Roman"/>
          <w:b/>
          <w:sz w:val="24"/>
        </w:rPr>
        <w:t>VI:</w:t>
      </w:r>
      <w:r>
        <w:rPr>
          <w:rFonts w:ascii="Times New Roman"/>
          <w:b/>
          <w:spacing w:val="-6"/>
          <w:sz w:val="24"/>
        </w:rPr>
        <w:t> </w:t>
      </w:r>
      <w:r>
        <w:rPr>
          <w:rFonts w:ascii="Times New Roman"/>
          <w:sz w:val="24"/>
        </w:rPr>
        <w:t>Phenotypic</w:t>
      </w:r>
      <w:r>
        <w:rPr>
          <w:rFonts w:ascii="Times New Roman"/>
          <w:spacing w:val="-8"/>
          <w:sz w:val="24"/>
        </w:rPr>
        <w:t> </w:t>
      </w:r>
      <w:r>
        <w:rPr>
          <w:rFonts w:ascii="Times New Roman"/>
          <w:sz w:val="24"/>
        </w:rPr>
        <w:t>Resistance</w:t>
      </w:r>
      <w:r>
        <w:rPr>
          <w:rFonts w:ascii="Times New Roman"/>
          <w:spacing w:val="-8"/>
          <w:sz w:val="24"/>
        </w:rPr>
        <w:t> </w:t>
      </w:r>
      <w:r>
        <w:rPr>
          <w:rFonts w:ascii="Times New Roman"/>
          <w:sz w:val="24"/>
        </w:rPr>
        <w:t>Pattern</w:t>
      </w:r>
      <w:r>
        <w:rPr>
          <w:rFonts w:ascii="Times New Roman"/>
          <w:spacing w:val="-15"/>
          <w:sz w:val="24"/>
        </w:rPr>
        <w:t> </w:t>
      </w:r>
      <w:r>
        <w:rPr>
          <w:rFonts w:ascii="Times New Roman"/>
          <w:sz w:val="24"/>
        </w:rPr>
        <w:t>of</w:t>
      </w:r>
      <w:r>
        <w:rPr>
          <w:rFonts w:ascii="Times New Roman"/>
          <w:spacing w:val="-9"/>
          <w:sz w:val="24"/>
        </w:rPr>
        <w:t> </w:t>
      </w:r>
      <w:r>
        <w:rPr>
          <w:rFonts w:ascii="Times New Roman"/>
          <w:sz w:val="24"/>
        </w:rPr>
        <w:t>Isolates</w:t>
      </w:r>
      <w:r>
        <w:rPr>
          <w:rFonts w:ascii="Times New Roman"/>
          <w:spacing w:val="-9"/>
          <w:sz w:val="24"/>
        </w:rPr>
        <w:t> </w:t>
      </w:r>
      <w:r>
        <w:rPr>
          <w:rFonts w:ascii="Times New Roman"/>
          <w:sz w:val="24"/>
        </w:rPr>
        <w:t>from</w:t>
      </w:r>
      <w:r>
        <w:rPr>
          <w:rFonts w:ascii="Times New Roman"/>
          <w:spacing w:val="-15"/>
          <w:sz w:val="24"/>
        </w:rPr>
        <w:t> </w:t>
      </w:r>
      <w:r>
        <w:rPr>
          <w:rFonts w:ascii="Times New Roman"/>
          <w:sz w:val="24"/>
        </w:rPr>
        <w:t>Milk</w:t>
      </w:r>
      <w:r>
        <w:rPr>
          <w:rFonts w:ascii="Times New Roman"/>
          <w:spacing w:val="-7"/>
          <w:sz w:val="24"/>
        </w:rPr>
        <w:t> </w:t>
      </w:r>
      <w:r>
        <w:rPr>
          <w:rFonts w:ascii="Times New Roman"/>
          <w:sz w:val="24"/>
        </w:rPr>
        <w:t>Sample</w:t>
      </w:r>
      <w:r>
        <w:rPr>
          <w:rFonts w:ascii="Times New Roman"/>
          <w:spacing w:val="-4"/>
          <w:sz w:val="24"/>
        </w:rPr>
        <w:t> </w:t>
      </w:r>
      <w:r>
        <w:rPr>
          <w:rFonts w:ascii="Times New Roman"/>
          <w:sz w:val="24"/>
        </w:rPr>
        <w:t>in</w:t>
      </w:r>
      <w:r>
        <w:rPr>
          <w:rFonts w:ascii="Times New Roman"/>
          <w:spacing w:val="-11"/>
          <w:sz w:val="24"/>
        </w:rPr>
        <w:t> </w:t>
      </w:r>
      <w:r>
        <w:rPr>
          <w:rFonts w:ascii="Times New Roman"/>
          <w:spacing w:val="-2"/>
          <w:sz w:val="24"/>
        </w:rPr>
        <w:t>Zaria</w:t>
      </w:r>
      <w:r>
        <w:rPr>
          <w:rFonts w:ascii="Times New Roman"/>
          <w:sz w:val="24"/>
        </w:rPr>
        <w:tab/>
      </w:r>
      <w:r>
        <w:rPr>
          <w:rFonts w:ascii="Times New Roman"/>
          <w:spacing w:val="-5"/>
          <w:sz w:val="24"/>
        </w:rPr>
        <w:t>146</w:t>
      </w:r>
    </w:p>
    <w:p>
      <w:pPr>
        <w:tabs>
          <w:tab w:pos="10144" w:val="right" w:leader="dot"/>
        </w:tabs>
        <w:spacing w:before="478"/>
        <w:ind w:left="920" w:right="0" w:firstLine="0"/>
        <w:jc w:val="left"/>
        <w:rPr>
          <w:rFonts w:ascii="Times New Roman"/>
          <w:sz w:val="24"/>
        </w:rPr>
      </w:pPr>
      <w:r>
        <w:rPr>
          <w:rFonts w:ascii="Times New Roman"/>
          <w:b/>
          <w:sz w:val="24"/>
        </w:rPr>
        <w:t>APPENDIX</w:t>
      </w:r>
      <w:r>
        <w:rPr>
          <w:rFonts w:ascii="Times New Roman"/>
          <w:b/>
          <w:spacing w:val="-7"/>
          <w:sz w:val="24"/>
        </w:rPr>
        <w:t> </w:t>
      </w:r>
      <w:r>
        <w:rPr>
          <w:rFonts w:ascii="Times New Roman"/>
          <w:b/>
          <w:sz w:val="24"/>
        </w:rPr>
        <w:t>VII</w:t>
      </w:r>
      <w:r>
        <w:rPr>
          <w:rFonts w:ascii="Times New Roman"/>
          <w:sz w:val="24"/>
        </w:rPr>
        <w:t>:</w:t>
      </w:r>
      <w:r>
        <w:rPr>
          <w:rFonts w:ascii="Times New Roman"/>
          <w:spacing w:val="-7"/>
          <w:sz w:val="24"/>
        </w:rPr>
        <w:t> </w:t>
      </w:r>
      <w:r>
        <w:rPr>
          <w:rFonts w:ascii="Times New Roman"/>
          <w:sz w:val="24"/>
        </w:rPr>
        <w:t>Phenotypic</w:t>
      </w:r>
      <w:r>
        <w:rPr>
          <w:rFonts w:ascii="Times New Roman"/>
          <w:spacing w:val="-8"/>
          <w:sz w:val="24"/>
        </w:rPr>
        <w:t> </w:t>
      </w:r>
      <w:r>
        <w:rPr>
          <w:rFonts w:ascii="Times New Roman"/>
          <w:sz w:val="24"/>
        </w:rPr>
        <w:t>Resistance</w:t>
      </w:r>
      <w:r>
        <w:rPr>
          <w:rFonts w:ascii="Times New Roman"/>
          <w:spacing w:val="-8"/>
          <w:sz w:val="24"/>
        </w:rPr>
        <w:t> </w:t>
      </w:r>
      <w:r>
        <w:rPr>
          <w:rFonts w:ascii="Times New Roman"/>
          <w:sz w:val="24"/>
        </w:rPr>
        <w:t>Pattern</w:t>
      </w:r>
      <w:r>
        <w:rPr>
          <w:rFonts w:ascii="Times New Roman"/>
          <w:spacing w:val="-15"/>
          <w:sz w:val="24"/>
        </w:rPr>
        <w:t> </w:t>
      </w:r>
      <w:r>
        <w:rPr>
          <w:rFonts w:ascii="Times New Roman"/>
          <w:sz w:val="24"/>
        </w:rPr>
        <w:t>of</w:t>
      </w:r>
      <w:r>
        <w:rPr>
          <w:rFonts w:ascii="Times New Roman"/>
          <w:spacing w:val="-14"/>
          <w:sz w:val="24"/>
        </w:rPr>
        <w:t> </w:t>
      </w:r>
      <w:r>
        <w:rPr>
          <w:rFonts w:ascii="Times New Roman"/>
          <w:sz w:val="24"/>
        </w:rPr>
        <w:t>Isolates</w:t>
      </w:r>
      <w:r>
        <w:rPr>
          <w:rFonts w:ascii="Times New Roman"/>
          <w:spacing w:val="-4"/>
          <w:sz w:val="24"/>
        </w:rPr>
        <w:t> </w:t>
      </w:r>
      <w:r>
        <w:rPr>
          <w:rFonts w:ascii="Times New Roman"/>
          <w:sz w:val="24"/>
        </w:rPr>
        <w:t>from</w:t>
      </w:r>
      <w:r>
        <w:rPr>
          <w:rFonts w:ascii="Times New Roman"/>
          <w:spacing w:val="-15"/>
          <w:sz w:val="24"/>
        </w:rPr>
        <w:t> </w:t>
      </w:r>
      <w:r>
        <w:rPr>
          <w:rFonts w:ascii="Times New Roman"/>
          <w:sz w:val="24"/>
        </w:rPr>
        <w:t>Milk</w:t>
      </w:r>
      <w:r>
        <w:rPr>
          <w:rFonts w:ascii="Times New Roman"/>
          <w:spacing w:val="-7"/>
          <w:sz w:val="24"/>
        </w:rPr>
        <w:t> </w:t>
      </w:r>
      <w:r>
        <w:rPr>
          <w:rFonts w:ascii="Times New Roman"/>
          <w:sz w:val="24"/>
        </w:rPr>
        <w:t>Sample</w:t>
      </w:r>
      <w:r>
        <w:rPr>
          <w:rFonts w:ascii="Times New Roman"/>
          <w:spacing w:val="-3"/>
          <w:sz w:val="24"/>
        </w:rPr>
        <w:t> </w:t>
      </w:r>
      <w:r>
        <w:rPr>
          <w:rFonts w:ascii="Times New Roman"/>
          <w:sz w:val="24"/>
        </w:rPr>
        <w:t>in</w:t>
      </w:r>
      <w:r>
        <w:rPr>
          <w:rFonts w:ascii="Times New Roman"/>
          <w:spacing w:val="-12"/>
          <w:sz w:val="24"/>
        </w:rPr>
        <w:t> </w:t>
      </w:r>
      <w:r>
        <w:rPr>
          <w:rFonts w:ascii="Times New Roman"/>
          <w:spacing w:val="-2"/>
          <w:sz w:val="24"/>
        </w:rPr>
        <w:t>Zaria</w:t>
      </w:r>
      <w:r>
        <w:rPr>
          <w:rFonts w:ascii="Times New Roman"/>
          <w:sz w:val="24"/>
        </w:rPr>
        <w:tab/>
      </w:r>
      <w:r>
        <w:rPr>
          <w:rFonts w:ascii="Times New Roman"/>
          <w:spacing w:val="-5"/>
          <w:sz w:val="24"/>
        </w:rPr>
        <w:t>148</w:t>
      </w:r>
    </w:p>
    <w:p>
      <w:pPr>
        <w:spacing w:after="0"/>
        <w:jc w:val="left"/>
        <w:rPr>
          <w:rFonts w:ascii="Times New Roman"/>
          <w:sz w:val="24"/>
        </w:rPr>
        <w:sectPr>
          <w:pgSz w:w="12240" w:h="15840"/>
          <w:pgMar w:header="0" w:footer="1017" w:top="1360" w:bottom="1200" w:left="520" w:right="260"/>
        </w:sectPr>
      </w:pPr>
    </w:p>
    <w:p>
      <w:pPr>
        <w:pStyle w:val="Heading5"/>
        <w:spacing w:line="660" w:lineRule="auto"/>
        <w:ind w:left="4260" w:right="4521" w:firstLine="0"/>
        <w:jc w:val="center"/>
      </w:pPr>
      <w:r>
        <w:rPr/>
        <w:t>CHAPTER ONE </w:t>
      </w:r>
      <w:r>
        <w:rPr>
          <w:spacing w:val="-2"/>
        </w:rPr>
        <w:t>INTRODUCTION</w:t>
      </w:r>
    </w:p>
    <w:p>
      <w:pPr>
        <w:pStyle w:val="ListParagraph"/>
        <w:numPr>
          <w:ilvl w:val="1"/>
          <w:numId w:val="8"/>
        </w:numPr>
        <w:tabs>
          <w:tab w:pos="1245" w:val="left" w:leader="none"/>
        </w:tabs>
        <w:spacing w:line="265" w:lineRule="exact" w:before="0" w:after="0"/>
        <w:ind w:left="1245" w:right="0" w:hanging="325"/>
        <w:jc w:val="left"/>
        <w:rPr>
          <w:rFonts w:ascii="Calibri"/>
          <w:b/>
          <w:sz w:val="22"/>
        </w:rPr>
      </w:pPr>
      <w:bookmarkStart w:name="_TOC_250081" w:id="10"/>
      <w:r>
        <w:rPr>
          <w:rFonts w:ascii="Calibri"/>
          <w:b/>
          <w:sz w:val="22"/>
        </w:rPr>
        <w:t>BACKGROUND</w:t>
      </w:r>
      <w:r>
        <w:rPr>
          <w:rFonts w:ascii="Calibri"/>
          <w:b/>
          <w:spacing w:val="-8"/>
          <w:sz w:val="22"/>
        </w:rPr>
        <w:t> </w:t>
      </w:r>
      <w:bookmarkEnd w:id="10"/>
      <w:r>
        <w:rPr>
          <w:rFonts w:ascii="Calibri"/>
          <w:b/>
          <w:spacing w:val="-2"/>
          <w:sz w:val="22"/>
        </w:rPr>
        <w:t>INFORMATION</w:t>
      </w:r>
    </w:p>
    <w:p>
      <w:pPr>
        <w:pStyle w:val="BodyText"/>
        <w:spacing w:before="202"/>
        <w:rPr>
          <w:b/>
        </w:rPr>
      </w:pPr>
    </w:p>
    <w:p>
      <w:pPr>
        <w:pStyle w:val="BodyText"/>
        <w:spacing w:line="480" w:lineRule="auto"/>
        <w:ind w:left="920" w:right="1175"/>
        <w:jc w:val="both"/>
      </w:pPr>
      <w:r>
        <w:rPr/>
        <w:t>Milk and milk products constitute important nutritional components for human diet and plays a prominent</w:t>
      </w:r>
      <w:r>
        <w:rPr>
          <w:spacing w:val="-1"/>
        </w:rPr>
        <w:t> </w:t>
      </w:r>
      <w:r>
        <w:rPr/>
        <w:t>role in human nutrition (Javaid </w:t>
      </w:r>
      <w:r>
        <w:rPr>
          <w:i/>
        </w:rPr>
        <w:t>et</w:t>
      </w:r>
      <w:r>
        <w:rPr>
          <w:i/>
          <w:spacing w:val="-1"/>
        </w:rPr>
        <w:t> </w:t>
      </w:r>
      <w:r>
        <w:rPr>
          <w:i/>
        </w:rPr>
        <w:t>al</w:t>
      </w:r>
      <w:r>
        <w:rPr/>
        <w:t>.,</w:t>
      </w:r>
      <w:r>
        <w:rPr>
          <w:spacing w:val="-2"/>
        </w:rPr>
        <w:t> </w:t>
      </w:r>
      <w:r>
        <w:rPr/>
        <w:t>2009). Good quality milk meets the nutritional needs of the body better than any single food as it contains essential food constituents such as fat, proteins, carbohydrates, minerals, vitamins (Sharm and Joshi, 1992; Medhammar </w:t>
      </w:r>
      <w:r>
        <w:rPr>
          <w:i/>
        </w:rPr>
        <w:t>et al</w:t>
      </w:r>
      <w:r>
        <w:rPr/>
        <w:t>., 2012). As a result of the presence of these nutritional components, milk is an excellent culture medium for many microorganisms, especially bacterial pathogens (Henry and Newlander, 1997; Saeed </w:t>
      </w:r>
      <w:r>
        <w:rPr>
          <w:i/>
        </w:rPr>
        <w:t>et al</w:t>
      </w:r>
      <w:r>
        <w:rPr/>
        <w:t>., 2009). In order to extend the shelf life of milk for human consumption and prevent growth of spoilage organisms as well as prevent transmission of diseases via milk, this highly nutritious, versatile food is usually pasteurized (Edema and Akingbade, 2007). Unfortunately, many workers have reported post- pasteurization contamination of milk with resistant pathogenic bacteria (Brisabois </w:t>
      </w:r>
      <w:r>
        <w:rPr>
          <w:i/>
        </w:rPr>
        <w:t>et al</w:t>
      </w:r>
      <w:r>
        <w:rPr/>
        <w:t>., 1997; Oliver </w:t>
      </w:r>
      <w:r>
        <w:rPr>
          <w:i/>
        </w:rPr>
        <w:t>et al</w:t>
      </w:r>
      <w:r>
        <w:rPr/>
        <w:t>., 2005). For instance, some potential human pathogens, such as </w:t>
      </w:r>
      <w:r>
        <w:rPr>
          <w:i/>
        </w:rPr>
        <w:t>Mycobacterium paratuberculosis</w:t>
      </w:r>
      <w:r>
        <w:rPr/>
        <w:t>, </w:t>
      </w:r>
      <w:r>
        <w:rPr>
          <w:i/>
        </w:rPr>
        <w:t>Bacillus cereus</w:t>
      </w:r>
      <w:r>
        <w:rPr/>
        <w:t>, </w:t>
      </w:r>
      <w:r>
        <w:rPr>
          <w:i/>
        </w:rPr>
        <w:t>Clostridium spp, Listeria monocytogenes </w:t>
      </w:r>
      <w:r>
        <w:rPr/>
        <w:t>and </w:t>
      </w:r>
      <w:r>
        <w:rPr>
          <w:i/>
        </w:rPr>
        <w:t>Salmonella spp </w:t>
      </w:r>
      <w:r>
        <w:rPr/>
        <w:t>have been reported to survive</w:t>
      </w:r>
      <w:r>
        <w:rPr>
          <w:spacing w:val="-3"/>
        </w:rPr>
        <w:t> </w:t>
      </w:r>
      <w:r>
        <w:rPr/>
        <w:t>conventional</w:t>
      </w:r>
      <w:r>
        <w:rPr>
          <w:spacing w:val="-1"/>
        </w:rPr>
        <w:t> </w:t>
      </w:r>
      <w:r>
        <w:rPr/>
        <w:t>heat</w:t>
      </w:r>
      <w:r>
        <w:rPr>
          <w:spacing w:val="-5"/>
        </w:rPr>
        <w:t> </w:t>
      </w:r>
      <w:r>
        <w:rPr/>
        <w:t>pasteurization</w:t>
      </w:r>
      <w:r>
        <w:rPr>
          <w:spacing w:val="-4"/>
        </w:rPr>
        <w:t> </w:t>
      </w:r>
      <w:r>
        <w:rPr/>
        <w:t>in</w:t>
      </w:r>
      <w:r>
        <w:rPr>
          <w:spacing w:val="-4"/>
        </w:rPr>
        <w:t> </w:t>
      </w:r>
      <w:r>
        <w:rPr/>
        <w:t>milk</w:t>
      </w:r>
      <w:r>
        <w:rPr>
          <w:spacing w:val="-3"/>
        </w:rPr>
        <w:t> </w:t>
      </w:r>
      <w:r>
        <w:rPr/>
        <w:t>(Stabel </w:t>
      </w:r>
      <w:r>
        <w:rPr>
          <w:i/>
        </w:rPr>
        <w:t>et</w:t>
      </w:r>
      <w:r>
        <w:rPr>
          <w:i/>
          <w:spacing w:val="-5"/>
        </w:rPr>
        <w:t> </w:t>
      </w:r>
      <w:r>
        <w:rPr>
          <w:i/>
        </w:rPr>
        <w:t>al.</w:t>
      </w:r>
      <w:r>
        <w:rPr/>
        <w:t>,</w:t>
      </w:r>
      <w:r>
        <w:rPr>
          <w:spacing w:val="-5"/>
        </w:rPr>
        <w:t> </w:t>
      </w:r>
      <w:r>
        <w:rPr/>
        <w:t>1997; Smith</w:t>
      </w:r>
      <w:r>
        <w:rPr>
          <w:spacing w:val="-4"/>
        </w:rPr>
        <w:t> </w:t>
      </w:r>
      <w:r>
        <w:rPr>
          <w:i/>
        </w:rPr>
        <w:t>et</w:t>
      </w:r>
      <w:r>
        <w:rPr>
          <w:i/>
          <w:spacing w:val="-5"/>
        </w:rPr>
        <w:t> </w:t>
      </w:r>
      <w:r>
        <w:rPr>
          <w:i/>
        </w:rPr>
        <w:t>al.</w:t>
      </w:r>
      <w:r>
        <w:rPr/>
        <w:t>,</w:t>
      </w:r>
      <w:r>
        <w:rPr>
          <w:spacing w:val="-5"/>
        </w:rPr>
        <w:t> </w:t>
      </w:r>
      <w:r>
        <w:rPr/>
        <w:t>2002; Torkar</w:t>
      </w:r>
      <w:r>
        <w:rPr>
          <w:spacing w:val="-3"/>
        </w:rPr>
        <w:t> </w:t>
      </w:r>
      <w:r>
        <w:rPr/>
        <w:t>and Teger, 2008).</w:t>
      </w:r>
      <w:r>
        <w:rPr>
          <w:spacing w:val="40"/>
        </w:rPr>
        <w:t> </w:t>
      </w:r>
      <w:r>
        <w:rPr/>
        <w:t>Microbial contamination of milk has been reported to be responsible for deterioration of the quality of packaged milk (Frazier and Westhoff, 1986; Guerra </w:t>
      </w:r>
      <w:r>
        <w:rPr>
          <w:i/>
        </w:rPr>
        <w:t>et al</w:t>
      </w:r>
      <w:r>
        <w:rPr/>
        <w:t>., 2003).Approximately 50 % of the milk produced is consumed as fresh or pasteurised, one sixth as yoghurt or curd and the remaining utilized in the production of varieties of milk products such as ice cream and butter (Anjum </w:t>
      </w:r>
      <w:r>
        <w:rPr>
          <w:i/>
        </w:rPr>
        <w:t>et al</w:t>
      </w:r>
      <w:r>
        <w:rPr/>
        <w:t>., 1989; Lindmark</w:t>
      </w:r>
      <w:r>
        <w:rPr>
          <w:i/>
        </w:rPr>
        <w:t>et al., </w:t>
      </w:r>
      <w:r>
        <w:rPr/>
        <w:t>2003).</w:t>
      </w:r>
    </w:p>
    <w:p>
      <w:pPr>
        <w:pStyle w:val="BodyText"/>
        <w:spacing w:line="475" w:lineRule="auto" w:before="201"/>
        <w:ind w:left="920" w:right="1178"/>
        <w:jc w:val="both"/>
      </w:pPr>
      <w:r>
        <w:rPr/>
        <w:t>Pathogenic micro-organisms commonly isolated from contaminated milk have been reported to be resistant</w:t>
      </w:r>
      <w:r>
        <w:rPr>
          <w:spacing w:val="33"/>
        </w:rPr>
        <w:t> </w:t>
      </w:r>
      <w:r>
        <w:rPr/>
        <w:t>to</w:t>
      </w:r>
      <w:r>
        <w:rPr>
          <w:spacing w:val="33"/>
        </w:rPr>
        <w:t> </w:t>
      </w:r>
      <w:r>
        <w:rPr/>
        <w:t>antibiotics</w:t>
      </w:r>
      <w:r>
        <w:rPr>
          <w:spacing w:val="35"/>
        </w:rPr>
        <w:t> </w:t>
      </w:r>
      <w:r>
        <w:rPr/>
        <w:t>frequently</w:t>
      </w:r>
      <w:r>
        <w:rPr>
          <w:spacing w:val="35"/>
        </w:rPr>
        <w:t> </w:t>
      </w:r>
      <w:r>
        <w:rPr/>
        <w:t>prescribed</w:t>
      </w:r>
      <w:r>
        <w:rPr>
          <w:spacing w:val="29"/>
        </w:rPr>
        <w:t> </w:t>
      </w:r>
      <w:r>
        <w:rPr/>
        <w:t>in</w:t>
      </w:r>
      <w:r>
        <w:rPr>
          <w:spacing w:val="34"/>
        </w:rPr>
        <w:t> </w:t>
      </w:r>
      <w:r>
        <w:rPr/>
        <w:t>hospitals</w:t>
      </w:r>
      <w:r>
        <w:rPr>
          <w:spacing w:val="35"/>
        </w:rPr>
        <w:t> </w:t>
      </w:r>
      <w:r>
        <w:rPr/>
        <w:t>in</w:t>
      </w:r>
      <w:r>
        <w:rPr>
          <w:spacing w:val="29"/>
        </w:rPr>
        <w:t> </w:t>
      </w:r>
      <w:r>
        <w:rPr/>
        <w:t>Nigeria</w:t>
      </w:r>
      <w:r>
        <w:rPr>
          <w:spacing w:val="31"/>
        </w:rPr>
        <w:t> </w:t>
      </w:r>
      <w:r>
        <w:rPr/>
        <w:t>(Oladipo</w:t>
      </w:r>
      <w:r>
        <w:rPr>
          <w:spacing w:val="33"/>
        </w:rPr>
        <w:t> </w:t>
      </w:r>
      <w:r>
        <w:rPr/>
        <w:t>and</w:t>
      </w:r>
      <w:r>
        <w:rPr>
          <w:spacing w:val="34"/>
        </w:rPr>
        <w:t> </w:t>
      </w:r>
      <w:r>
        <w:rPr/>
        <w:t>Omo-</w:t>
      </w:r>
      <w:r>
        <w:rPr>
          <w:spacing w:val="29"/>
        </w:rPr>
        <w:t> </w:t>
      </w:r>
      <w:r>
        <w:rPr/>
        <w:t>Adua,</w:t>
      </w:r>
      <w:r>
        <w:rPr>
          <w:spacing w:val="32"/>
        </w:rPr>
        <w:t> </w:t>
      </w:r>
      <w:r>
        <w:rPr/>
        <w:t>2011).</w:t>
      </w:r>
    </w:p>
    <w:p>
      <w:pPr>
        <w:spacing w:after="0" w:line="475" w:lineRule="auto"/>
        <w:jc w:val="both"/>
        <w:sectPr>
          <w:pgSz w:w="12240" w:h="15840"/>
          <w:pgMar w:header="0" w:footer="1017" w:top="1400" w:bottom="1200" w:left="520" w:right="260"/>
        </w:sectPr>
      </w:pPr>
    </w:p>
    <w:p>
      <w:pPr>
        <w:pStyle w:val="BodyText"/>
        <w:spacing w:line="480" w:lineRule="auto" w:before="37"/>
        <w:ind w:left="920" w:right="1186"/>
        <w:jc w:val="both"/>
      </w:pPr>
      <w:r>
        <w:rPr/>
        <w:t>These pathogenic microbial contaminants in milk have been a major factor for public health concern since the early days of dairy industry (Altug and Bayrak, 2003).</w:t>
      </w:r>
    </w:p>
    <w:p>
      <w:pPr>
        <w:pStyle w:val="BodyText"/>
        <w:spacing w:line="480" w:lineRule="auto" w:before="241"/>
        <w:ind w:left="920" w:right="1174"/>
        <w:jc w:val="both"/>
      </w:pPr>
      <w:r>
        <w:rPr/>
        <w:t>Bacterial contamination can generally occur from three main sources; within the udder, outside the udder, and from the surface of equipment used for milk handling and storage (Oliver </w:t>
      </w:r>
      <w:r>
        <w:rPr>
          <w:i/>
        </w:rPr>
        <w:t>et al</w:t>
      </w:r>
      <w:r>
        <w:rPr/>
        <w:t>., 2005). Cow health, milking procedures, equipment sanitation and environment, such as water and personnel can influence the</w:t>
      </w:r>
      <w:r>
        <w:rPr>
          <w:spacing w:val="-4"/>
        </w:rPr>
        <w:t> </w:t>
      </w:r>
      <w:r>
        <w:rPr/>
        <w:t>level of microbial</w:t>
      </w:r>
      <w:r>
        <w:rPr>
          <w:spacing w:val="-2"/>
        </w:rPr>
        <w:t> </w:t>
      </w:r>
      <w:r>
        <w:rPr/>
        <w:t>contamination of raw</w:t>
      </w:r>
      <w:r>
        <w:rPr>
          <w:spacing w:val="-3"/>
        </w:rPr>
        <w:t> </w:t>
      </w:r>
      <w:r>
        <w:rPr/>
        <w:t>milk (Farzana </w:t>
      </w:r>
      <w:r>
        <w:rPr>
          <w:i/>
        </w:rPr>
        <w:t>et</w:t>
      </w:r>
      <w:r>
        <w:rPr>
          <w:i/>
          <w:spacing w:val="-6"/>
        </w:rPr>
        <w:t> </w:t>
      </w:r>
      <w:r>
        <w:rPr>
          <w:i/>
        </w:rPr>
        <w:t>al</w:t>
      </w:r>
      <w:r>
        <w:rPr/>
        <w:t>.,</w:t>
      </w:r>
      <w:r>
        <w:rPr>
          <w:spacing w:val="-2"/>
        </w:rPr>
        <w:t> </w:t>
      </w:r>
      <w:r>
        <w:rPr/>
        <w:t>2009). Equally</w:t>
      </w:r>
      <w:r>
        <w:rPr>
          <w:spacing w:val="-3"/>
        </w:rPr>
        <w:t> </w:t>
      </w:r>
      <w:r>
        <w:rPr/>
        <w:t>important</w:t>
      </w:r>
      <w:r>
        <w:rPr>
          <w:spacing w:val="-1"/>
        </w:rPr>
        <w:t> </w:t>
      </w:r>
      <w:r>
        <w:rPr/>
        <w:t>is the milk holding temperature and length of time milk is stored before testing and processing that allow bacterial contaminants</w:t>
      </w:r>
      <w:r>
        <w:rPr>
          <w:spacing w:val="-1"/>
        </w:rPr>
        <w:t> </w:t>
      </w:r>
      <w:r>
        <w:rPr/>
        <w:t>to</w:t>
      </w:r>
      <w:r>
        <w:rPr>
          <w:spacing w:val="-3"/>
        </w:rPr>
        <w:t> </w:t>
      </w:r>
      <w:r>
        <w:rPr/>
        <w:t>multiply. These</w:t>
      </w:r>
      <w:r>
        <w:rPr>
          <w:spacing w:val="-1"/>
        </w:rPr>
        <w:t> </w:t>
      </w:r>
      <w:r>
        <w:rPr/>
        <w:t>factors</w:t>
      </w:r>
      <w:r>
        <w:rPr>
          <w:spacing w:val="-1"/>
        </w:rPr>
        <w:t> </w:t>
      </w:r>
      <w:r>
        <w:rPr/>
        <w:t>will influence</w:t>
      </w:r>
      <w:r>
        <w:rPr>
          <w:spacing w:val="-1"/>
        </w:rPr>
        <w:t> </w:t>
      </w:r>
      <w:r>
        <w:rPr/>
        <w:t>the</w:t>
      </w:r>
      <w:r>
        <w:rPr>
          <w:spacing w:val="-1"/>
        </w:rPr>
        <w:t> </w:t>
      </w:r>
      <w:r>
        <w:rPr/>
        <w:t>total bacterial count</w:t>
      </w:r>
      <w:r>
        <w:rPr>
          <w:spacing w:val="-3"/>
        </w:rPr>
        <w:t> </w:t>
      </w:r>
      <w:r>
        <w:rPr/>
        <w:t>and</w:t>
      </w:r>
      <w:r>
        <w:rPr>
          <w:spacing w:val="-2"/>
        </w:rPr>
        <w:t> </w:t>
      </w:r>
      <w:r>
        <w:rPr/>
        <w:t>the</w:t>
      </w:r>
      <w:r>
        <w:rPr>
          <w:spacing w:val="-1"/>
        </w:rPr>
        <w:t> </w:t>
      </w:r>
      <w:r>
        <w:rPr/>
        <w:t>types</w:t>
      </w:r>
      <w:r>
        <w:rPr>
          <w:spacing w:val="-1"/>
        </w:rPr>
        <w:t> </w:t>
      </w:r>
      <w:r>
        <w:rPr/>
        <w:t>of bacteria present in raw bulk tank milk. Another source of contamination by bacterial pathogen is</w:t>
      </w:r>
      <w:r>
        <w:rPr>
          <w:spacing w:val="40"/>
        </w:rPr>
        <w:t> </w:t>
      </w:r>
      <w:r>
        <w:rPr/>
        <w:t>unclean teats (Altug and Bayrak, 2003). The use of unclean milking and transporting equipment contributes to poor hygienic quality (Bonfoh </w:t>
      </w:r>
      <w:r>
        <w:rPr>
          <w:i/>
        </w:rPr>
        <w:t>et al</w:t>
      </w:r>
      <w:r>
        <w:rPr/>
        <w:t>., 2003).</w:t>
      </w:r>
    </w:p>
    <w:p>
      <w:pPr>
        <w:pStyle w:val="BodyText"/>
        <w:spacing w:line="480" w:lineRule="auto" w:before="239"/>
        <w:ind w:left="920" w:right="1173"/>
        <w:jc w:val="both"/>
      </w:pPr>
      <w:r>
        <w:rPr/>
        <w:t>In order to produce milk of good hygienic quality, it is therefore important to have clean healthy cows and clean utensils for milking and storage of the milk.</w:t>
      </w:r>
      <w:r>
        <w:rPr>
          <w:spacing w:val="-2"/>
        </w:rPr>
        <w:t> </w:t>
      </w:r>
      <w:r>
        <w:rPr/>
        <w:t>Unfortunately, the consumption of unpasteurized milk in most developing countries including Nigeria has not attracted the desired attention.</w:t>
      </w:r>
    </w:p>
    <w:p>
      <w:pPr>
        <w:spacing w:line="480" w:lineRule="auto" w:before="242"/>
        <w:ind w:left="920" w:right="1171" w:firstLine="0"/>
        <w:jc w:val="both"/>
        <w:rPr>
          <w:sz w:val="22"/>
        </w:rPr>
      </w:pPr>
      <w:r>
        <w:rPr>
          <w:sz w:val="22"/>
        </w:rPr>
        <w:t>Bacteria are widely distributed in nature and may be introduced into milk easily. Consequently, a broad spectrum of bacteria such as</w:t>
      </w:r>
      <w:r>
        <w:rPr>
          <w:i/>
          <w:sz w:val="22"/>
        </w:rPr>
        <w:t>Staphylococcus aureus, Escherichia coli,Salmonella spp, Pseudomonas spp, Enterobacter</w:t>
      </w:r>
      <w:r>
        <w:rPr>
          <w:i/>
          <w:spacing w:val="-4"/>
          <w:sz w:val="22"/>
        </w:rPr>
        <w:t> </w:t>
      </w:r>
      <w:r>
        <w:rPr>
          <w:i/>
          <w:sz w:val="22"/>
        </w:rPr>
        <w:t>spp,</w:t>
      </w:r>
      <w:r>
        <w:rPr>
          <w:i/>
          <w:spacing w:val="-3"/>
          <w:sz w:val="22"/>
        </w:rPr>
        <w:t> </w:t>
      </w:r>
      <w:r>
        <w:rPr>
          <w:i/>
          <w:sz w:val="22"/>
        </w:rPr>
        <w:t>Klebsiella</w:t>
      </w:r>
      <w:r>
        <w:rPr>
          <w:i/>
          <w:spacing w:val="-3"/>
          <w:sz w:val="22"/>
        </w:rPr>
        <w:t> </w:t>
      </w:r>
      <w:r>
        <w:rPr>
          <w:i/>
          <w:sz w:val="22"/>
        </w:rPr>
        <w:t>spp,</w:t>
      </w:r>
      <w:r>
        <w:rPr>
          <w:i/>
          <w:spacing w:val="-3"/>
          <w:sz w:val="22"/>
        </w:rPr>
        <w:t> </w:t>
      </w:r>
      <w:r>
        <w:rPr>
          <w:i/>
          <w:sz w:val="22"/>
        </w:rPr>
        <w:t>Proteus spp</w:t>
      </w:r>
      <w:r>
        <w:rPr>
          <w:i/>
          <w:spacing w:val="-1"/>
          <w:sz w:val="22"/>
        </w:rPr>
        <w:t> </w:t>
      </w:r>
      <w:r>
        <w:rPr>
          <w:sz w:val="22"/>
        </w:rPr>
        <w:t>and</w:t>
      </w:r>
      <w:r>
        <w:rPr>
          <w:spacing w:val="-1"/>
          <w:sz w:val="22"/>
        </w:rPr>
        <w:t> </w:t>
      </w:r>
      <w:r>
        <w:rPr>
          <w:i/>
          <w:sz w:val="22"/>
        </w:rPr>
        <w:t>Yersinia</w:t>
      </w:r>
      <w:r>
        <w:rPr>
          <w:i/>
          <w:spacing w:val="-3"/>
          <w:sz w:val="22"/>
        </w:rPr>
        <w:t> </w:t>
      </w:r>
      <w:r>
        <w:rPr>
          <w:i/>
          <w:sz w:val="22"/>
        </w:rPr>
        <w:t>spp </w:t>
      </w:r>
      <w:r>
        <w:rPr>
          <w:sz w:val="22"/>
        </w:rPr>
        <w:t>have been</w:t>
      </w:r>
      <w:r>
        <w:rPr>
          <w:spacing w:val="-1"/>
          <w:sz w:val="22"/>
        </w:rPr>
        <w:t> </w:t>
      </w:r>
      <w:r>
        <w:rPr>
          <w:sz w:val="22"/>
        </w:rPr>
        <w:t>recovered</w:t>
      </w:r>
      <w:r>
        <w:rPr>
          <w:spacing w:val="-1"/>
          <w:sz w:val="22"/>
        </w:rPr>
        <w:t> </w:t>
      </w:r>
      <w:r>
        <w:rPr>
          <w:sz w:val="22"/>
        </w:rPr>
        <w:t>from</w:t>
      </w:r>
      <w:r>
        <w:rPr>
          <w:spacing w:val="-4"/>
          <w:sz w:val="22"/>
        </w:rPr>
        <w:t> </w:t>
      </w:r>
      <w:r>
        <w:rPr>
          <w:sz w:val="22"/>
        </w:rPr>
        <w:t>rawmilk (Ayebo </w:t>
      </w:r>
      <w:r>
        <w:rPr>
          <w:i/>
          <w:sz w:val="22"/>
        </w:rPr>
        <w:t>et al</w:t>
      </w:r>
      <w:r>
        <w:rPr>
          <w:sz w:val="22"/>
        </w:rPr>
        <w:t>., 1976; De Buyser </w:t>
      </w:r>
      <w:r>
        <w:rPr>
          <w:i/>
          <w:sz w:val="22"/>
        </w:rPr>
        <w:t>et al</w:t>
      </w:r>
      <w:r>
        <w:rPr>
          <w:sz w:val="22"/>
        </w:rPr>
        <w:t>., 2001; Sivapalasingams </w:t>
      </w:r>
      <w:r>
        <w:rPr>
          <w:i/>
          <w:sz w:val="22"/>
        </w:rPr>
        <w:t>et al</w:t>
      </w:r>
      <w:r>
        <w:rPr>
          <w:sz w:val="22"/>
        </w:rPr>
        <w:t>., 2004) and some of these have been determined tobe potentially pathogenic and toxicogenic, and implicated in milkbornegastroenteritis (Bergdoll, 1979;Maguire </w:t>
      </w:r>
      <w:r>
        <w:rPr>
          <w:i/>
          <w:sz w:val="22"/>
        </w:rPr>
        <w:t>et al</w:t>
      </w:r>
      <w:r>
        <w:rPr>
          <w:sz w:val="22"/>
        </w:rPr>
        <w:t>., 1992). However, some of them including </w:t>
      </w:r>
      <w:r>
        <w:rPr>
          <w:i/>
          <w:sz w:val="22"/>
        </w:rPr>
        <w:t>Proteus spp </w:t>
      </w:r>
      <w:r>
        <w:rPr>
          <w:sz w:val="22"/>
        </w:rPr>
        <w:t>and </w:t>
      </w:r>
      <w:r>
        <w:rPr>
          <w:i/>
          <w:sz w:val="22"/>
        </w:rPr>
        <w:t>Klebsiellaspp </w:t>
      </w:r>
      <w:r>
        <w:rPr>
          <w:sz w:val="22"/>
        </w:rPr>
        <w:t>are rarely associated with foodborne infections. </w:t>
      </w:r>
      <w:r>
        <w:rPr>
          <w:i/>
          <w:sz w:val="22"/>
        </w:rPr>
        <w:t>Klebsiella pneumoniae</w:t>
      </w:r>
      <w:r>
        <w:rPr>
          <w:sz w:val="22"/>
        </w:rPr>
        <w:t>, the main Klebsiella pathogenic species causes pneumonia while </w:t>
      </w:r>
      <w:r>
        <w:rPr>
          <w:i/>
          <w:sz w:val="22"/>
        </w:rPr>
        <w:t>Proteusspp </w:t>
      </w:r>
      <w:r>
        <w:rPr>
          <w:sz w:val="22"/>
        </w:rPr>
        <w:t>has been reported to be mainly associated with wound and urinary</w:t>
      </w:r>
      <w:r>
        <w:rPr>
          <w:spacing w:val="27"/>
          <w:sz w:val="22"/>
        </w:rPr>
        <w:t> </w:t>
      </w:r>
      <w:r>
        <w:rPr>
          <w:sz w:val="22"/>
        </w:rPr>
        <w:t>tract</w:t>
      </w:r>
      <w:r>
        <w:rPr>
          <w:spacing w:val="24"/>
          <w:sz w:val="22"/>
        </w:rPr>
        <w:t> </w:t>
      </w:r>
      <w:r>
        <w:rPr>
          <w:sz w:val="22"/>
        </w:rPr>
        <w:t>infections.</w:t>
      </w:r>
      <w:r>
        <w:rPr>
          <w:spacing w:val="28"/>
          <w:sz w:val="22"/>
        </w:rPr>
        <w:t> </w:t>
      </w:r>
      <w:r>
        <w:rPr>
          <w:sz w:val="22"/>
        </w:rPr>
        <w:t>Thus</w:t>
      </w:r>
      <w:r>
        <w:rPr>
          <w:spacing w:val="26"/>
          <w:sz w:val="22"/>
        </w:rPr>
        <w:t> </w:t>
      </w:r>
      <w:r>
        <w:rPr>
          <w:sz w:val="22"/>
        </w:rPr>
        <w:t>the</w:t>
      </w:r>
      <w:r>
        <w:rPr>
          <w:spacing w:val="26"/>
          <w:sz w:val="22"/>
        </w:rPr>
        <w:t> </w:t>
      </w:r>
      <w:r>
        <w:rPr>
          <w:sz w:val="22"/>
        </w:rPr>
        <w:t>occurrence</w:t>
      </w:r>
      <w:r>
        <w:rPr>
          <w:spacing w:val="26"/>
          <w:sz w:val="22"/>
        </w:rPr>
        <w:t> </w:t>
      </w:r>
      <w:r>
        <w:rPr>
          <w:sz w:val="22"/>
        </w:rPr>
        <w:t>of</w:t>
      </w:r>
      <w:r>
        <w:rPr>
          <w:spacing w:val="26"/>
          <w:sz w:val="22"/>
        </w:rPr>
        <w:t> </w:t>
      </w:r>
      <w:r>
        <w:rPr>
          <w:sz w:val="22"/>
        </w:rPr>
        <w:t>these</w:t>
      </w:r>
      <w:r>
        <w:rPr>
          <w:spacing w:val="26"/>
          <w:sz w:val="22"/>
        </w:rPr>
        <w:t> </w:t>
      </w:r>
      <w:r>
        <w:rPr>
          <w:sz w:val="22"/>
        </w:rPr>
        <w:t>organisms</w:t>
      </w:r>
      <w:r>
        <w:rPr>
          <w:spacing w:val="22"/>
          <w:sz w:val="22"/>
        </w:rPr>
        <w:t> </w:t>
      </w:r>
      <w:r>
        <w:rPr>
          <w:sz w:val="22"/>
        </w:rPr>
        <w:t>in</w:t>
      </w:r>
      <w:r>
        <w:rPr>
          <w:spacing w:val="25"/>
          <w:sz w:val="22"/>
        </w:rPr>
        <w:t> </w:t>
      </w:r>
      <w:r>
        <w:rPr>
          <w:sz w:val="22"/>
        </w:rPr>
        <w:t>milk</w:t>
      </w:r>
      <w:r>
        <w:rPr>
          <w:spacing w:val="26"/>
          <w:sz w:val="22"/>
        </w:rPr>
        <w:t> </w:t>
      </w:r>
      <w:r>
        <w:rPr>
          <w:sz w:val="22"/>
        </w:rPr>
        <w:t>may</w:t>
      </w:r>
      <w:r>
        <w:rPr>
          <w:spacing w:val="29"/>
          <w:sz w:val="22"/>
        </w:rPr>
        <w:t> </w:t>
      </w:r>
      <w:r>
        <w:rPr>
          <w:sz w:val="22"/>
        </w:rPr>
        <w:t>pose</w:t>
      </w:r>
      <w:r>
        <w:rPr>
          <w:spacing w:val="26"/>
          <w:sz w:val="22"/>
        </w:rPr>
        <w:t> </w:t>
      </w:r>
      <w:r>
        <w:rPr>
          <w:sz w:val="22"/>
        </w:rPr>
        <w:t>risk</w:t>
      </w:r>
      <w:r>
        <w:rPr>
          <w:spacing w:val="26"/>
          <w:sz w:val="22"/>
        </w:rPr>
        <w:t> </w:t>
      </w:r>
      <w:r>
        <w:rPr>
          <w:sz w:val="22"/>
        </w:rPr>
        <w:t>to</w:t>
      </w:r>
      <w:r>
        <w:rPr>
          <w:spacing w:val="25"/>
          <w:sz w:val="22"/>
        </w:rPr>
        <w:t> </w:t>
      </w:r>
      <w:r>
        <w:rPr>
          <w:sz w:val="22"/>
        </w:rPr>
        <w:t>consumers.</w:t>
      </w:r>
    </w:p>
    <w:p>
      <w:pPr>
        <w:spacing w:after="0" w:line="480" w:lineRule="auto"/>
        <w:jc w:val="both"/>
        <w:rPr>
          <w:sz w:val="22"/>
        </w:rPr>
        <w:sectPr>
          <w:pgSz w:w="12240" w:h="15840"/>
          <w:pgMar w:header="0" w:footer="1017" w:top="1400" w:bottom="1200" w:left="520" w:right="260"/>
        </w:sectPr>
      </w:pPr>
    </w:p>
    <w:p>
      <w:pPr>
        <w:pStyle w:val="BodyText"/>
        <w:spacing w:line="480" w:lineRule="auto" w:before="37"/>
        <w:ind w:left="920" w:right="1182"/>
        <w:jc w:val="both"/>
      </w:pPr>
      <w:r>
        <w:rPr/>
        <w:t>Most of the other bacteria identified in milk have been implicated in milk and other food related infections (Kivaria </w:t>
      </w:r>
      <w:r>
        <w:rPr>
          <w:i/>
        </w:rPr>
        <w:t>et al</w:t>
      </w:r>
      <w:r>
        <w:rPr/>
        <w:t>., 2006).</w:t>
      </w:r>
    </w:p>
    <w:p>
      <w:pPr>
        <w:pStyle w:val="BodyText"/>
        <w:spacing w:line="480" w:lineRule="auto" w:before="241"/>
        <w:ind w:left="920" w:right="1174"/>
        <w:jc w:val="both"/>
      </w:pPr>
      <w:r>
        <w:rPr>
          <w:i/>
        </w:rPr>
        <w:t>Staphylococcus aureus </w:t>
      </w:r>
      <w:r>
        <w:rPr/>
        <w:t>by far is the most frequent pathogen associated with outbreaks of milk-borne infections (85.5% of the outbreaks), followed by </w:t>
      </w:r>
      <w:r>
        <w:rPr>
          <w:i/>
        </w:rPr>
        <w:t>Salmonella </w:t>
      </w:r>
      <w:r>
        <w:rPr/>
        <w:t>(10.1%) (De Buyser </w:t>
      </w:r>
      <w:r>
        <w:rPr>
          <w:i/>
        </w:rPr>
        <w:t>et al., </w:t>
      </w:r>
      <w:r>
        <w:rPr/>
        <w:t>2001). </w:t>
      </w:r>
      <w:r>
        <w:rPr>
          <w:i/>
        </w:rPr>
        <w:t>Staphylococcus</w:t>
      </w:r>
      <w:r>
        <w:rPr>
          <w:i/>
          <w:spacing w:val="-1"/>
        </w:rPr>
        <w:t> </w:t>
      </w:r>
      <w:r>
        <w:rPr>
          <w:i/>
        </w:rPr>
        <w:t>aureus </w:t>
      </w:r>
      <w:r>
        <w:rPr/>
        <w:t>has</w:t>
      </w:r>
      <w:r>
        <w:rPr>
          <w:spacing w:val="-5"/>
        </w:rPr>
        <w:t> </w:t>
      </w:r>
      <w:r>
        <w:rPr/>
        <w:t>been</w:t>
      </w:r>
      <w:r>
        <w:rPr>
          <w:spacing w:val="-2"/>
        </w:rPr>
        <w:t> </w:t>
      </w:r>
      <w:r>
        <w:rPr/>
        <w:t>reported</w:t>
      </w:r>
      <w:r>
        <w:rPr>
          <w:spacing w:val="-2"/>
        </w:rPr>
        <w:t> </w:t>
      </w:r>
      <w:r>
        <w:rPr/>
        <w:t>associated</w:t>
      </w:r>
      <w:r>
        <w:rPr>
          <w:spacing w:val="-6"/>
        </w:rPr>
        <w:t> </w:t>
      </w:r>
      <w:r>
        <w:rPr/>
        <w:t>with</w:t>
      </w:r>
      <w:r>
        <w:rPr>
          <w:spacing w:val="-2"/>
        </w:rPr>
        <w:t> </w:t>
      </w:r>
      <w:r>
        <w:rPr/>
        <w:t>food</w:t>
      </w:r>
      <w:r>
        <w:rPr>
          <w:spacing w:val="-2"/>
        </w:rPr>
        <w:t> </w:t>
      </w:r>
      <w:r>
        <w:rPr/>
        <w:t>borne</w:t>
      </w:r>
      <w:r>
        <w:rPr>
          <w:spacing w:val="-1"/>
        </w:rPr>
        <w:t> </w:t>
      </w:r>
      <w:r>
        <w:rPr/>
        <w:t>intoxication</w:t>
      </w:r>
      <w:r>
        <w:rPr>
          <w:spacing w:val="-2"/>
        </w:rPr>
        <w:t> </w:t>
      </w:r>
      <w:r>
        <w:rPr/>
        <w:t>through</w:t>
      </w:r>
      <w:r>
        <w:rPr>
          <w:spacing w:val="-2"/>
        </w:rPr>
        <w:t> </w:t>
      </w:r>
      <w:r>
        <w:rPr/>
        <w:t>production</w:t>
      </w:r>
      <w:r>
        <w:rPr>
          <w:spacing w:val="-2"/>
        </w:rPr>
        <w:t> </w:t>
      </w:r>
      <w:r>
        <w:rPr/>
        <w:t>of enterotoxins, and may be introduced into milk from the udder or skin of humans. Other organisms in milk that have been reported belong to the enterobacteriaceae family. Enterobacteria organisms have been found to be common inhabitants of the intestinal tract of various domestic animals including cow, and are commonly found in cow dung which has been observed to be abundant at milking</w:t>
      </w:r>
      <w:r>
        <w:rPr>
          <w:spacing w:val="40"/>
        </w:rPr>
        <w:t> </w:t>
      </w:r>
      <w:r>
        <w:rPr/>
        <w:t>environments, and therefore easy contamination of the milk as a result of poor sanitation or milking environments (Kivaria </w:t>
      </w:r>
      <w:r>
        <w:rPr>
          <w:i/>
        </w:rPr>
        <w:t>et al</w:t>
      </w:r>
      <w:r>
        <w:rPr/>
        <w:t>., 2006).</w:t>
      </w:r>
    </w:p>
    <w:p>
      <w:pPr>
        <w:pStyle w:val="BodyText"/>
        <w:spacing w:line="480" w:lineRule="auto" w:before="239"/>
        <w:ind w:left="920" w:right="1177" w:firstLine="48"/>
        <w:jc w:val="both"/>
      </w:pPr>
      <w:r>
        <w:rPr/>
        <w:t>Food products especially raw milk has been reported to be commonly contaminated with food borne pathogens and many of them show resistance to different antibiotics. Milk products are often contaminated with enterotoxigenic strains of </w:t>
      </w:r>
      <w:r>
        <w:rPr>
          <w:i/>
        </w:rPr>
        <w:t>S. aureus </w:t>
      </w:r>
      <w:r>
        <w:rPr/>
        <w:t>(Chao </w:t>
      </w:r>
      <w:r>
        <w:rPr>
          <w:i/>
        </w:rPr>
        <w:t>et al</w:t>
      </w:r>
      <w:r>
        <w:rPr/>
        <w:t>., 2007). It is currently not possible to effectively and consistently exclude such multiantibiotic resistant bacterial strains from the human food chain, which means that they continue to pose a significant clinical threat to consumers and</w:t>
      </w:r>
      <w:r>
        <w:rPr>
          <w:spacing w:val="40"/>
        </w:rPr>
        <w:t> </w:t>
      </w:r>
      <w:r>
        <w:rPr/>
        <w:t>concomitant economic threats to the food production and processing industry (Walsh </w:t>
      </w:r>
      <w:r>
        <w:rPr>
          <w:i/>
        </w:rPr>
        <w:t>et al</w:t>
      </w:r>
      <w:r>
        <w:rPr/>
        <w:t>., 2005). Presence of enterotoxigenic and antimicrobial resistant strains of bacterial pathogenshas become remarkably widespread in milk (Normanno </w:t>
      </w:r>
      <w:r>
        <w:rPr>
          <w:i/>
        </w:rPr>
        <w:t>et al</w:t>
      </w:r>
      <w:r>
        <w:rPr/>
        <w:t>., 2007). This requires a better control of food contamination sources and distribution of antimicrobial-resistant organisms (Normanno </w:t>
      </w:r>
      <w:r>
        <w:rPr>
          <w:i/>
        </w:rPr>
        <w:t>et al</w:t>
      </w:r>
      <w:r>
        <w:rPr/>
        <w:t>., 2007).</w:t>
      </w:r>
    </w:p>
    <w:p>
      <w:pPr>
        <w:pStyle w:val="BodyText"/>
        <w:spacing w:line="480" w:lineRule="auto" w:before="240"/>
        <w:ind w:left="920" w:right="1175"/>
        <w:jc w:val="both"/>
      </w:pPr>
      <w:r>
        <w:rPr/>
        <w:t>Food safety has raised public concerns, which may necessitate the actual sterilization of many milk products in future. Though sterile milk is now available, the heat required for sterilizing it, has been reported to alter its taste and marketability (Smith </w:t>
      </w:r>
      <w:r>
        <w:rPr>
          <w:i/>
        </w:rPr>
        <w:t>et al.</w:t>
      </w:r>
      <w:r>
        <w:rPr/>
        <w:t>, 2002).</w:t>
      </w:r>
    </w:p>
    <w:p>
      <w:pPr>
        <w:spacing w:after="0" w:line="480" w:lineRule="auto"/>
        <w:jc w:val="both"/>
        <w:sectPr>
          <w:pgSz w:w="12240" w:h="15840"/>
          <w:pgMar w:header="0" w:footer="1017" w:top="1400" w:bottom="1200" w:left="520" w:right="260"/>
        </w:sectPr>
      </w:pPr>
    </w:p>
    <w:p>
      <w:pPr>
        <w:pStyle w:val="Heading5"/>
        <w:numPr>
          <w:ilvl w:val="1"/>
          <w:numId w:val="8"/>
        </w:numPr>
        <w:tabs>
          <w:tab w:pos="1245" w:val="left" w:leader="none"/>
        </w:tabs>
        <w:spacing w:line="240" w:lineRule="auto" w:before="37" w:after="0"/>
        <w:ind w:left="1245" w:right="0" w:hanging="325"/>
        <w:jc w:val="left"/>
      </w:pPr>
      <w:bookmarkStart w:name="_TOC_250080" w:id="11"/>
      <w:r>
        <w:rPr/>
        <w:t>STATEMENT</w:t>
      </w:r>
      <w:r>
        <w:rPr>
          <w:spacing w:val="-4"/>
        </w:rPr>
        <w:t> </w:t>
      </w:r>
      <w:r>
        <w:rPr/>
        <w:t>OF</w:t>
      </w:r>
      <w:r>
        <w:rPr>
          <w:spacing w:val="-5"/>
        </w:rPr>
        <w:t> </w:t>
      </w:r>
      <w:r>
        <w:rPr/>
        <w:t>RESEARCH </w:t>
      </w:r>
      <w:bookmarkEnd w:id="11"/>
      <w:r>
        <w:rPr>
          <w:spacing w:val="-2"/>
        </w:rPr>
        <w:t>PROBLEM</w:t>
      </w:r>
    </w:p>
    <w:p>
      <w:pPr>
        <w:pStyle w:val="BodyText"/>
        <w:spacing w:before="240"/>
        <w:rPr>
          <w:b/>
        </w:rPr>
      </w:pPr>
    </w:p>
    <w:p>
      <w:pPr>
        <w:pStyle w:val="BodyText"/>
        <w:spacing w:line="480" w:lineRule="auto"/>
        <w:ind w:left="920" w:right="1177"/>
        <w:jc w:val="both"/>
      </w:pPr>
      <w:r>
        <w:rPr/>
        <w:t>Foodborne diseases have a major public health impact and their well-publicized and widespread outbreaks have created an awareness of their potential threats to human health. The epidemiology of foodborne diseases is rapidly changing as newly recognized pathogens emerge and well-recognized pathogens increase in prevalence or become associated with new food vehicles (Alterkruse </w:t>
      </w:r>
      <w:r>
        <w:rPr>
          <w:i/>
        </w:rPr>
        <w:t>et</w:t>
      </w:r>
      <w:r>
        <w:rPr>
          <w:i/>
          <w:spacing w:val="-1"/>
        </w:rPr>
        <w:t> </w:t>
      </w:r>
      <w:r>
        <w:rPr>
          <w:i/>
        </w:rPr>
        <w:t>al.</w:t>
      </w:r>
      <w:r>
        <w:rPr/>
        <w:t>,</w:t>
      </w:r>
      <w:r>
        <w:rPr>
          <w:spacing w:val="-1"/>
        </w:rPr>
        <w:t> </w:t>
      </w:r>
      <w:r>
        <w:rPr/>
        <w:t>1997).</w:t>
      </w:r>
    </w:p>
    <w:p>
      <w:pPr>
        <w:spacing w:line="480" w:lineRule="auto" w:before="237"/>
        <w:ind w:left="920" w:right="1175" w:firstLine="0"/>
        <w:jc w:val="both"/>
        <w:rPr>
          <w:sz w:val="22"/>
        </w:rPr>
      </w:pPr>
      <w:r>
        <w:rPr>
          <w:sz w:val="22"/>
        </w:rPr>
        <w:t>There have been numerous outbreaks of milk-borne diseases in humans with pathogens such as </w:t>
      </w:r>
      <w:r>
        <w:rPr>
          <w:i/>
          <w:sz w:val="22"/>
        </w:rPr>
        <w:t>S. aureus</w:t>
      </w:r>
      <w:r>
        <w:rPr>
          <w:sz w:val="22"/>
        </w:rPr>
        <w:t>, </w:t>
      </w:r>
      <w:r>
        <w:rPr>
          <w:i/>
          <w:sz w:val="22"/>
        </w:rPr>
        <w:t>E. coli</w:t>
      </w:r>
      <w:r>
        <w:rPr>
          <w:sz w:val="22"/>
        </w:rPr>
        <w:t>, </w:t>
      </w:r>
      <w:r>
        <w:rPr>
          <w:i/>
          <w:sz w:val="22"/>
        </w:rPr>
        <w:t>Salmonella spp</w:t>
      </w:r>
      <w:r>
        <w:rPr>
          <w:sz w:val="22"/>
        </w:rPr>
        <w:t>, </w:t>
      </w:r>
      <w:r>
        <w:rPr>
          <w:i/>
          <w:sz w:val="22"/>
        </w:rPr>
        <w:t>Yersinia spp </w:t>
      </w:r>
      <w:r>
        <w:rPr>
          <w:sz w:val="22"/>
        </w:rPr>
        <w:t>and </w:t>
      </w:r>
      <w:r>
        <w:rPr>
          <w:i/>
          <w:sz w:val="22"/>
        </w:rPr>
        <w:t>Enterobacter spp </w:t>
      </w:r>
      <w:r>
        <w:rPr>
          <w:sz w:val="22"/>
        </w:rPr>
        <w:t>being implicated within this past Century, especially since mass production came into effect (Yagoub et al., 2005).</w:t>
      </w:r>
    </w:p>
    <w:p>
      <w:pPr>
        <w:pStyle w:val="BodyText"/>
        <w:spacing w:before="242"/>
        <w:ind w:left="920"/>
        <w:jc w:val="both"/>
        <w:rPr>
          <w:i/>
        </w:rPr>
      </w:pPr>
      <w:r>
        <w:rPr/>
        <w:t>Milk</w:t>
      </w:r>
      <w:r>
        <w:rPr>
          <w:spacing w:val="50"/>
        </w:rPr>
        <w:t> </w:t>
      </w:r>
      <w:r>
        <w:rPr/>
        <w:t>can</w:t>
      </w:r>
      <w:r>
        <w:rPr>
          <w:spacing w:val="52"/>
        </w:rPr>
        <w:t> </w:t>
      </w:r>
      <w:r>
        <w:rPr/>
        <w:t>act</w:t>
      </w:r>
      <w:r>
        <w:rPr>
          <w:spacing w:val="50"/>
        </w:rPr>
        <w:t> </w:t>
      </w:r>
      <w:r>
        <w:rPr/>
        <w:t>as</w:t>
      </w:r>
      <w:r>
        <w:rPr>
          <w:spacing w:val="53"/>
        </w:rPr>
        <w:t> </w:t>
      </w:r>
      <w:r>
        <w:rPr/>
        <w:t>a</w:t>
      </w:r>
      <w:r>
        <w:rPr>
          <w:spacing w:val="52"/>
        </w:rPr>
        <w:t> </w:t>
      </w:r>
      <w:r>
        <w:rPr/>
        <w:t>vehicle</w:t>
      </w:r>
      <w:r>
        <w:rPr>
          <w:spacing w:val="49"/>
        </w:rPr>
        <w:t> </w:t>
      </w:r>
      <w:r>
        <w:rPr/>
        <w:t>for</w:t>
      </w:r>
      <w:r>
        <w:rPr>
          <w:spacing w:val="52"/>
        </w:rPr>
        <w:t> </w:t>
      </w:r>
      <w:r>
        <w:rPr/>
        <w:t>the</w:t>
      </w:r>
      <w:r>
        <w:rPr>
          <w:spacing w:val="53"/>
        </w:rPr>
        <w:t> </w:t>
      </w:r>
      <w:r>
        <w:rPr/>
        <w:t>transmission</w:t>
      </w:r>
      <w:r>
        <w:rPr>
          <w:spacing w:val="52"/>
        </w:rPr>
        <w:t> </w:t>
      </w:r>
      <w:r>
        <w:rPr/>
        <w:t>of</w:t>
      </w:r>
      <w:r>
        <w:rPr>
          <w:spacing w:val="47"/>
        </w:rPr>
        <w:t> </w:t>
      </w:r>
      <w:r>
        <w:rPr/>
        <w:t>bacterial</w:t>
      </w:r>
      <w:r>
        <w:rPr>
          <w:spacing w:val="55"/>
        </w:rPr>
        <w:t> </w:t>
      </w:r>
      <w:r>
        <w:rPr/>
        <w:t>diseases</w:t>
      </w:r>
      <w:r>
        <w:rPr>
          <w:spacing w:val="52"/>
        </w:rPr>
        <w:t> </w:t>
      </w:r>
      <w:r>
        <w:rPr/>
        <w:t>such</w:t>
      </w:r>
      <w:r>
        <w:rPr>
          <w:spacing w:val="52"/>
        </w:rPr>
        <w:t> </w:t>
      </w:r>
      <w:r>
        <w:rPr/>
        <w:t>as,</w:t>
      </w:r>
      <w:r>
        <w:rPr>
          <w:spacing w:val="51"/>
        </w:rPr>
        <w:t> </w:t>
      </w:r>
      <w:r>
        <w:rPr/>
        <w:t>salmonellosis,</w:t>
      </w:r>
      <w:r>
        <w:rPr>
          <w:spacing w:val="50"/>
        </w:rPr>
        <w:t> </w:t>
      </w:r>
      <w:r>
        <w:rPr>
          <w:i/>
        </w:rPr>
        <w:t>E.</w:t>
      </w:r>
      <w:r>
        <w:rPr>
          <w:i/>
          <w:spacing w:val="54"/>
        </w:rPr>
        <w:t> </w:t>
      </w:r>
      <w:r>
        <w:rPr>
          <w:i/>
          <w:spacing w:val="-4"/>
        </w:rPr>
        <w:t>coli</w:t>
      </w:r>
    </w:p>
    <w:p>
      <w:pPr>
        <w:pStyle w:val="BodyText"/>
        <w:rPr>
          <w:i/>
        </w:rPr>
      </w:pPr>
    </w:p>
    <w:p>
      <w:pPr>
        <w:pStyle w:val="BodyText"/>
        <w:ind w:left="920"/>
        <w:jc w:val="both"/>
      </w:pPr>
      <w:r>
        <w:rPr/>
        <w:t>infections,</w:t>
      </w:r>
      <w:r>
        <w:rPr>
          <w:spacing w:val="-8"/>
        </w:rPr>
        <w:t> </w:t>
      </w:r>
      <w:r>
        <w:rPr/>
        <w:t>cholera,</w:t>
      </w:r>
      <w:r>
        <w:rPr>
          <w:spacing w:val="-6"/>
        </w:rPr>
        <w:t> </w:t>
      </w:r>
      <w:r>
        <w:rPr/>
        <w:t>brucellosis,</w:t>
      </w:r>
      <w:r>
        <w:rPr>
          <w:spacing w:val="-5"/>
        </w:rPr>
        <w:t> </w:t>
      </w:r>
      <w:r>
        <w:rPr/>
        <w:t>streptococcal</w:t>
      </w:r>
      <w:r>
        <w:rPr>
          <w:spacing w:val="-2"/>
        </w:rPr>
        <w:t> </w:t>
      </w:r>
      <w:r>
        <w:rPr/>
        <w:t>infections</w:t>
      </w:r>
      <w:r>
        <w:rPr>
          <w:spacing w:val="-4"/>
        </w:rPr>
        <w:t> </w:t>
      </w:r>
      <w:r>
        <w:rPr/>
        <w:t>and</w:t>
      </w:r>
      <w:r>
        <w:rPr>
          <w:spacing w:val="-4"/>
        </w:rPr>
        <w:t> </w:t>
      </w:r>
      <w:r>
        <w:rPr>
          <w:spacing w:val="-2"/>
        </w:rPr>
        <w:t>listeriosis.</w:t>
      </w:r>
    </w:p>
    <w:p>
      <w:pPr>
        <w:pStyle w:val="BodyText"/>
        <w:spacing w:before="241"/>
      </w:pPr>
    </w:p>
    <w:p>
      <w:pPr>
        <w:pStyle w:val="BodyText"/>
        <w:spacing w:line="480" w:lineRule="auto"/>
        <w:ind w:left="920" w:right="1174"/>
        <w:jc w:val="both"/>
      </w:pPr>
      <w:r>
        <w:rPr/>
        <w:t>Infection with enteropathogenic </w:t>
      </w:r>
      <w:r>
        <w:rPr>
          <w:i/>
        </w:rPr>
        <w:t>E. coli </w:t>
      </w:r>
      <w:r>
        <w:rPr/>
        <w:t>usually, results in mild illness; however, some serotypes are enterohemorrhagic and can lead to hemolyticuremic syndrome. </w:t>
      </w:r>
      <w:r>
        <w:rPr>
          <w:i/>
        </w:rPr>
        <w:t>Escherichia coli </w:t>
      </w:r>
      <w:r>
        <w:rPr/>
        <w:t>0157:H7 is the most common entero-hemorrhagic strain (Van Kessel </w:t>
      </w:r>
      <w:r>
        <w:rPr>
          <w:i/>
        </w:rPr>
        <w:t>et al., </w:t>
      </w:r>
      <w:r>
        <w:rPr/>
        <w:t>2003), which have been reported to cause acute kidney failure in children in the United States (Alterkruse </w:t>
      </w:r>
      <w:r>
        <w:rPr>
          <w:i/>
        </w:rPr>
        <w:t>et al.</w:t>
      </w:r>
      <w:r>
        <w:rPr/>
        <w:t>, 1997). Because </w:t>
      </w:r>
      <w:r>
        <w:rPr>
          <w:i/>
        </w:rPr>
        <w:t>Salmonella </w:t>
      </w:r>
      <w:r>
        <w:rPr/>
        <w:t>and </w:t>
      </w:r>
      <w:r>
        <w:rPr>
          <w:i/>
        </w:rPr>
        <w:t>E. coli </w:t>
      </w:r>
      <w:r>
        <w:rPr/>
        <w:t>0157:H7 are shed in the animal’s faeces, there is a risk of these pathogens entering the milk (Van Kessel </w:t>
      </w:r>
      <w:r>
        <w:rPr>
          <w:i/>
        </w:rPr>
        <w:t>et al.</w:t>
      </w:r>
      <w:r>
        <w:rPr/>
        <w:t>, 2003).Diarrhea disease has been a major public health problem causing high morbidity and mortality among children for many years (Bureau of Epidemiology, 2004). </w:t>
      </w:r>
      <w:r>
        <w:rPr>
          <w:i/>
        </w:rPr>
        <w:t>Salmonella </w:t>
      </w:r>
      <w:r>
        <w:rPr/>
        <w:t>causes diseases ranging from diarrhea to septicemia.</w:t>
      </w:r>
    </w:p>
    <w:p>
      <w:pPr>
        <w:pStyle w:val="BodyText"/>
        <w:spacing w:line="480" w:lineRule="auto" w:before="239"/>
        <w:ind w:left="920" w:right="1181"/>
        <w:jc w:val="both"/>
      </w:pPr>
      <w:r>
        <w:rPr/>
        <w:t>Milk contamination with antibiotic resistant bacteria can be a major threat to public health, as the antibiotic resistant determinants can be transferred to other pathogenic bacteria potentially compromising the treatment of severe bacterial infections. The prevalence of antimicrobial resistance among</w:t>
      </w:r>
      <w:r>
        <w:rPr>
          <w:spacing w:val="30"/>
        </w:rPr>
        <w:t> </w:t>
      </w:r>
      <w:r>
        <w:rPr/>
        <w:t>foodborne</w:t>
      </w:r>
      <w:r>
        <w:rPr>
          <w:spacing w:val="29"/>
        </w:rPr>
        <w:t> </w:t>
      </w:r>
      <w:r>
        <w:rPr/>
        <w:t>pathogens</w:t>
      </w:r>
      <w:r>
        <w:rPr>
          <w:spacing w:val="29"/>
        </w:rPr>
        <w:t> </w:t>
      </w:r>
      <w:r>
        <w:rPr/>
        <w:t>has</w:t>
      </w:r>
      <w:r>
        <w:rPr>
          <w:spacing w:val="24"/>
        </w:rPr>
        <w:t> </w:t>
      </w:r>
      <w:r>
        <w:rPr/>
        <w:t>increased</w:t>
      </w:r>
      <w:r>
        <w:rPr>
          <w:spacing w:val="28"/>
        </w:rPr>
        <w:t> </w:t>
      </w:r>
      <w:r>
        <w:rPr/>
        <w:t>in</w:t>
      </w:r>
      <w:r>
        <w:rPr>
          <w:spacing w:val="24"/>
        </w:rPr>
        <w:t> </w:t>
      </w:r>
      <w:r>
        <w:rPr/>
        <w:t>recent</w:t>
      </w:r>
      <w:r>
        <w:rPr>
          <w:spacing w:val="27"/>
        </w:rPr>
        <w:t> </w:t>
      </w:r>
      <w:r>
        <w:rPr/>
        <w:t>decades</w:t>
      </w:r>
      <w:r>
        <w:rPr>
          <w:spacing w:val="29"/>
        </w:rPr>
        <w:t> </w:t>
      </w:r>
      <w:r>
        <w:rPr/>
        <w:t>(Davis</w:t>
      </w:r>
      <w:r>
        <w:rPr>
          <w:spacing w:val="25"/>
        </w:rPr>
        <w:t> </w:t>
      </w:r>
      <w:r>
        <w:rPr>
          <w:i/>
        </w:rPr>
        <w:t>et</w:t>
      </w:r>
      <w:r>
        <w:rPr>
          <w:i/>
          <w:spacing w:val="27"/>
        </w:rPr>
        <w:t> </w:t>
      </w:r>
      <w:r>
        <w:rPr>
          <w:i/>
        </w:rPr>
        <w:t>al</w:t>
      </w:r>
      <w:r>
        <w:rPr/>
        <w:t>.,</w:t>
      </w:r>
      <w:r>
        <w:rPr>
          <w:spacing w:val="26"/>
        </w:rPr>
        <w:t> </w:t>
      </w:r>
      <w:r>
        <w:rPr/>
        <w:t>1999;</w:t>
      </w:r>
      <w:r>
        <w:rPr>
          <w:spacing w:val="27"/>
        </w:rPr>
        <w:t> </w:t>
      </w:r>
      <w:r>
        <w:rPr/>
        <w:t>Garau</w:t>
      </w:r>
      <w:r>
        <w:rPr>
          <w:spacing w:val="29"/>
        </w:rPr>
        <w:t> </w:t>
      </w:r>
      <w:r>
        <w:rPr>
          <w:i/>
        </w:rPr>
        <w:t>et</w:t>
      </w:r>
      <w:r>
        <w:rPr>
          <w:i/>
          <w:spacing w:val="27"/>
        </w:rPr>
        <w:t> </w:t>
      </w:r>
      <w:r>
        <w:rPr>
          <w:i/>
        </w:rPr>
        <w:t>al</w:t>
      </w:r>
      <w:r>
        <w:rPr/>
        <w:t>.,</w:t>
      </w:r>
      <w:r>
        <w:rPr>
          <w:spacing w:val="26"/>
        </w:rPr>
        <w:t> </w:t>
      </w:r>
      <w:r>
        <w:rPr/>
        <w:t>1999;</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Threfall </w:t>
      </w:r>
      <w:r>
        <w:rPr>
          <w:i/>
        </w:rPr>
        <w:t>et al</w:t>
      </w:r>
      <w:r>
        <w:rPr/>
        <w:t>., 2000; Chui </w:t>
      </w:r>
      <w:r>
        <w:rPr>
          <w:i/>
        </w:rPr>
        <w:t>et al</w:t>
      </w:r>
      <w:r>
        <w:rPr/>
        <w:t>., 2002). In addition, the lack of stringent controls on antibiotic usage in human</w:t>
      </w:r>
      <w:r>
        <w:rPr>
          <w:spacing w:val="-1"/>
        </w:rPr>
        <w:t> </w:t>
      </w:r>
      <w:r>
        <w:rPr/>
        <w:t>health</w:t>
      </w:r>
      <w:r>
        <w:rPr>
          <w:spacing w:val="-1"/>
        </w:rPr>
        <w:t> </w:t>
      </w:r>
      <w:r>
        <w:rPr/>
        <w:t>and</w:t>
      </w:r>
      <w:r>
        <w:rPr>
          <w:spacing w:val="-6"/>
        </w:rPr>
        <w:t> </w:t>
      </w:r>
      <w:r>
        <w:rPr/>
        <w:t>particularly</w:t>
      </w:r>
      <w:r>
        <w:rPr>
          <w:spacing w:val="-4"/>
        </w:rPr>
        <w:t> </w:t>
      </w:r>
      <w:r>
        <w:rPr/>
        <w:t>in</w:t>
      </w:r>
      <w:r>
        <w:rPr>
          <w:spacing w:val="-6"/>
        </w:rPr>
        <w:t> </w:t>
      </w:r>
      <w:r>
        <w:rPr/>
        <w:t>animal production</w:t>
      </w:r>
      <w:r>
        <w:rPr>
          <w:spacing w:val="-1"/>
        </w:rPr>
        <w:t> </w:t>
      </w:r>
      <w:r>
        <w:rPr/>
        <w:t>systems increases</w:t>
      </w:r>
      <w:r>
        <w:rPr>
          <w:spacing w:val="-5"/>
        </w:rPr>
        <w:t> </w:t>
      </w:r>
      <w:r>
        <w:rPr/>
        <w:t>the risk of</w:t>
      </w:r>
      <w:r>
        <w:rPr>
          <w:spacing w:val="-1"/>
        </w:rPr>
        <w:t> </w:t>
      </w:r>
      <w:r>
        <w:rPr/>
        <w:t>antibiotic</w:t>
      </w:r>
      <w:r>
        <w:rPr>
          <w:spacing w:val="-3"/>
        </w:rPr>
        <w:t> </w:t>
      </w:r>
      <w:r>
        <w:rPr/>
        <w:t>resistant</w:t>
      </w:r>
      <w:r>
        <w:rPr>
          <w:spacing w:val="-2"/>
        </w:rPr>
        <w:t> </w:t>
      </w:r>
      <w:r>
        <w:rPr/>
        <w:t>milk borne pathogens.</w:t>
      </w:r>
    </w:p>
    <w:p>
      <w:pPr>
        <w:pStyle w:val="BodyText"/>
        <w:spacing w:line="480" w:lineRule="auto" w:before="241"/>
        <w:ind w:left="920" w:right="1173"/>
        <w:jc w:val="both"/>
      </w:pPr>
      <w:r>
        <w:rPr/>
        <w:t>As milk and milk products play an important</w:t>
      </w:r>
      <w:r>
        <w:rPr>
          <w:spacing w:val="-1"/>
        </w:rPr>
        <w:t> </w:t>
      </w:r>
      <w:r>
        <w:rPr/>
        <w:t>role in human nutrition throughout</w:t>
      </w:r>
      <w:r>
        <w:rPr>
          <w:spacing w:val="-1"/>
        </w:rPr>
        <w:t> </w:t>
      </w:r>
      <w:r>
        <w:rPr/>
        <w:t>the world, the products must</w:t>
      </w:r>
      <w:r>
        <w:rPr>
          <w:spacing w:val="-1"/>
        </w:rPr>
        <w:t> </w:t>
      </w:r>
      <w:r>
        <w:rPr/>
        <w:t>be of high hygienic</w:t>
      </w:r>
      <w:r>
        <w:rPr>
          <w:spacing w:val="-2"/>
        </w:rPr>
        <w:t> </w:t>
      </w:r>
      <w:r>
        <w:rPr/>
        <w:t>quality.</w:t>
      </w:r>
      <w:r>
        <w:rPr>
          <w:spacing w:val="-2"/>
        </w:rPr>
        <w:t> </w:t>
      </w:r>
      <w:r>
        <w:rPr/>
        <w:t>In less developed areas and especially in hot</w:t>
      </w:r>
      <w:r>
        <w:rPr>
          <w:spacing w:val="-1"/>
        </w:rPr>
        <w:t> </w:t>
      </w:r>
      <w:r>
        <w:rPr/>
        <w:t>tropics high quality of safe product is most important but not easily accomplished (DeGraaf </w:t>
      </w:r>
      <w:r>
        <w:rPr>
          <w:i/>
        </w:rPr>
        <w:t>et al</w:t>
      </w:r>
      <w:r>
        <w:rPr/>
        <w:t>., 1997). This is required since milk is also a suitable substrate for microbial growth and development. The fluid or semi-fluid nature of milk and its chemical composition (containing the essential nutrients) renders it one of the ideal culture media for microbial growth and multiplication (Ashenafi and Beyene,</w:t>
      </w:r>
      <w:r>
        <w:rPr>
          <w:spacing w:val="-2"/>
        </w:rPr>
        <w:t> </w:t>
      </w:r>
      <w:r>
        <w:rPr/>
        <w:t>1994; Teka,</w:t>
      </w:r>
      <w:r>
        <w:rPr>
          <w:spacing w:val="-2"/>
        </w:rPr>
        <w:t> </w:t>
      </w:r>
      <w:r>
        <w:rPr/>
        <w:t>1997). Mainly because of this reason, milk and milk products are more prone to the harbouring and proliferation of </w:t>
      </w:r>
      <w:r>
        <w:rPr>
          <w:spacing w:val="-2"/>
        </w:rPr>
        <w:t>microorganisms.</w:t>
      </w:r>
    </w:p>
    <w:p>
      <w:pPr>
        <w:pStyle w:val="BodyText"/>
        <w:spacing w:line="480" w:lineRule="auto" w:before="239"/>
        <w:ind w:left="920" w:right="1173"/>
        <w:jc w:val="both"/>
      </w:pPr>
      <w:r>
        <w:rPr/>
        <w:t>In Nigeria, several workers have reported milk products to be contaminatedwith several bacterial pathogens such as</w:t>
      </w:r>
      <w:r>
        <w:rPr>
          <w:i/>
        </w:rPr>
        <w:t>Staphylococcus spp</w:t>
      </w:r>
      <w:r>
        <w:rPr/>
        <w:t>, </w:t>
      </w:r>
      <w:r>
        <w:rPr>
          <w:i/>
        </w:rPr>
        <w:t>E. coli</w:t>
      </w:r>
      <w:r>
        <w:rPr/>
        <w:t>, </w:t>
      </w:r>
      <w:r>
        <w:rPr>
          <w:i/>
        </w:rPr>
        <w:t>Klebsiella spp</w:t>
      </w:r>
      <w:r>
        <w:rPr/>
        <w:t>, </w:t>
      </w:r>
      <w:r>
        <w:rPr>
          <w:i/>
        </w:rPr>
        <w:t>Enterobacter spp</w:t>
      </w:r>
      <w:r>
        <w:rPr/>
        <w:t>and </w:t>
      </w:r>
      <w:r>
        <w:rPr>
          <w:i/>
        </w:rPr>
        <w:t>Salmonella spp</w:t>
      </w:r>
      <w:r>
        <w:rPr/>
        <w:t>(Umoh </w:t>
      </w:r>
      <w:r>
        <w:rPr>
          <w:i/>
        </w:rPr>
        <w:t>et al</w:t>
      </w:r>
      <w:r>
        <w:rPr/>
        <w:t>., 1990; Adeleke </w:t>
      </w:r>
      <w:r>
        <w:rPr>
          <w:i/>
        </w:rPr>
        <w:t>et al</w:t>
      </w:r>
      <w:r>
        <w:rPr/>
        <w:t>., 2000; Uzeh </w:t>
      </w:r>
      <w:r>
        <w:rPr>
          <w:i/>
        </w:rPr>
        <w:t>et al</w:t>
      </w:r>
      <w:r>
        <w:rPr/>
        <w:t>., 2006; Okpalugo </w:t>
      </w:r>
      <w:r>
        <w:rPr>
          <w:i/>
        </w:rPr>
        <w:t>et al., </w:t>
      </w:r>
      <w:r>
        <w:rPr/>
        <w:t>2008; Yabaya </w:t>
      </w:r>
      <w:r>
        <w:rPr>
          <w:i/>
        </w:rPr>
        <w:t>et al</w:t>
      </w:r>
      <w:r>
        <w:rPr/>
        <w:t>., 2012). The presence of these bacteria in milk products poses health hazards to consumers in this area. The</w:t>
      </w:r>
      <w:r>
        <w:rPr>
          <w:spacing w:val="40"/>
        </w:rPr>
        <w:t> </w:t>
      </w:r>
      <w:r>
        <w:rPr/>
        <w:t>presence of coliform organismsin milk has been linked to a wide variety of human infections such asendocarditis, urinary and genital tract infections, meningitis and septicemia (Mannu </w:t>
      </w:r>
      <w:r>
        <w:rPr>
          <w:i/>
        </w:rPr>
        <w:t>et al</w:t>
      </w:r>
      <w:r>
        <w:rPr/>
        <w:t>., 2003). Evidence indicate that </w:t>
      </w:r>
      <w:r>
        <w:rPr>
          <w:i/>
        </w:rPr>
        <w:t>Salmonella </w:t>
      </w:r>
      <w:r>
        <w:rPr/>
        <w:t>spp is one of the most etiologic agents responsible for several outbreaks associated with the consumption of milk (De Buyser </w:t>
      </w:r>
      <w:r>
        <w:rPr>
          <w:i/>
        </w:rPr>
        <w:t>et al</w:t>
      </w:r>
      <w:r>
        <w:rPr/>
        <w:t>., 2001)</w:t>
      </w:r>
    </w:p>
    <w:p>
      <w:pPr>
        <w:pStyle w:val="Heading5"/>
        <w:numPr>
          <w:ilvl w:val="1"/>
          <w:numId w:val="8"/>
        </w:numPr>
        <w:tabs>
          <w:tab w:pos="1245" w:val="left" w:leader="none"/>
        </w:tabs>
        <w:spacing w:line="240" w:lineRule="auto" w:before="239" w:after="0"/>
        <w:ind w:left="1245" w:right="0" w:hanging="325"/>
        <w:jc w:val="left"/>
      </w:pPr>
      <w:bookmarkStart w:name="_TOC_250079" w:id="12"/>
      <w:bookmarkEnd w:id="12"/>
      <w:r>
        <w:rPr>
          <w:spacing w:val="-2"/>
        </w:rPr>
        <w:t>JUSTIFICATION</w:t>
      </w:r>
    </w:p>
    <w:p>
      <w:pPr>
        <w:pStyle w:val="BodyText"/>
        <w:spacing w:before="241"/>
        <w:rPr>
          <w:b/>
        </w:rPr>
      </w:pPr>
    </w:p>
    <w:p>
      <w:pPr>
        <w:pStyle w:val="BodyText"/>
        <w:spacing w:line="480" w:lineRule="auto"/>
        <w:ind w:left="920" w:right="1172" w:firstLine="48"/>
        <w:jc w:val="both"/>
      </w:pPr>
      <w:r>
        <w:rPr/>
        <w:t>Milk is considered an attractive source of energy, proteins and calcium for infants and young children who</w:t>
      </w:r>
      <w:r>
        <w:rPr>
          <w:spacing w:val="25"/>
        </w:rPr>
        <w:t> </w:t>
      </w:r>
      <w:r>
        <w:rPr/>
        <w:t>have</w:t>
      </w:r>
      <w:r>
        <w:rPr>
          <w:spacing w:val="26"/>
        </w:rPr>
        <w:t> </w:t>
      </w:r>
      <w:r>
        <w:rPr/>
        <w:t>few</w:t>
      </w:r>
      <w:r>
        <w:rPr>
          <w:spacing w:val="26"/>
        </w:rPr>
        <w:t> </w:t>
      </w:r>
      <w:r>
        <w:rPr/>
        <w:t>alternative</w:t>
      </w:r>
      <w:r>
        <w:rPr>
          <w:spacing w:val="26"/>
        </w:rPr>
        <w:t> </w:t>
      </w:r>
      <w:r>
        <w:rPr/>
        <w:t>sources</w:t>
      </w:r>
      <w:r>
        <w:rPr>
          <w:spacing w:val="26"/>
        </w:rPr>
        <w:t> </w:t>
      </w:r>
      <w:r>
        <w:rPr/>
        <w:t>for</w:t>
      </w:r>
      <w:r>
        <w:rPr>
          <w:spacing w:val="26"/>
        </w:rPr>
        <w:t> </w:t>
      </w:r>
      <w:r>
        <w:rPr/>
        <w:t>these</w:t>
      </w:r>
      <w:r>
        <w:rPr>
          <w:spacing w:val="26"/>
        </w:rPr>
        <w:t> </w:t>
      </w:r>
      <w:r>
        <w:rPr/>
        <w:t>nutrients.</w:t>
      </w:r>
      <w:r>
        <w:rPr>
          <w:spacing w:val="28"/>
        </w:rPr>
        <w:t> </w:t>
      </w:r>
      <w:r>
        <w:rPr/>
        <w:t>Besides</w:t>
      </w:r>
      <w:r>
        <w:rPr>
          <w:spacing w:val="26"/>
        </w:rPr>
        <w:t> </w:t>
      </w:r>
      <w:r>
        <w:rPr/>
        <w:t>its</w:t>
      </w:r>
      <w:r>
        <w:rPr>
          <w:spacing w:val="26"/>
        </w:rPr>
        <w:t> </w:t>
      </w:r>
      <w:r>
        <w:rPr/>
        <w:t>beneficial</w:t>
      </w:r>
      <w:r>
        <w:rPr>
          <w:spacing w:val="28"/>
        </w:rPr>
        <w:t> </w:t>
      </w:r>
      <w:r>
        <w:rPr/>
        <w:t>effects</w:t>
      </w:r>
      <w:r>
        <w:rPr>
          <w:spacing w:val="26"/>
        </w:rPr>
        <w:t> </w:t>
      </w:r>
      <w:r>
        <w:rPr/>
        <w:t>on</w:t>
      </w:r>
      <w:r>
        <w:rPr>
          <w:spacing w:val="25"/>
        </w:rPr>
        <w:t> </w:t>
      </w:r>
      <w:r>
        <w:rPr/>
        <w:t>nutrition,</w:t>
      </w:r>
      <w:r>
        <w:rPr>
          <w:spacing w:val="24"/>
        </w:rPr>
        <w:t> </w:t>
      </w:r>
      <w:r>
        <w:rPr/>
        <w:t>Milk</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borne illnesses have been recognized since early days in the dairy industry (Ryser, 1998). Pathogenic bacteria</w:t>
      </w:r>
      <w:r>
        <w:rPr>
          <w:spacing w:val="-1"/>
        </w:rPr>
        <w:t> </w:t>
      </w:r>
      <w:r>
        <w:rPr/>
        <w:t>in</w:t>
      </w:r>
      <w:r>
        <w:rPr>
          <w:spacing w:val="-1"/>
        </w:rPr>
        <w:t> </w:t>
      </w:r>
      <w:r>
        <w:rPr/>
        <w:t>milk have</w:t>
      </w:r>
      <w:r>
        <w:rPr>
          <w:spacing w:val="-4"/>
        </w:rPr>
        <w:t> </w:t>
      </w:r>
      <w:r>
        <w:rPr/>
        <w:t>been</w:t>
      </w:r>
      <w:r>
        <w:rPr>
          <w:spacing w:val="-1"/>
        </w:rPr>
        <w:t> </w:t>
      </w:r>
      <w:r>
        <w:rPr/>
        <w:t>a</w:t>
      </w:r>
      <w:r>
        <w:rPr>
          <w:spacing w:val="-4"/>
        </w:rPr>
        <w:t> </w:t>
      </w:r>
      <w:r>
        <w:rPr/>
        <w:t>major public</w:t>
      </w:r>
      <w:r>
        <w:rPr>
          <w:spacing w:val="-3"/>
        </w:rPr>
        <w:t> </w:t>
      </w:r>
      <w:r>
        <w:rPr/>
        <w:t>health</w:t>
      </w:r>
      <w:r>
        <w:rPr>
          <w:spacing w:val="-1"/>
        </w:rPr>
        <w:t> </w:t>
      </w:r>
      <w:r>
        <w:rPr/>
        <w:t>problem due to</w:t>
      </w:r>
      <w:r>
        <w:rPr>
          <w:spacing w:val="-2"/>
        </w:rPr>
        <w:t> </w:t>
      </w:r>
      <w:r>
        <w:rPr/>
        <w:t>the number of</w:t>
      </w:r>
      <w:r>
        <w:rPr>
          <w:spacing w:val="-1"/>
        </w:rPr>
        <w:t> </w:t>
      </w:r>
      <w:r>
        <w:rPr/>
        <w:t>diseases</w:t>
      </w:r>
      <w:r>
        <w:rPr>
          <w:spacing w:val="-4"/>
        </w:rPr>
        <w:t> </w:t>
      </w:r>
      <w:r>
        <w:rPr/>
        <w:t>caused</w:t>
      </w:r>
      <w:r>
        <w:rPr>
          <w:spacing w:val="-1"/>
        </w:rPr>
        <w:t> </w:t>
      </w:r>
      <w:r>
        <w:rPr/>
        <w:t>by them (Grant</w:t>
      </w:r>
      <w:r>
        <w:rPr>
          <w:spacing w:val="-1"/>
        </w:rPr>
        <w:t> </w:t>
      </w:r>
      <w:r>
        <w:rPr>
          <w:i/>
        </w:rPr>
        <w:t>et</w:t>
      </w:r>
      <w:r>
        <w:rPr>
          <w:i/>
          <w:spacing w:val="-1"/>
        </w:rPr>
        <w:t> </w:t>
      </w:r>
      <w:r>
        <w:rPr>
          <w:i/>
        </w:rPr>
        <w:t>al</w:t>
      </w:r>
      <w:r>
        <w:rPr/>
        <w:t>.,</w:t>
      </w:r>
      <w:r>
        <w:rPr>
          <w:spacing w:val="-2"/>
        </w:rPr>
        <w:t> </w:t>
      </w:r>
      <w:r>
        <w:rPr/>
        <w:t>1995). In view of the health hazard associated with the consumption of contaminated milk, the findings from this study will help in evaluating the quality of milk within the study area in order to safeguard the health of the people.</w:t>
      </w:r>
    </w:p>
    <w:p>
      <w:pPr>
        <w:pStyle w:val="BodyText"/>
        <w:spacing w:line="480" w:lineRule="auto" w:before="237"/>
        <w:ind w:left="920" w:right="1175"/>
        <w:jc w:val="both"/>
      </w:pPr>
      <w:r>
        <w:rPr/>
        <w:t>Milk helps in fighting against diseases such as gout, kidney stones, breast cancer, rheumatoid arthritis, migraine headaches, amongst others. There are more than six billion consumers of milk and milk products, the majority of them in developing countries like Nigeria, as milk is a key contributor to improving nutrition and food security in these countries (Wesley,</w:t>
      </w:r>
      <w:r>
        <w:rPr>
          <w:spacing w:val="-2"/>
        </w:rPr>
        <w:t> </w:t>
      </w:r>
      <w:r>
        <w:rPr/>
        <w:t>2012). In Nigeria and other developing countries where surveillance and reporting of food-borne diseases are non-existent, it is extremely difficult to estimate how far milk products contribute to infection and diarrhoeal diseases (Ehiri </w:t>
      </w:r>
      <w:r>
        <w:rPr>
          <w:i/>
        </w:rPr>
        <w:t>et al</w:t>
      </w:r>
      <w:r>
        <w:rPr/>
        <w:t>., 2001). This makes it extremely necessary to undertake study on the quality of packaged milk sold in the area of study.</w:t>
      </w:r>
    </w:p>
    <w:p>
      <w:pPr>
        <w:pStyle w:val="BodyText"/>
        <w:spacing w:line="480" w:lineRule="auto" w:before="244"/>
        <w:ind w:left="920" w:right="1173"/>
        <w:jc w:val="both"/>
      </w:pPr>
      <w:r>
        <w:rPr/>
        <w:t>Milk may contain both pathogenic and nonpathogenic organisms. Pathogenic organisms such as species of</w:t>
      </w:r>
      <w:r>
        <w:rPr>
          <w:spacing w:val="-2"/>
        </w:rPr>
        <w:t> </w:t>
      </w:r>
      <w:r>
        <w:rPr>
          <w:i/>
        </w:rPr>
        <w:t>Staphylococcus,</w:t>
      </w:r>
      <w:r>
        <w:rPr>
          <w:i/>
          <w:spacing w:val="-4"/>
        </w:rPr>
        <w:t> </w:t>
      </w:r>
      <w:r>
        <w:rPr>
          <w:i/>
        </w:rPr>
        <w:t>Escherchia</w:t>
      </w:r>
      <w:r>
        <w:rPr/>
        <w:t>may</w:t>
      </w:r>
      <w:r>
        <w:rPr>
          <w:spacing w:val="-1"/>
        </w:rPr>
        <w:t> </w:t>
      </w:r>
      <w:r>
        <w:rPr/>
        <w:t>come</w:t>
      </w:r>
      <w:r>
        <w:rPr>
          <w:spacing w:val="-5"/>
        </w:rPr>
        <w:t> </w:t>
      </w:r>
      <w:r>
        <w:rPr/>
        <w:t>directly</w:t>
      </w:r>
      <w:r>
        <w:rPr>
          <w:spacing w:val="-5"/>
        </w:rPr>
        <w:t> </w:t>
      </w:r>
      <w:r>
        <w:rPr/>
        <w:t>from</w:t>
      </w:r>
      <w:r>
        <w:rPr>
          <w:spacing w:val="-1"/>
        </w:rPr>
        <w:t> </w:t>
      </w:r>
      <w:r>
        <w:rPr/>
        <w:t>the</w:t>
      </w:r>
      <w:r>
        <w:rPr>
          <w:spacing w:val="-1"/>
        </w:rPr>
        <w:t> </w:t>
      </w:r>
      <w:r>
        <w:rPr/>
        <w:t>cow’s</w:t>
      </w:r>
      <w:r>
        <w:rPr>
          <w:spacing w:val="-1"/>
        </w:rPr>
        <w:t> </w:t>
      </w:r>
      <w:r>
        <w:rPr/>
        <w:t>udder.</w:t>
      </w:r>
      <w:r>
        <w:rPr>
          <w:spacing w:val="-1"/>
        </w:rPr>
        <w:t> </w:t>
      </w:r>
      <w:r>
        <w:rPr/>
        <w:t>Various</w:t>
      </w:r>
      <w:r>
        <w:rPr>
          <w:spacing w:val="-1"/>
        </w:rPr>
        <w:t> </w:t>
      </w:r>
      <w:r>
        <w:rPr/>
        <w:t>other</w:t>
      </w:r>
      <w:r>
        <w:rPr>
          <w:spacing w:val="-1"/>
        </w:rPr>
        <w:t> </w:t>
      </w:r>
      <w:r>
        <w:rPr/>
        <w:t>pathogenic</w:t>
      </w:r>
      <w:r>
        <w:rPr>
          <w:spacing w:val="-4"/>
        </w:rPr>
        <w:t> </w:t>
      </w:r>
      <w:r>
        <w:rPr/>
        <w:t>causing diseases like cholera and typhoid may find access in the milk from various other sources, which may include water,</w:t>
      </w:r>
      <w:r>
        <w:rPr>
          <w:spacing w:val="-3"/>
        </w:rPr>
        <w:t> </w:t>
      </w:r>
      <w:r>
        <w:rPr/>
        <w:t>and</w:t>
      </w:r>
      <w:r>
        <w:rPr>
          <w:spacing w:val="-1"/>
        </w:rPr>
        <w:t> </w:t>
      </w:r>
      <w:r>
        <w:rPr/>
        <w:t>the</w:t>
      </w:r>
      <w:r>
        <w:rPr>
          <w:spacing w:val="-4"/>
        </w:rPr>
        <w:t> </w:t>
      </w:r>
      <w:r>
        <w:rPr/>
        <w:t>persons handling</w:t>
      </w:r>
      <w:r>
        <w:rPr>
          <w:spacing w:val="-3"/>
        </w:rPr>
        <w:t> </w:t>
      </w:r>
      <w:r>
        <w:rPr/>
        <w:t>the milk.</w:t>
      </w:r>
      <w:r>
        <w:rPr>
          <w:spacing w:val="-3"/>
        </w:rPr>
        <w:t> </w:t>
      </w:r>
      <w:r>
        <w:rPr/>
        <w:t>Nonpathogenic</w:t>
      </w:r>
      <w:r>
        <w:rPr>
          <w:spacing w:val="-3"/>
        </w:rPr>
        <w:t> </w:t>
      </w:r>
      <w:r>
        <w:rPr/>
        <w:t>microflora</w:t>
      </w:r>
      <w:r>
        <w:rPr>
          <w:spacing w:val="-5"/>
        </w:rPr>
        <w:t> </w:t>
      </w:r>
      <w:r>
        <w:rPr/>
        <w:t>may</w:t>
      </w:r>
      <w:r>
        <w:rPr>
          <w:spacing w:val="-4"/>
        </w:rPr>
        <w:t> </w:t>
      </w:r>
      <w:r>
        <w:rPr/>
        <w:t>come directly from the udder and may also enter in the milk from milker’s hands, utensils, cow barn, water, etc. (Hahn, 1996). These bacteria may cause undulant fever, dysentery, salmonellosis and tuberculosis (Feresu and Nyati, </w:t>
      </w:r>
      <w:r>
        <w:rPr>
          <w:spacing w:val="-2"/>
        </w:rPr>
        <w:t>1990)</w:t>
      </w:r>
    </w:p>
    <w:p>
      <w:pPr>
        <w:pStyle w:val="BodyText"/>
        <w:spacing w:line="480" w:lineRule="auto" w:before="239"/>
        <w:ind w:left="920" w:right="1178"/>
        <w:jc w:val="both"/>
      </w:pPr>
      <w:r>
        <w:rPr/>
        <w:t>Outbreaks of milk-borne diseases have occurred despite pasteurization caused either by improper pasteurization or recontamination thereby posing some risks to the consumers (DaSilva </w:t>
      </w:r>
      <w:r>
        <w:rPr>
          <w:i/>
        </w:rPr>
        <w:t>et al.</w:t>
      </w:r>
      <w:r>
        <w:rPr/>
        <w:t>, 1998). Milk</w:t>
      </w:r>
      <w:r>
        <w:rPr>
          <w:spacing w:val="31"/>
        </w:rPr>
        <w:t> </w:t>
      </w:r>
      <w:r>
        <w:rPr/>
        <w:t>products</w:t>
      </w:r>
      <w:r>
        <w:rPr>
          <w:spacing w:val="33"/>
        </w:rPr>
        <w:t> </w:t>
      </w:r>
      <w:r>
        <w:rPr/>
        <w:t>have</w:t>
      </w:r>
      <w:r>
        <w:rPr>
          <w:spacing w:val="33"/>
        </w:rPr>
        <w:t> </w:t>
      </w:r>
      <w:r>
        <w:rPr/>
        <w:t>been</w:t>
      </w:r>
      <w:r>
        <w:rPr>
          <w:spacing w:val="32"/>
        </w:rPr>
        <w:t> </w:t>
      </w:r>
      <w:r>
        <w:rPr/>
        <w:t>contaminated</w:t>
      </w:r>
      <w:r>
        <w:rPr>
          <w:spacing w:val="27"/>
        </w:rPr>
        <w:t> </w:t>
      </w:r>
      <w:r>
        <w:rPr/>
        <w:t>with</w:t>
      </w:r>
      <w:r>
        <w:rPr>
          <w:spacing w:val="32"/>
        </w:rPr>
        <w:t> </w:t>
      </w:r>
      <w:r>
        <w:rPr/>
        <w:t>pathogens</w:t>
      </w:r>
      <w:r>
        <w:rPr>
          <w:spacing w:val="33"/>
        </w:rPr>
        <w:t> </w:t>
      </w:r>
      <w:r>
        <w:rPr/>
        <w:t>that</w:t>
      </w:r>
      <w:r>
        <w:rPr>
          <w:spacing w:val="32"/>
        </w:rPr>
        <w:t> </w:t>
      </w:r>
      <w:r>
        <w:rPr/>
        <w:t>are</w:t>
      </w:r>
      <w:r>
        <w:rPr>
          <w:spacing w:val="33"/>
        </w:rPr>
        <w:t> </w:t>
      </w:r>
      <w:r>
        <w:rPr/>
        <w:t>resistant</w:t>
      </w:r>
      <w:r>
        <w:rPr>
          <w:spacing w:val="31"/>
        </w:rPr>
        <w:t> </w:t>
      </w:r>
      <w:r>
        <w:rPr/>
        <w:t>to</w:t>
      </w:r>
      <w:r>
        <w:rPr>
          <w:spacing w:val="31"/>
        </w:rPr>
        <w:t> </w:t>
      </w:r>
      <w:r>
        <w:rPr/>
        <w:t>several</w:t>
      </w:r>
      <w:r>
        <w:rPr>
          <w:spacing w:val="35"/>
        </w:rPr>
        <w:t> </w:t>
      </w:r>
      <w:r>
        <w:rPr/>
        <w:t>antibiotics.</w:t>
      </w:r>
      <w:r>
        <w:rPr>
          <w:spacing w:val="34"/>
        </w:rPr>
        <w:t> </w:t>
      </w:r>
      <w:r>
        <w:rPr/>
        <w:t>It</w:t>
      </w:r>
      <w:r>
        <w:rPr>
          <w:spacing w:val="27"/>
        </w:rPr>
        <w:t> </w:t>
      </w:r>
      <w:r>
        <w:rPr>
          <w:spacing w:val="-5"/>
        </w:rPr>
        <w:t>is</w:t>
      </w:r>
    </w:p>
    <w:p>
      <w:pPr>
        <w:spacing w:after="0" w:line="480" w:lineRule="auto"/>
        <w:jc w:val="both"/>
        <w:sectPr>
          <w:pgSz w:w="12240" w:h="15840"/>
          <w:pgMar w:header="0" w:footer="1017" w:top="1400" w:bottom="1200" w:left="520" w:right="260"/>
        </w:sectPr>
      </w:pPr>
    </w:p>
    <w:p>
      <w:pPr>
        <w:pStyle w:val="BodyText"/>
        <w:spacing w:line="480" w:lineRule="auto" w:before="37"/>
        <w:ind w:left="920" w:right="1173"/>
        <w:jc w:val="both"/>
      </w:pPr>
      <w:r>
        <w:rPr/>
        <w:t>currently not possible to effectively exclude such antibiotic resistant strains from milk products. This means that they continue to pose significant clinical threat to consumers and economic threats to the milk processing industry (Walsh </w:t>
      </w:r>
      <w:r>
        <w:rPr>
          <w:i/>
        </w:rPr>
        <w:t>et al</w:t>
      </w:r>
      <w:r>
        <w:rPr/>
        <w:t>., 2005).</w:t>
      </w:r>
    </w:p>
    <w:p>
      <w:pPr>
        <w:pStyle w:val="BodyText"/>
        <w:spacing w:line="480" w:lineRule="auto" w:before="241"/>
        <w:ind w:left="920" w:right="1176"/>
        <w:jc w:val="both"/>
      </w:pPr>
      <w:r>
        <w:rPr/>
        <w:t>Generally, food has been identified to be a very efficient vehicle for bringing a large number of people into contact with a potential hazard (Jordan, 2007). Thus, from a population perspective, food-borne exposure and milk in particular may be the most critical pathway for transfer of antibiotic resistant microbes to humans. Yet, data of antibiotic resistant microbes from milk is scanty and scattered. To be able to reduce considerably the problem of antibiotic resistance in the country, there is need to undertake a study on antibiotics susceptibility of bacteria isolates from milk products.</w:t>
      </w:r>
    </w:p>
    <w:p>
      <w:pPr>
        <w:pStyle w:val="Heading5"/>
        <w:numPr>
          <w:ilvl w:val="1"/>
          <w:numId w:val="8"/>
        </w:numPr>
        <w:tabs>
          <w:tab w:pos="1245" w:val="left" w:leader="none"/>
        </w:tabs>
        <w:spacing w:line="240" w:lineRule="auto" w:before="238" w:after="0"/>
        <w:ind w:left="1245" w:right="0" w:hanging="325"/>
        <w:jc w:val="left"/>
      </w:pPr>
      <w:bookmarkStart w:name="_TOC_250078" w:id="13"/>
      <w:r>
        <w:rPr/>
        <w:t>AIM</w:t>
      </w:r>
      <w:r>
        <w:rPr>
          <w:spacing w:val="-6"/>
        </w:rPr>
        <w:t> </w:t>
      </w:r>
      <w:r>
        <w:rPr/>
        <w:t>OF</w:t>
      </w:r>
      <w:r>
        <w:rPr>
          <w:spacing w:val="2"/>
        </w:rPr>
        <w:t> </w:t>
      </w:r>
      <w:r>
        <w:rPr/>
        <w:t>THE</w:t>
      </w:r>
      <w:r>
        <w:rPr>
          <w:spacing w:val="-4"/>
        </w:rPr>
        <w:t> </w:t>
      </w:r>
      <w:bookmarkEnd w:id="13"/>
      <w:r>
        <w:rPr>
          <w:spacing w:val="-2"/>
        </w:rPr>
        <w:t>STUDY</w:t>
      </w:r>
    </w:p>
    <w:p>
      <w:pPr>
        <w:pStyle w:val="BodyText"/>
        <w:spacing w:before="241"/>
        <w:rPr>
          <w:b/>
        </w:rPr>
      </w:pPr>
    </w:p>
    <w:p>
      <w:pPr>
        <w:pStyle w:val="BodyText"/>
        <w:spacing w:line="480" w:lineRule="auto"/>
        <w:ind w:left="920" w:right="1174" w:firstLine="48"/>
        <w:jc w:val="both"/>
      </w:pPr>
      <w:r>
        <w:rPr/>
        <w:t>To isolate bacterial contaminants from packaged milk sold in Zaria, Nigeria, evaluate their susceptibility to commonly used antibiotics and examine resistance determinants.</w:t>
      </w:r>
    </w:p>
    <w:p>
      <w:pPr>
        <w:pStyle w:val="Heading5"/>
        <w:numPr>
          <w:ilvl w:val="1"/>
          <w:numId w:val="8"/>
        </w:numPr>
        <w:tabs>
          <w:tab w:pos="1245" w:val="left" w:leader="none"/>
        </w:tabs>
        <w:spacing w:line="240" w:lineRule="auto" w:before="241" w:after="0"/>
        <w:ind w:left="1245" w:right="0" w:hanging="325"/>
        <w:jc w:val="left"/>
      </w:pPr>
      <w:bookmarkStart w:name="_TOC_250077" w:id="14"/>
      <w:bookmarkEnd w:id="14"/>
      <w:r>
        <w:rPr>
          <w:spacing w:val="-2"/>
        </w:rPr>
        <w:t>OBJECTIVES</w:t>
      </w:r>
    </w:p>
    <w:p>
      <w:pPr>
        <w:pStyle w:val="BodyText"/>
        <w:spacing w:before="240"/>
        <w:rPr>
          <w:b/>
        </w:rPr>
      </w:pPr>
    </w:p>
    <w:p>
      <w:pPr>
        <w:pStyle w:val="BodyText"/>
        <w:ind w:left="920"/>
        <w:jc w:val="both"/>
      </w:pPr>
      <w:r>
        <w:rPr/>
        <w:t>I</w:t>
      </w:r>
      <w:r>
        <w:rPr>
          <w:spacing w:val="-4"/>
        </w:rPr>
        <w:t> </w:t>
      </w:r>
      <w:r>
        <w:rPr/>
        <w:t>.To</w:t>
      </w:r>
      <w:r>
        <w:rPr>
          <w:spacing w:val="-5"/>
        </w:rPr>
        <w:t> </w:t>
      </w:r>
      <w:r>
        <w:rPr/>
        <w:t>isolate</w:t>
      </w:r>
      <w:r>
        <w:rPr>
          <w:spacing w:val="-3"/>
        </w:rPr>
        <w:t> </w:t>
      </w:r>
      <w:r>
        <w:rPr/>
        <w:t>and</w:t>
      </w:r>
      <w:r>
        <w:rPr>
          <w:spacing w:val="-5"/>
        </w:rPr>
        <w:t> </w:t>
      </w:r>
      <w:r>
        <w:rPr/>
        <w:t>identify</w:t>
      </w:r>
      <w:r>
        <w:rPr>
          <w:spacing w:val="-2"/>
        </w:rPr>
        <w:t> </w:t>
      </w:r>
      <w:r>
        <w:rPr/>
        <w:t>bacterial</w:t>
      </w:r>
      <w:r>
        <w:rPr>
          <w:spacing w:val="-2"/>
        </w:rPr>
        <w:t> </w:t>
      </w:r>
      <w:r>
        <w:rPr/>
        <w:t>contaminants</w:t>
      </w:r>
      <w:r>
        <w:rPr>
          <w:spacing w:val="-3"/>
        </w:rPr>
        <w:t> </w:t>
      </w:r>
      <w:r>
        <w:rPr/>
        <w:t>found in</w:t>
      </w:r>
      <w:r>
        <w:rPr>
          <w:spacing w:val="-5"/>
        </w:rPr>
        <w:t> </w:t>
      </w:r>
      <w:r>
        <w:rPr/>
        <w:t>packaged</w:t>
      </w:r>
      <w:r>
        <w:rPr>
          <w:spacing w:val="-4"/>
        </w:rPr>
        <w:t> </w:t>
      </w:r>
      <w:r>
        <w:rPr/>
        <w:t>milk</w:t>
      </w:r>
      <w:r>
        <w:rPr>
          <w:spacing w:val="-3"/>
        </w:rPr>
        <w:t> </w:t>
      </w:r>
      <w:r>
        <w:rPr/>
        <w:t>using</w:t>
      </w:r>
      <w:r>
        <w:rPr>
          <w:spacing w:val="-1"/>
        </w:rPr>
        <w:t> </w:t>
      </w:r>
      <w:r>
        <w:rPr/>
        <w:t>pour</w:t>
      </w:r>
      <w:r>
        <w:rPr>
          <w:spacing w:val="-4"/>
        </w:rPr>
        <w:t> </w:t>
      </w:r>
      <w:r>
        <w:rPr/>
        <w:t>plate</w:t>
      </w:r>
      <w:r>
        <w:rPr>
          <w:spacing w:val="-3"/>
        </w:rPr>
        <w:t> </w:t>
      </w:r>
      <w:r>
        <w:rPr>
          <w:spacing w:val="-2"/>
        </w:rPr>
        <w:t>method.</w:t>
      </w:r>
    </w:p>
    <w:p>
      <w:pPr>
        <w:pStyle w:val="BodyText"/>
        <w:spacing w:before="241"/>
      </w:pPr>
    </w:p>
    <w:p>
      <w:pPr>
        <w:pStyle w:val="ListParagraph"/>
        <w:numPr>
          <w:ilvl w:val="0"/>
          <w:numId w:val="9"/>
        </w:numPr>
        <w:tabs>
          <w:tab w:pos="1139" w:val="left" w:leader="none"/>
        </w:tabs>
        <w:spacing w:line="475" w:lineRule="auto" w:before="0" w:after="0"/>
        <w:ind w:left="920" w:right="1178" w:firstLine="0"/>
        <w:jc w:val="left"/>
        <w:rPr>
          <w:rFonts w:ascii="Calibri"/>
          <w:sz w:val="22"/>
        </w:rPr>
      </w:pPr>
      <w:r>
        <w:rPr>
          <w:rFonts w:ascii="Calibri"/>
          <w:sz w:val="22"/>
        </w:rPr>
        <w:t>To</w:t>
      </w:r>
      <w:r>
        <w:rPr>
          <w:rFonts w:ascii="Calibri"/>
          <w:spacing w:val="-1"/>
          <w:sz w:val="22"/>
        </w:rPr>
        <w:t> </w:t>
      </w:r>
      <w:r>
        <w:rPr>
          <w:rFonts w:ascii="Calibri"/>
          <w:sz w:val="22"/>
        </w:rPr>
        <w:t>determine the antibiotics susceptibility of bacteria</w:t>
      </w:r>
      <w:r>
        <w:rPr>
          <w:rFonts w:ascii="Calibri"/>
          <w:spacing w:val="-1"/>
          <w:sz w:val="22"/>
        </w:rPr>
        <w:t> </w:t>
      </w:r>
      <w:r>
        <w:rPr>
          <w:rFonts w:ascii="Calibri"/>
          <w:sz w:val="22"/>
        </w:rPr>
        <w:t>isolated from packaged milk using disk diffusion </w:t>
      </w:r>
      <w:r>
        <w:rPr>
          <w:rFonts w:ascii="Calibri"/>
          <w:spacing w:val="-2"/>
          <w:sz w:val="22"/>
        </w:rPr>
        <w:t>method.</w:t>
      </w:r>
    </w:p>
    <w:p>
      <w:pPr>
        <w:pStyle w:val="ListParagraph"/>
        <w:numPr>
          <w:ilvl w:val="0"/>
          <w:numId w:val="9"/>
        </w:numPr>
        <w:tabs>
          <w:tab w:pos="1177" w:val="left" w:leader="none"/>
        </w:tabs>
        <w:spacing w:line="480" w:lineRule="auto" w:before="247" w:after="0"/>
        <w:ind w:left="920" w:right="1175" w:firstLine="0"/>
        <w:jc w:val="left"/>
        <w:rPr>
          <w:rFonts w:ascii="Calibri"/>
          <w:sz w:val="22"/>
        </w:rPr>
      </w:pPr>
      <w:r>
        <w:rPr>
          <w:rFonts w:ascii="Calibri"/>
          <w:sz w:val="22"/>
        </w:rPr>
        <w:t>To</w:t>
      </w:r>
      <w:r>
        <w:rPr>
          <w:rFonts w:ascii="Calibri"/>
          <w:spacing w:val="37"/>
          <w:sz w:val="22"/>
        </w:rPr>
        <w:t> </w:t>
      </w:r>
      <w:r>
        <w:rPr>
          <w:rFonts w:ascii="Calibri"/>
          <w:sz w:val="22"/>
        </w:rPr>
        <w:t>determine</w:t>
      </w:r>
      <w:r>
        <w:rPr>
          <w:rFonts w:ascii="Calibri"/>
          <w:spacing w:val="39"/>
          <w:sz w:val="22"/>
        </w:rPr>
        <w:t> </w:t>
      </w:r>
      <w:r>
        <w:rPr>
          <w:rFonts w:ascii="Calibri"/>
          <w:sz w:val="22"/>
        </w:rPr>
        <w:t>minimum</w:t>
      </w:r>
      <w:r>
        <w:rPr>
          <w:rFonts w:ascii="Calibri"/>
          <w:spacing w:val="35"/>
          <w:sz w:val="22"/>
        </w:rPr>
        <w:t> </w:t>
      </w:r>
      <w:r>
        <w:rPr>
          <w:rFonts w:ascii="Calibri"/>
          <w:sz w:val="22"/>
        </w:rPr>
        <w:t>inhibitory</w:t>
      </w:r>
      <w:r>
        <w:rPr>
          <w:rFonts w:ascii="Calibri"/>
          <w:spacing w:val="39"/>
          <w:sz w:val="22"/>
        </w:rPr>
        <w:t> </w:t>
      </w:r>
      <w:r>
        <w:rPr>
          <w:rFonts w:ascii="Calibri"/>
          <w:sz w:val="22"/>
        </w:rPr>
        <w:t>concentration</w:t>
      </w:r>
      <w:r>
        <w:rPr>
          <w:rFonts w:ascii="Calibri"/>
          <w:spacing w:val="38"/>
          <w:sz w:val="22"/>
        </w:rPr>
        <w:t> </w:t>
      </w:r>
      <w:r>
        <w:rPr>
          <w:rFonts w:ascii="Calibri"/>
          <w:sz w:val="22"/>
        </w:rPr>
        <w:t>of</w:t>
      </w:r>
      <w:r>
        <w:rPr>
          <w:rFonts w:ascii="Calibri"/>
          <w:spacing w:val="38"/>
          <w:sz w:val="22"/>
        </w:rPr>
        <w:t> </w:t>
      </w:r>
      <w:r>
        <w:rPr>
          <w:rFonts w:ascii="Calibri"/>
          <w:sz w:val="22"/>
        </w:rPr>
        <w:t>selected</w:t>
      </w:r>
      <w:r>
        <w:rPr>
          <w:rFonts w:ascii="Calibri"/>
          <w:spacing w:val="38"/>
          <w:sz w:val="22"/>
        </w:rPr>
        <w:t> </w:t>
      </w:r>
      <w:r>
        <w:rPr>
          <w:rFonts w:ascii="Calibri"/>
          <w:sz w:val="22"/>
        </w:rPr>
        <w:t>antibiotics</w:t>
      </w:r>
      <w:r>
        <w:rPr>
          <w:rFonts w:ascii="Calibri"/>
          <w:spacing w:val="38"/>
          <w:sz w:val="22"/>
        </w:rPr>
        <w:t> </w:t>
      </w:r>
      <w:r>
        <w:rPr>
          <w:rFonts w:ascii="Calibri"/>
          <w:sz w:val="22"/>
        </w:rPr>
        <w:t>against</w:t>
      </w:r>
      <w:r>
        <w:rPr>
          <w:rFonts w:ascii="Calibri"/>
          <w:spacing w:val="36"/>
          <w:sz w:val="22"/>
        </w:rPr>
        <w:t> </w:t>
      </w:r>
      <w:r>
        <w:rPr>
          <w:rFonts w:ascii="Calibri"/>
          <w:sz w:val="22"/>
        </w:rPr>
        <w:t>resistant</w:t>
      </w:r>
      <w:r>
        <w:rPr>
          <w:rFonts w:ascii="Calibri"/>
          <w:spacing w:val="36"/>
          <w:sz w:val="22"/>
        </w:rPr>
        <w:t> </w:t>
      </w:r>
      <w:r>
        <w:rPr>
          <w:rFonts w:ascii="Calibri"/>
          <w:sz w:val="22"/>
        </w:rPr>
        <w:t>bacterial isolates using agar plate dilution method.</w:t>
      </w:r>
    </w:p>
    <w:p>
      <w:pPr>
        <w:pStyle w:val="ListParagraph"/>
        <w:numPr>
          <w:ilvl w:val="0"/>
          <w:numId w:val="9"/>
        </w:numPr>
        <w:tabs>
          <w:tab w:pos="1244" w:val="left" w:leader="none"/>
        </w:tabs>
        <w:spacing w:line="480" w:lineRule="auto" w:before="241" w:after="0"/>
        <w:ind w:left="920" w:right="1176" w:firstLine="0"/>
        <w:jc w:val="left"/>
        <w:rPr>
          <w:rFonts w:ascii="Calibri"/>
          <w:sz w:val="22"/>
        </w:rPr>
      </w:pPr>
      <w:r>
        <w:rPr>
          <w:rFonts w:ascii="Calibri"/>
          <w:sz w:val="22"/>
        </w:rPr>
        <w:t>To</w:t>
      </w:r>
      <w:r>
        <w:rPr>
          <w:rFonts w:ascii="Calibri"/>
          <w:spacing w:val="80"/>
          <w:sz w:val="22"/>
        </w:rPr>
        <w:t> </w:t>
      </w:r>
      <w:r>
        <w:rPr>
          <w:rFonts w:ascii="Calibri"/>
          <w:sz w:val="22"/>
        </w:rPr>
        <w:t>determine</w:t>
      </w:r>
      <w:r>
        <w:rPr>
          <w:rFonts w:ascii="Calibri"/>
          <w:spacing w:val="80"/>
          <w:sz w:val="22"/>
        </w:rPr>
        <w:t> </w:t>
      </w:r>
      <w:r>
        <w:rPr>
          <w:rFonts w:ascii="Calibri"/>
          <w:sz w:val="22"/>
        </w:rPr>
        <w:t>whether</w:t>
      </w:r>
      <w:r>
        <w:rPr>
          <w:rFonts w:ascii="Calibri"/>
          <w:spacing w:val="80"/>
          <w:w w:val="150"/>
          <w:sz w:val="22"/>
        </w:rPr>
        <w:t> </w:t>
      </w:r>
      <w:r>
        <w:rPr>
          <w:rFonts w:ascii="Calibri"/>
          <w:sz w:val="22"/>
        </w:rPr>
        <w:t>resistant</w:t>
      </w:r>
      <w:r>
        <w:rPr>
          <w:rFonts w:ascii="Calibri"/>
          <w:spacing w:val="80"/>
          <w:sz w:val="22"/>
        </w:rPr>
        <w:t> </w:t>
      </w:r>
      <w:r>
        <w:rPr>
          <w:rFonts w:ascii="Calibri"/>
          <w:sz w:val="22"/>
        </w:rPr>
        <w:t>isolates</w:t>
      </w:r>
      <w:r>
        <w:rPr>
          <w:rFonts w:ascii="Calibri"/>
          <w:spacing w:val="80"/>
          <w:w w:val="150"/>
          <w:sz w:val="22"/>
        </w:rPr>
        <w:t> </w:t>
      </w:r>
      <w:r>
        <w:rPr>
          <w:rFonts w:ascii="Calibri"/>
          <w:sz w:val="22"/>
        </w:rPr>
        <w:t>are</w:t>
      </w:r>
      <w:r>
        <w:rPr>
          <w:rFonts w:ascii="Calibri"/>
          <w:spacing w:val="80"/>
          <w:sz w:val="22"/>
        </w:rPr>
        <w:t> </w:t>
      </w:r>
      <w:r>
        <w:rPr>
          <w:rFonts w:ascii="Calibri"/>
          <w:sz w:val="22"/>
        </w:rPr>
        <w:t>plasmid</w:t>
      </w:r>
      <w:r>
        <w:rPr>
          <w:rFonts w:ascii="Calibri"/>
          <w:spacing w:val="80"/>
          <w:sz w:val="22"/>
        </w:rPr>
        <w:t> </w:t>
      </w:r>
      <w:r>
        <w:rPr>
          <w:rFonts w:ascii="Calibri"/>
          <w:sz w:val="22"/>
        </w:rPr>
        <w:t>mediated</w:t>
      </w:r>
      <w:r>
        <w:rPr>
          <w:rFonts w:ascii="Calibri"/>
          <w:spacing w:val="80"/>
          <w:sz w:val="22"/>
        </w:rPr>
        <w:t> </w:t>
      </w:r>
      <w:r>
        <w:rPr>
          <w:rFonts w:ascii="Calibri"/>
          <w:sz w:val="22"/>
        </w:rPr>
        <w:t>or</w:t>
      </w:r>
      <w:r>
        <w:rPr>
          <w:rFonts w:ascii="Calibri"/>
          <w:spacing w:val="80"/>
          <w:w w:val="150"/>
          <w:sz w:val="22"/>
        </w:rPr>
        <w:t> </w:t>
      </w:r>
      <w:r>
        <w:rPr>
          <w:rFonts w:ascii="Calibri"/>
          <w:sz w:val="22"/>
        </w:rPr>
        <w:t>not</w:t>
      </w:r>
      <w:r>
        <w:rPr>
          <w:rFonts w:ascii="Calibri"/>
          <w:spacing w:val="80"/>
          <w:w w:val="150"/>
          <w:sz w:val="22"/>
        </w:rPr>
        <w:t> </w:t>
      </w:r>
      <w:r>
        <w:rPr>
          <w:rFonts w:ascii="Calibri"/>
          <w:sz w:val="22"/>
        </w:rPr>
        <w:t>using</w:t>
      </w:r>
      <w:r>
        <w:rPr>
          <w:rFonts w:ascii="Calibri"/>
          <w:spacing w:val="80"/>
          <w:w w:val="150"/>
          <w:sz w:val="22"/>
        </w:rPr>
        <w:t> </w:t>
      </w:r>
      <w:r>
        <w:rPr>
          <w:rFonts w:ascii="Calibri"/>
          <w:sz w:val="22"/>
        </w:rPr>
        <w:t>agarose</w:t>
      </w:r>
      <w:r>
        <w:rPr>
          <w:rFonts w:ascii="Calibri"/>
          <w:spacing w:val="80"/>
          <w:sz w:val="22"/>
        </w:rPr>
        <w:t> </w:t>
      </w:r>
      <w:r>
        <w:rPr>
          <w:rFonts w:ascii="Calibri"/>
          <w:sz w:val="22"/>
        </w:rPr>
        <w:t>gel </w:t>
      </w:r>
      <w:r>
        <w:rPr>
          <w:rFonts w:ascii="Calibri"/>
          <w:spacing w:val="-2"/>
          <w:sz w:val="22"/>
        </w:rPr>
        <w:t>electrophoresis.</w:t>
      </w:r>
    </w:p>
    <w:p>
      <w:pPr>
        <w:spacing w:after="0" w:line="480" w:lineRule="auto"/>
        <w:jc w:val="left"/>
        <w:rPr>
          <w:rFonts w:ascii="Calibri"/>
          <w:sz w:val="22"/>
        </w:rPr>
        <w:sectPr>
          <w:pgSz w:w="12240" w:h="15840"/>
          <w:pgMar w:header="0" w:footer="1017" w:top="1400" w:bottom="1200" w:left="520" w:right="260"/>
        </w:sectPr>
      </w:pPr>
    </w:p>
    <w:p>
      <w:pPr>
        <w:pStyle w:val="ListParagraph"/>
        <w:numPr>
          <w:ilvl w:val="0"/>
          <w:numId w:val="9"/>
        </w:numPr>
        <w:tabs>
          <w:tab w:pos="1135" w:val="left" w:leader="none"/>
        </w:tabs>
        <w:spacing w:line="240" w:lineRule="auto" w:before="37" w:after="0"/>
        <w:ind w:left="1135" w:right="0" w:hanging="215"/>
        <w:jc w:val="left"/>
        <w:rPr>
          <w:rFonts w:ascii="Calibri"/>
          <w:sz w:val="22"/>
        </w:rPr>
      </w:pPr>
      <w:r>
        <w:rPr>
          <w:rFonts w:ascii="Calibri"/>
          <w:sz w:val="22"/>
        </w:rPr>
        <w:t>To</w:t>
      </w:r>
      <w:r>
        <w:rPr>
          <w:rFonts w:ascii="Calibri"/>
          <w:spacing w:val="-8"/>
          <w:sz w:val="22"/>
        </w:rPr>
        <w:t> </w:t>
      </w:r>
      <w:r>
        <w:rPr>
          <w:rFonts w:ascii="Calibri"/>
          <w:sz w:val="22"/>
        </w:rPr>
        <w:t>determine</w:t>
      </w:r>
      <w:r>
        <w:rPr>
          <w:rFonts w:ascii="Calibri"/>
          <w:spacing w:val="-4"/>
          <w:sz w:val="22"/>
        </w:rPr>
        <w:t> </w:t>
      </w:r>
      <w:r>
        <w:rPr>
          <w:rFonts w:ascii="Calibri"/>
          <w:sz w:val="22"/>
        </w:rPr>
        <w:t>whether</w:t>
      </w:r>
      <w:r>
        <w:rPr>
          <w:rFonts w:ascii="Calibri"/>
          <w:spacing w:val="-4"/>
          <w:sz w:val="22"/>
        </w:rPr>
        <w:t> </w:t>
      </w:r>
      <w:r>
        <w:rPr>
          <w:rFonts w:ascii="Calibri"/>
          <w:sz w:val="22"/>
        </w:rPr>
        <w:t>resistant</w:t>
      </w:r>
      <w:r>
        <w:rPr>
          <w:rFonts w:ascii="Calibri"/>
          <w:spacing w:val="-6"/>
          <w:sz w:val="22"/>
        </w:rPr>
        <w:t> </w:t>
      </w:r>
      <w:r>
        <w:rPr>
          <w:rFonts w:ascii="Calibri"/>
          <w:sz w:val="22"/>
        </w:rPr>
        <w:t>factors</w:t>
      </w:r>
      <w:r>
        <w:rPr>
          <w:rFonts w:ascii="Calibri"/>
          <w:spacing w:val="-4"/>
          <w:sz w:val="22"/>
        </w:rPr>
        <w:t> </w:t>
      </w:r>
      <w:r>
        <w:rPr>
          <w:rFonts w:ascii="Calibri"/>
          <w:sz w:val="22"/>
        </w:rPr>
        <w:t>are</w:t>
      </w:r>
      <w:r>
        <w:rPr>
          <w:rFonts w:ascii="Calibri"/>
          <w:spacing w:val="-4"/>
          <w:sz w:val="22"/>
        </w:rPr>
        <w:t> </w:t>
      </w:r>
      <w:r>
        <w:rPr>
          <w:rFonts w:ascii="Calibri"/>
          <w:sz w:val="22"/>
        </w:rPr>
        <w:t>transferable</w:t>
      </w:r>
      <w:r>
        <w:rPr>
          <w:rFonts w:ascii="Calibri"/>
          <w:spacing w:val="-2"/>
          <w:sz w:val="22"/>
        </w:rPr>
        <w:t> </w:t>
      </w:r>
      <w:r>
        <w:rPr>
          <w:rFonts w:ascii="Calibri"/>
          <w:sz w:val="22"/>
        </w:rPr>
        <w:t>by</w:t>
      </w:r>
      <w:r>
        <w:rPr>
          <w:rFonts w:ascii="Calibri"/>
          <w:spacing w:val="-3"/>
          <w:sz w:val="22"/>
        </w:rPr>
        <w:t> </w:t>
      </w:r>
      <w:r>
        <w:rPr>
          <w:rFonts w:ascii="Calibri"/>
          <w:sz w:val="22"/>
        </w:rPr>
        <w:t>conjugation</w:t>
      </w:r>
      <w:r>
        <w:rPr>
          <w:rFonts w:ascii="Calibri"/>
          <w:spacing w:val="-5"/>
          <w:sz w:val="22"/>
        </w:rPr>
        <w:t> </w:t>
      </w:r>
      <w:r>
        <w:rPr>
          <w:rFonts w:ascii="Calibri"/>
          <w:spacing w:val="-2"/>
          <w:sz w:val="22"/>
        </w:rPr>
        <w:t>method.</w:t>
      </w:r>
    </w:p>
    <w:p>
      <w:pPr>
        <w:pStyle w:val="BodyText"/>
        <w:spacing w:before="240"/>
      </w:pPr>
    </w:p>
    <w:p>
      <w:pPr>
        <w:pStyle w:val="ListParagraph"/>
        <w:numPr>
          <w:ilvl w:val="0"/>
          <w:numId w:val="9"/>
        </w:numPr>
        <w:tabs>
          <w:tab w:pos="1135" w:val="left" w:leader="none"/>
        </w:tabs>
        <w:spacing w:line="240" w:lineRule="auto" w:before="0" w:after="0"/>
        <w:ind w:left="1135" w:right="0" w:hanging="215"/>
        <w:jc w:val="left"/>
        <w:rPr>
          <w:rFonts w:ascii="Calibri"/>
          <w:sz w:val="22"/>
        </w:rPr>
      </w:pPr>
      <w:r>
        <w:rPr>
          <w:rFonts w:ascii="Calibri"/>
          <w:sz w:val="22"/>
        </w:rPr>
        <w:t>To</w:t>
      </w:r>
      <w:r>
        <w:rPr>
          <w:rFonts w:ascii="Calibri"/>
          <w:spacing w:val="-6"/>
          <w:sz w:val="22"/>
        </w:rPr>
        <w:t> </w:t>
      </w:r>
      <w:r>
        <w:rPr>
          <w:rFonts w:ascii="Calibri"/>
          <w:sz w:val="22"/>
        </w:rPr>
        <w:t>determine</w:t>
      </w:r>
      <w:r>
        <w:rPr>
          <w:rFonts w:ascii="Calibri"/>
          <w:spacing w:val="-3"/>
          <w:sz w:val="22"/>
        </w:rPr>
        <w:t> </w:t>
      </w:r>
      <w:r>
        <w:rPr>
          <w:rFonts w:ascii="Calibri"/>
          <w:sz w:val="22"/>
        </w:rPr>
        <w:t>the</w:t>
      </w:r>
      <w:r>
        <w:rPr>
          <w:rFonts w:ascii="Calibri"/>
          <w:spacing w:val="-3"/>
          <w:sz w:val="22"/>
        </w:rPr>
        <w:t> </w:t>
      </w:r>
      <w:r>
        <w:rPr>
          <w:rFonts w:ascii="Calibri"/>
          <w:sz w:val="22"/>
        </w:rPr>
        <w:t>sizes</w:t>
      </w:r>
      <w:r>
        <w:rPr>
          <w:rFonts w:ascii="Calibri"/>
          <w:spacing w:val="-3"/>
          <w:sz w:val="22"/>
        </w:rPr>
        <w:t> </w:t>
      </w:r>
      <w:r>
        <w:rPr>
          <w:rFonts w:ascii="Calibri"/>
          <w:sz w:val="22"/>
        </w:rPr>
        <w:t>of</w:t>
      </w:r>
      <w:r>
        <w:rPr>
          <w:rFonts w:ascii="Calibri"/>
          <w:spacing w:val="-4"/>
          <w:sz w:val="22"/>
        </w:rPr>
        <w:t> </w:t>
      </w:r>
      <w:r>
        <w:rPr>
          <w:rFonts w:ascii="Calibri"/>
          <w:sz w:val="22"/>
        </w:rPr>
        <w:t>plasmids</w:t>
      </w:r>
      <w:r>
        <w:rPr>
          <w:rFonts w:ascii="Calibri"/>
          <w:spacing w:val="-3"/>
          <w:sz w:val="22"/>
        </w:rPr>
        <w:t> </w:t>
      </w:r>
      <w:r>
        <w:rPr>
          <w:rFonts w:ascii="Calibri"/>
          <w:sz w:val="22"/>
        </w:rPr>
        <w:t>isolated</w:t>
      </w:r>
      <w:r>
        <w:rPr>
          <w:rFonts w:ascii="Calibri"/>
          <w:spacing w:val="-3"/>
          <w:sz w:val="22"/>
        </w:rPr>
        <w:t> </w:t>
      </w:r>
      <w:r>
        <w:rPr>
          <w:rFonts w:ascii="Calibri"/>
          <w:sz w:val="22"/>
        </w:rPr>
        <w:t>from</w:t>
      </w:r>
      <w:r>
        <w:rPr>
          <w:rFonts w:ascii="Calibri"/>
          <w:spacing w:val="-2"/>
          <w:sz w:val="22"/>
        </w:rPr>
        <w:t> </w:t>
      </w:r>
      <w:r>
        <w:rPr>
          <w:rFonts w:ascii="Calibri"/>
          <w:sz w:val="22"/>
        </w:rPr>
        <w:t>the</w:t>
      </w:r>
      <w:r>
        <w:rPr>
          <w:rFonts w:ascii="Calibri"/>
          <w:spacing w:val="-3"/>
          <w:sz w:val="22"/>
        </w:rPr>
        <w:t> </w:t>
      </w:r>
      <w:r>
        <w:rPr>
          <w:rFonts w:ascii="Calibri"/>
          <w:sz w:val="22"/>
        </w:rPr>
        <w:t>different</w:t>
      </w:r>
      <w:r>
        <w:rPr>
          <w:rFonts w:ascii="Calibri"/>
          <w:spacing w:val="-5"/>
          <w:sz w:val="22"/>
        </w:rPr>
        <w:t> </w:t>
      </w:r>
      <w:r>
        <w:rPr>
          <w:rFonts w:ascii="Calibri"/>
          <w:sz w:val="22"/>
        </w:rPr>
        <w:t>resistant</w:t>
      </w:r>
      <w:r>
        <w:rPr>
          <w:rFonts w:ascii="Calibri"/>
          <w:spacing w:val="-4"/>
          <w:sz w:val="22"/>
        </w:rPr>
        <w:t> </w:t>
      </w:r>
      <w:r>
        <w:rPr>
          <w:rFonts w:ascii="Calibri"/>
          <w:spacing w:val="-2"/>
          <w:sz w:val="22"/>
        </w:rPr>
        <w:t>bacteria.</w:t>
      </w:r>
    </w:p>
    <w:p>
      <w:pPr>
        <w:pStyle w:val="BodyText"/>
        <w:spacing w:before="240"/>
      </w:pPr>
    </w:p>
    <w:p>
      <w:pPr>
        <w:pStyle w:val="Heading5"/>
        <w:numPr>
          <w:ilvl w:val="1"/>
          <w:numId w:val="8"/>
        </w:numPr>
        <w:tabs>
          <w:tab w:pos="1245" w:val="left" w:leader="none"/>
        </w:tabs>
        <w:spacing w:line="240" w:lineRule="auto" w:before="1" w:after="0"/>
        <w:ind w:left="1245" w:right="0" w:hanging="325"/>
        <w:jc w:val="left"/>
      </w:pPr>
      <w:bookmarkStart w:name="_TOC_250076" w:id="15"/>
      <w:bookmarkEnd w:id="15"/>
      <w:r>
        <w:rPr>
          <w:spacing w:val="-2"/>
        </w:rPr>
        <w:t>HYPOTHESIS</w:t>
      </w:r>
    </w:p>
    <w:p>
      <w:pPr>
        <w:pStyle w:val="BodyText"/>
        <w:spacing w:before="240"/>
        <w:rPr>
          <w:b/>
        </w:rPr>
      </w:pPr>
    </w:p>
    <w:p>
      <w:pPr>
        <w:pStyle w:val="BodyText"/>
        <w:ind w:left="920"/>
      </w:pPr>
      <w:r>
        <w:rPr/>
        <w:t>Packaged</w:t>
      </w:r>
      <w:r>
        <w:rPr>
          <w:spacing w:val="-7"/>
        </w:rPr>
        <w:t> </w:t>
      </w:r>
      <w:r>
        <w:rPr/>
        <w:t>milk</w:t>
      </w:r>
      <w:r>
        <w:rPr>
          <w:spacing w:val="-3"/>
        </w:rPr>
        <w:t> </w:t>
      </w:r>
      <w:r>
        <w:rPr/>
        <w:t>products</w:t>
      </w:r>
      <w:r>
        <w:rPr>
          <w:spacing w:val="-3"/>
        </w:rPr>
        <w:t> </w:t>
      </w:r>
      <w:r>
        <w:rPr/>
        <w:t>marketed</w:t>
      </w:r>
      <w:r>
        <w:rPr>
          <w:spacing w:val="-4"/>
        </w:rPr>
        <w:t> </w:t>
      </w:r>
      <w:r>
        <w:rPr/>
        <w:t>in</w:t>
      </w:r>
      <w:r>
        <w:rPr>
          <w:spacing w:val="-4"/>
        </w:rPr>
        <w:t> </w:t>
      </w:r>
      <w:r>
        <w:rPr/>
        <w:t>Zaria,</w:t>
      </w:r>
      <w:r>
        <w:rPr>
          <w:spacing w:val="-5"/>
        </w:rPr>
        <w:t> </w:t>
      </w:r>
      <w:r>
        <w:rPr/>
        <w:t>Nigeria</w:t>
      </w:r>
      <w:r>
        <w:rPr>
          <w:spacing w:val="-3"/>
        </w:rPr>
        <w:t> </w:t>
      </w:r>
      <w:r>
        <w:rPr/>
        <w:t>are</w:t>
      </w:r>
      <w:r>
        <w:rPr>
          <w:spacing w:val="-3"/>
        </w:rPr>
        <w:t> </w:t>
      </w:r>
      <w:r>
        <w:rPr/>
        <w:t>not</w:t>
      </w:r>
      <w:r>
        <w:rPr>
          <w:spacing w:val="-5"/>
        </w:rPr>
        <w:t> </w:t>
      </w:r>
      <w:r>
        <w:rPr/>
        <w:t>contaminated</w:t>
      </w:r>
      <w:r>
        <w:rPr>
          <w:spacing w:val="-2"/>
        </w:rPr>
        <w:t> </w:t>
      </w:r>
      <w:r>
        <w:rPr/>
        <w:t>with</w:t>
      </w:r>
      <w:r>
        <w:rPr>
          <w:spacing w:val="-4"/>
        </w:rPr>
        <w:t> </w:t>
      </w:r>
      <w:r>
        <w:rPr/>
        <w:t>bacterial</w:t>
      </w:r>
      <w:r>
        <w:rPr>
          <w:spacing w:val="-1"/>
        </w:rPr>
        <w:t> </w:t>
      </w:r>
      <w:r>
        <w:rPr>
          <w:spacing w:val="-2"/>
        </w:rPr>
        <w:t>pathogens.</w:t>
      </w:r>
    </w:p>
    <w:p>
      <w:pPr>
        <w:pStyle w:val="BodyText"/>
      </w:pPr>
    </w:p>
    <w:p>
      <w:pPr>
        <w:pStyle w:val="BodyText"/>
      </w:pPr>
    </w:p>
    <w:p>
      <w:pPr>
        <w:pStyle w:val="BodyText"/>
      </w:pPr>
    </w:p>
    <w:p>
      <w:pPr>
        <w:pStyle w:val="BodyText"/>
        <w:spacing w:before="208"/>
      </w:pPr>
    </w:p>
    <w:p>
      <w:pPr>
        <w:pStyle w:val="Heading5"/>
        <w:numPr>
          <w:ilvl w:val="1"/>
          <w:numId w:val="8"/>
        </w:numPr>
        <w:tabs>
          <w:tab w:pos="1245" w:val="left" w:leader="none"/>
        </w:tabs>
        <w:spacing w:line="240" w:lineRule="auto" w:before="0" w:after="0"/>
        <w:ind w:left="1245" w:right="0" w:hanging="325"/>
        <w:jc w:val="left"/>
      </w:pPr>
      <w:bookmarkStart w:name="_TOC_250075" w:id="16"/>
      <w:bookmarkEnd w:id="16"/>
      <w:r>
        <w:rPr>
          <w:spacing w:val="-2"/>
        </w:rPr>
        <w:t>LIMITATIONS</w:t>
      </w:r>
    </w:p>
    <w:p>
      <w:pPr>
        <w:pStyle w:val="BodyText"/>
        <w:spacing w:before="240"/>
        <w:rPr>
          <w:b/>
        </w:rPr>
      </w:pPr>
    </w:p>
    <w:p>
      <w:pPr>
        <w:pStyle w:val="BodyText"/>
        <w:spacing w:line="480" w:lineRule="auto"/>
        <w:ind w:left="920" w:right="1181"/>
      </w:pPr>
      <w:r>
        <w:rPr/>
        <w:t>Only</w:t>
      </w:r>
      <w:r>
        <w:rPr>
          <w:spacing w:val="40"/>
        </w:rPr>
        <w:t> </w:t>
      </w:r>
      <w:r>
        <w:rPr/>
        <w:t>aerobic</w:t>
      </w:r>
      <w:r>
        <w:rPr>
          <w:spacing w:val="40"/>
        </w:rPr>
        <w:t> </w:t>
      </w:r>
      <w:r>
        <w:rPr/>
        <w:t>bacterial</w:t>
      </w:r>
      <w:r>
        <w:rPr>
          <w:spacing w:val="40"/>
        </w:rPr>
        <w:t> </w:t>
      </w:r>
      <w:r>
        <w:rPr/>
        <w:t>contaminants</w:t>
      </w:r>
      <w:r>
        <w:rPr>
          <w:spacing w:val="40"/>
        </w:rPr>
        <w:t> </w:t>
      </w:r>
      <w:r>
        <w:rPr/>
        <w:t>were</w:t>
      </w:r>
      <w:r>
        <w:rPr>
          <w:spacing w:val="40"/>
        </w:rPr>
        <w:t> </w:t>
      </w:r>
      <w:r>
        <w:rPr/>
        <w:t>isolated.</w:t>
      </w:r>
      <w:r>
        <w:rPr>
          <w:spacing w:val="40"/>
        </w:rPr>
        <w:t> </w:t>
      </w:r>
      <w:r>
        <w:rPr/>
        <w:t>Anaerobics</w:t>
      </w:r>
      <w:r>
        <w:rPr>
          <w:spacing w:val="40"/>
        </w:rPr>
        <w:t> </w:t>
      </w:r>
      <w:r>
        <w:rPr/>
        <w:t>in</w:t>
      </w:r>
      <w:r>
        <w:rPr>
          <w:spacing w:val="40"/>
        </w:rPr>
        <w:t> </w:t>
      </w:r>
      <w:r>
        <w:rPr/>
        <w:t>milk</w:t>
      </w:r>
      <w:r>
        <w:rPr>
          <w:spacing w:val="40"/>
        </w:rPr>
        <w:t> </w:t>
      </w:r>
      <w:r>
        <w:rPr/>
        <w:t>products</w:t>
      </w:r>
      <w:r>
        <w:rPr>
          <w:spacing w:val="40"/>
        </w:rPr>
        <w:t> </w:t>
      </w:r>
      <w:r>
        <w:rPr/>
        <w:t>such</w:t>
      </w:r>
      <w:r>
        <w:rPr>
          <w:spacing w:val="40"/>
        </w:rPr>
        <w:t> </w:t>
      </w:r>
      <w:r>
        <w:rPr/>
        <w:t>as</w:t>
      </w:r>
      <w:r>
        <w:rPr>
          <w:spacing w:val="40"/>
        </w:rPr>
        <w:t> </w:t>
      </w:r>
      <w:r>
        <w:rPr/>
        <w:t>Lactic</w:t>
      </w:r>
      <w:r>
        <w:rPr>
          <w:spacing w:val="40"/>
        </w:rPr>
        <w:t> </w:t>
      </w:r>
      <w:r>
        <w:rPr/>
        <w:t>acid bacteria were not included in the study.</w:t>
      </w:r>
    </w:p>
    <w:p>
      <w:pPr>
        <w:spacing w:after="0" w:line="480" w:lineRule="auto"/>
        <w:sectPr>
          <w:pgSz w:w="12240" w:h="15840"/>
          <w:pgMar w:header="0" w:footer="1017" w:top="1400" w:bottom="1200" w:left="520" w:right="260"/>
        </w:sectPr>
      </w:pPr>
    </w:p>
    <w:p>
      <w:pPr>
        <w:pStyle w:val="Heading5"/>
        <w:spacing w:line="660" w:lineRule="auto"/>
        <w:ind w:left="4654" w:right="4923" w:firstLine="10"/>
        <w:jc w:val="center"/>
      </w:pPr>
      <w:r>
        <w:rPr/>
        <w:t>CHAPTER TWO LITERATURE</w:t>
      </w:r>
      <w:r>
        <w:rPr>
          <w:spacing w:val="-13"/>
        </w:rPr>
        <w:t> </w:t>
      </w:r>
      <w:r>
        <w:rPr/>
        <w:t>REVIEW</w:t>
      </w:r>
    </w:p>
    <w:p>
      <w:pPr>
        <w:pStyle w:val="ListParagraph"/>
        <w:numPr>
          <w:ilvl w:val="1"/>
          <w:numId w:val="10"/>
        </w:numPr>
        <w:tabs>
          <w:tab w:pos="1245" w:val="left" w:leader="none"/>
        </w:tabs>
        <w:spacing w:line="265" w:lineRule="exact" w:before="0" w:after="0"/>
        <w:ind w:left="1245" w:right="0" w:hanging="325"/>
        <w:jc w:val="left"/>
        <w:rPr>
          <w:rFonts w:ascii="Calibri"/>
          <w:b/>
          <w:sz w:val="22"/>
        </w:rPr>
      </w:pPr>
      <w:bookmarkStart w:name="_TOC_250074" w:id="17"/>
      <w:r>
        <w:rPr>
          <w:rFonts w:ascii="Calibri"/>
          <w:b/>
          <w:sz w:val="22"/>
        </w:rPr>
        <w:t>OVERVIEW</w:t>
      </w:r>
      <w:r>
        <w:rPr>
          <w:rFonts w:ascii="Calibri"/>
          <w:b/>
          <w:spacing w:val="-3"/>
          <w:sz w:val="22"/>
        </w:rPr>
        <w:t> </w:t>
      </w:r>
      <w:r>
        <w:rPr>
          <w:rFonts w:ascii="Calibri"/>
          <w:b/>
          <w:sz w:val="22"/>
        </w:rPr>
        <w:t>OF</w:t>
      </w:r>
      <w:r>
        <w:rPr>
          <w:rFonts w:ascii="Calibri"/>
          <w:b/>
          <w:spacing w:val="-4"/>
          <w:sz w:val="22"/>
        </w:rPr>
        <w:t> </w:t>
      </w:r>
      <w:r>
        <w:rPr>
          <w:rFonts w:ascii="Calibri"/>
          <w:b/>
          <w:sz w:val="22"/>
        </w:rPr>
        <w:t>MILK</w:t>
      </w:r>
      <w:r>
        <w:rPr>
          <w:rFonts w:ascii="Calibri"/>
          <w:b/>
          <w:spacing w:val="-4"/>
          <w:sz w:val="22"/>
        </w:rPr>
        <w:t> </w:t>
      </w:r>
      <w:bookmarkEnd w:id="17"/>
      <w:r>
        <w:rPr>
          <w:rFonts w:ascii="Calibri"/>
          <w:b/>
          <w:spacing w:val="-2"/>
          <w:sz w:val="22"/>
        </w:rPr>
        <w:t>QUALITY</w:t>
      </w:r>
    </w:p>
    <w:p>
      <w:pPr>
        <w:pStyle w:val="BodyText"/>
        <w:spacing w:before="240"/>
        <w:rPr>
          <w:b/>
        </w:rPr>
      </w:pPr>
    </w:p>
    <w:p>
      <w:pPr>
        <w:pStyle w:val="BodyText"/>
        <w:spacing w:line="480" w:lineRule="auto"/>
        <w:ind w:left="920" w:right="1173"/>
        <w:jc w:val="both"/>
      </w:pPr>
      <w:r>
        <w:rPr/>
        <w:t>Raw or processed milk has been reported as a well-known good medium that supports the growth of several bacteria with resultant spoilage of the product or infections/intoxications in consumers</w:t>
      </w:r>
      <w:r>
        <w:rPr>
          <w:spacing w:val="80"/>
        </w:rPr>
        <w:t> </w:t>
      </w:r>
      <w:r>
        <w:rPr/>
        <w:t>(Murinda </w:t>
      </w:r>
      <w:r>
        <w:rPr>
          <w:i/>
        </w:rPr>
        <w:t>et al</w:t>
      </w:r>
      <w:r>
        <w:rPr/>
        <w:t>., 2004; Oliver </w:t>
      </w:r>
      <w:r>
        <w:rPr>
          <w:i/>
        </w:rPr>
        <w:t>et al</w:t>
      </w:r>
      <w:r>
        <w:rPr/>
        <w:t>., 2005). Microbes may gain entry into raw milk directly from dairy</w:t>
      </w:r>
      <w:r>
        <w:rPr>
          <w:spacing w:val="40"/>
        </w:rPr>
        <w:t> </w:t>
      </w:r>
      <w:r>
        <w:rPr/>
        <w:t>cows experiencing subclinical or clinical mastitis (Rodojcic-Prodaova and Necev, 1991), from the farm environment particularly the water source and utensils used for the storage of milk on farm or during transportation (Murphy and Boor, 2000). Microorganisms in milk have been observed to undergo rapid multiplication at high ambient temperatures (Jayarao and Henning, 2001; Gillespie </w:t>
      </w:r>
      <w:r>
        <w:rPr>
          <w:i/>
        </w:rPr>
        <w:t>et al</w:t>
      </w:r>
      <w:r>
        <w:rPr/>
        <w:t>., 2005; Hussein and Sakuma, 2005). A number of bacteria including </w:t>
      </w:r>
      <w:r>
        <w:rPr>
          <w:i/>
        </w:rPr>
        <w:t>S</w:t>
      </w:r>
      <w:r>
        <w:rPr/>
        <w:t>. </w:t>
      </w:r>
      <w:r>
        <w:rPr>
          <w:i/>
        </w:rPr>
        <w:t>aureus</w:t>
      </w:r>
      <w:r>
        <w:rPr/>
        <w:t>, </w:t>
      </w:r>
      <w:r>
        <w:rPr>
          <w:i/>
        </w:rPr>
        <w:t>Escherichia coli </w:t>
      </w:r>
      <w:r>
        <w:rPr/>
        <w:t>and </w:t>
      </w:r>
      <w:r>
        <w:rPr>
          <w:i/>
        </w:rPr>
        <w:t>Salmonella spp </w:t>
      </w:r>
      <w:r>
        <w:rPr/>
        <w:t>have been recovered from raw milk (De Buyser </w:t>
      </w:r>
      <w:r>
        <w:rPr>
          <w:i/>
        </w:rPr>
        <w:t>et al</w:t>
      </w:r>
      <w:r>
        <w:rPr/>
        <w:t>., 2001) and some of these havebeen determined to be pathogenic</w:t>
      </w:r>
      <w:r>
        <w:rPr>
          <w:spacing w:val="-2"/>
        </w:rPr>
        <w:t> </w:t>
      </w:r>
      <w:r>
        <w:rPr/>
        <w:t>and toxigenic,</w:t>
      </w:r>
      <w:r>
        <w:rPr>
          <w:spacing w:val="-2"/>
        </w:rPr>
        <w:t> </w:t>
      </w:r>
      <w:r>
        <w:rPr/>
        <w:t>and implicatedin milk-borne gastroenteritis (Maguire </w:t>
      </w:r>
      <w:r>
        <w:rPr>
          <w:i/>
        </w:rPr>
        <w:t>et</w:t>
      </w:r>
      <w:r>
        <w:rPr>
          <w:i/>
          <w:spacing w:val="-1"/>
        </w:rPr>
        <w:t> </w:t>
      </w:r>
      <w:r>
        <w:rPr>
          <w:i/>
        </w:rPr>
        <w:t>al</w:t>
      </w:r>
      <w:r>
        <w:rPr/>
        <w:t>.,</w:t>
      </w:r>
      <w:r>
        <w:rPr>
          <w:spacing w:val="-2"/>
        </w:rPr>
        <w:t> </w:t>
      </w:r>
      <w:r>
        <w:rPr/>
        <w:t>1992;</w:t>
      </w:r>
      <w:r>
        <w:rPr>
          <w:spacing w:val="-1"/>
        </w:rPr>
        <w:t> </w:t>
      </w:r>
      <w:r>
        <w:rPr/>
        <w:t>De Buyser</w:t>
      </w:r>
      <w:r>
        <w:rPr>
          <w:i/>
        </w:rPr>
        <w:t>et al</w:t>
      </w:r>
      <w:r>
        <w:rPr/>
        <w:t>., 2001). In recent years,</w:t>
      </w:r>
      <w:r>
        <w:rPr>
          <w:i/>
        </w:rPr>
        <w:t>E. coli </w:t>
      </w:r>
      <w:r>
        <w:rPr/>
        <w:t>O157:H7 strain has been reported as a very important milk-borne pathogen and cattle has been implicated as its main reservoir (Betts,</w:t>
      </w:r>
      <w:r>
        <w:rPr>
          <w:spacing w:val="-2"/>
        </w:rPr>
        <w:t> </w:t>
      </w:r>
      <w:r>
        <w:rPr/>
        <w:t>2000). The antimicrobial resistance of </w:t>
      </w:r>
      <w:r>
        <w:rPr>
          <w:i/>
        </w:rPr>
        <w:t>S. aureus </w:t>
      </w:r>
      <w:r>
        <w:rPr/>
        <w:t>and </w:t>
      </w:r>
      <w:r>
        <w:rPr>
          <w:i/>
        </w:rPr>
        <w:t>E. coli </w:t>
      </w:r>
      <w:r>
        <w:rPr/>
        <w:t>recovered from raw milk and milk products have been reported (Umoh </w:t>
      </w:r>
      <w:r>
        <w:rPr>
          <w:i/>
        </w:rPr>
        <w:t>et al</w:t>
      </w:r>
      <w:r>
        <w:rPr/>
        <w:t>.,1990; Adesiyun </w:t>
      </w:r>
      <w:r>
        <w:rPr>
          <w:i/>
        </w:rPr>
        <w:t>et al</w:t>
      </w:r>
      <w:r>
        <w:rPr/>
        <w:t>.,1997a; Makovec and Ruegg, 2003; Pitkala </w:t>
      </w:r>
      <w:r>
        <w:rPr>
          <w:i/>
        </w:rPr>
        <w:t>et al</w:t>
      </w:r>
      <w:r>
        <w:rPr/>
        <w:t>., 2004).</w:t>
      </w:r>
    </w:p>
    <w:p>
      <w:pPr>
        <w:pStyle w:val="BodyText"/>
        <w:spacing w:line="480" w:lineRule="auto" w:before="242"/>
        <w:ind w:left="920" w:right="1173"/>
        <w:jc w:val="both"/>
      </w:pPr>
      <w:r>
        <w:rPr/>
        <w:t>Milk is highly valued and has been reported to provide essential nutrients in higher amounts than other staple foods (Oyawoye </w:t>
      </w:r>
      <w:r>
        <w:rPr>
          <w:i/>
        </w:rPr>
        <w:t>et al</w:t>
      </w:r>
      <w:r>
        <w:rPr/>
        <w:t>., 1997). Milk has been reported to be utilized in the production of at least 400 different fermented products all over the world (Prescott </w:t>
      </w:r>
      <w:r>
        <w:rPr>
          <w:i/>
        </w:rPr>
        <w:t>et al</w:t>
      </w:r>
      <w:r>
        <w:rPr/>
        <w:t>., 2008). Health complications associated with consumption of inadequately pasteurized milk products include serious infections with antibiotics</w:t>
      </w:r>
      <w:r>
        <w:rPr>
          <w:spacing w:val="17"/>
        </w:rPr>
        <w:t> </w:t>
      </w:r>
      <w:r>
        <w:rPr/>
        <w:t>therapeutic</w:t>
      </w:r>
      <w:r>
        <w:rPr>
          <w:spacing w:val="15"/>
        </w:rPr>
        <w:t> </w:t>
      </w:r>
      <w:r>
        <w:rPr/>
        <w:t>failure</w:t>
      </w:r>
      <w:r>
        <w:rPr>
          <w:spacing w:val="17"/>
        </w:rPr>
        <w:t> </w:t>
      </w:r>
      <w:r>
        <w:rPr/>
        <w:t>due</w:t>
      </w:r>
      <w:r>
        <w:rPr>
          <w:spacing w:val="18"/>
        </w:rPr>
        <w:t> </w:t>
      </w:r>
      <w:r>
        <w:rPr/>
        <w:t>to</w:t>
      </w:r>
      <w:r>
        <w:rPr>
          <w:spacing w:val="16"/>
        </w:rPr>
        <w:t> </w:t>
      </w:r>
      <w:r>
        <w:rPr/>
        <w:t>antibiotic</w:t>
      </w:r>
      <w:r>
        <w:rPr>
          <w:spacing w:val="15"/>
        </w:rPr>
        <w:t> </w:t>
      </w:r>
      <w:r>
        <w:rPr/>
        <w:t>resistance</w:t>
      </w:r>
      <w:r>
        <w:rPr>
          <w:spacing w:val="17"/>
        </w:rPr>
        <w:t> </w:t>
      </w:r>
      <w:r>
        <w:rPr/>
        <w:t>development.</w:t>
      </w:r>
      <w:r>
        <w:rPr>
          <w:spacing w:val="21"/>
        </w:rPr>
        <w:t> </w:t>
      </w:r>
      <w:r>
        <w:rPr/>
        <w:t>Antibiotics</w:t>
      </w:r>
      <w:r>
        <w:rPr>
          <w:spacing w:val="18"/>
        </w:rPr>
        <w:t> </w:t>
      </w:r>
      <w:r>
        <w:rPr/>
        <w:t>reportedly</w:t>
      </w:r>
      <w:r>
        <w:rPr>
          <w:spacing w:val="13"/>
        </w:rPr>
        <w:t> </w:t>
      </w:r>
      <w:r>
        <w:rPr/>
        <w:t>used</w:t>
      </w:r>
      <w:r>
        <w:rPr>
          <w:spacing w:val="17"/>
        </w:rPr>
        <w:t> </w:t>
      </w:r>
      <w:r>
        <w:rPr>
          <w:spacing w:val="-5"/>
        </w:rPr>
        <w:t>to</w:t>
      </w:r>
    </w:p>
    <w:p>
      <w:pPr>
        <w:spacing w:after="0" w:line="480" w:lineRule="auto"/>
        <w:jc w:val="both"/>
        <w:sectPr>
          <w:pgSz w:w="12240" w:h="15840"/>
          <w:pgMar w:header="0" w:footer="1017" w:top="1400" w:bottom="1200" w:left="520" w:right="260"/>
        </w:sectPr>
      </w:pPr>
    </w:p>
    <w:p>
      <w:pPr>
        <w:pStyle w:val="BodyText"/>
        <w:spacing w:line="480" w:lineRule="auto" w:before="37"/>
        <w:ind w:left="920" w:right="1173"/>
        <w:jc w:val="both"/>
      </w:pPr>
      <w:r>
        <w:rPr/>
        <w:t>treat infectious disease have been implicated in the development of multiple antibiotic resistances thereby rendering the antibiotic treatment ineffective (Johnston </w:t>
      </w:r>
      <w:r>
        <w:rPr>
          <w:i/>
        </w:rPr>
        <w:t>et al</w:t>
      </w:r>
      <w:r>
        <w:rPr/>
        <w:t>.</w:t>
      </w:r>
      <w:r>
        <w:rPr>
          <w:i/>
        </w:rPr>
        <w:t>, </w:t>
      </w:r>
      <w:r>
        <w:rPr/>
        <w:t>1983; Devriese </w:t>
      </w:r>
      <w:r>
        <w:rPr>
          <w:i/>
        </w:rPr>
        <w:t>et al., </w:t>
      </w:r>
      <w:r>
        <w:rPr/>
        <w:t>1997). It</w:t>
      </w:r>
      <w:r>
        <w:rPr>
          <w:spacing w:val="40"/>
        </w:rPr>
        <w:t> </w:t>
      </w:r>
      <w:r>
        <w:rPr/>
        <w:t>has been estimated that</w:t>
      </w:r>
      <w:r>
        <w:rPr>
          <w:spacing w:val="-1"/>
        </w:rPr>
        <w:t> </w:t>
      </w:r>
      <w:r>
        <w:rPr/>
        <w:t>nearly equal tonnage of antimicrobial</w:t>
      </w:r>
      <w:r>
        <w:rPr>
          <w:spacing w:val="-2"/>
        </w:rPr>
        <w:t> </w:t>
      </w:r>
      <w:r>
        <w:rPr/>
        <w:t>agents are used in</w:t>
      </w:r>
      <w:r>
        <w:rPr>
          <w:spacing w:val="-5"/>
        </w:rPr>
        <w:t> </w:t>
      </w:r>
      <w:r>
        <w:rPr/>
        <w:t>man and in</w:t>
      </w:r>
      <w:r>
        <w:rPr>
          <w:spacing w:val="-5"/>
        </w:rPr>
        <w:t> </w:t>
      </w:r>
      <w:r>
        <w:rPr/>
        <w:t>agriculture worldwide (European Federation of Animal Health, 1997). When low doses of antibiotics are used, they inhibit the growth of susceptible bacteria while resistant bacteria thrive and grow such as in the presence of tetracycline (Eichner and Gravitz, 1999).</w:t>
      </w:r>
    </w:p>
    <w:p>
      <w:pPr>
        <w:pStyle w:val="BodyText"/>
        <w:spacing w:line="480" w:lineRule="auto" w:before="238"/>
        <w:ind w:left="920" w:right="1172"/>
        <w:jc w:val="both"/>
      </w:pPr>
      <w:r>
        <w:rPr/>
        <w:t>Pasteurization has been regarded as an effective method to eliminate bacterial pathogens in milk. However, the increasing number of reports on detection of bacterial pathogens in pasteurized fluid milk and ready-to-eat dairy products clearly indicates inherent failure of pasteurization methods of milk and milk products. Consumption of raw milk has been recognized as a major route of bacterial infection. There are several reports on consumption of raw milk, faulty pasteurized milk, or dairy products linked directly to human bacterial infections (Fashey </w:t>
      </w:r>
      <w:r>
        <w:rPr>
          <w:i/>
        </w:rPr>
        <w:t>et al</w:t>
      </w:r>
      <w:r>
        <w:rPr/>
        <w:t>., 1995; Evans </w:t>
      </w:r>
      <w:r>
        <w:rPr>
          <w:i/>
        </w:rPr>
        <w:t>et al</w:t>
      </w:r>
      <w:r>
        <w:rPr/>
        <w:t>., 1996).</w:t>
      </w:r>
    </w:p>
    <w:p>
      <w:pPr>
        <w:pStyle w:val="Heading5"/>
        <w:numPr>
          <w:ilvl w:val="1"/>
          <w:numId w:val="10"/>
        </w:numPr>
        <w:tabs>
          <w:tab w:pos="1196" w:val="left" w:leader="none"/>
        </w:tabs>
        <w:spacing w:line="240" w:lineRule="auto" w:before="243" w:after="0"/>
        <w:ind w:left="1196" w:right="0" w:hanging="276"/>
        <w:jc w:val="both"/>
        <w:rPr>
          <w:sz w:val="20"/>
        </w:rPr>
      </w:pPr>
      <w:bookmarkStart w:name="_TOC_250073" w:id="18"/>
      <w:r>
        <w:rPr/>
        <w:t>MILK</w:t>
      </w:r>
      <w:r>
        <w:rPr>
          <w:spacing w:val="-4"/>
        </w:rPr>
        <w:t> </w:t>
      </w:r>
      <w:r>
        <w:rPr/>
        <w:t>COMPOSITION</w:t>
      </w:r>
      <w:r>
        <w:rPr>
          <w:spacing w:val="-4"/>
        </w:rPr>
        <w:t> </w:t>
      </w:r>
      <w:r>
        <w:rPr/>
        <w:t>AND</w:t>
      </w:r>
      <w:r>
        <w:rPr>
          <w:spacing w:val="-7"/>
        </w:rPr>
        <w:t> </w:t>
      </w:r>
      <w:r>
        <w:rPr/>
        <w:t>NUTRITIVE</w:t>
      </w:r>
      <w:bookmarkEnd w:id="18"/>
      <w:r>
        <w:rPr>
          <w:spacing w:val="-4"/>
        </w:rPr>
        <w:t> VALUE</w:t>
      </w:r>
    </w:p>
    <w:p>
      <w:pPr>
        <w:pStyle w:val="BodyText"/>
        <w:spacing w:before="240"/>
        <w:rPr>
          <w:b/>
        </w:rPr>
      </w:pPr>
    </w:p>
    <w:p>
      <w:pPr>
        <w:pStyle w:val="BodyText"/>
        <w:spacing w:line="480" w:lineRule="auto"/>
        <w:ind w:left="920" w:right="1174"/>
        <w:jc w:val="both"/>
      </w:pPr>
      <w:r>
        <w:rPr/>
        <w:t>Milk may be defined as the secretion of the female mammal used for the feeding of her young, and has been described as close to being nature’s perfect food (Ensminger, 1993; Nickerson, 1999). The substances in milk have been reported to provide both energy and materials necessary for growth and maintenance of health. Bovine</w:t>
      </w:r>
      <w:r>
        <w:rPr>
          <w:spacing w:val="-4"/>
        </w:rPr>
        <w:t> </w:t>
      </w:r>
      <w:r>
        <w:rPr/>
        <w:t>milk is commonly consumed by majority throughout</w:t>
      </w:r>
      <w:r>
        <w:rPr>
          <w:spacing w:val="-1"/>
        </w:rPr>
        <w:t> </w:t>
      </w:r>
      <w:r>
        <w:rPr/>
        <w:t>the world,</w:t>
      </w:r>
      <w:r>
        <w:rPr>
          <w:spacing w:val="-2"/>
        </w:rPr>
        <w:t> </w:t>
      </w:r>
      <w:r>
        <w:rPr/>
        <w:t>however, in some regions goat’s milk or sheep milk may be more commonly used (Dogan </w:t>
      </w:r>
      <w:r>
        <w:rPr>
          <w:i/>
        </w:rPr>
        <w:t>et al</w:t>
      </w:r>
      <w:r>
        <w:rPr/>
        <w:t>., 2002). Fresh milk</w:t>
      </w:r>
      <w:r>
        <w:rPr>
          <w:spacing w:val="40"/>
        </w:rPr>
        <w:t> </w:t>
      </w:r>
      <w:r>
        <w:rPr/>
        <w:t>is neutral or slightly alkaline but on souring becomes acid because of the lactic acid formed by bacterial action on lactose. It</w:t>
      </w:r>
      <w:r>
        <w:rPr>
          <w:spacing w:val="-1"/>
        </w:rPr>
        <w:t> </w:t>
      </w:r>
      <w:r>
        <w:rPr/>
        <w:t>has a water content</w:t>
      </w:r>
      <w:r>
        <w:rPr>
          <w:spacing w:val="-1"/>
        </w:rPr>
        <w:t> </w:t>
      </w:r>
      <w:r>
        <w:rPr/>
        <w:t>of 88% and 12% of solids which constitute 3.5% fats,</w:t>
      </w:r>
      <w:r>
        <w:rPr>
          <w:spacing w:val="-2"/>
        </w:rPr>
        <w:t> </w:t>
      </w:r>
      <w:r>
        <w:rPr/>
        <w:t>0.6% salts, 4.8% sugars,</w:t>
      </w:r>
      <w:r>
        <w:rPr>
          <w:spacing w:val="-1"/>
        </w:rPr>
        <w:t> </w:t>
      </w:r>
      <w:r>
        <w:rPr/>
        <w:t>and 3.1% protein (Stewart,</w:t>
      </w:r>
      <w:r>
        <w:rPr>
          <w:spacing w:val="-1"/>
        </w:rPr>
        <w:t> </w:t>
      </w:r>
      <w:r>
        <w:rPr/>
        <w:t>1978; Pape-Zambito </w:t>
      </w:r>
      <w:r>
        <w:rPr>
          <w:i/>
        </w:rPr>
        <w:t>et al</w:t>
      </w:r>
      <w:r>
        <w:rPr/>
        <w:t>.,</w:t>
      </w:r>
      <w:r>
        <w:rPr>
          <w:spacing w:val="-1"/>
        </w:rPr>
        <w:t> </w:t>
      </w:r>
      <w:r>
        <w:rPr/>
        <w:t>2007). It has a wide range of positive nutritional benefits and supplies a variety of nutrients including protein for bodybuilding, vitamins, minerals (especially calcium), fat and carbohydrate for energy (Medhammar, 2012).</w:t>
      </w:r>
    </w:p>
    <w:p>
      <w:pPr>
        <w:spacing w:after="0" w:line="480" w:lineRule="auto"/>
        <w:jc w:val="both"/>
        <w:sectPr>
          <w:pgSz w:w="12240" w:h="15840"/>
          <w:pgMar w:header="0" w:footer="1017" w:top="1400" w:bottom="1200" w:left="520" w:right="260"/>
        </w:sectPr>
      </w:pPr>
    </w:p>
    <w:p>
      <w:pPr>
        <w:pStyle w:val="Heading6"/>
        <w:numPr>
          <w:ilvl w:val="2"/>
          <w:numId w:val="10"/>
        </w:numPr>
        <w:tabs>
          <w:tab w:pos="1415" w:val="left" w:leader="none"/>
        </w:tabs>
        <w:spacing w:line="240" w:lineRule="auto" w:before="37" w:after="0"/>
        <w:ind w:left="1415" w:right="0" w:hanging="495"/>
        <w:jc w:val="both"/>
      </w:pPr>
      <w:bookmarkStart w:name="_TOC_250072" w:id="19"/>
      <w:r>
        <w:rPr/>
        <w:t>Milk</w:t>
      </w:r>
      <w:r>
        <w:rPr>
          <w:spacing w:val="-7"/>
        </w:rPr>
        <w:t> </w:t>
      </w:r>
      <w:bookmarkEnd w:id="19"/>
      <w:r>
        <w:rPr>
          <w:spacing w:val="-5"/>
        </w:rPr>
        <w:t>Fat</w:t>
      </w:r>
    </w:p>
    <w:p>
      <w:pPr>
        <w:pStyle w:val="BodyText"/>
        <w:spacing w:before="240"/>
        <w:rPr>
          <w:b/>
        </w:rPr>
      </w:pPr>
    </w:p>
    <w:p>
      <w:pPr>
        <w:pStyle w:val="BodyText"/>
        <w:spacing w:line="480" w:lineRule="auto"/>
        <w:ind w:left="920" w:right="1175"/>
        <w:jc w:val="both"/>
      </w:pPr>
      <w:r>
        <w:rPr/>
        <w:t>Milk fat being an animal fat, is characterized as being saturated fat. However about 32% of milk’s fatty acids are unsaturated, primarily as mono-unsaturated acids like oleic acid (C18:1). Milk supplies the essential fatty acids linoleic</w:t>
      </w:r>
      <w:r>
        <w:rPr>
          <w:spacing w:val="-1"/>
        </w:rPr>
        <w:t> </w:t>
      </w:r>
      <w:r>
        <w:rPr/>
        <w:t>acid (2.1%),</w:t>
      </w:r>
      <w:r>
        <w:rPr>
          <w:spacing w:val="-1"/>
        </w:rPr>
        <w:t> </w:t>
      </w:r>
      <w:r>
        <w:rPr/>
        <w:t>lanoleic</w:t>
      </w:r>
      <w:r>
        <w:rPr>
          <w:spacing w:val="-1"/>
        </w:rPr>
        <w:t> </w:t>
      </w:r>
      <w:r>
        <w:rPr/>
        <w:t>(0.5%) and arachidonic</w:t>
      </w:r>
      <w:r>
        <w:rPr>
          <w:spacing w:val="-1"/>
        </w:rPr>
        <w:t> </w:t>
      </w:r>
      <w:r>
        <w:rPr/>
        <w:t>acid (0.14%). These are required by the human body for normal metabolism and growth. Short (C2 to C6) and medium chain (C8 to C12) fatty acids account</w:t>
      </w:r>
      <w:r>
        <w:rPr>
          <w:spacing w:val="-1"/>
        </w:rPr>
        <w:t> </w:t>
      </w:r>
      <w:r>
        <w:rPr/>
        <w:t>for about</w:t>
      </w:r>
      <w:r>
        <w:rPr>
          <w:spacing w:val="-1"/>
        </w:rPr>
        <w:t> </w:t>
      </w:r>
      <w:r>
        <w:rPr/>
        <w:t>12% of the fatty acids of milk and being more readily digested. They do</w:t>
      </w:r>
      <w:r>
        <w:rPr>
          <w:spacing w:val="-1"/>
        </w:rPr>
        <w:t> </w:t>
      </w:r>
      <w:r>
        <w:rPr/>
        <w:t>not contribute to the elevation of blood lipids nor are they deposited in adipose tissue (Lee and Gerrior, </w:t>
      </w:r>
      <w:r>
        <w:rPr>
          <w:spacing w:val="-2"/>
        </w:rPr>
        <w:t>2002).</w:t>
      </w:r>
    </w:p>
    <w:p>
      <w:pPr>
        <w:pStyle w:val="Heading6"/>
        <w:numPr>
          <w:ilvl w:val="2"/>
          <w:numId w:val="10"/>
        </w:numPr>
        <w:tabs>
          <w:tab w:pos="1415" w:val="left" w:leader="none"/>
        </w:tabs>
        <w:spacing w:line="240" w:lineRule="auto" w:before="239" w:after="0"/>
        <w:ind w:left="1415" w:right="0" w:hanging="495"/>
        <w:jc w:val="both"/>
      </w:pPr>
      <w:bookmarkStart w:name="_TOC_250071" w:id="20"/>
      <w:bookmarkEnd w:id="20"/>
      <w:r>
        <w:rPr>
          <w:spacing w:val="-2"/>
        </w:rPr>
        <w:t>Proteins</w:t>
      </w:r>
    </w:p>
    <w:p>
      <w:pPr>
        <w:pStyle w:val="BodyText"/>
        <w:spacing w:before="240"/>
        <w:rPr>
          <w:b/>
        </w:rPr>
      </w:pPr>
    </w:p>
    <w:p>
      <w:pPr>
        <w:pStyle w:val="BodyText"/>
        <w:spacing w:line="480" w:lineRule="auto"/>
        <w:ind w:left="920" w:right="1175"/>
        <w:jc w:val="both"/>
      </w:pPr>
      <w:r>
        <w:rPr/>
        <w:t>Proteins are valuable component of milk in terms of their importance in human nutrition and their influence on the properties of dairy products containing them. Proteins are the body’s ‘building blocks’ affecting growth and immunity. Antibodies, enzymes and hormones all contain proteins, thus the proteins we eat provide the amino acids needed to replace both these and essential body cells. Whilst the body is able to synthesise some amino acids, there are eight essential amino acids such as</w:t>
      </w:r>
      <w:r>
        <w:rPr>
          <w:spacing w:val="40"/>
        </w:rPr>
        <w:t> </w:t>
      </w:r>
      <w:r>
        <w:rPr/>
        <w:t>isoleucine, leucine, lysine, methionine, phenylalanine, threonine, tryptophan and valine which have to</w:t>
      </w:r>
      <w:r>
        <w:rPr>
          <w:spacing w:val="40"/>
        </w:rPr>
        <w:t> </w:t>
      </w:r>
      <w:r>
        <w:rPr/>
        <w:t>be supplied in the diet (Furst and Stehle, 2004).</w:t>
      </w:r>
    </w:p>
    <w:p>
      <w:pPr>
        <w:pStyle w:val="BodyText"/>
      </w:pPr>
    </w:p>
    <w:p>
      <w:pPr>
        <w:pStyle w:val="BodyText"/>
      </w:pPr>
    </w:p>
    <w:p>
      <w:pPr>
        <w:pStyle w:val="BodyText"/>
        <w:spacing w:before="211"/>
      </w:pPr>
    </w:p>
    <w:p>
      <w:pPr>
        <w:pStyle w:val="BodyText"/>
        <w:spacing w:line="480" w:lineRule="auto"/>
        <w:ind w:left="920" w:right="1178"/>
        <w:jc w:val="both"/>
      </w:pPr>
      <w:r>
        <w:rPr/>
        <w:t>In milk, proteins can be classified into two, casein and whey proteins. Casein is recognized as the</w:t>
      </w:r>
      <w:r>
        <w:rPr>
          <w:spacing w:val="40"/>
        </w:rPr>
        <w:t> </w:t>
      </w:r>
      <w:r>
        <w:rPr/>
        <w:t>micellar framework which comprises a network of alpha casein complex with calcium phosphate. It is</w:t>
      </w:r>
      <w:r>
        <w:rPr>
          <w:spacing w:val="40"/>
        </w:rPr>
        <w:t> </w:t>
      </w:r>
      <w:r>
        <w:rPr/>
        <w:t>the most commonly used milk protein in the food industry and contains 21 amino acids. Acid casein, a granular</w:t>
      </w:r>
      <w:r>
        <w:rPr>
          <w:spacing w:val="49"/>
        </w:rPr>
        <w:t> </w:t>
      </w:r>
      <w:r>
        <w:rPr/>
        <w:t>milk</w:t>
      </w:r>
      <w:r>
        <w:rPr>
          <w:spacing w:val="49"/>
        </w:rPr>
        <w:t> </w:t>
      </w:r>
      <w:r>
        <w:rPr/>
        <w:t>protein,</w:t>
      </w:r>
      <w:r>
        <w:rPr>
          <w:spacing w:val="47"/>
        </w:rPr>
        <w:t> </w:t>
      </w:r>
      <w:r>
        <w:rPr/>
        <w:t>is</w:t>
      </w:r>
      <w:r>
        <w:rPr>
          <w:spacing w:val="49"/>
        </w:rPr>
        <w:t> </w:t>
      </w:r>
      <w:r>
        <w:rPr/>
        <w:t>available</w:t>
      </w:r>
      <w:r>
        <w:rPr>
          <w:spacing w:val="49"/>
        </w:rPr>
        <w:t> </w:t>
      </w:r>
      <w:r>
        <w:rPr/>
        <w:t>in</w:t>
      </w:r>
      <w:r>
        <w:rPr>
          <w:spacing w:val="48"/>
        </w:rPr>
        <w:t> </w:t>
      </w:r>
      <w:r>
        <w:rPr/>
        <w:t>two</w:t>
      </w:r>
      <w:r>
        <w:rPr>
          <w:spacing w:val="49"/>
        </w:rPr>
        <w:t> </w:t>
      </w:r>
      <w:r>
        <w:rPr/>
        <w:t>types</w:t>
      </w:r>
      <w:r>
        <w:rPr>
          <w:spacing w:val="51"/>
        </w:rPr>
        <w:t> </w:t>
      </w:r>
      <w:r>
        <w:rPr/>
        <w:t>-</w:t>
      </w:r>
      <w:r>
        <w:rPr>
          <w:spacing w:val="49"/>
        </w:rPr>
        <w:t> </w:t>
      </w:r>
      <w:r>
        <w:rPr/>
        <w:t>edible</w:t>
      </w:r>
      <w:r>
        <w:rPr>
          <w:spacing w:val="49"/>
        </w:rPr>
        <w:t> </w:t>
      </w:r>
      <w:r>
        <w:rPr/>
        <w:t>and</w:t>
      </w:r>
      <w:r>
        <w:rPr>
          <w:spacing w:val="49"/>
        </w:rPr>
        <w:t> </w:t>
      </w:r>
      <w:r>
        <w:rPr/>
        <w:t>technical.</w:t>
      </w:r>
      <w:r>
        <w:rPr>
          <w:spacing w:val="51"/>
        </w:rPr>
        <w:t> </w:t>
      </w:r>
      <w:r>
        <w:rPr/>
        <w:t>Edible</w:t>
      </w:r>
      <w:r>
        <w:rPr>
          <w:spacing w:val="49"/>
        </w:rPr>
        <w:t> </w:t>
      </w:r>
      <w:r>
        <w:rPr/>
        <w:t>acid</w:t>
      </w:r>
      <w:r>
        <w:rPr>
          <w:spacing w:val="48"/>
        </w:rPr>
        <w:t> </w:t>
      </w:r>
      <w:r>
        <w:rPr/>
        <w:t>casein</w:t>
      </w:r>
      <w:r>
        <w:rPr>
          <w:spacing w:val="49"/>
        </w:rPr>
        <w:t> </w:t>
      </w:r>
      <w:r>
        <w:rPr/>
        <w:t>is</w:t>
      </w:r>
      <w:r>
        <w:rPr>
          <w:spacing w:val="49"/>
        </w:rPr>
        <w:t> </w:t>
      </w:r>
      <w:r>
        <w:rPr>
          <w:spacing w:val="-2"/>
        </w:rPr>
        <w:t>highly</w:t>
      </w:r>
    </w:p>
    <w:p>
      <w:pPr>
        <w:spacing w:after="0" w:line="480" w:lineRule="auto"/>
        <w:jc w:val="both"/>
        <w:sectPr>
          <w:pgSz w:w="12240" w:h="15840"/>
          <w:pgMar w:header="0" w:footer="1017" w:top="1400" w:bottom="1200" w:left="520" w:right="260"/>
        </w:sectPr>
      </w:pPr>
    </w:p>
    <w:p>
      <w:pPr>
        <w:pStyle w:val="BodyText"/>
        <w:spacing w:line="480" w:lineRule="auto" w:before="37"/>
        <w:ind w:left="920" w:right="1175"/>
        <w:jc w:val="both"/>
      </w:pPr>
      <w:r>
        <w:rPr/>
        <w:t>nutritional, low in fat and cholesterol, and flavorful making it ideal for medical and nutritional applications (Fox, 1995).</w:t>
      </w:r>
    </w:p>
    <w:p>
      <w:pPr>
        <w:pStyle w:val="BodyText"/>
        <w:spacing w:line="480" w:lineRule="auto" w:before="241"/>
        <w:ind w:left="920" w:right="1175"/>
        <w:jc w:val="both"/>
      </w:pPr>
      <w:r>
        <w:rPr/>
        <w:t>When casein is removed from skim milk using precipitation method, the protein remains in the liquid solution and is called whey proteins or milk-serum proteins. It accounts for only about 20% of the total protein found in milk, while casein makes up about 80% of milk protein. Whey proteins are now well known</w:t>
      </w:r>
      <w:r>
        <w:rPr>
          <w:spacing w:val="-1"/>
        </w:rPr>
        <w:t> </w:t>
      </w:r>
      <w:r>
        <w:rPr/>
        <w:t>for their high</w:t>
      </w:r>
      <w:r>
        <w:rPr>
          <w:spacing w:val="-1"/>
        </w:rPr>
        <w:t> </w:t>
      </w:r>
      <w:r>
        <w:rPr/>
        <w:t>nutritional</w:t>
      </w:r>
      <w:r>
        <w:rPr>
          <w:spacing w:val="-3"/>
        </w:rPr>
        <w:t> </w:t>
      </w:r>
      <w:r>
        <w:rPr/>
        <w:t>value</w:t>
      </w:r>
      <w:r>
        <w:rPr>
          <w:spacing w:val="-4"/>
        </w:rPr>
        <w:t> </w:t>
      </w:r>
      <w:r>
        <w:rPr/>
        <w:t>and</w:t>
      </w:r>
      <w:r>
        <w:rPr>
          <w:spacing w:val="-1"/>
        </w:rPr>
        <w:t> </w:t>
      </w:r>
      <w:r>
        <w:rPr/>
        <w:t>versatile</w:t>
      </w:r>
      <w:r>
        <w:rPr>
          <w:spacing w:val="-4"/>
        </w:rPr>
        <w:t> </w:t>
      </w:r>
      <w:r>
        <w:rPr/>
        <w:t>functional properties</w:t>
      </w:r>
      <w:r>
        <w:rPr>
          <w:spacing w:val="-5"/>
        </w:rPr>
        <w:t> </w:t>
      </w:r>
      <w:r>
        <w:rPr/>
        <w:t>in</w:t>
      </w:r>
      <w:r>
        <w:rPr>
          <w:spacing w:val="-1"/>
        </w:rPr>
        <w:t> </w:t>
      </w:r>
      <w:r>
        <w:rPr/>
        <w:t>food</w:t>
      </w:r>
      <w:r>
        <w:rPr>
          <w:spacing w:val="-1"/>
        </w:rPr>
        <w:t> </w:t>
      </w:r>
      <w:r>
        <w:rPr/>
        <w:t>products (De Wit, 1998; Harold, 2004). Milk protein has a very high nutritional value and is a rich source of essential amino acids (Harding, 1995).</w:t>
      </w:r>
    </w:p>
    <w:p>
      <w:pPr>
        <w:pStyle w:val="Heading6"/>
        <w:numPr>
          <w:ilvl w:val="2"/>
          <w:numId w:val="10"/>
        </w:numPr>
        <w:tabs>
          <w:tab w:pos="1415" w:val="left" w:leader="none"/>
        </w:tabs>
        <w:spacing w:line="240" w:lineRule="auto" w:before="238" w:after="0"/>
        <w:ind w:left="1415" w:right="0" w:hanging="495"/>
        <w:jc w:val="both"/>
      </w:pPr>
      <w:bookmarkStart w:name="_TOC_250070" w:id="21"/>
      <w:bookmarkEnd w:id="21"/>
      <w:r>
        <w:rPr>
          <w:spacing w:val="-2"/>
        </w:rPr>
        <w:t>Carbohydrate</w:t>
      </w:r>
    </w:p>
    <w:p>
      <w:pPr>
        <w:pStyle w:val="BodyText"/>
        <w:spacing w:before="240"/>
        <w:rPr>
          <w:b/>
        </w:rPr>
      </w:pPr>
    </w:p>
    <w:p>
      <w:pPr>
        <w:pStyle w:val="BodyText"/>
        <w:spacing w:line="480" w:lineRule="auto"/>
        <w:ind w:left="920" w:right="1175"/>
        <w:jc w:val="both"/>
      </w:pPr>
      <w:r>
        <w:rPr/>
        <w:t>The major carbohydrate in milk of most mammals is</w:t>
      </w:r>
      <w:r>
        <w:rPr>
          <w:spacing w:val="-2"/>
        </w:rPr>
        <w:t> </w:t>
      </w:r>
      <w:r>
        <w:rPr/>
        <w:t>lactose, usually called milk sugar. It is water soluble occurring as a soluble molecule in milk. Lactose with the exception of water is, at about 4.6%, the principal component of milk; however, it is the less important of the solids both nutritionally and commercially. Lactose consists of two molecules, D-glucose and D-galactose and is digested or broken down into these constituents by the enzyme lactase (Mustapha </w:t>
      </w:r>
      <w:r>
        <w:rPr>
          <w:i/>
        </w:rPr>
        <w:t>et al</w:t>
      </w:r>
      <w:r>
        <w:rPr/>
        <w:t>., 1997). Lactose is a useful source</w:t>
      </w:r>
      <w:r>
        <w:rPr>
          <w:spacing w:val="40"/>
        </w:rPr>
        <w:t> </w:t>
      </w:r>
      <w:r>
        <w:rPr/>
        <w:t>of dietary energy. However, adults in certain racial groups lose the ability to digest it and suffer discomfort and other symptoms of digestive upset as a result of consuming substantial quantities of dairy products containing lactose, a condition called lactose intolerance (Vesa </w:t>
      </w:r>
      <w:r>
        <w:rPr>
          <w:i/>
        </w:rPr>
        <w:t>et al</w:t>
      </w:r>
      <w:r>
        <w:rPr/>
        <w:t>., 2000).</w:t>
      </w:r>
    </w:p>
    <w:p>
      <w:pPr>
        <w:pStyle w:val="Heading6"/>
        <w:numPr>
          <w:ilvl w:val="2"/>
          <w:numId w:val="10"/>
        </w:numPr>
        <w:tabs>
          <w:tab w:pos="1415" w:val="left" w:leader="none"/>
        </w:tabs>
        <w:spacing w:line="240" w:lineRule="auto" w:before="239" w:after="0"/>
        <w:ind w:left="1415" w:right="0" w:hanging="495"/>
        <w:jc w:val="both"/>
      </w:pPr>
      <w:bookmarkStart w:name="_TOC_250069" w:id="22"/>
      <w:bookmarkEnd w:id="22"/>
      <w:r>
        <w:rPr>
          <w:spacing w:val="-2"/>
        </w:rPr>
        <w:t>Minerals</w:t>
      </w:r>
    </w:p>
    <w:p>
      <w:pPr>
        <w:pStyle w:val="BodyText"/>
        <w:spacing w:before="241"/>
        <w:rPr>
          <w:b/>
        </w:rPr>
      </w:pPr>
    </w:p>
    <w:p>
      <w:pPr>
        <w:pStyle w:val="BodyText"/>
        <w:spacing w:line="480" w:lineRule="auto"/>
        <w:ind w:left="920" w:right="1179"/>
        <w:jc w:val="both"/>
      </w:pPr>
      <w:r>
        <w:rPr/>
        <w:t>Many trace elements essential for health and growth, are present in milk. Sodium, calcium, potassium and</w:t>
      </w:r>
      <w:r>
        <w:rPr>
          <w:spacing w:val="-2"/>
        </w:rPr>
        <w:t> </w:t>
      </w:r>
      <w:r>
        <w:rPr/>
        <w:t>phosphorus</w:t>
      </w:r>
      <w:r>
        <w:rPr>
          <w:spacing w:val="-1"/>
        </w:rPr>
        <w:t> </w:t>
      </w:r>
      <w:r>
        <w:rPr/>
        <w:t>account</w:t>
      </w:r>
      <w:r>
        <w:rPr>
          <w:spacing w:val="-3"/>
        </w:rPr>
        <w:t> </w:t>
      </w:r>
      <w:r>
        <w:rPr/>
        <w:t>for</w:t>
      </w:r>
      <w:r>
        <w:rPr>
          <w:spacing w:val="-1"/>
        </w:rPr>
        <w:t> </w:t>
      </w:r>
      <w:r>
        <w:rPr/>
        <w:t>about</w:t>
      </w:r>
      <w:r>
        <w:rPr>
          <w:spacing w:val="-3"/>
        </w:rPr>
        <w:t> </w:t>
      </w:r>
      <w:r>
        <w:rPr/>
        <w:t>4%</w:t>
      </w:r>
      <w:r>
        <w:rPr>
          <w:spacing w:val="-1"/>
        </w:rPr>
        <w:t> </w:t>
      </w:r>
      <w:r>
        <w:rPr/>
        <w:t>by</w:t>
      </w:r>
      <w:r>
        <w:rPr>
          <w:spacing w:val="-1"/>
        </w:rPr>
        <w:t> </w:t>
      </w:r>
      <w:r>
        <w:rPr/>
        <w:t>weight</w:t>
      </w:r>
      <w:r>
        <w:rPr>
          <w:spacing w:val="-3"/>
        </w:rPr>
        <w:t> </w:t>
      </w:r>
      <w:r>
        <w:rPr/>
        <w:t>of</w:t>
      </w:r>
      <w:r>
        <w:rPr>
          <w:spacing w:val="-2"/>
        </w:rPr>
        <w:t> </w:t>
      </w:r>
      <w:r>
        <w:rPr/>
        <w:t>the</w:t>
      </w:r>
      <w:r>
        <w:rPr>
          <w:spacing w:val="-1"/>
        </w:rPr>
        <w:t> </w:t>
      </w:r>
      <w:r>
        <w:rPr/>
        <w:t>fat-free</w:t>
      </w:r>
      <w:r>
        <w:rPr>
          <w:spacing w:val="-1"/>
        </w:rPr>
        <w:t> </w:t>
      </w:r>
      <w:r>
        <w:rPr/>
        <w:t>human</w:t>
      </w:r>
      <w:r>
        <w:rPr>
          <w:spacing w:val="-2"/>
        </w:rPr>
        <w:t> </w:t>
      </w:r>
      <w:r>
        <w:rPr/>
        <w:t>body. Some</w:t>
      </w:r>
      <w:r>
        <w:rPr>
          <w:spacing w:val="-1"/>
        </w:rPr>
        <w:t> </w:t>
      </w:r>
      <w:r>
        <w:rPr/>
        <w:t>of</w:t>
      </w:r>
      <w:r>
        <w:rPr>
          <w:spacing w:val="-2"/>
        </w:rPr>
        <w:t> </w:t>
      </w:r>
      <w:r>
        <w:rPr/>
        <w:t>the</w:t>
      </w:r>
      <w:r>
        <w:rPr>
          <w:spacing w:val="-1"/>
        </w:rPr>
        <w:t> </w:t>
      </w:r>
      <w:r>
        <w:rPr/>
        <w:t>trace</w:t>
      </w:r>
      <w:r>
        <w:rPr>
          <w:spacing w:val="-1"/>
        </w:rPr>
        <w:t> </w:t>
      </w:r>
      <w:r>
        <w:rPr/>
        <w:t>minerals are, zinc, cobalt, iodine, iron, etc (Stewart, 1978; Gaucheron, 2005). Minerals in milk provide constancy of</w:t>
      </w:r>
      <w:r>
        <w:rPr>
          <w:spacing w:val="47"/>
        </w:rPr>
        <w:t> </w:t>
      </w:r>
      <w:r>
        <w:rPr/>
        <w:t>osmotic</w:t>
      </w:r>
      <w:r>
        <w:rPr>
          <w:spacing w:val="46"/>
        </w:rPr>
        <w:t> </w:t>
      </w:r>
      <w:r>
        <w:rPr/>
        <w:t>pressure.</w:t>
      </w:r>
      <w:r>
        <w:rPr>
          <w:spacing w:val="49"/>
        </w:rPr>
        <w:t> </w:t>
      </w:r>
      <w:r>
        <w:rPr/>
        <w:t>This</w:t>
      </w:r>
      <w:r>
        <w:rPr>
          <w:spacing w:val="43"/>
        </w:rPr>
        <w:t> </w:t>
      </w:r>
      <w:r>
        <w:rPr/>
        <w:t>property</w:t>
      </w:r>
      <w:r>
        <w:rPr>
          <w:spacing w:val="49"/>
        </w:rPr>
        <w:t> </w:t>
      </w:r>
      <w:r>
        <w:rPr/>
        <w:t>can</w:t>
      </w:r>
      <w:r>
        <w:rPr>
          <w:spacing w:val="47"/>
        </w:rPr>
        <w:t> </w:t>
      </w:r>
      <w:r>
        <w:rPr/>
        <w:t>prevent</w:t>
      </w:r>
      <w:r>
        <w:rPr>
          <w:spacing w:val="46"/>
        </w:rPr>
        <w:t> </w:t>
      </w:r>
      <w:r>
        <w:rPr/>
        <w:t>the</w:t>
      </w:r>
      <w:r>
        <w:rPr>
          <w:spacing w:val="44"/>
        </w:rPr>
        <w:t> </w:t>
      </w:r>
      <w:r>
        <w:rPr/>
        <w:t>depression</w:t>
      </w:r>
      <w:r>
        <w:rPr>
          <w:spacing w:val="47"/>
        </w:rPr>
        <w:t> </w:t>
      </w:r>
      <w:r>
        <w:rPr/>
        <w:t>of</w:t>
      </w:r>
      <w:r>
        <w:rPr>
          <w:spacing w:val="48"/>
        </w:rPr>
        <w:t> </w:t>
      </w:r>
      <w:r>
        <w:rPr/>
        <w:t>freezing</w:t>
      </w:r>
      <w:r>
        <w:rPr>
          <w:spacing w:val="45"/>
        </w:rPr>
        <w:t> </w:t>
      </w:r>
      <w:r>
        <w:rPr/>
        <w:t>point</w:t>
      </w:r>
      <w:r>
        <w:rPr>
          <w:spacing w:val="45"/>
        </w:rPr>
        <w:t> </w:t>
      </w:r>
      <w:r>
        <w:rPr/>
        <w:t>temperature.</w:t>
      </w:r>
      <w:r>
        <w:rPr>
          <w:spacing w:val="45"/>
        </w:rPr>
        <w:t> </w:t>
      </w:r>
      <w:r>
        <w:rPr>
          <w:spacing w:val="-5"/>
        </w:rPr>
        <w:t>The</w:t>
      </w:r>
    </w:p>
    <w:p>
      <w:pPr>
        <w:spacing w:after="0" w:line="480" w:lineRule="auto"/>
        <w:jc w:val="both"/>
        <w:sectPr>
          <w:pgSz w:w="12240" w:h="15840"/>
          <w:pgMar w:header="0" w:footer="1017" w:top="1400" w:bottom="1200" w:left="520" w:right="260"/>
        </w:sectPr>
      </w:pPr>
    </w:p>
    <w:p>
      <w:pPr>
        <w:pStyle w:val="BodyText"/>
        <w:spacing w:line="480" w:lineRule="auto" w:before="37"/>
        <w:ind w:left="920" w:right="1185"/>
        <w:jc w:val="both"/>
      </w:pPr>
      <w:r>
        <w:rPr/>
        <w:t>amount of minerals in milk can provide the recommended daily allowance for calcium and 75% for phosphorus (Renner </w:t>
      </w:r>
      <w:r>
        <w:rPr>
          <w:i/>
        </w:rPr>
        <w:t>et al</w:t>
      </w:r>
      <w:r>
        <w:rPr/>
        <w:t>., 1989). These minerals are widely recognized as important factor for bone development and growth of children (Okolo </w:t>
      </w:r>
      <w:r>
        <w:rPr>
          <w:i/>
        </w:rPr>
        <w:t>et al</w:t>
      </w:r>
      <w:r>
        <w:rPr/>
        <w:t>., 2000).</w:t>
      </w:r>
    </w:p>
    <w:p>
      <w:pPr>
        <w:pStyle w:val="Heading6"/>
        <w:numPr>
          <w:ilvl w:val="2"/>
          <w:numId w:val="10"/>
        </w:numPr>
        <w:tabs>
          <w:tab w:pos="1415" w:val="left" w:leader="none"/>
        </w:tabs>
        <w:spacing w:line="240" w:lineRule="auto" w:before="241" w:after="0"/>
        <w:ind w:left="1415" w:right="0" w:hanging="495"/>
        <w:jc w:val="both"/>
      </w:pPr>
      <w:bookmarkStart w:name="_TOC_250068" w:id="23"/>
      <w:bookmarkEnd w:id="23"/>
      <w:r>
        <w:rPr>
          <w:spacing w:val="-2"/>
        </w:rPr>
        <w:t>Vitamins</w:t>
      </w:r>
    </w:p>
    <w:p>
      <w:pPr>
        <w:pStyle w:val="BodyText"/>
        <w:spacing w:before="240"/>
        <w:rPr>
          <w:b/>
        </w:rPr>
      </w:pPr>
    </w:p>
    <w:p>
      <w:pPr>
        <w:pStyle w:val="BodyText"/>
        <w:spacing w:line="480" w:lineRule="auto" w:before="1"/>
        <w:ind w:left="920" w:right="1172"/>
        <w:jc w:val="both"/>
      </w:pPr>
      <w:r>
        <w:rPr/>
        <w:t>Vitamins are complex organic substances that are needed in very small amounts for many of the processes carried out</w:t>
      </w:r>
      <w:r>
        <w:rPr>
          <w:spacing w:val="-1"/>
        </w:rPr>
        <w:t> </w:t>
      </w:r>
      <w:r>
        <w:rPr/>
        <w:t>in the body. Usually only a few</w:t>
      </w:r>
      <w:r>
        <w:rPr>
          <w:spacing w:val="-3"/>
        </w:rPr>
        <w:t> </w:t>
      </w:r>
      <w:r>
        <w:rPr/>
        <w:t>milligrams (mg) or</w:t>
      </w:r>
      <w:r>
        <w:rPr>
          <w:spacing w:val="-4"/>
        </w:rPr>
        <w:t> </w:t>
      </w:r>
      <w:r>
        <w:rPr/>
        <w:t>micrograms (µg) are needed per day,</w:t>
      </w:r>
      <w:r>
        <w:rPr>
          <w:spacing w:val="-2"/>
        </w:rPr>
        <w:t> </w:t>
      </w:r>
      <w:r>
        <w:rPr/>
        <w:t>but</w:t>
      </w:r>
      <w:r>
        <w:rPr>
          <w:spacing w:val="-1"/>
        </w:rPr>
        <w:t> </w:t>
      </w:r>
      <w:r>
        <w:rPr/>
        <w:t>these amounts are</w:t>
      </w:r>
      <w:r>
        <w:rPr>
          <w:spacing w:val="-3"/>
        </w:rPr>
        <w:t> </w:t>
      </w:r>
      <w:r>
        <w:rPr/>
        <w:t>essential for</w:t>
      </w:r>
      <w:r>
        <w:rPr>
          <w:spacing w:val="-4"/>
        </w:rPr>
        <w:t> </w:t>
      </w:r>
      <w:r>
        <w:rPr/>
        <w:t>health.</w:t>
      </w:r>
      <w:r>
        <w:rPr>
          <w:spacing w:val="-2"/>
        </w:rPr>
        <w:t> </w:t>
      </w:r>
      <w:r>
        <w:rPr/>
        <w:t>Most</w:t>
      </w:r>
      <w:r>
        <w:rPr>
          <w:spacing w:val="-1"/>
        </w:rPr>
        <w:t> </w:t>
      </w:r>
      <w:r>
        <w:rPr/>
        <w:t>vitamins</w:t>
      </w:r>
      <w:r>
        <w:rPr>
          <w:spacing w:val="-4"/>
        </w:rPr>
        <w:t> </w:t>
      </w:r>
      <w:r>
        <w:rPr/>
        <w:t>cannot</w:t>
      </w:r>
      <w:r>
        <w:rPr>
          <w:spacing w:val="-1"/>
        </w:rPr>
        <w:t> </w:t>
      </w:r>
      <w:r>
        <w:rPr/>
        <w:t>be produced within</w:t>
      </w:r>
      <w:r>
        <w:rPr>
          <w:spacing w:val="-5"/>
        </w:rPr>
        <w:t> </w:t>
      </w:r>
      <w:r>
        <w:rPr/>
        <w:t>the body,</w:t>
      </w:r>
      <w:r>
        <w:rPr>
          <w:spacing w:val="-2"/>
        </w:rPr>
        <w:t> </w:t>
      </w:r>
      <w:r>
        <w:rPr/>
        <w:t>and as a result</w:t>
      </w:r>
      <w:r>
        <w:rPr>
          <w:spacing w:val="-1"/>
        </w:rPr>
        <w:t> </w:t>
      </w:r>
      <w:r>
        <w:rPr/>
        <w:t>needs to</w:t>
      </w:r>
      <w:r>
        <w:rPr>
          <w:spacing w:val="-1"/>
        </w:rPr>
        <w:t> </w:t>
      </w:r>
      <w:r>
        <w:rPr/>
        <w:t>be provided</w:t>
      </w:r>
      <w:r>
        <w:rPr>
          <w:spacing w:val="-5"/>
        </w:rPr>
        <w:t> </w:t>
      </w:r>
      <w:r>
        <w:rPr/>
        <w:t>in the diet,</w:t>
      </w:r>
      <w:r>
        <w:rPr>
          <w:spacing w:val="-2"/>
        </w:rPr>
        <w:t> </w:t>
      </w:r>
      <w:r>
        <w:rPr/>
        <w:t>although vitamin D</w:t>
      </w:r>
      <w:r>
        <w:rPr>
          <w:spacing w:val="-1"/>
        </w:rPr>
        <w:t> </w:t>
      </w:r>
      <w:r>
        <w:rPr/>
        <w:t>can be</w:t>
      </w:r>
      <w:r>
        <w:rPr>
          <w:spacing w:val="-3"/>
        </w:rPr>
        <w:t> </w:t>
      </w:r>
      <w:r>
        <w:rPr/>
        <w:t>obtained by the</w:t>
      </w:r>
      <w:r>
        <w:rPr>
          <w:spacing w:val="-3"/>
        </w:rPr>
        <w:t> </w:t>
      </w:r>
      <w:r>
        <w:rPr/>
        <w:t>action of sunlight on the skin, and small amounts of a B vitamin (niacin) can be made from the amino acid (tryptophan). Milk is a source of 12 water-soluble vitamins and four fat-soluble vitamins (Harding, 1995).</w:t>
      </w:r>
    </w:p>
    <w:p>
      <w:pPr>
        <w:pStyle w:val="BodyText"/>
        <w:spacing w:line="480" w:lineRule="auto" w:before="238"/>
        <w:ind w:left="920" w:right="1177"/>
        <w:jc w:val="both"/>
      </w:pPr>
      <w:r>
        <w:rPr/>
        <w:t>Vitamins in milk are readily affected by processing. Some of them are heat-sensitive. Storage conditions also affect vitamins, exposure to light or oxygen can cause loss of some vitamins (Varnam and Sutherland, 1994). Both storage and processing condition must be considered to prevent loss of</w:t>
      </w:r>
      <w:r>
        <w:rPr>
          <w:spacing w:val="80"/>
        </w:rPr>
        <w:t> </w:t>
      </w:r>
      <w:r>
        <w:rPr/>
        <w:t>vitamins in the products.</w:t>
      </w:r>
    </w:p>
    <w:p>
      <w:pPr>
        <w:pStyle w:val="Heading5"/>
        <w:numPr>
          <w:ilvl w:val="1"/>
          <w:numId w:val="10"/>
        </w:numPr>
        <w:tabs>
          <w:tab w:pos="1196" w:val="left" w:leader="none"/>
        </w:tabs>
        <w:spacing w:line="240" w:lineRule="auto" w:before="242" w:after="0"/>
        <w:ind w:left="1196" w:right="0" w:hanging="276"/>
        <w:jc w:val="both"/>
        <w:rPr>
          <w:sz w:val="20"/>
        </w:rPr>
      </w:pPr>
      <w:bookmarkStart w:name="_TOC_250067" w:id="24"/>
      <w:r>
        <w:rPr/>
        <w:t>SOURCES</w:t>
      </w:r>
      <w:r>
        <w:rPr>
          <w:spacing w:val="-5"/>
        </w:rPr>
        <w:t> </w:t>
      </w:r>
      <w:r>
        <w:rPr/>
        <w:t>OF</w:t>
      </w:r>
      <w:r>
        <w:rPr>
          <w:spacing w:val="-5"/>
        </w:rPr>
        <w:t> </w:t>
      </w:r>
      <w:r>
        <w:rPr/>
        <w:t>BACTERIAL</w:t>
      </w:r>
      <w:r>
        <w:rPr>
          <w:spacing w:val="-3"/>
        </w:rPr>
        <w:t> </w:t>
      </w:r>
      <w:r>
        <w:rPr/>
        <w:t>CONTAMINATION</w:t>
      </w:r>
      <w:r>
        <w:rPr>
          <w:spacing w:val="-6"/>
        </w:rPr>
        <w:t> </w:t>
      </w:r>
      <w:r>
        <w:rPr/>
        <w:t>IN</w:t>
      </w:r>
      <w:r>
        <w:rPr>
          <w:spacing w:val="-2"/>
        </w:rPr>
        <w:t> </w:t>
      </w:r>
      <w:r>
        <w:rPr/>
        <w:t>MILK</w:t>
      </w:r>
      <w:r>
        <w:rPr>
          <w:spacing w:val="-6"/>
        </w:rPr>
        <w:t> </w:t>
      </w:r>
      <w:bookmarkEnd w:id="24"/>
      <w:r>
        <w:rPr>
          <w:spacing w:val="-2"/>
        </w:rPr>
        <w:t>PRODUCTS</w:t>
      </w:r>
    </w:p>
    <w:p>
      <w:pPr>
        <w:pStyle w:val="BodyText"/>
        <w:spacing w:before="235"/>
        <w:rPr>
          <w:b/>
        </w:rPr>
      </w:pPr>
    </w:p>
    <w:p>
      <w:pPr>
        <w:pStyle w:val="BodyText"/>
        <w:spacing w:line="480" w:lineRule="auto"/>
        <w:ind w:left="920" w:right="1173"/>
        <w:jc w:val="both"/>
      </w:pPr>
      <w:r>
        <w:rPr/>
        <w:t>The isolation of pathogenic and coliform bacteria from milk indicates that milk may be contaminated from udder of animals, utensils used for milking or the water used as well as handlers (Bonfoh </w:t>
      </w:r>
      <w:r>
        <w:rPr>
          <w:i/>
        </w:rPr>
        <w:t>et al., </w:t>
      </w:r>
      <w:r>
        <w:rPr/>
        <w:t>2003). The quality of the starting raw milk has a very definite effect on the yield and quality of products made from it. The compositional quality, the hygienic quality, the health of the cow and the level of contaminants present can all have an impact on the yield and quality, and hence financial return from products made from milk (Harding, 1995). Inadequate cooling of the milk, improper udder preparation methods,</w:t>
      </w:r>
      <w:r>
        <w:rPr>
          <w:spacing w:val="16"/>
        </w:rPr>
        <w:t> </w:t>
      </w:r>
      <w:r>
        <w:rPr/>
        <w:t>unclean</w:t>
      </w:r>
      <w:r>
        <w:rPr>
          <w:spacing w:val="19"/>
        </w:rPr>
        <w:t> </w:t>
      </w:r>
      <w:r>
        <w:rPr/>
        <w:t>milking</w:t>
      </w:r>
      <w:r>
        <w:rPr>
          <w:spacing w:val="17"/>
        </w:rPr>
        <w:t> </w:t>
      </w:r>
      <w:r>
        <w:rPr/>
        <w:t>equipment</w:t>
      </w:r>
      <w:r>
        <w:rPr>
          <w:spacing w:val="18"/>
        </w:rPr>
        <w:t> </w:t>
      </w:r>
      <w:r>
        <w:rPr/>
        <w:t>and</w:t>
      </w:r>
      <w:r>
        <w:rPr>
          <w:spacing w:val="20"/>
        </w:rPr>
        <w:t> </w:t>
      </w:r>
      <w:r>
        <w:rPr/>
        <w:t>the</w:t>
      </w:r>
      <w:r>
        <w:rPr>
          <w:spacing w:val="20"/>
        </w:rPr>
        <w:t> </w:t>
      </w:r>
      <w:r>
        <w:rPr/>
        <w:t>water</w:t>
      </w:r>
      <w:r>
        <w:rPr>
          <w:spacing w:val="15"/>
        </w:rPr>
        <w:t> </w:t>
      </w:r>
      <w:r>
        <w:rPr/>
        <w:t>used</w:t>
      </w:r>
      <w:r>
        <w:rPr>
          <w:spacing w:val="19"/>
        </w:rPr>
        <w:t> </w:t>
      </w:r>
      <w:r>
        <w:rPr/>
        <w:t>for</w:t>
      </w:r>
      <w:r>
        <w:rPr>
          <w:spacing w:val="20"/>
        </w:rPr>
        <w:t> </w:t>
      </w:r>
      <w:r>
        <w:rPr/>
        <w:t>cleaning</w:t>
      </w:r>
      <w:r>
        <w:rPr>
          <w:spacing w:val="22"/>
        </w:rPr>
        <w:t> </w:t>
      </w:r>
      <w:r>
        <w:rPr/>
        <w:t>purposes</w:t>
      </w:r>
      <w:r>
        <w:rPr>
          <w:spacing w:val="15"/>
        </w:rPr>
        <w:t> </w:t>
      </w:r>
      <w:r>
        <w:rPr/>
        <w:t>are</w:t>
      </w:r>
      <w:r>
        <w:rPr>
          <w:spacing w:val="20"/>
        </w:rPr>
        <w:t> </w:t>
      </w:r>
      <w:r>
        <w:rPr/>
        <w:t>considered</w:t>
      </w:r>
      <w:r>
        <w:rPr>
          <w:spacing w:val="19"/>
        </w:rPr>
        <w:t> </w:t>
      </w:r>
      <w:r>
        <w:rPr/>
        <w:t>as</w:t>
      </w:r>
      <w:r>
        <w:rPr>
          <w:spacing w:val="21"/>
        </w:rPr>
        <w:t> </w:t>
      </w:r>
      <w:r>
        <w:rPr>
          <w:spacing w:val="-5"/>
        </w:rPr>
        <w:t>the</w:t>
      </w:r>
    </w:p>
    <w:p>
      <w:pPr>
        <w:spacing w:after="0" w:line="480" w:lineRule="auto"/>
        <w:jc w:val="both"/>
        <w:sectPr>
          <w:pgSz w:w="12240" w:h="15840"/>
          <w:pgMar w:header="0" w:footer="1017" w:top="1400" w:bottom="1200" w:left="520" w:right="260"/>
        </w:sectPr>
      </w:pPr>
    </w:p>
    <w:p>
      <w:pPr>
        <w:pStyle w:val="BodyText"/>
        <w:spacing w:line="480" w:lineRule="auto" w:before="37"/>
        <w:ind w:left="920" w:right="1179"/>
        <w:jc w:val="both"/>
      </w:pPr>
      <w:r>
        <w:rPr/>
        <w:t>main source of milk contamination (DeGraaf </w:t>
      </w:r>
      <w:r>
        <w:rPr>
          <w:i/>
        </w:rPr>
        <w:t>et al</w:t>
      </w:r>
      <w:r>
        <w:rPr/>
        <w:t>., 1997). In order to produce milk of good bacteriological quality, there is need to be aware of the sources of contamination and importance of proper milk handling, cooling and storage.</w:t>
      </w:r>
    </w:p>
    <w:p>
      <w:pPr>
        <w:pStyle w:val="Heading6"/>
        <w:numPr>
          <w:ilvl w:val="2"/>
          <w:numId w:val="10"/>
        </w:numPr>
        <w:tabs>
          <w:tab w:pos="1415" w:val="left" w:leader="none"/>
        </w:tabs>
        <w:spacing w:line="240" w:lineRule="auto" w:before="241" w:after="0"/>
        <w:ind w:left="1415" w:right="0" w:hanging="495"/>
        <w:jc w:val="both"/>
      </w:pPr>
      <w:bookmarkStart w:name="_TOC_250066" w:id="25"/>
      <w:r>
        <w:rPr/>
        <w:t>Contamination</w:t>
      </w:r>
      <w:r>
        <w:rPr>
          <w:spacing w:val="-6"/>
        </w:rPr>
        <w:t> </w:t>
      </w:r>
      <w:r>
        <w:rPr/>
        <w:t>from</w:t>
      </w:r>
      <w:r>
        <w:rPr>
          <w:spacing w:val="-5"/>
        </w:rPr>
        <w:t> </w:t>
      </w:r>
      <w:r>
        <w:rPr/>
        <w:t>Cow’s</w:t>
      </w:r>
      <w:bookmarkEnd w:id="25"/>
      <w:r>
        <w:rPr>
          <w:spacing w:val="-4"/>
        </w:rPr>
        <w:t> Udder</w:t>
      </w:r>
    </w:p>
    <w:p>
      <w:pPr>
        <w:pStyle w:val="BodyText"/>
        <w:spacing w:before="240"/>
        <w:rPr>
          <w:b/>
        </w:rPr>
      </w:pPr>
    </w:p>
    <w:p>
      <w:pPr>
        <w:pStyle w:val="BodyText"/>
        <w:spacing w:line="480" w:lineRule="auto" w:before="1"/>
        <w:ind w:left="920" w:right="1174"/>
        <w:jc w:val="both"/>
      </w:pPr>
      <w:r>
        <w:rPr/>
        <w:t>Raw milk as it leaves the udder of healthy cows normally contains very low numbers of microorganisms and</w:t>
      </w:r>
      <w:r>
        <w:rPr>
          <w:spacing w:val="-4"/>
        </w:rPr>
        <w:t> </w:t>
      </w:r>
      <w:r>
        <w:rPr/>
        <w:t>generally</w:t>
      </w:r>
      <w:r>
        <w:rPr>
          <w:spacing w:val="-2"/>
        </w:rPr>
        <w:t> </w:t>
      </w:r>
      <w:r>
        <w:rPr/>
        <w:t>will</w:t>
      </w:r>
      <w:r>
        <w:rPr>
          <w:spacing w:val="-1"/>
        </w:rPr>
        <w:t> </w:t>
      </w:r>
      <w:r>
        <w:rPr/>
        <w:t>contain</w:t>
      </w:r>
      <w:r>
        <w:rPr>
          <w:spacing w:val="-4"/>
        </w:rPr>
        <w:t> </w:t>
      </w:r>
      <w:r>
        <w:rPr/>
        <w:t>less</w:t>
      </w:r>
      <w:r>
        <w:rPr>
          <w:spacing w:val="-3"/>
        </w:rPr>
        <w:t> </w:t>
      </w:r>
      <w:r>
        <w:rPr/>
        <w:t>than</w:t>
      </w:r>
      <w:r>
        <w:rPr>
          <w:spacing w:val="-4"/>
        </w:rPr>
        <w:t> </w:t>
      </w:r>
      <w:r>
        <w:rPr/>
        <w:t>1000 total</w:t>
      </w:r>
      <w:r>
        <w:rPr>
          <w:spacing w:val="-1"/>
        </w:rPr>
        <w:t> </w:t>
      </w:r>
      <w:r>
        <w:rPr/>
        <w:t>bacteria</w:t>
      </w:r>
      <w:r>
        <w:rPr>
          <w:spacing w:val="-3"/>
        </w:rPr>
        <w:t> </w:t>
      </w:r>
      <w:r>
        <w:rPr/>
        <w:t>per</w:t>
      </w:r>
      <w:r>
        <w:rPr>
          <w:spacing w:val="-3"/>
        </w:rPr>
        <w:t> </w:t>
      </w:r>
      <w:r>
        <w:rPr/>
        <w:t>ml</w:t>
      </w:r>
      <w:r>
        <w:rPr>
          <w:spacing w:val="-1"/>
        </w:rPr>
        <w:t> </w:t>
      </w:r>
      <w:r>
        <w:rPr/>
        <w:t>(Murphy,</w:t>
      </w:r>
      <w:r>
        <w:rPr>
          <w:spacing w:val="-5"/>
        </w:rPr>
        <w:t> </w:t>
      </w:r>
      <w:r>
        <w:rPr/>
        <w:t>1996; Godefay</w:t>
      </w:r>
      <w:r>
        <w:rPr>
          <w:spacing w:val="-2"/>
        </w:rPr>
        <w:t> </w:t>
      </w:r>
      <w:r>
        <w:rPr/>
        <w:t>and</w:t>
      </w:r>
      <w:r>
        <w:rPr>
          <w:spacing w:val="-4"/>
        </w:rPr>
        <w:t> </w:t>
      </w:r>
      <w:r>
        <w:rPr/>
        <w:t>Molla,</w:t>
      </w:r>
      <w:r>
        <w:rPr>
          <w:spacing w:val="-5"/>
        </w:rPr>
        <w:t> </w:t>
      </w:r>
      <w:r>
        <w:rPr/>
        <w:t>2000). Natural flora originating from the cow generally has little influence on total aerobic plate counts</w:t>
      </w:r>
      <w:r>
        <w:rPr>
          <w:spacing w:val="40"/>
        </w:rPr>
        <w:t> </w:t>
      </w:r>
      <w:r>
        <w:rPr/>
        <w:t>(Murphy and Boor, 2000). The bacterial infection of milk taking place inside the udder is called primary infection. The main groups of microorganisms for this infection are the aerobic mesophilic microflora, and they contribute little to the deterioration of good quality raw milk (&lt;5000 cfu/ml) (International Dairy Federation, 1996).</w:t>
      </w:r>
    </w:p>
    <w:p>
      <w:pPr>
        <w:pStyle w:val="BodyText"/>
        <w:spacing w:line="480" w:lineRule="auto" w:before="238"/>
        <w:ind w:left="920" w:right="1172" w:firstLine="48"/>
        <w:jc w:val="both"/>
      </w:pPr>
      <w:r>
        <w:rPr/>
        <w:t>In case of mastitis counts of </w:t>
      </w:r>
      <w:r>
        <w:rPr>
          <w:i/>
        </w:rPr>
        <w:t>Streptococci</w:t>
      </w:r>
      <w:r>
        <w:rPr/>
        <w:t>,</w:t>
      </w:r>
      <w:r>
        <w:rPr>
          <w:spacing w:val="-1"/>
        </w:rPr>
        <w:t> </w:t>
      </w:r>
      <w:r>
        <w:rPr>
          <w:i/>
        </w:rPr>
        <w:t>Enterococcus</w:t>
      </w:r>
      <w:r>
        <w:rPr/>
        <w:t>,</w:t>
      </w:r>
      <w:r>
        <w:rPr>
          <w:spacing w:val="-1"/>
        </w:rPr>
        <w:t> </w:t>
      </w:r>
      <w:r>
        <w:rPr>
          <w:i/>
        </w:rPr>
        <w:t>Staphylococci </w:t>
      </w:r>
      <w:r>
        <w:rPr/>
        <w:t>or coliforms will be as high as the total aerobic plate count and can be very high up to 10</w:t>
      </w:r>
      <w:r>
        <w:rPr>
          <w:vertAlign w:val="superscript"/>
        </w:rPr>
        <w:t>7</w:t>
      </w:r>
      <w:r>
        <w:rPr>
          <w:vertAlign w:val="baseline"/>
        </w:rPr>
        <w:t> cfu/ml under certain circumstances (Slaghuis, 1996).</w:t>
      </w:r>
      <w:r>
        <w:rPr>
          <w:spacing w:val="-1"/>
          <w:vertAlign w:val="baseline"/>
        </w:rPr>
        <w:t> </w:t>
      </w:r>
      <w:r>
        <w:rPr>
          <w:vertAlign w:val="baseline"/>
        </w:rPr>
        <w:t>Cow</w:t>
      </w:r>
      <w:r>
        <w:rPr>
          <w:spacing w:val="-2"/>
          <w:vertAlign w:val="baseline"/>
        </w:rPr>
        <w:t> </w:t>
      </w:r>
      <w:r>
        <w:rPr>
          <w:vertAlign w:val="baseline"/>
        </w:rPr>
        <w:t>with</w:t>
      </w:r>
      <w:r>
        <w:rPr>
          <w:spacing w:val="-4"/>
          <w:vertAlign w:val="baseline"/>
        </w:rPr>
        <w:t> </w:t>
      </w:r>
      <w:r>
        <w:rPr>
          <w:vertAlign w:val="baseline"/>
        </w:rPr>
        <w:t>mastitis</w:t>
      </w:r>
      <w:r>
        <w:rPr>
          <w:spacing w:val="-3"/>
          <w:vertAlign w:val="baseline"/>
        </w:rPr>
        <w:t> </w:t>
      </w:r>
      <w:r>
        <w:rPr>
          <w:vertAlign w:val="baseline"/>
        </w:rPr>
        <w:t>has</w:t>
      </w:r>
      <w:r>
        <w:rPr>
          <w:spacing w:val="-3"/>
          <w:vertAlign w:val="baseline"/>
        </w:rPr>
        <w:t> </w:t>
      </w:r>
      <w:r>
        <w:rPr>
          <w:vertAlign w:val="baseline"/>
        </w:rPr>
        <w:t>the potential</w:t>
      </w:r>
      <w:r>
        <w:rPr>
          <w:spacing w:val="-1"/>
          <w:vertAlign w:val="baseline"/>
        </w:rPr>
        <w:t> </w:t>
      </w:r>
      <w:r>
        <w:rPr>
          <w:vertAlign w:val="baseline"/>
        </w:rPr>
        <w:t>to shed</w:t>
      </w:r>
      <w:r>
        <w:rPr>
          <w:spacing w:val="-4"/>
          <w:vertAlign w:val="baseline"/>
        </w:rPr>
        <w:t> </w:t>
      </w:r>
      <w:r>
        <w:rPr>
          <w:vertAlign w:val="baseline"/>
        </w:rPr>
        <w:t>large</w:t>
      </w:r>
      <w:r>
        <w:rPr>
          <w:spacing w:val="-3"/>
          <w:vertAlign w:val="baseline"/>
        </w:rPr>
        <w:t> </w:t>
      </w:r>
      <w:r>
        <w:rPr>
          <w:vertAlign w:val="baseline"/>
        </w:rPr>
        <w:t>numbers</w:t>
      </w:r>
      <w:r>
        <w:rPr>
          <w:spacing w:val="-3"/>
          <w:vertAlign w:val="baseline"/>
        </w:rPr>
        <w:t> </w:t>
      </w:r>
      <w:r>
        <w:rPr>
          <w:vertAlign w:val="baseline"/>
        </w:rPr>
        <w:t>of</w:t>
      </w:r>
      <w:r>
        <w:rPr>
          <w:spacing w:val="-3"/>
          <w:vertAlign w:val="baseline"/>
        </w:rPr>
        <w:t> </w:t>
      </w:r>
      <w:r>
        <w:rPr>
          <w:vertAlign w:val="baseline"/>
        </w:rPr>
        <w:t>microorganisms</w:t>
      </w:r>
      <w:r>
        <w:rPr>
          <w:spacing w:val="-3"/>
          <w:vertAlign w:val="baseline"/>
        </w:rPr>
        <w:t> </w:t>
      </w:r>
      <w:r>
        <w:rPr>
          <w:vertAlign w:val="baseline"/>
        </w:rPr>
        <w:t>into</w:t>
      </w:r>
      <w:r>
        <w:rPr>
          <w:spacing w:val="-4"/>
          <w:vertAlign w:val="baseline"/>
        </w:rPr>
        <w:t> </w:t>
      </w:r>
      <w:r>
        <w:rPr>
          <w:vertAlign w:val="baseline"/>
        </w:rPr>
        <w:t>the</w:t>
      </w:r>
      <w:r>
        <w:rPr>
          <w:spacing w:val="-3"/>
          <w:vertAlign w:val="baseline"/>
        </w:rPr>
        <w:t> </w:t>
      </w:r>
      <w:r>
        <w:rPr>
          <w:vertAlign w:val="baseline"/>
        </w:rPr>
        <w:t>milk</w:t>
      </w:r>
      <w:r>
        <w:rPr>
          <w:spacing w:val="-3"/>
          <w:vertAlign w:val="baseline"/>
        </w:rPr>
        <w:t> </w:t>
      </w:r>
      <w:r>
        <w:rPr>
          <w:vertAlign w:val="baseline"/>
        </w:rPr>
        <w:t>supply (Bramley and McKinnon, 1990).</w:t>
      </w:r>
      <w:r>
        <w:rPr>
          <w:spacing w:val="40"/>
          <w:vertAlign w:val="baseline"/>
        </w:rPr>
        <w:t> </w:t>
      </w:r>
      <w:r>
        <w:rPr>
          <w:vertAlign w:val="baseline"/>
        </w:rPr>
        <w:t>Detection of implied pathogens does not necessarily indicate that they originated from cows with mastitis. Potential environmental mastitis pathogens and similar organisms can occur in milk as a result of other contributing factors such as dirty cows, poor equipment cleaning and poor cooling.</w:t>
      </w:r>
    </w:p>
    <w:p>
      <w:pPr>
        <w:pStyle w:val="BodyText"/>
        <w:spacing w:line="480" w:lineRule="auto" w:before="239"/>
        <w:ind w:left="920" w:right="1177"/>
        <w:jc w:val="both"/>
      </w:pPr>
      <w:r>
        <w:rPr/>
        <w:t>The exterior of the udder can be an important source of contamination. But the exterior of the udder is influenced by the environment of the cows, in which cows are housed and milked (Murphy, 1996). In temperate regions, cows are housed in winter and pastured in summer. Differences in teat contamination</w:t>
      </w:r>
      <w:r>
        <w:rPr>
          <w:spacing w:val="29"/>
        </w:rPr>
        <w:t> </w:t>
      </w:r>
      <w:r>
        <w:rPr/>
        <w:t>can</w:t>
      </w:r>
      <w:r>
        <w:rPr>
          <w:spacing w:val="29"/>
        </w:rPr>
        <w:t> </w:t>
      </w:r>
      <w:r>
        <w:rPr/>
        <w:t>be</w:t>
      </w:r>
      <w:r>
        <w:rPr>
          <w:spacing w:val="30"/>
        </w:rPr>
        <w:t> </w:t>
      </w:r>
      <w:r>
        <w:rPr/>
        <w:t>found</w:t>
      </w:r>
      <w:r>
        <w:rPr>
          <w:spacing w:val="29"/>
        </w:rPr>
        <w:t> </w:t>
      </w:r>
      <w:r>
        <w:rPr/>
        <w:t>between</w:t>
      </w:r>
      <w:r>
        <w:rPr>
          <w:spacing w:val="29"/>
        </w:rPr>
        <w:t> </w:t>
      </w:r>
      <w:r>
        <w:rPr/>
        <w:t>housing</w:t>
      </w:r>
      <w:r>
        <w:rPr>
          <w:spacing w:val="31"/>
        </w:rPr>
        <w:t> </w:t>
      </w:r>
      <w:r>
        <w:rPr/>
        <w:t>and</w:t>
      </w:r>
      <w:r>
        <w:rPr>
          <w:spacing w:val="29"/>
        </w:rPr>
        <w:t> </w:t>
      </w:r>
      <w:r>
        <w:rPr/>
        <w:t>pasturing</w:t>
      </w:r>
      <w:r>
        <w:rPr>
          <w:spacing w:val="31"/>
        </w:rPr>
        <w:t> </w:t>
      </w:r>
      <w:r>
        <w:rPr/>
        <w:t>(International</w:t>
      </w:r>
      <w:r>
        <w:rPr>
          <w:spacing w:val="32"/>
        </w:rPr>
        <w:t> </w:t>
      </w:r>
      <w:r>
        <w:rPr/>
        <w:t>Dairy</w:t>
      </w:r>
      <w:r>
        <w:rPr>
          <w:spacing w:val="31"/>
        </w:rPr>
        <w:t> </w:t>
      </w:r>
      <w:r>
        <w:rPr/>
        <w:t>Federation,</w:t>
      </w:r>
      <w:r>
        <w:rPr>
          <w:spacing w:val="27"/>
        </w:rPr>
        <w:t> </w:t>
      </w:r>
      <w:r>
        <w:rPr/>
        <w:t>1994a).</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Both total aerobic plate and aerobic spore counts are lower when cows are at pasture. When cows are housed, bedding material and feedstuffs can be contamination sources. In either cases (housing and pasturing) feaces or dung is also an important contamination source. Teat surfaces are also a source of bacterial spores in milk. Pathogenic bacteria that might contaminate the teats are </w:t>
      </w:r>
      <w:r>
        <w:rPr>
          <w:i/>
        </w:rPr>
        <w:t>Salmonella typhii, Salmonella dublin</w:t>
      </w:r>
      <w:r>
        <w:rPr/>
        <w:t>and </w:t>
      </w:r>
      <w:r>
        <w:rPr>
          <w:i/>
        </w:rPr>
        <w:t>Yersiniaenterocolitica</w:t>
      </w:r>
      <w:r>
        <w:rPr/>
        <w:t>. Faecal contamination is very likely to occur (International Dairy Federation, 1996). Damaged teats can affect milk quality in that any break in the skin can become</w:t>
      </w:r>
      <w:r>
        <w:rPr>
          <w:spacing w:val="40"/>
        </w:rPr>
        <w:t> </w:t>
      </w:r>
      <w:r>
        <w:rPr/>
        <w:t>a reservoir for mastitic bacteria and give rise to a significant increase in bacterial count.</w:t>
      </w:r>
    </w:p>
    <w:p>
      <w:pPr>
        <w:pStyle w:val="Heading6"/>
        <w:numPr>
          <w:ilvl w:val="2"/>
          <w:numId w:val="10"/>
        </w:numPr>
        <w:tabs>
          <w:tab w:pos="1415" w:val="left" w:leader="none"/>
        </w:tabs>
        <w:spacing w:line="240" w:lineRule="auto" w:before="238" w:after="0"/>
        <w:ind w:left="1415" w:right="0" w:hanging="495"/>
        <w:jc w:val="both"/>
      </w:pPr>
      <w:bookmarkStart w:name="_TOC_250065" w:id="26"/>
      <w:r>
        <w:rPr/>
        <w:t>Contamination</w:t>
      </w:r>
      <w:r>
        <w:rPr>
          <w:spacing w:val="-6"/>
        </w:rPr>
        <w:t> </w:t>
      </w:r>
      <w:r>
        <w:rPr/>
        <w:t>from</w:t>
      </w:r>
      <w:r>
        <w:rPr>
          <w:spacing w:val="-4"/>
        </w:rPr>
        <w:t> </w:t>
      </w:r>
      <w:bookmarkEnd w:id="26"/>
      <w:r>
        <w:rPr>
          <w:spacing w:val="-2"/>
        </w:rPr>
        <w:t>Environment</w:t>
      </w:r>
    </w:p>
    <w:p>
      <w:pPr>
        <w:pStyle w:val="BodyText"/>
        <w:spacing w:before="241"/>
        <w:rPr>
          <w:b/>
        </w:rPr>
      </w:pPr>
    </w:p>
    <w:p>
      <w:pPr>
        <w:pStyle w:val="BodyText"/>
        <w:spacing w:line="480" w:lineRule="auto"/>
        <w:ind w:left="920" w:right="1173"/>
        <w:jc w:val="both"/>
      </w:pPr>
      <w:r>
        <w:rPr/>
        <w:t>The environment around the farm is a good source of contamination. The milking place, dirt and even</w:t>
      </w:r>
      <w:r>
        <w:rPr>
          <w:spacing w:val="80"/>
        </w:rPr>
        <w:t> </w:t>
      </w:r>
      <w:r>
        <w:rPr/>
        <w:t>air can be sources of microbes in milk. Contamination of environment varies from place and season. However, the contaminated microbes should be pathogens such as </w:t>
      </w:r>
      <w:r>
        <w:rPr>
          <w:i/>
        </w:rPr>
        <w:t>Salmonella spp </w:t>
      </w:r>
      <w:r>
        <w:rPr/>
        <w:t>or </w:t>
      </w:r>
      <w:r>
        <w:rPr>
          <w:i/>
        </w:rPr>
        <w:t>Campylobacter</w:t>
      </w:r>
      <w:r>
        <w:rPr>
          <w:i/>
          <w:spacing w:val="40"/>
        </w:rPr>
        <w:t> </w:t>
      </w:r>
      <w:r>
        <w:rPr>
          <w:i/>
        </w:rPr>
        <w:t>spp </w:t>
      </w:r>
      <w:r>
        <w:rPr/>
        <w:t>(Phillips and Griffiths, 1990). Milking area should be cleaned before milking commence. Most of the dirt and soil should be removed. The milk reservoir should be in close vessel to prevent contamination from dust. Furthermore, milk should be filtered with sieve or fabric before pouring into storage tank for further processing.</w:t>
      </w:r>
    </w:p>
    <w:p>
      <w:pPr>
        <w:pStyle w:val="Heading6"/>
        <w:numPr>
          <w:ilvl w:val="2"/>
          <w:numId w:val="10"/>
        </w:numPr>
        <w:tabs>
          <w:tab w:pos="1415" w:val="left" w:leader="none"/>
        </w:tabs>
        <w:spacing w:line="240" w:lineRule="auto" w:before="238" w:after="0"/>
        <w:ind w:left="1415" w:right="0" w:hanging="495"/>
        <w:jc w:val="both"/>
      </w:pPr>
      <w:bookmarkStart w:name="_TOC_250064" w:id="27"/>
      <w:r>
        <w:rPr/>
        <w:t>Contamination</w:t>
      </w:r>
      <w:r>
        <w:rPr>
          <w:spacing w:val="-9"/>
        </w:rPr>
        <w:t> </w:t>
      </w:r>
      <w:r>
        <w:rPr/>
        <w:t>from</w:t>
      </w:r>
      <w:r>
        <w:rPr>
          <w:spacing w:val="-6"/>
        </w:rPr>
        <w:t> </w:t>
      </w:r>
      <w:r>
        <w:rPr/>
        <w:t>Milking</w:t>
      </w:r>
      <w:r>
        <w:rPr>
          <w:spacing w:val="-2"/>
        </w:rPr>
        <w:t> </w:t>
      </w:r>
      <w:r>
        <w:rPr/>
        <w:t>Equipment</w:t>
      </w:r>
      <w:r>
        <w:rPr>
          <w:spacing w:val="-4"/>
        </w:rPr>
        <w:t> </w:t>
      </w:r>
      <w:r>
        <w:rPr/>
        <w:t>and</w:t>
      </w:r>
      <w:bookmarkEnd w:id="27"/>
      <w:r>
        <w:rPr>
          <w:spacing w:val="-2"/>
        </w:rPr>
        <w:t> Storage</w:t>
      </w:r>
    </w:p>
    <w:p>
      <w:pPr>
        <w:pStyle w:val="BodyText"/>
        <w:spacing w:before="241"/>
        <w:rPr>
          <w:b/>
        </w:rPr>
      </w:pPr>
    </w:p>
    <w:p>
      <w:pPr>
        <w:pStyle w:val="BodyText"/>
        <w:spacing w:line="480" w:lineRule="auto"/>
        <w:ind w:left="920" w:right="1172"/>
        <w:jc w:val="both"/>
      </w:pPr>
      <w:r>
        <w:rPr/>
        <w:t>Bacteria are present in the air, dust and water, especially any water containing traces of milk residues which may have been left in the milking plant overnight, as such residues provide a very good source of food for bacteria, thereby enabling the bacterial counts to increase rapidly. Cleaning regimes are based on removing visible dirt, removing milk residues (fat, protein, milkstones) which harbour bacteria, then sterilization of the cleaned surfaces using heat or chemical sterilants such as sodium hypochlorite (Harding,</w:t>
      </w:r>
      <w:r>
        <w:rPr>
          <w:spacing w:val="40"/>
        </w:rPr>
        <w:t> </w:t>
      </w:r>
      <w:r>
        <w:rPr/>
        <w:t>1995).</w:t>
      </w:r>
      <w:r>
        <w:rPr>
          <w:spacing w:val="40"/>
        </w:rPr>
        <w:t> </w:t>
      </w:r>
      <w:r>
        <w:rPr/>
        <w:t>Cleaning</w:t>
      </w:r>
      <w:r>
        <w:rPr>
          <w:spacing w:val="40"/>
        </w:rPr>
        <w:t> </w:t>
      </w:r>
      <w:r>
        <w:rPr/>
        <w:t>and</w:t>
      </w:r>
      <w:r>
        <w:rPr>
          <w:spacing w:val="40"/>
        </w:rPr>
        <w:t> </w:t>
      </w:r>
      <w:r>
        <w:rPr/>
        <w:t>sanitizing</w:t>
      </w:r>
      <w:r>
        <w:rPr>
          <w:spacing w:val="40"/>
        </w:rPr>
        <w:t> </w:t>
      </w:r>
      <w:r>
        <w:rPr/>
        <w:t>procedures</w:t>
      </w:r>
      <w:r>
        <w:rPr>
          <w:spacing w:val="39"/>
        </w:rPr>
        <w:t> </w:t>
      </w:r>
      <w:r>
        <w:rPr/>
        <w:t>can</w:t>
      </w:r>
      <w:r>
        <w:rPr>
          <w:spacing w:val="40"/>
        </w:rPr>
        <w:t> </w:t>
      </w:r>
      <w:r>
        <w:rPr/>
        <w:t>influence</w:t>
      </w:r>
      <w:r>
        <w:rPr>
          <w:spacing w:val="40"/>
        </w:rPr>
        <w:t> </w:t>
      </w:r>
      <w:r>
        <w:rPr/>
        <w:t>the</w:t>
      </w:r>
      <w:r>
        <w:rPr>
          <w:spacing w:val="40"/>
        </w:rPr>
        <w:t> </w:t>
      </w:r>
      <w:r>
        <w:rPr/>
        <w:t>degree</w:t>
      </w:r>
      <w:r>
        <w:rPr>
          <w:spacing w:val="40"/>
        </w:rPr>
        <w:t> </w:t>
      </w:r>
      <w:r>
        <w:rPr/>
        <w:t>and</w:t>
      </w:r>
      <w:r>
        <w:rPr>
          <w:spacing w:val="40"/>
        </w:rPr>
        <w:t> </w:t>
      </w:r>
      <w:r>
        <w:rPr/>
        <w:t>type</w:t>
      </w:r>
      <w:r>
        <w:rPr>
          <w:spacing w:val="40"/>
        </w:rPr>
        <w:t> </w:t>
      </w:r>
      <w:r>
        <w:rPr/>
        <w:t>of</w:t>
      </w:r>
      <w:r>
        <w:rPr>
          <w:spacing w:val="40"/>
        </w:rPr>
        <w:t> </w:t>
      </w:r>
      <w:r>
        <w:rPr/>
        <w:t>bacterial</w:t>
      </w:r>
    </w:p>
    <w:p>
      <w:pPr>
        <w:spacing w:after="0" w:line="480" w:lineRule="auto"/>
        <w:jc w:val="both"/>
        <w:sectPr>
          <w:pgSz w:w="12240" w:h="15840"/>
          <w:pgMar w:header="0" w:footer="1017" w:top="1400" w:bottom="1200" w:left="520" w:right="260"/>
        </w:sectPr>
      </w:pPr>
    </w:p>
    <w:p>
      <w:pPr>
        <w:pStyle w:val="BodyText"/>
        <w:spacing w:line="480" w:lineRule="auto" w:before="37"/>
        <w:ind w:left="920" w:right="1173"/>
        <w:jc w:val="both"/>
      </w:pPr>
      <w:r>
        <w:rPr/>
        <w:t>growth on milk contact surfaces by leaving behind milk residues that support growth, as well as by setting up conditions that might select for specific bacterial groups. More resistant bacteria may endure in low numbers on equipment surfaces that are considered to be efficiently cleaned with hot water.</w:t>
      </w:r>
    </w:p>
    <w:p>
      <w:pPr>
        <w:pStyle w:val="BodyText"/>
        <w:spacing w:line="480" w:lineRule="auto" w:before="241"/>
        <w:ind w:left="920" w:right="1174"/>
        <w:jc w:val="both"/>
      </w:pPr>
      <w:r>
        <w:rPr/>
        <w:t>The influence of cleaning and disinfection on the survival of bacteria on milk contact surfaces is not yet fully understood. Attachment of bacteria to different surfaces (Husmark and Ronner,</w:t>
      </w:r>
      <w:r>
        <w:rPr>
          <w:spacing w:val="-1"/>
        </w:rPr>
        <w:t> </w:t>
      </w:r>
      <w:r>
        <w:rPr/>
        <w:t>1990) and possible scaling may cause problems with cleaning and disinfection. In most cases not all bacteria are killed and removed during cleaning and disinfection.</w:t>
      </w:r>
    </w:p>
    <w:p>
      <w:pPr>
        <w:pStyle w:val="BodyText"/>
        <w:spacing w:line="480" w:lineRule="auto" w:before="237"/>
        <w:ind w:left="920" w:right="1173"/>
        <w:jc w:val="both"/>
      </w:pPr>
      <w:r>
        <w:rPr/>
        <w:t>The multiplication of bacteria in milk has been observed to be dependent on the temperature and time of storage. After production, milk can be stored in cans and in bulk tanks before collection. The storage temperature influences the types of bacteria which grow and their spoilage characteristics. Spoilage of raw milk has been reported to be due to coliforms, resulting in souring of milk. During storage in bulk tanks and transport, the microflora of the milk changes from micrococci to psychrotrophic gram- negative</w:t>
      </w:r>
      <w:r>
        <w:rPr>
          <w:spacing w:val="-4"/>
        </w:rPr>
        <w:t> </w:t>
      </w:r>
      <w:r>
        <w:rPr/>
        <w:t>rods. There are many different</w:t>
      </w:r>
      <w:r>
        <w:rPr>
          <w:spacing w:val="-2"/>
        </w:rPr>
        <w:t> </w:t>
      </w:r>
      <w:r>
        <w:rPr/>
        <w:t>microorganisms (mainly</w:t>
      </w:r>
      <w:r>
        <w:rPr>
          <w:spacing w:val="-4"/>
        </w:rPr>
        <w:t> </w:t>
      </w:r>
      <w:r>
        <w:rPr/>
        <w:t>bacteria),</w:t>
      </w:r>
      <w:r>
        <w:rPr>
          <w:spacing w:val="-3"/>
        </w:rPr>
        <w:t> </w:t>
      </w:r>
      <w:r>
        <w:rPr/>
        <w:t>which</w:t>
      </w:r>
      <w:r>
        <w:rPr>
          <w:spacing w:val="-1"/>
        </w:rPr>
        <w:t> </w:t>
      </w:r>
      <w:r>
        <w:rPr/>
        <w:t>can</w:t>
      </w:r>
      <w:r>
        <w:rPr>
          <w:spacing w:val="-1"/>
        </w:rPr>
        <w:t> </w:t>
      </w:r>
      <w:r>
        <w:rPr/>
        <w:t>find</w:t>
      </w:r>
      <w:r>
        <w:rPr>
          <w:spacing w:val="-1"/>
        </w:rPr>
        <w:t> </w:t>
      </w:r>
      <w:r>
        <w:rPr/>
        <w:t>access to</w:t>
      </w:r>
      <w:r>
        <w:rPr>
          <w:spacing w:val="-2"/>
        </w:rPr>
        <w:t> </w:t>
      </w:r>
      <w:r>
        <w:rPr/>
        <w:t>milk, and there are three broad temperature ranges classifying their optimum growth rates. Organisms with an</w:t>
      </w:r>
      <w:r>
        <w:rPr>
          <w:spacing w:val="-1"/>
        </w:rPr>
        <w:t> </w:t>
      </w:r>
      <w:r>
        <w:rPr/>
        <w:t>optimum</w:t>
      </w:r>
      <w:r>
        <w:rPr>
          <w:spacing w:val="-4"/>
        </w:rPr>
        <w:t> </w:t>
      </w:r>
      <w:r>
        <w:rPr/>
        <w:t>growth</w:t>
      </w:r>
      <w:r>
        <w:rPr>
          <w:spacing w:val="-1"/>
        </w:rPr>
        <w:t> </w:t>
      </w:r>
      <w:r>
        <w:rPr/>
        <w:t>rate at</w:t>
      </w:r>
      <w:r>
        <w:rPr>
          <w:spacing w:val="-2"/>
        </w:rPr>
        <w:t> </w:t>
      </w:r>
      <w:r>
        <w:rPr/>
        <w:t>low temperatures (0-15°C)</w:t>
      </w:r>
      <w:r>
        <w:rPr>
          <w:spacing w:val="-5"/>
        </w:rPr>
        <w:t> </w:t>
      </w:r>
      <w:r>
        <w:rPr/>
        <w:t>are psychrophiles,</w:t>
      </w:r>
      <w:r>
        <w:rPr>
          <w:spacing w:val="-3"/>
        </w:rPr>
        <w:t> </w:t>
      </w:r>
      <w:r>
        <w:rPr/>
        <w:t>example,</w:t>
      </w:r>
      <w:r>
        <w:rPr>
          <w:spacing w:val="-2"/>
        </w:rPr>
        <w:t> </w:t>
      </w:r>
      <w:r>
        <w:rPr>
          <w:i/>
        </w:rPr>
        <w:t>Pseudomonas spp</w:t>
      </w:r>
      <w:r>
        <w:rPr/>
        <w:t>,</w:t>
      </w:r>
      <w:r>
        <w:rPr>
          <w:spacing w:val="-3"/>
        </w:rPr>
        <w:t> </w:t>
      </w:r>
      <w:r>
        <w:rPr/>
        <w:t>at medium temperatures (20-40°C) are called the mesophiles, example, </w:t>
      </w:r>
      <w:r>
        <w:rPr>
          <w:i/>
        </w:rPr>
        <w:t>Salmonella spp </w:t>
      </w:r>
      <w:r>
        <w:rPr/>
        <w:t>and at high temperatures (45- 55°C) the thermophiles, example </w:t>
      </w:r>
      <w:r>
        <w:rPr>
          <w:i/>
        </w:rPr>
        <w:t>Bacillus spp </w:t>
      </w:r>
      <w:r>
        <w:rPr/>
        <w:t>(International Dairy Federation, 1996).</w:t>
      </w:r>
    </w:p>
    <w:p>
      <w:pPr>
        <w:pStyle w:val="Heading5"/>
        <w:numPr>
          <w:ilvl w:val="1"/>
          <w:numId w:val="10"/>
        </w:numPr>
        <w:tabs>
          <w:tab w:pos="1196" w:val="left" w:leader="none"/>
        </w:tabs>
        <w:spacing w:line="240" w:lineRule="auto" w:before="240" w:after="0"/>
        <w:ind w:left="1196" w:right="0" w:hanging="276"/>
        <w:jc w:val="both"/>
        <w:rPr>
          <w:sz w:val="20"/>
        </w:rPr>
      </w:pPr>
      <w:bookmarkStart w:name="_TOC_250063" w:id="28"/>
      <w:r>
        <w:rPr/>
        <w:t>BACTERIOLOGICAL</w:t>
      </w:r>
      <w:r>
        <w:rPr>
          <w:spacing w:val="-7"/>
        </w:rPr>
        <w:t> </w:t>
      </w:r>
      <w:r>
        <w:rPr/>
        <w:t>QUALITY</w:t>
      </w:r>
      <w:r>
        <w:rPr>
          <w:spacing w:val="-5"/>
        </w:rPr>
        <w:t> </w:t>
      </w:r>
      <w:r>
        <w:rPr/>
        <w:t>OF</w:t>
      </w:r>
      <w:r>
        <w:rPr>
          <w:spacing w:val="-5"/>
        </w:rPr>
        <w:t> </w:t>
      </w:r>
      <w:bookmarkEnd w:id="28"/>
      <w:r>
        <w:rPr>
          <w:spacing w:val="-4"/>
        </w:rPr>
        <w:t>MILK</w:t>
      </w:r>
    </w:p>
    <w:p>
      <w:pPr>
        <w:pStyle w:val="BodyText"/>
        <w:spacing w:before="241"/>
        <w:rPr>
          <w:b/>
        </w:rPr>
      </w:pPr>
    </w:p>
    <w:p>
      <w:pPr>
        <w:spacing w:line="480" w:lineRule="auto" w:before="0"/>
        <w:ind w:left="920" w:right="1174" w:firstLine="0"/>
        <w:jc w:val="both"/>
        <w:rPr>
          <w:sz w:val="22"/>
        </w:rPr>
      </w:pPr>
      <w:r>
        <w:rPr>
          <w:color w:val="221E1F"/>
          <w:sz w:val="22"/>
        </w:rPr>
        <w:t>Milk has been considered as one of the most important primary foods, however, several bacterial pathogens have been detected in milk including enterohaemorragic </w:t>
      </w:r>
      <w:r>
        <w:rPr>
          <w:i/>
          <w:color w:val="221E1F"/>
          <w:sz w:val="22"/>
        </w:rPr>
        <w:t>Escherichia coli</w:t>
      </w:r>
      <w:r>
        <w:rPr>
          <w:color w:val="221E1F"/>
          <w:sz w:val="22"/>
        </w:rPr>
        <w:t>, </w:t>
      </w:r>
      <w:r>
        <w:rPr>
          <w:i/>
          <w:sz w:val="22"/>
        </w:rPr>
        <w:t>Staphylococcus aureus</w:t>
      </w:r>
      <w:r>
        <w:rPr>
          <w:i/>
          <w:color w:val="221E1F"/>
          <w:sz w:val="22"/>
        </w:rPr>
        <w:t>, Salmonella specie</w:t>
      </w:r>
      <w:r>
        <w:rPr>
          <w:color w:val="221E1F"/>
          <w:sz w:val="22"/>
        </w:rPr>
        <w:t>, and </w:t>
      </w:r>
      <w:r>
        <w:rPr>
          <w:i/>
          <w:color w:val="221E1F"/>
          <w:sz w:val="22"/>
        </w:rPr>
        <w:t>Yersinia enterocolitica</w:t>
      </w:r>
      <w:r>
        <w:rPr>
          <w:sz w:val="22"/>
        </w:rPr>
        <w:t>(Pazakova </w:t>
      </w:r>
      <w:r>
        <w:rPr>
          <w:i/>
          <w:sz w:val="22"/>
        </w:rPr>
        <w:t>et al</w:t>
      </w:r>
      <w:r>
        <w:rPr>
          <w:sz w:val="22"/>
        </w:rPr>
        <w:t>., 1997; Canganella </w:t>
      </w:r>
      <w:r>
        <w:rPr>
          <w:i/>
          <w:sz w:val="22"/>
        </w:rPr>
        <w:t>et al</w:t>
      </w:r>
      <w:r>
        <w:rPr>
          <w:sz w:val="22"/>
        </w:rPr>
        <w:t>., 1998; Dineen</w:t>
      </w:r>
      <w:r>
        <w:rPr>
          <w:spacing w:val="29"/>
          <w:sz w:val="22"/>
        </w:rPr>
        <w:t> </w:t>
      </w:r>
      <w:r>
        <w:rPr>
          <w:i/>
          <w:sz w:val="22"/>
        </w:rPr>
        <w:t>et</w:t>
      </w:r>
      <w:r>
        <w:rPr>
          <w:i/>
          <w:spacing w:val="27"/>
          <w:sz w:val="22"/>
        </w:rPr>
        <w:t> </w:t>
      </w:r>
      <w:r>
        <w:rPr>
          <w:i/>
          <w:sz w:val="22"/>
        </w:rPr>
        <w:t>al</w:t>
      </w:r>
      <w:r>
        <w:rPr>
          <w:sz w:val="22"/>
        </w:rPr>
        <w:t>.,</w:t>
      </w:r>
      <w:r>
        <w:rPr>
          <w:spacing w:val="26"/>
          <w:sz w:val="22"/>
        </w:rPr>
        <w:t> </w:t>
      </w:r>
      <w:r>
        <w:rPr>
          <w:sz w:val="22"/>
        </w:rPr>
        <w:t>1998;Reed</w:t>
      </w:r>
      <w:r>
        <w:rPr>
          <w:spacing w:val="28"/>
          <w:sz w:val="22"/>
        </w:rPr>
        <w:t> </w:t>
      </w:r>
      <w:r>
        <w:rPr>
          <w:sz w:val="22"/>
        </w:rPr>
        <w:t>and</w:t>
      </w:r>
      <w:r>
        <w:rPr>
          <w:spacing w:val="28"/>
          <w:sz w:val="22"/>
        </w:rPr>
        <w:t> </w:t>
      </w:r>
      <w:r>
        <w:rPr>
          <w:sz w:val="22"/>
        </w:rPr>
        <w:t>Grivetti,</w:t>
      </w:r>
      <w:r>
        <w:rPr>
          <w:spacing w:val="26"/>
          <w:sz w:val="22"/>
        </w:rPr>
        <w:t> </w:t>
      </w:r>
      <w:r>
        <w:rPr>
          <w:sz w:val="22"/>
        </w:rPr>
        <w:t>2000</w:t>
      </w:r>
      <w:r>
        <w:rPr>
          <w:color w:val="000066"/>
          <w:sz w:val="22"/>
        </w:rPr>
        <w:t>;</w:t>
      </w:r>
      <w:r>
        <w:rPr>
          <w:color w:val="000066"/>
          <w:spacing w:val="27"/>
          <w:sz w:val="22"/>
        </w:rPr>
        <w:t> </w:t>
      </w:r>
      <w:r>
        <w:rPr>
          <w:sz w:val="22"/>
        </w:rPr>
        <w:t>Proctor</w:t>
      </w:r>
      <w:r>
        <w:rPr>
          <w:spacing w:val="33"/>
          <w:sz w:val="22"/>
        </w:rPr>
        <w:t> </w:t>
      </w:r>
      <w:r>
        <w:rPr>
          <w:sz w:val="22"/>
        </w:rPr>
        <w:t>and</w:t>
      </w:r>
      <w:r>
        <w:rPr>
          <w:spacing w:val="28"/>
          <w:sz w:val="22"/>
        </w:rPr>
        <w:t> </w:t>
      </w:r>
      <w:r>
        <w:rPr>
          <w:sz w:val="22"/>
        </w:rPr>
        <w:t>Davis,</w:t>
      </w:r>
      <w:r>
        <w:rPr>
          <w:spacing w:val="26"/>
          <w:sz w:val="22"/>
        </w:rPr>
        <w:t> </w:t>
      </w:r>
      <w:r>
        <w:rPr>
          <w:sz w:val="22"/>
        </w:rPr>
        <w:t>2000;</w:t>
      </w:r>
      <w:r>
        <w:rPr>
          <w:spacing w:val="27"/>
          <w:sz w:val="22"/>
        </w:rPr>
        <w:t> </w:t>
      </w:r>
      <w:r>
        <w:rPr>
          <w:sz w:val="22"/>
        </w:rPr>
        <w:t>Gulmez</w:t>
      </w:r>
      <w:r>
        <w:rPr>
          <w:spacing w:val="28"/>
          <w:sz w:val="22"/>
        </w:rPr>
        <w:t> </w:t>
      </w:r>
      <w:r>
        <w:rPr>
          <w:sz w:val="22"/>
        </w:rPr>
        <w:t>and</w:t>
      </w:r>
      <w:r>
        <w:rPr>
          <w:spacing w:val="28"/>
          <w:sz w:val="22"/>
        </w:rPr>
        <w:t> </w:t>
      </w:r>
      <w:r>
        <w:rPr>
          <w:sz w:val="22"/>
        </w:rPr>
        <w:t>Guven,</w:t>
      </w:r>
      <w:r>
        <w:rPr>
          <w:spacing w:val="26"/>
          <w:sz w:val="22"/>
        </w:rPr>
        <w:t> </w:t>
      </w:r>
      <w:r>
        <w:rPr>
          <w:sz w:val="22"/>
        </w:rPr>
        <w:t>2003;CDC,</w:t>
      </w:r>
    </w:p>
    <w:p>
      <w:pPr>
        <w:spacing w:after="0" w:line="480" w:lineRule="auto"/>
        <w:jc w:val="both"/>
        <w:rPr>
          <w:sz w:val="22"/>
        </w:rPr>
        <w:sectPr>
          <w:pgSz w:w="12240" w:h="15840"/>
          <w:pgMar w:header="0" w:footer="1017" w:top="1400" w:bottom="1200" w:left="520" w:right="260"/>
        </w:sectPr>
      </w:pPr>
    </w:p>
    <w:p>
      <w:pPr>
        <w:pStyle w:val="BodyText"/>
        <w:spacing w:line="480" w:lineRule="auto" w:before="37"/>
        <w:ind w:left="920" w:right="1173"/>
        <w:jc w:val="both"/>
      </w:pPr>
      <w:r>
        <w:rPr/>
        <w:t>2003; Mazurek </w:t>
      </w:r>
      <w:r>
        <w:rPr>
          <w:i/>
        </w:rPr>
        <w:t>et al</w:t>
      </w:r>
      <w:r>
        <w:rPr/>
        <w:t>., 2004; Tekinşen and Özdemir, 2006). Bacterial pathogens from milk also include psychrotrophic microorganisms, mainly belonging to the genus </w:t>
      </w:r>
      <w:r>
        <w:rPr>
          <w:i/>
        </w:rPr>
        <w:t>Pseudomonas</w:t>
      </w:r>
      <w:r>
        <w:rPr/>
        <w:t>, that are responsible for the spoilage of milk and dairy products owing to their ability to produce heat-resistant proteolytic and lipolytic enzymes at chill temperatures (Gilmour and Rowe, 1990). Their enzymes can withstand heat treatments of pasteurization and ultrahigh temperature treatments (UHT) (Lopez-Fandino </w:t>
      </w:r>
      <w:r>
        <w:rPr>
          <w:i/>
        </w:rPr>
        <w:t>et al</w:t>
      </w:r>
      <w:r>
        <w:rPr/>
        <w:t>., 1993; Koka</w:t>
      </w:r>
      <w:r>
        <w:rPr>
          <w:spacing w:val="-1"/>
        </w:rPr>
        <w:t> </w:t>
      </w:r>
      <w:r>
        <w:rPr/>
        <w:t>and</w:t>
      </w:r>
      <w:r>
        <w:rPr>
          <w:spacing w:val="-1"/>
        </w:rPr>
        <w:t> </w:t>
      </w:r>
      <w:r>
        <w:rPr/>
        <w:t>Weimer,</w:t>
      </w:r>
      <w:r>
        <w:rPr>
          <w:spacing w:val="-3"/>
        </w:rPr>
        <w:t> </w:t>
      </w:r>
      <w:r>
        <w:rPr/>
        <w:t>2001). </w:t>
      </w:r>
      <w:r>
        <w:rPr>
          <w:color w:val="221E1F"/>
        </w:rPr>
        <w:t>These pathogens have been</w:t>
      </w:r>
      <w:r>
        <w:rPr>
          <w:color w:val="221E1F"/>
          <w:spacing w:val="-6"/>
        </w:rPr>
        <w:t> </w:t>
      </w:r>
      <w:r>
        <w:rPr>
          <w:color w:val="221E1F"/>
        </w:rPr>
        <w:t>linked</w:t>
      </w:r>
      <w:r>
        <w:rPr>
          <w:color w:val="221E1F"/>
          <w:spacing w:val="-6"/>
        </w:rPr>
        <w:t> </w:t>
      </w:r>
      <w:r>
        <w:rPr>
          <w:color w:val="221E1F"/>
        </w:rPr>
        <w:t>to</w:t>
      </w:r>
      <w:r>
        <w:rPr>
          <w:color w:val="221E1F"/>
          <w:spacing w:val="-2"/>
        </w:rPr>
        <w:t> </w:t>
      </w:r>
      <w:r>
        <w:rPr>
          <w:color w:val="221E1F"/>
        </w:rPr>
        <w:t>livestock,</w:t>
      </w:r>
      <w:r>
        <w:rPr>
          <w:color w:val="221E1F"/>
          <w:spacing w:val="-3"/>
        </w:rPr>
        <w:t> </w:t>
      </w:r>
      <w:r>
        <w:rPr>
          <w:color w:val="221E1F"/>
        </w:rPr>
        <w:t>feed,</w:t>
      </w:r>
      <w:r>
        <w:rPr>
          <w:color w:val="221E1F"/>
          <w:spacing w:val="-3"/>
        </w:rPr>
        <w:t> </w:t>
      </w:r>
      <w:r>
        <w:rPr>
          <w:color w:val="221E1F"/>
        </w:rPr>
        <w:t>and</w:t>
      </w:r>
      <w:r>
        <w:rPr>
          <w:color w:val="221E1F"/>
          <w:spacing w:val="-1"/>
        </w:rPr>
        <w:t> </w:t>
      </w:r>
      <w:r>
        <w:rPr>
          <w:color w:val="221E1F"/>
        </w:rPr>
        <w:t>storage</w:t>
      </w:r>
      <w:r>
        <w:rPr>
          <w:color w:val="221E1F"/>
          <w:spacing w:val="-4"/>
        </w:rPr>
        <w:t> </w:t>
      </w:r>
      <w:r>
        <w:rPr>
          <w:color w:val="221E1F"/>
        </w:rPr>
        <w:t>environment (</w:t>
      </w:r>
      <w:r>
        <w:rPr/>
        <w:t>Marco</w:t>
      </w:r>
      <w:r>
        <w:rPr>
          <w:spacing w:val="-2"/>
        </w:rPr>
        <w:t> </w:t>
      </w:r>
      <w:r>
        <w:rPr/>
        <w:t>and</w:t>
      </w:r>
      <w:r>
        <w:rPr>
          <w:spacing w:val="-1"/>
        </w:rPr>
        <w:t> </w:t>
      </w:r>
      <w:r>
        <w:rPr/>
        <w:t>Wells-Bennik,</w:t>
      </w:r>
      <w:r>
        <w:rPr>
          <w:spacing w:val="-3"/>
        </w:rPr>
        <w:t> </w:t>
      </w:r>
      <w:r>
        <w:rPr/>
        <w:t>2008</w:t>
      </w:r>
      <w:r>
        <w:rPr>
          <w:color w:val="221E1F"/>
        </w:rPr>
        <w:t>). The</w:t>
      </w:r>
      <w:r>
        <w:rPr>
          <w:color w:val="221E1F"/>
          <w:spacing w:val="-4"/>
        </w:rPr>
        <w:t> </w:t>
      </w:r>
      <w:r>
        <w:rPr>
          <w:color w:val="221E1F"/>
        </w:rPr>
        <w:t>bacteriological quality of</w:t>
      </w:r>
      <w:r>
        <w:rPr>
          <w:color w:val="221E1F"/>
          <w:spacing w:val="-5"/>
        </w:rPr>
        <w:t> </w:t>
      </w:r>
      <w:r>
        <w:rPr>
          <w:color w:val="221E1F"/>
        </w:rPr>
        <w:t>milk</w:t>
      </w:r>
      <w:r>
        <w:rPr>
          <w:color w:val="221E1F"/>
          <w:spacing w:val="-5"/>
        </w:rPr>
        <w:t> </w:t>
      </w:r>
      <w:r>
        <w:rPr>
          <w:color w:val="221E1F"/>
        </w:rPr>
        <w:t>is strictly related</w:t>
      </w:r>
      <w:r>
        <w:rPr>
          <w:color w:val="221E1F"/>
          <w:spacing w:val="-1"/>
        </w:rPr>
        <w:t> </w:t>
      </w:r>
      <w:r>
        <w:rPr>
          <w:color w:val="221E1F"/>
        </w:rPr>
        <w:t>to</w:t>
      </w:r>
      <w:r>
        <w:rPr>
          <w:color w:val="221E1F"/>
          <w:spacing w:val="-2"/>
        </w:rPr>
        <w:t> </w:t>
      </w:r>
      <w:r>
        <w:rPr>
          <w:color w:val="221E1F"/>
        </w:rPr>
        <w:t>the management practice,</w:t>
      </w:r>
      <w:r>
        <w:rPr>
          <w:color w:val="221E1F"/>
          <w:spacing w:val="-1"/>
        </w:rPr>
        <w:t> </w:t>
      </w:r>
      <w:r>
        <w:rPr>
          <w:color w:val="221E1F"/>
        </w:rPr>
        <w:t>such as equipment and environmental hygiene,</w:t>
      </w:r>
      <w:r>
        <w:rPr>
          <w:color w:val="221E1F"/>
          <w:spacing w:val="-1"/>
        </w:rPr>
        <w:t> </w:t>
      </w:r>
      <w:r>
        <w:rPr>
          <w:color w:val="221E1F"/>
        </w:rPr>
        <w:t>cow wellness,</w:t>
      </w:r>
      <w:r>
        <w:rPr>
          <w:color w:val="221E1F"/>
          <w:spacing w:val="-1"/>
        </w:rPr>
        <w:t> </w:t>
      </w:r>
      <w:r>
        <w:rPr>
          <w:color w:val="221E1F"/>
        </w:rPr>
        <w:t>packaging and handling (</w:t>
      </w:r>
      <w:r>
        <w:rPr/>
        <w:t>Little </w:t>
      </w:r>
      <w:r>
        <w:rPr>
          <w:i/>
        </w:rPr>
        <w:t>et al</w:t>
      </w:r>
      <w:r>
        <w:rPr/>
        <w:t>., 2008</w:t>
      </w:r>
      <w:r>
        <w:rPr>
          <w:color w:val="221E1F"/>
        </w:rPr>
        <w:t>).</w:t>
      </w:r>
    </w:p>
    <w:p>
      <w:pPr>
        <w:pStyle w:val="BodyText"/>
        <w:spacing w:line="480" w:lineRule="auto" w:before="239"/>
        <w:ind w:left="920" w:right="1175"/>
        <w:jc w:val="both"/>
      </w:pPr>
      <w:r>
        <w:rPr/>
        <w:t>The incidence of milk-borne infections has markedly increased over the last 20 years, with nearly a quarter of the population at higher risk for illness today (Oliver </w:t>
      </w:r>
      <w:r>
        <w:rPr>
          <w:i/>
        </w:rPr>
        <w:t>et al</w:t>
      </w:r>
      <w:r>
        <w:rPr/>
        <w:t>., 2005). Milkborne disease surveillance began in the US in the early 1900s in response to morbidity caused by milk-transmitted typhoid fever and infantile diarrhoea (Cliver, 1990). From 1998 to 2005, the Centers for Disease Control and Prevention (CDC) identified 45 outbreaks of milk-borne illnesses that involved unpasteurized milk,</w:t>
      </w:r>
      <w:r>
        <w:rPr>
          <w:spacing w:val="40"/>
        </w:rPr>
        <w:t> </w:t>
      </w:r>
      <w:r>
        <w:rPr/>
        <w:t>or cheese made from unpasteurized milk, accounting for 1.007 illnesses, 104 hospitalizations, and two deaths (CDC, 2003).</w:t>
      </w:r>
    </w:p>
    <w:p>
      <w:pPr>
        <w:pStyle w:val="BodyText"/>
        <w:spacing w:line="480" w:lineRule="auto" w:before="239"/>
        <w:ind w:left="920" w:right="1177"/>
        <w:jc w:val="both"/>
      </w:pPr>
      <w:r>
        <w:rPr/>
        <w:t>Many of these milkborne diseases that historically caused significant mortality and morbidity were largely eradicated in the industrialized world as a result of sanitation and pasteurization, disease control efforts in animals and other measures (Tauxe, 2002). Although many milkborne infections are</w:t>
      </w:r>
      <w:r>
        <w:rPr>
          <w:spacing w:val="40"/>
        </w:rPr>
        <w:t> </w:t>
      </w:r>
      <w:r>
        <w:rPr/>
        <w:t>controlled, the burden of emerging bacterial pathogens remains substantial.</w:t>
      </w:r>
    </w:p>
    <w:p>
      <w:pPr>
        <w:pStyle w:val="Heading7"/>
        <w:numPr>
          <w:ilvl w:val="2"/>
          <w:numId w:val="10"/>
        </w:numPr>
        <w:tabs>
          <w:tab w:pos="1439" w:val="left" w:leader="none"/>
        </w:tabs>
        <w:spacing w:line="240" w:lineRule="auto" w:before="242" w:after="0"/>
        <w:ind w:left="1439" w:right="0" w:hanging="519"/>
        <w:jc w:val="both"/>
        <w:rPr>
          <w:i w:val="0"/>
          <w:sz w:val="23"/>
        </w:rPr>
      </w:pPr>
      <w:bookmarkStart w:name="_TOC_250062" w:id="29"/>
      <w:r>
        <w:rPr/>
        <w:t>Escherichia</w:t>
      </w:r>
      <w:r>
        <w:rPr>
          <w:spacing w:val="-12"/>
        </w:rPr>
        <w:t> </w:t>
      </w:r>
      <w:bookmarkEnd w:id="29"/>
      <w:r>
        <w:rPr>
          <w:spacing w:val="-4"/>
        </w:rPr>
        <w:t>coli</w:t>
      </w:r>
    </w:p>
    <w:p>
      <w:pPr>
        <w:spacing w:after="0" w:line="240" w:lineRule="auto"/>
        <w:jc w:val="both"/>
        <w:rPr>
          <w:sz w:val="23"/>
        </w:rPr>
        <w:sectPr>
          <w:pgSz w:w="12240" w:h="15840"/>
          <w:pgMar w:header="0" w:footer="1017" w:top="1400" w:bottom="1200" w:left="520" w:right="260"/>
        </w:sectPr>
      </w:pPr>
    </w:p>
    <w:p>
      <w:pPr>
        <w:pStyle w:val="BodyText"/>
        <w:spacing w:line="480" w:lineRule="auto" w:before="37"/>
        <w:ind w:left="920" w:right="1173"/>
        <w:jc w:val="both"/>
      </w:pPr>
      <w:r>
        <w:rPr>
          <w:i/>
        </w:rPr>
        <w:t>Escherichia coli </w:t>
      </w:r>
      <w:r>
        <w:rPr/>
        <w:t>a common inhabitant of the human and animal intestinal tract is a Gram- negative, facultative aerobic organism, and a member of enterobacteriaceae family (Nys </w:t>
      </w:r>
      <w:r>
        <w:rPr>
          <w:i/>
        </w:rPr>
        <w:t>et al</w:t>
      </w:r>
      <w:r>
        <w:rPr/>
        <w:t>., 2004; Von Baum and Marre,</w:t>
      </w:r>
      <w:r>
        <w:rPr>
          <w:spacing w:val="-2"/>
        </w:rPr>
        <w:t> </w:t>
      </w:r>
      <w:r>
        <w:rPr/>
        <w:t>2005). Organisms of this</w:t>
      </w:r>
      <w:r>
        <w:rPr>
          <w:spacing w:val="-4"/>
        </w:rPr>
        <w:t> </w:t>
      </w:r>
      <w:r>
        <w:rPr/>
        <w:t>species</w:t>
      </w:r>
      <w:r>
        <w:rPr>
          <w:spacing w:val="-4"/>
        </w:rPr>
        <w:t> </w:t>
      </w:r>
      <w:r>
        <w:rPr/>
        <w:t>are</w:t>
      </w:r>
      <w:r>
        <w:rPr>
          <w:spacing w:val="-4"/>
        </w:rPr>
        <w:t> </w:t>
      </w:r>
      <w:r>
        <w:rPr/>
        <w:t>generally</w:t>
      </w:r>
      <w:r>
        <w:rPr>
          <w:spacing w:val="-3"/>
        </w:rPr>
        <w:t> </w:t>
      </w:r>
      <w:r>
        <w:rPr/>
        <w:t>lactose fermentors,</w:t>
      </w:r>
      <w:r>
        <w:rPr>
          <w:spacing w:val="-2"/>
        </w:rPr>
        <w:t> </w:t>
      </w:r>
      <w:r>
        <w:rPr/>
        <w:t>but</w:t>
      </w:r>
      <w:r>
        <w:rPr>
          <w:spacing w:val="-1"/>
        </w:rPr>
        <w:t> </w:t>
      </w:r>
      <w:r>
        <w:rPr/>
        <w:t>sometimes the</w:t>
      </w:r>
      <w:r>
        <w:rPr>
          <w:spacing w:val="-4"/>
        </w:rPr>
        <w:t> </w:t>
      </w:r>
      <w:r>
        <w:rPr/>
        <w:t>lactose fermentation is delayed (Cliver, 1990). Most strains of </w:t>
      </w:r>
      <w:r>
        <w:rPr>
          <w:i/>
        </w:rPr>
        <w:t>E. coli </w:t>
      </w:r>
      <w:r>
        <w:rPr/>
        <w:t>are harmless; however some are</w:t>
      </w:r>
      <w:r>
        <w:rPr>
          <w:spacing w:val="40"/>
        </w:rPr>
        <w:t> </w:t>
      </w:r>
      <w:r>
        <w:rPr/>
        <w:t>pathogenic causing severe intestinal and diarrhoeal diseases (Meng </w:t>
      </w:r>
      <w:r>
        <w:rPr>
          <w:i/>
        </w:rPr>
        <w:t>et al</w:t>
      </w:r>
      <w:r>
        <w:rPr/>
        <w:t>., 2001, Kaper </w:t>
      </w:r>
      <w:r>
        <w:rPr>
          <w:i/>
        </w:rPr>
        <w:t>et al</w:t>
      </w:r>
      <w:r>
        <w:rPr/>
        <w:t>., 2004). These potentially harmful </w:t>
      </w:r>
      <w:r>
        <w:rPr>
          <w:i/>
        </w:rPr>
        <w:t>E. coli </w:t>
      </w:r>
      <w:r>
        <w:rPr/>
        <w:t>are classified into categories based on the production of virulence factors and on the clinical manifestations that they cause. They havebeen reported in raw milk and milk products by several authors (Aly and Galal, 2002; Soomro </w:t>
      </w:r>
      <w:r>
        <w:rPr>
          <w:i/>
        </w:rPr>
        <w:t>et al</w:t>
      </w:r>
      <w:r>
        <w:rPr/>
        <w:t>., 2002; Lues </w:t>
      </w:r>
      <w:r>
        <w:rPr>
          <w:i/>
        </w:rPr>
        <w:t>et al</w:t>
      </w:r>
      <w:r>
        <w:rPr/>
        <w:t>., 2003; Chye </w:t>
      </w:r>
      <w:r>
        <w:rPr>
          <w:i/>
        </w:rPr>
        <w:t>et al</w:t>
      </w:r>
      <w:r>
        <w:rPr/>
        <w:t>., 2004). In addition to the presence of </w:t>
      </w:r>
      <w:r>
        <w:rPr>
          <w:i/>
        </w:rPr>
        <w:t>E. coli </w:t>
      </w:r>
      <w:r>
        <w:rPr/>
        <w:t>denoting fecal pollution, the presence of virulence – related genes in </w:t>
      </w:r>
      <w:r>
        <w:rPr>
          <w:i/>
        </w:rPr>
        <w:t>E. coli </w:t>
      </w:r>
      <w:r>
        <w:rPr/>
        <w:t>strains refer to the pathogenicity of the isolates. Previous studies documented the aquation</w:t>
      </w:r>
      <w:r>
        <w:rPr>
          <w:spacing w:val="-1"/>
        </w:rPr>
        <w:t> </w:t>
      </w:r>
      <w:r>
        <w:rPr/>
        <w:t>of</w:t>
      </w:r>
      <w:r>
        <w:rPr>
          <w:spacing w:val="-1"/>
        </w:rPr>
        <w:t> </w:t>
      </w:r>
      <w:r>
        <w:rPr/>
        <w:t>some </w:t>
      </w:r>
      <w:r>
        <w:rPr>
          <w:i/>
        </w:rPr>
        <w:t>E. coli </w:t>
      </w:r>
      <w:r>
        <w:rPr/>
        <w:t>isolates from raw milk and</w:t>
      </w:r>
      <w:r>
        <w:rPr>
          <w:spacing w:val="-1"/>
        </w:rPr>
        <w:t> </w:t>
      </w:r>
      <w:r>
        <w:rPr/>
        <w:t>milk products for virulence</w:t>
      </w:r>
      <w:r>
        <w:rPr>
          <w:spacing w:val="-5"/>
        </w:rPr>
        <w:t> </w:t>
      </w:r>
      <w:r>
        <w:rPr/>
        <w:t>markers (Klie </w:t>
      </w:r>
      <w:r>
        <w:rPr>
          <w:i/>
        </w:rPr>
        <w:t>et</w:t>
      </w:r>
      <w:r>
        <w:rPr>
          <w:i/>
          <w:spacing w:val="-2"/>
        </w:rPr>
        <w:t> </w:t>
      </w:r>
      <w:r>
        <w:rPr>
          <w:i/>
        </w:rPr>
        <w:t>al</w:t>
      </w:r>
      <w:r>
        <w:rPr/>
        <w:t>.,</w:t>
      </w:r>
      <w:r>
        <w:rPr>
          <w:spacing w:val="-3"/>
        </w:rPr>
        <w:t> </w:t>
      </w:r>
      <w:r>
        <w:rPr/>
        <w:t>1997; Jayarao and Henning, 2001; Holko </w:t>
      </w:r>
      <w:r>
        <w:rPr>
          <w:i/>
        </w:rPr>
        <w:t>et al</w:t>
      </w:r>
      <w:r>
        <w:rPr/>
        <w:t>., 2006; Paneto </w:t>
      </w:r>
      <w:r>
        <w:rPr>
          <w:i/>
        </w:rPr>
        <w:t>et al</w:t>
      </w:r>
      <w:r>
        <w:rPr/>
        <w:t>., 2007).</w:t>
      </w:r>
    </w:p>
    <w:p>
      <w:pPr>
        <w:pStyle w:val="BodyText"/>
        <w:spacing w:line="480" w:lineRule="auto" w:before="241"/>
        <w:ind w:left="920" w:right="1175"/>
        <w:jc w:val="both"/>
      </w:pPr>
      <w:r>
        <w:rPr/>
        <w:t>Pathogenic </w:t>
      </w:r>
      <w:r>
        <w:rPr>
          <w:i/>
        </w:rPr>
        <w:t>E. coli </w:t>
      </w:r>
      <w:r>
        <w:rPr/>
        <w:t>falls into two groups: the first one is the urogenic group, which is the predominant causative organism of urinary tract infections (UTI),</w:t>
      </w:r>
      <w:r>
        <w:rPr>
          <w:spacing w:val="-1"/>
        </w:rPr>
        <w:t> </w:t>
      </w:r>
      <w:r>
        <w:rPr/>
        <w:t>is also frequently isolated in neonate meningitis and Gram-negative nosocomial and</w:t>
      </w:r>
      <w:r>
        <w:rPr>
          <w:spacing w:val="-6"/>
        </w:rPr>
        <w:t> </w:t>
      </w:r>
      <w:r>
        <w:rPr/>
        <w:t>community-acquired</w:t>
      </w:r>
      <w:r>
        <w:rPr>
          <w:spacing w:val="-6"/>
        </w:rPr>
        <w:t> </w:t>
      </w:r>
      <w:r>
        <w:rPr/>
        <w:t>infections. The other</w:t>
      </w:r>
      <w:r>
        <w:rPr>
          <w:spacing w:val="-5"/>
        </w:rPr>
        <w:t> </w:t>
      </w:r>
      <w:r>
        <w:rPr/>
        <w:t>is the</w:t>
      </w:r>
      <w:r>
        <w:rPr>
          <w:spacing w:val="-5"/>
        </w:rPr>
        <w:t> </w:t>
      </w:r>
      <w:r>
        <w:rPr/>
        <w:t>enteric</w:t>
      </w:r>
      <w:r>
        <w:rPr>
          <w:spacing w:val="-7"/>
        </w:rPr>
        <w:t> </w:t>
      </w:r>
      <w:r>
        <w:rPr/>
        <w:t>group</w:t>
      </w:r>
      <w:r>
        <w:rPr>
          <w:spacing w:val="-6"/>
        </w:rPr>
        <w:t> </w:t>
      </w:r>
      <w:r>
        <w:rPr/>
        <w:t>that</w:t>
      </w:r>
      <w:r>
        <w:rPr>
          <w:spacing w:val="-2"/>
        </w:rPr>
        <w:t> </w:t>
      </w:r>
      <w:r>
        <w:rPr/>
        <w:t>often causes</w:t>
      </w:r>
      <w:r>
        <w:rPr>
          <w:spacing w:val="-1"/>
        </w:rPr>
        <w:t> </w:t>
      </w:r>
      <w:r>
        <w:rPr/>
        <w:t>childhood</w:t>
      </w:r>
      <w:r>
        <w:rPr>
          <w:spacing w:val="-2"/>
        </w:rPr>
        <w:t> </w:t>
      </w:r>
      <w:r>
        <w:rPr/>
        <w:t>enteritis</w:t>
      </w:r>
      <w:r>
        <w:rPr>
          <w:spacing w:val="-6"/>
        </w:rPr>
        <w:t> </w:t>
      </w:r>
      <w:r>
        <w:rPr/>
        <w:t>and</w:t>
      </w:r>
      <w:r>
        <w:rPr>
          <w:spacing w:val="-2"/>
        </w:rPr>
        <w:t> </w:t>
      </w:r>
      <w:r>
        <w:rPr/>
        <w:t>bacteria-related</w:t>
      </w:r>
      <w:r>
        <w:rPr>
          <w:spacing w:val="-2"/>
        </w:rPr>
        <w:t> </w:t>
      </w:r>
      <w:r>
        <w:rPr/>
        <w:t>traveller’s</w:t>
      </w:r>
      <w:r>
        <w:rPr>
          <w:spacing w:val="-1"/>
        </w:rPr>
        <w:t> </w:t>
      </w:r>
      <w:r>
        <w:rPr/>
        <w:t>diarrhea</w:t>
      </w:r>
      <w:r>
        <w:rPr>
          <w:spacing w:val="-2"/>
        </w:rPr>
        <w:t> </w:t>
      </w:r>
      <w:r>
        <w:rPr/>
        <w:t>(Von</w:t>
      </w:r>
      <w:r>
        <w:rPr>
          <w:spacing w:val="-2"/>
        </w:rPr>
        <w:t> </w:t>
      </w:r>
      <w:r>
        <w:rPr/>
        <w:t>Baum and</w:t>
      </w:r>
      <w:r>
        <w:rPr>
          <w:spacing w:val="-2"/>
        </w:rPr>
        <w:t> </w:t>
      </w:r>
      <w:r>
        <w:rPr/>
        <w:t>Marre,</w:t>
      </w:r>
      <w:r>
        <w:rPr>
          <w:spacing w:val="-4"/>
        </w:rPr>
        <w:t> </w:t>
      </w:r>
      <w:r>
        <w:rPr/>
        <w:t>2005). Among the enteric </w:t>
      </w:r>
      <w:r>
        <w:rPr>
          <w:i/>
        </w:rPr>
        <w:t>E. coli</w:t>
      </w:r>
      <w:r>
        <w:rPr/>
        <w:t>, Shiga-toxin (Stx) producing </w:t>
      </w:r>
      <w:r>
        <w:rPr>
          <w:i/>
        </w:rPr>
        <w:t>E. coli </w:t>
      </w:r>
      <w:r>
        <w:rPr/>
        <w:t>(STEC) O157:H7 and non- O157:H7 have been identified as aetiological agents for haemorrhagic uremic syndrome (HUS) in humans (Von Baum and Marre, 2005). However, of the two, O157:H7 serotype is considered as being the most significant and has been associated with large food-borne outbreaks in North America, Europe, and Japan (White </w:t>
      </w:r>
      <w:r>
        <w:rPr>
          <w:i/>
        </w:rPr>
        <w:t>et al</w:t>
      </w:r>
      <w:r>
        <w:rPr/>
        <w:t>., 2002). The Centre for Disease Control (USA) estimates that </w:t>
      </w:r>
      <w:r>
        <w:rPr>
          <w:i/>
        </w:rPr>
        <w:t>E. coli </w:t>
      </w:r>
      <w:r>
        <w:rPr/>
        <w:t>O157:H7</w:t>
      </w:r>
      <w:r>
        <w:rPr>
          <w:spacing w:val="-1"/>
        </w:rPr>
        <w:t> </w:t>
      </w:r>
      <w:r>
        <w:rPr/>
        <w:t>causes approximately 73,000 illnesses and 61 deaths each year in the USA while non-O157:H7 STEC account for an additional 37,740 cases</w:t>
      </w:r>
      <w:r>
        <w:rPr>
          <w:spacing w:val="-2"/>
        </w:rPr>
        <w:t> </w:t>
      </w:r>
      <w:r>
        <w:rPr/>
        <w:t>with</w:t>
      </w:r>
      <w:r>
        <w:rPr>
          <w:spacing w:val="-1"/>
        </w:rPr>
        <w:t> </w:t>
      </w:r>
      <w:r>
        <w:rPr/>
        <w:t>30</w:t>
      </w:r>
      <w:r>
        <w:rPr>
          <w:spacing w:val="-1"/>
        </w:rPr>
        <w:t> </w:t>
      </w:r>
      <w:r>
        <w:rPr/>
        <w:t>deaths</w:t>
      </w:r>
      <w:r>
        <w:rPr>
          <w:spacing w:val="1"/>
        </w:rPr>
        <w:t> </w:t>
      </w:r>
      <w:r>
        <w:rPr/>
        <w:t>(White</w:t>
      </w:r>
      <w:r>
        <w:rPr>
          <w:spacing w:val="-3"/>
        </w:rPr>
        <w:t> </w:t>
      </w:r>
      <w:r>
        <w:rPr>
          <w:i/>
        </w:rPr>
        <w:t>et</w:t>
      </w:r>
      <w:r>
        <w:rPr>
          <w:i/>
          <w:spacing w:val="-1"/>
        </w:rPr>
        <w:t> </w:t>
      </w:r>
      <w:r>
        <w:rPr>
          <w:i/>
        </w:rPr>
        <w:t>al</w:t>
      </w:r>
      <w:r>
        <w:rPr/>
        <w:t>.,</w:t>
      </w:r>
      <w:r>
        <w:rPr>
          <w:spacing w:val="-3"/>
        </w:rPr>
        <w:t> </w:t>
      </w:r>
      <w:r>
        <w:rPr/>
        <w:t>2002).</w:t>
      </w:r>
      <w:r>
        <w:rPr>
          <w:spacing w:val="2"/>
        </w:rPr>
        <w:t> </w:t>
      </w:r>
      <w:r>
        <w:rPr/>
        <w:t>In</w:t>
      </w:r>
      <w:r>
        <w:rPr>
          <w:spacing w:val="-1"/>
        </w:rPr>
        <w:t> </w:t>
      </w:r>
      <w:r>
        <w:rPr/>
        <w:t>humans,</w:t>
      </w:r>
      <w:r>
        <w:rPr>
          <w:spacing w:val="-2"/>
        </w:rPr>
        <w:t> </w:t>
      </w:r>
      <w:r>
        <w:rPr/>
        <w:t>these infections</w:t>
      </w:r>
      <w:r>
        <w:rPr>
          <w:spacing w:val="1"/>
        </w:rPr>
        <w:t> </w:t>
      </w:r>
      <w:r>
        <w:rPr/>
        <w:t>are</w:t>
      </w:r>
      <w:r>
        <w:rPr>
          <w:spacing w:val="-4"/>
        </w:rPr>
        <w:t> </w:t>
      </w:r>
      <w:r>
        <w:rPr/>
        <w:t>associated with </w:t>
      </w:r>
      <w:r>
        <w:rPr>
          <w:spacing w:val="-2"/>
        </w:rPr>
        <w:t>gastroenteritis</w:t>
      </w:r>
    </w:p>
    <w:p>
      <w:pPr>
        <w:spacing w:after="0" w:line="480" w:lineRule="auto"/>
        <w:jc w:val="both"/>
        <w:sectPr>
          <w:pgSz w:w="12240" w:h="15840"/>
          <w:pgMar w:header="0" w:footer="1017" w:top="1400" w:bottom="1200" w:left="520" w:right="260"/>
        </w:sectPr>
      </w:pPr>
    </w:p>
    <w:p>
      <w:pPr>
        <w:pStyle w:val="BodyText"/>
        <w:spacing w:line="480" w:lineRule="auto" w:before="37"/>
        <w:ind w:left="920" w:right="1176"/>
        <w:jc w:val="both"/>
      </w:pPr>
      <w:r>
        <w:rPr/>
        <w:t>that may be complicated by hemorrhagic colitis (HC) or hemolytic-uremic syndrome (HUS), which is a major cause of renal failure in children (Mora </w:t>
      </w:r>
      <w:r>
        <w:rPr>
          <w:i/>
        </w:rPr>
        <w:t>et al</w:t>
      </w:r>
      <w:r>
        <w:rPr/>
        <w:t>., 2004).</w:t>
      </w:r>
    </w:p>
    <w:p>
      <w:pPr>
        <w:pStyle w:val="BodyText"/>
        <w:spacing w:line="480" w:lineRule="auto" w:before="241"/>
        <w:ind w:left="920" w:right="1171"/>
        <w:jc w:val="both"/>
      </w:pPr>
      <w:r>
        <w:rPr/>
        <w:t>Generally antibacterials are not recommended for therapy of STEC infections because they can lyse cell walls therefore releasing the toxins (Waterspiel </w:t>
      </w:r>
      <w:r>
        <w:rPr>
          <w:i/>
        </w:rPr>
        <w:t>et al</w:t>
      </w:r>
      <w:r>
        <w:rPr/>
        <w:t>., 1992; Wong </w:t>
      </w:r>
      <w:r>
        <w:rPr>
          <w:i/>
        </w:rPr>
        <w:t>et al</w:t>
      </w:r>
      <w:r>
        <w:rPr/>
        <w:t>., 2000). Additionally, they are usually avoided because they can also cause increased expression of the toxins </w:t>
      </w:r>
      <w:r>
        <w:rPr>
          <w:i/>
        </w:rPr>
        <w:t>in vivo </w:t>
      </w:r>
      <w:r>
        <w:rPr/>
        <w:t>(Zhang </w:t>
      </w:r>
      <w:r>
        <w:rPr>
          <w:i/>
        </w:rPr>
        <w:t>et al</w:t>
      </w:r>
      <w:r>
        <w:rPr/>
        <w:t>., 2000). Despite the general practice of not using antibacterials to treat STEC infections, there have been recent reports suggesting that antiobiotic multi-resistance of STEC is on the rise (Galland </w:t>
      </w:r>
      <w:r>
        <w:rPr>
          <w:i/>
        </w:rPr>
        <w:t>et al</w:t>
      </w:r>
      <w:r>
        <w:rPr/>
        <w:t>., 2001; Willshaw </w:t>
      </w:r>
      <w:r>
        <w:rPr>
          <w:i/>
        </w:rPr>
        <w:t>et al</w:t>
      </w:r>
      <w:r>
        <w:rPr/>
        <w:t>., 2001; Schroeder </w:t>
      </w:r>
      <w:r>
        <w:rPr>
          <w:i/>
        </w:rPr>
        <w:t>et al</w:t>
      </w:r>
      <w:r>
        <w:rPr/>
        <w:t>., 2002,).</w:t>
      </w:r>
    </w:p>
    <w:p>
      <w:pPr>
        <w:pStyle w:val="Heading7"/>
        <w:numPr>
          <w:ilvl w:val="2"/>
          <w:numId w:val="10"/>
        </w:numPr>
        <w:tabs>
          <w:tab w:pos="1415" w:val="left" w:leader="none"/>
        </w:tabs>
        <w:spacing w:line="240" w:lineRule="auto" w:before="238" w:after="0"/>
        <w:ind w:left="1415" w:right="0" w:hanging="495"/>
        <w:jc w:val="both"/>
        <w:rPr>
          <w:i w:val="0"/>
        </w:rPr>
      </w:pPr>
      <w:r>
        <w:rPr/>
        <w:t>Salmonella</w:t>
      </w:r>
      <w:r>
        <w:rPr>
          <w:spacing w:val="-9"/>
        </w:rPr>
        <w:t> </w:t>
      </w:r>
      <w:r>
        <w:rPr>
          <w:spacing w:val="-2"/>
        </w:rPr>
        <w:t>species</w:t>
      </w:r>
    </w:p>
    <w:p>
      <w:pPr>
        <w:pStyle w:val="BodyText"/>
        <w:spacing w:before="240"/>
        <w:rPr>
          <w:b/>
          <w:i/>
        </w:rPr>
      </w:pPr>
    </w:p>
    <w:p>
      <w:pPr>
        <w:pStyle w:val="BodyText"/>
        <w:spacing w:line="480" w:lineRule="auto"/>
        <w:ind w:left="920" w:right="1173"/>
        <w:jc w:val="both"/>
      </w:pPr>
      <w:r>
        <w:rPr>
          <w:i/>
        </w:rPr>
        <w:t>Salmonella </w:t>
      </w:r>
      <w:r>
        <w:rPr/>
        <w:t>species includes more than 2500 different serotypes and represents a leading cause of milkborne infections worldwide (White </w:t>
      </w:r>
      <w:r>
        <w:rPr>
          <w:i/>
        </w:rPr>
        <w:t>et al</w:t>
      </w:r>
      <w:r>
        <w:rPr/>
        <w:t>.,</w:t>
      </w:r>
      <w:r>
        <w:rPr>
          <w:spacing w:val="-1"/>
        </w:rPr>
        <w:t> </w:t>
      </w:r>
      <w:r>
        <w:rPr/>
        <w:t>2002; Chen </w:t>
      </w:r>
      <w:r>
        <w:rPr>
          <w:i/>
        </w:rPr>
        <w:t>et al</w:t>
      </w:r>
      <w:r>
        <w:rPr/>
        <w:t>.,</w:t>
      </w:r>
      <w:r>
        <w:rPr>
          <w:spacing w:val="-1"/>
        </w:rPr>
        <w:t> </w:t>
      </w:r>
      <w:r>
        <w:rPr/>
        <w:t>2004; Magistrali </w:t>
      </w:r>
      <w:r>
        <w:rPr>
          <w:i/>
        </w:rPr>
        <w:t>et al</w:t>
      </w:r>
      <w:r>
        <w:rPr/>
        <w:t>.,</w:t>
      </w:r>
      <w:r>
        <w:rPr>
          <w:spacing w:val="-1"/>
        </w:rPr>
        <w:t> </w:t>
      </w:r>
      <w:r>
        <w:rPr/>
        <w:t>2008). Nearly 1.4 million cases of salmonellosis occur each year in the United States, of which 95% are foodborne cases (Mead </w:t>
      </w:r>
      <w:r>
        <w:rPr>
          <w:i/>
        </w:rPr>
        <w:t>et al</w:t>
      </w:r>
      <w:r>
        <w:rPr/>
        <w:t>., 1999). </w:t>
      </w:r>
      <w:r>
        <w:rPr>
          <w:i/>
        </w:rPr>
        <w:t>Salmonella </w:t>
      </w:r>
      <w:r>
        <w:rPr/>
        <w:t>species cause a wide range of human disease such as enteric fever, gastroenteritis, Bacteremia (Bennasar </w:t>
      </w:r>
      <w:r>
        <w:rPr>
          <w:i/>
        </w:rPr>
        <w:t>et al</w:t>
      </w:r>
      <w:r>
        <w:rPr/>
        <w:t>., 2000). A variety of foods have been implicated as vehicles transmitting salmonellosis to humans, including raw meats, poultry,</w:t>
      </w:r>
      <w:r>
        <w:rPr>
          <w:spacing w:val="40"/>
        </w:rPr>
        <w:t> </w:t>
      </w:r>
      <w:r>
        <w:rPr/>
        <w:t>milk and dairy products (Forsythe, 2000) as well as fish,</w:t>
      </w:r>
      <w:r>
        <w:rPr>
          <w:spacing w:val="-1"/>
        </w:rPr>
        <w:t> </w:t>
      </w:r>
      <w:r>
        <w:rPr/>
        <w:t>shellfish,</w:t>
      </w:r>
      <w:r>
        <w:rPr>
          <w:spacing w:val="-1"/>
        </w:rPr>
        <w:t> </w:t>
      </w:r>
      <w:r>
        <w:rPr/>
        <w:t>fresh fruits and juice,</w:t>
      </w:r>
      <w:r>
        <w:rPr>
          <w:spacing w:val="-1"/>
        </w:rPr>
        <w:t> </w:t>
      </w:r>
      <w:r>
        <w:rPr/>
        <w:t>and vegetables (Gomez </w:t>
      </w:r>
      <w:r>
        <w:rPr>
          <w:i/>
        </w:rPr>
        <w:t>et al</w:t>
      </w:r>
      <w:r>
        <w:rPr/>
        <w:t>.,</w:t>
      </w:r>
      <w:r>
        <w:rPr>
          <w:spacing w:val="-1"/>
        </w:rPr>
        <w:t> </w:t>
      </w:r>
      <w:r>
        <w:rPr/>
        <w:t>1997). Contamination has been reported to be through poor temperature control and handling practices, or cross- contamination of processed foods from raw ingredients. The primary reservoir is the intestinal tract of humans and animals. This pathogen is excreted in the faeces and can remain viable in the faecal</w:t>
      </w:r>
      <w:r>
        <w:rPr>
          <w:spacing w:val="80"/>
        </w:rPr>
        <w:t> </w:t>
      </w:r>
      <w:r>
        <w:rPr/>
        <w:t>material for several years. The principal source of Salmonella infection has been reported to be</w:t>
      </w:r>
      <w:r>
        <w:rPr>
          <w:spacing w:val="80"/>
        </w:rPr>
        <w:t> </w:t>
      </w:r>
      <w:r>
        <w:rPr/>
        <w:t>ingestion of contaminated food. Consumption of contaminated milk may lead to a number of gastrointestinal bacterial infections. Gastroenteritis has been attributed to species of </w:t>
      </w:r>
      <w:r>
        <w:rPr>
          <w:i/>
        </w:rPr>
        <w:t>Salmonella </w:t>
      </w:r>
      <w:r>
        <w:rPr/>
        <w:t>especially</w:t>
      </w:r>
      <w:r>
        <w:rPr>
          <w:spacing w:val="19"/>
        </w:rPr>
        <w:t> </w:t>
      </w:r>
      <w:r>
        <w:rPr>
          <w:i/>
        </w:rPr>
        <w:t>Salmonella typhimurium </w:t>
      </w:r>
      <w:r>
        <w:rPr/>
        <w:t>and </w:t>
      </w:r>
      <w:r>
        <w:rPr>
          <w:i/>
        </w:rPr>
        <w:t>Salmonella enteridis </w:t>
      </w:r>
      <w:r>
        <w:rPr/>
        <w:t>and symptoms occur 7-72 hours following</w:t>
      </w:r>
    </w:p>
    <w:p>
      <w:pPr>
        <w:spacing w:after="0" w:line="480" w:lineRule="auto"/>
        <w:jc w:val="both"/>
        <w:sectPr>
          <w:pgSz w:w="12240" w:h="15840"/>
          <w:pgMar w:header="0" w:footer="1017" w:top="1400" w:bottom="1200" w:left="520" w:right="260"/>
        </w:sectPr>
      </w:pPr>
    </w:p>
    <w:p>
      <w:pPr>
        <w:pStyle w:val="BodyText"/>
        <w:spacing w:line="480" w:lineRule="auto" w:before="37"/>
        <w:ind w:left="920" w:right="1179"/>
        <w:jc w:val="both"/>
      </w:pPr>
      <w:r>
        <w:rPr/>
        <w:t>ingestion of contaminated food. Typhoid and paratyphoid fevers are caused by organisms such as </w:t>
      </w:r>
      <w:r>
        <w:rPr>
          <w:i/>
        </w:rPr>
        <w:t>Salmonella typhi </w:t>
      </w:r>
      <w:r>
        <w:rPr/>
        <w:t>and occur less frequently than outbreaks of gastroenteritis (International Dairy Federation, 1994b).</w:t>
      </w:r>
    </w:p>
    <w:p>
      <w:pPr>
        <w:pStyle w:val="BodyText"/>
        <w:spacing w:line="480" w:lineRule="auto" w:before="241"/>
        <w:ind w:left="920" w:right="1172"/>
        <w:jc w:val="both"/>
      </w:pPr>
      <w:r>
        <w:rPr/>
        <w:t>Currently the increasing prevalence of multidrug resistance among </w:t>
      </w:r>
      <w:r>
        <w:rPr>
          <w:i/>
        </w:rPr>
        <w:t>Salmonella </w:t>
      </w:r>
      <w:r>
        <w:rPr/>
        <w:t>and resistance to the clinically important antimicrobial agents such as fluoroquinolones and third-generation of cephalosporins has also been an emerging problem in China and other countries (Brands </w:t>
      </w:r>
      <w:r>
        <w:rPr>
          <w:i/>
        </w:rPr>
        <w:t>et al</w:t>
      </w:r>
      <w:r>
        <w:rPr/>
        <w:t>., 2005; Gebreyes and Thakur, 2005; Chao </w:t>
      </w:r>
      <w:r>
        <w:rPr>
          <w:i/>
        </w:rPr>
        <w:t>et al</w:t>
      </w:r>
      <w:r>
        <w:rPr/>
        <w:t>., 2007). Typhoid fever is a global problem with an estimated 12- 33</w:t>
      </w:r>
      <w:r>
        <w:rPr>
          <w:spacing w:val="-4"/>
        </w:rPr>
        <w:t> </w:t>
      </w:r>
      <w:r>
        <w:rPr/>
        <w:t>million</w:t>
      </w:r>
      <w:r>
        <w:rPr>
          <w:spacing w:val="-4"/>
        </w:rPr>
        <w:t> </w:t>
      </w:r>
      <w:r>
        <w:rPr/>
        <w:t>people</w:t>
      </w:r>
      <w:r>
        <w:rPr>
          <w:spacing w:val="-3"/>
        </w:rPr>
        <w:t> </w:t>
      </w:r>
      <w:r>
        <w:rPr/>
        <w:t>occurring</w:t>
      </w:r>
      <w:r>
        <w:rPr>
          <w:spacing w:val="-1"/>
        </w:rPr>
        <w:t> </w:t>
      </w:r>
      <w:r>
        <w:rPr/>
        <w:t>in</w:t>
      </w:r>
      <w:r>
        <w:rPr>
          <w:spacing w:val="-4"/>
        </w:rPr>
        <w:t> </w:t>
      </w:r>
      <w:r>
        <w:rPr/>
        <w:t>worldwide</w:t>
      </w:r>
      <w:r>
        <w:rPr>
          <w:spacing w:val="-3"/>
        </w:rPr>
        <w:t> </w:t>
      </w:r>
      <w:r>
        <w:rPr/>
        <w:t>(Kohinur</w:t>
      </w:r>
      <w:r>
        <w:rPr>
          <w:spacing w:val="-2"/>
        </w:rPr>
        <w:t> </w:t>
      </w:r>
      <w:r>
        <w:rPr>
          <w:i/>
        </w:rPr>
        <w:t>et</w:t>
      </w:r>
      <w:r>
        <w:rPr>
          <w:i/>
          <w:spacing w:val="-5"/>
        </w:rPr>
        <w:t> </w:t>
      </w:r>
      <w:r>
        <w:rPr>
          <w:i/>
        </w:rPr>
        <w:t>al</w:t>
      </w:r>
      <w:r>
        <w:rPr/>
        <w:t>.,</w:t>
      </w:r>
      <w:r>
        <w:rPr>
          <w:spacing w:val="-5"/>
        </w:rPr>
        <w:t> </w:t>
      </w:r>
      <w:r>
        <w:rPr/>
        <w:t>2010).</w:t>
      </w:r>
      <w:r>
        <w:rPr>
          <w:spacing w:val="-1"/>
        </w:rPr>
        <w:t> </w:t>
      </w:r>
      <w:r>
        <w:rPr/>
        <w:t>Fluoroquinolones</w:t>
      </w:r>
      <w:r>
        <w:rPr>
          <w:spacing w:val="-3"/>
        </w:rPr>
        <w:t> </w:t>
      </w:r>
      <w:r>
        <w:rPr/>
        <w:t>are</w:t>
      </w:r>
      <w:r>
        <w:rPr>
          <w:spacing w:val="-3"/>
        </w:rPr>
        <w:t> </w:t>
      </w:r>
      <w:r>
        <w:rPr/>
        <w:t>the</w:t>
      </w:r>
      <w:r>
        <w:rPr>
          <w:spacing w:val="-3"/>
        </w:rPr>
        <w:t> </w:t>
      </w:r>
      <w:r>
        <w:rPr/>
        <w:t>drugs</w:t>
      </w:r>
      <w:r>
        <w:rPr>
          <w:spacing w:val="-3"/>
        </w:rPr>
        <w:t> </w:t>
      </w:r>
      <w:r>
        <w:rPr/>
        <w:t>of choice for treating human salmonellae infections, while other antimicrobials are not clinically effective and contribute to a prolonged carrier status (Anderson </w:t>
      </w:r>
      <w:r>
        <w:rPr>
          <w:i/>
        </w:rPr>
        <w:t>et al</w:t>
      </w:r>
      <w:r>
        <w:rPr/>
        <w:t>., 2003; Skov </w:t>
      </w:r>
      <w:r>
        <w:rPr>
          <w:i/>
        </w:rPr>
        <w:t>et al</w:t>
      </w:r>
      <w:r>
        <w:rPr/>
        <w:t>., 2007). However, there are increasing</w:t>
      </w:r>
      <w:r>
        <w:rPr>
          <w:spacing w:val="-2"/>
        </w:rPr>
        <w:t> </w:t>
      </w:r>
      <w:r>
        <w:rPr/>
        <w:t>reports</w:t>
      </w:r>
      <w:r>
        <w:rPr>
          <w:spacing w:val="-4"/>
        </w:rPr>
        <w:t> </w:t>
      </w:r>
      <w:r>
        <w:rPr/>
        <w:t>describing</w:t>
      </w:r>
      <w:r>
        <w:rPr>
          <w:spacing w:val="-2"/>
        </w:rPr>
        <w:t> </w:t>
      </w:r>
      <w:r>
        <w:rPr/>
        <w:t>decreasing</w:t>
      </w:r>
      <w:r>
        <w:rPr>
          <w:spacing w:val="-2"/>
        </w:rPr>
        <w:t> </w:t>
      </w:r>
      <w:r>
        <w:rPr/>
        <w:t>susceptibilities</w:t>
      </w:r>
      <w:r>
        <w:rPr>
          <w:spacing w:val="-4"/>
        </w:rPr>
        <w:t> </w:t>
      </w:r>
      <w:r>
        <w:rPr/>
        <w:t>to</w:t>
      </w:r>
      <w:r>
        <w:rPr>
          <w:spacing w:val="-5"/>
        </w:rPr>
        <w:t> </w:t>
      </w:r>
      <w:r>
        <w:rPr/>
        <w:t>antimicrobial</w:t>
      </w:r>
      <w:r>
        <w:rPr>
          <w:spacing w:val="-2"/>
        </w:rPr>
        <w:t> </w:t>
      </w:r>
      <w:r>
        <w:rPr/>
        <w:t>agents</w:t>
      </w:r>
      <w:r>
        <w:rPr>
          <w:spacing w:val="-4"/>
        </w:rPr>
        <w:t> </w:t>
      </w:r>
      <w:r>
        <w:rPr/>
        <w:t>such</w:t>
      </w:r>
      <w:r>
        <w:rPr>
          <w:spacing w:val="-5"/>
        </w:rPr>
        <w:t> </w:t>
      </w:r>
      <w:r>
        <w:rPr/>
        <w:t>as</w:t>
      </w:r>
      <w:r>
        <w:rPr>
          <w:spacing w:val="-4"/>
        </w:rPr>
        <w:t> </w:t>
      </w:r>
      <w:r>
        <w:rPr/>
        <w:t>fluoroquinolones and expanded spectrum cephalosporins,</w:t>
      </w:r>
      <w:r>
        <w:rPr>
          <w:spacing w:val="-2"/>
        </w:rPr>
        <w:t> </w:t>
      </w:r>
      <w:r>
        <w:rPr/>
        <w:t>drugs of choice in cases of life threatening salmonellosis due to multidrug-resistant strains (Threlfall, 2002; White </w:t>
      </w:r>
      <w:r>
        <w:rPr>
          <w:i/>
        </w:rPr>
        <w:t>et al</w:t>
      </w:r>
      <w:r>
        <w:rPr/>
        <w:t>., 2002). A recent study in Spain revealed that ampicillin resistance in </w:t>
      </w:r>
      <w:r>
        <w:rPr>
          <w:i/>
        </w:rPr>
        <w:t>Salmonella </w:t>
      </w:r>
      <w:r>
        <w:rPr/>
        <w:t>species had increased from 8% to 44%, tetracycline resistance from 1% to 42%, chloramphenicol resistance from 1.7% to 26%, and nalidixic acid resistance from 0.1% to</w:t>
      </w:r>
      <w:r>
        <w:rPr>
          <w:spacing w:val="80"/>
        </w:rPr>
        <w:t> </w:t>
      </w:r>
      <w:r>
        <w:rPr/>
        <w:t>11% (White </w:t>
      </w:r>
      <w:r>
        <w:rPr>
          <w:i/>
        </w:rPr>
        <w:t>et al</w:t>
      </w:r>
      <w:r>
        <w:rPr/>
        <w:t>., 2002). In the USA, resistance to tetracycline in </w:t>
      </w:r>
      <w:r>
        <w:rPr>
          <w:i/>
        </w:rPr>
        <w:t>Salmonella </w:t>
      </w:r>
      <w:r>
        <w:rPr/>
        <w:t>species increased from 9% in</w:t>
      </w:r>
      <w:r>
        <w:rPr>
          <w:spacing w:val="-4"/>
        </w:rPr>
        <w:t> </w:t>
      </w:r>
      <w:r>
        <w:rPr/>
        <w:t>1980 to 24%</w:t>
      </w:r>
      <w:r>
        <w:rPr>
          <w:spacing w:val="-2"/>
        </w:rPr>
        <w:t> </w:t>
      </w:r>
      <w:r>
        <w:rPr/>
        <w:t>and ampicillin</w:t>
      </w:r>
      <w:r>
        <w:rPr>
          <w:spacing w:val="-4"/>
        </w:rPr>
        <w:t> </w:t>
      </w:r>
      <w:r>
        <w:rPr/>
        <w:t>resistance</w:t>
      </w:r>
      <w:r>
        <w:rPr>
          <w:spacing w:val="-3"/>
        </w:rPr>
        <w:t> </w:t>
      </w:r>
      <w:r>
        <w:rPr/>
        <w:t>increased</w:t>
      </w:r>
      <w:r>
        <w:rPr>
          <w:spacing w:val="-4"/>
        </w:rPr>
        <w:t> </w:t>
      </w:r>
      <w:r>
        <w:rPr/>
        <w:t>from</w:t>
      </w:r>
      <w:r>
        <w:rPr>
          <w:spacing w:val="-2"/>
        </w:rPr>
        <w:t> </w:t>
      </w:r>
      <w:r>
        <w:rPr/>
        <w:t>10%</w:t>
      </w:r>
      <w:r>
        <w:rPr>
          <w:spacing w:val="-2"/>
        </w:rPr>
        <w:t> </w:t>
      </w:r>
      <w:r>
        <w:rPr/>
        <w:t>to 14%</w:t>
      </w:r>
      <w:r>
        <w:rPr>
          <w:spacing w:val="-2"/>
        </w:rPr>
        <w:t> </w:t>
      </w:r>
      <w:r>
        <w:rPr/>
        <w:t>(White </w:t>
      </w:r>
      <w:r>
        <w:rPr>
          <w:i/>
        </w:rPr>
        <w:t>et</w:t>
      </w:r>
      <w:r>
        <w:rPr>
          <w:i/>
          <w:spacing w:val="-5"/>
        </w:rPr>
        <w:t> </w:t>
      </w:r>
      <w:r>
        <w:rPr>
          <w:i/>
        </w:rPr>
        <w:t>al</w:t>
      </w:r>
      <w:r>
        <w:rPr/>
        <w:t>.,</w:t>
      </w:r>
      <w:r>
        <w:rPr>
          <w:spacing w:val="-5"/>
        </w:rPr>
        <w:t> </w:t>
      </w:r>
      <w:r>
        <w:rPr/>
        <w:t>2002).</w:t>
      </w:r>
      <w:r>
        <w:rPr>
          <w:spacing w:val="-1"/>
        </w:rPr>
        <w:t> </w:t>
      </w:r>
      <w:r>
        <w:rPr/>
        <w:t>A</w:t>
      </w:r>
      <w:r>
        <w:rPr>
          <w:spacing w:val="-1"/>
        </w:rPr>
        <w:t> </w:t>
      </w:r>
      <w:r>
        <w:rPr/>
        <w:t>recent</w:t>
      </w:r>
      <w:r>
        <w:rPr>
          <w:spacing w:val="-5"/>
        </w:rPr>
        <w:t> </w:t>
      </w:r>
      <w:r>
        <w:rPr/>
        <w:t>survey in Portugal revealed that only 25% of the Salmonella isolates obtained were susceptible to all antimicrobials, 39% were resistant to one antimicrobial and 36% were resistant to two or more agents</w:t>
      </w:r>
      <w:r>
        <w:rPr>
          <w:spacing w:val="80"/>
        </w:rPr>
        <w:t> </w:t>
      </w:r>
      <w:r>
        <w:rPr/>
        <w:t>of different groups</w:t>
      </w:r>
      <w:r>
        <w:rPr>
          <w:spacing w:val="-3"/>
        </w:rPr>
        <w:t> </w:t>
      </w:r>
      <w:r>
        <w:rPr/>
        <w:t>(Antunes </w:t>
      </w:r>
      <w:r>
        <w:rPr>
          <w:i/>
        </w:rPr>
        <w:t>et</w:t>
      </w:r>
      <w:r>
        <w:rPr>
          <w:i/>
          <w:spacing w:val="-5"/>
        </w:rPr>
        <w:t> </w:t>
      </w:r>
      <w:r>
        <w:rPr>
          <w:i/>
        </w:rPr>
        <w:t>al</w:t>
      </w:r>
      <w:r>
        <w:rPr/>
        <w:t>.,</w:t>
      </w:r>
      <w:r>
        <w:rPr>
          <w:spacing w:val="-1"/>
        </w:rPr>
        <w:t> </w:t>
      </w:r>
      <w:r>
        <w:rPr/>
        <w:t>2002). In the</w:t>
      </w:r>
      <w:r>
        <w:rPr>
          <w:spacing w:val="-3"/>
        </w:rPr>
        <w:t> </w:t>
      </w:r>
      <w:r>
        <w:rPr/>
        <w:t>Indian</w:t>
      </w:r>
      <w:r>
        <w:rPr>
          <w:spacing w:val="-4"/>
        </w:rPr>
        <w:t> </w:t>
      </w:r>
      <w:r>
        <w:rPr/>
        <w:t>subcontinent and South East Asia,</w:t>
      </w:r>
      <w:r>
        <w:rPr>
          <w:spacing w:val="-1"/>
        </w:rPr>
        <w:t> </w:t>
      </w:r>
      <w:r>
        <w:rPr/>
        <w:t>it is</w:t>
      </w:r>
      <w:r>
        <w:rPr>
          <w:spacing w:val="-3"/>
        </w:rPr>
        <w:t> </w:t>
      </w:r>
      <w:r>
        <w:rPr/>
        <w:t>a norm</w:t>
      </w:r>
      <w:r>
        <w:rPr>
          <w:spacing w:val="-2"/>
        </w:rPr>
        <w:t> </w:t>
      </w:r>
      <w:r>
        <w:rPr/>
        <w:t>for</w:t>
      </w:r>
    </w:p>
    <w:p>
      <w:pPr>
        <w:pStyle w:val="BodyText"/>
        <w:spacing w:line="267" w:lineRule="exact"/>
        <w:ind w:left="920"/>
      </w:pPr>
      <w:r>
        <w:rPr>
          <w:i/>
        </w:rPr>
        <w:t>S.</w:t>
      </w:r>
      <w:r>
        <w:rPr>
          <w:i/>
          <w:spacing w:val="-3"/>
        </w:rPr>
        <w:t> </w:t>
      </w:r>
      <w:r>
        <w:rPr>
          <w:i/>
        </w:rPr>
        <w:t>typhi</w:t>
      </w:r>
      <w:r>
        <w:rPr>
          <w:i/>
          <w:spacing w:val="-2"/>
        </w:rPr>
        <w:t> </w:t>
      </w:r>
      <w:r>
        <w:rPr/>
        <w:t>strains</w:t>
      </w:r>
      <w:r>
        <w:rPr>
          <w:spacing w:val="-4"/>
        </w:rPr>
        <w:t> </w:t>
      </w:r>
      <w:r>
        <w:rPr/>
        <w:t>to</w:t>
      </w:r>
      <w:r>
        <w:rPr>
          <w:spacing w:val="-6"/>
        </w:rPr>
        <w:t> </w:t>
      </w:r>
      <w:r>
        <w:rPr/>
        <w:t>exhibit</w:t>
      </w:r>
      <w:r>
        <w:rPr>
          <w:spacing w:val="-6"/>
        </w:rPr>
        <w:t> </w:t>
      </w:r>
      <w:r>
        <w:rPr/>
        <w:t>multidrug</w:t>
      </w:r>
      <w:r>
        <w:rPr>
          <w:spacing w:val="-2"/>
        </w:rPr>
        <w:t> </w:t>
      </w:r>
      <w:r>
        <w:rPr/>
        <w:t>resistance</w:t>
      </w:r>
      <w:r>
        <w:rPr>
          <w:spacing w:val="-4"/>
        </w:rPr>
        <w:t> </w:t>
      </w:r>
      <w:r>
        <w:rPr/>
        <w:t>(Threlfall,</w:t>
      </w:r>
      <w:r>
        <w:rPr>
          <w:spacing w:val="-6"/>
        </w:rPr>
        <w:t> </w:t>
      </w:r>
      <w:r>
        <w:rPr>
          <w:spacing w:val="-2"/>
        </w:rPr>
        <w:t>2002).</w:t>
      </w:r>
    </w:p>
    <w:p>
      <w:pPr>
        <w:pStyle w:val="BodyText"/>
        <w:spacing w:before="240"/>
      </w:pPr>
    </w:p>
    <w:p>
      <w:pPr>
        <w:pStyle w:val="Heading7"/>
        <w:numPr>
          <w:ilvl w:val="2"/>
          <w:numId w:val="10"/>
        </w:numPr>
        <w:tabs>
          <w:tab w:pos="1415" w:val="left" w:leader="none"/>
        </w:tabs>
        <w:spacing w:line="240" w:lineRule="auto" w:before="1" w:after="0"/>
        <w:ind w:left="1415" w:right="0" w:hanging="495"/>
        <w:jc w:val="left"/>
        <w:rPr>
          <w:i w:val="0"/>
        </w:rPr>
      </w:pPr>
      <w:r>
        <w:rPr/>
        <w:t>Enterobacter</w:t>
      </w:r>
      <w:r>
        <w:rPr>
          <w:spacing w:val="-10"/>
        </w:rPr>
        <w:t> </w:t>
      </w:r>
      <w:r>
        <w:rPr>
          <w:spacing w:val="-2"/>
        </w:rPr>
        <w:t>species</w:t>
      </w:r>
    </w:p>
    <w:p>
      <w:pPr>
        <w:spacing w:after="0" w:line="240" w:lineRule="auto"/>
        <w:jc w:val="left"/>
        <w:sectPr>
          <w:pgSz w:w="12240" w:h="15840"/>
          <w:pgMar w:header="0" w:footer="1017" w:top="1400" w:bottom="1200" w:left="520" w:right="260"/>
        </w:sectPr>
      </w:pPr>
    </w:p>
    <w:p>
      <w:pPr>
        <w:pStyle w:val="BodyText"/>
        <w:spacing w:line="480" w:lineRule="auto" w:before="37"/>
        <w:ind w:left="920" w:right="1171"/>
        <w:jc w:val="both"/>
      </w:pPr>
      <w:r>
        <w:rPr>
          <w:i/>
        </w:rPr>
        <w:t>Enterobacter </w:t>
      </w:r>
      <w:r>
        <w:rPr/>
        <w:t>speciesbelongs to the Family </w:t>
      </w:r>
      <w:r>
        <w:rPr>
          <w:i/>
        </w:rPr>
        <w:t>Enterobacteriaceae </w:t>
      </w:r>
      <w:r>
        <w:rPr/>
        <w:t>that contains a number of species including </w:t>
      </w:r>
      <w:r>
        <w:rPr>
          <w:i/>
        </w:rPr>
        <w:t>E. agglomerans</w:t>
      </w:r>
      <w:r>
        <w:rPr/>
        <w:t>, </w:t>
      </w:r>
      <w:r>
        <w:rPr>
          <w:i/>
        </w:rPr>
        <w:t>E. cloacae</w:t>
      </w:r>
      <w:r>
        <w:rPr/>
        <w:t>, </w:t>
      </w:r>
      <w:r>
        <w:rPr>
          <w:i/>
        </w:rPr>
        <w:t>E. sakazakii</w:t>
      </w:r>
      <w:r>
        <w:rPr/>
        <w:t>, </w:t>
      </w:r>
      <w:r>
        <w:rPr>
          <w:i/>
        </w:rPr>
        <w:t>E. asburiae,E. aerogenes </w:t>
      </w:r>
      <w:r>
        <w:rPr/>
        <w:t>and </w:t>
      </w:r>
      <w:r>
        <w:rPr>
          <w:i/>
        </w:rPr>
        <w:t>E. liquefaciens</w:t>
      </w:r>
      <w:r>
        <w:rPr/>
        <w:t>. The differentiation among these species is based on biochemical reactions, serological and molecular techniques (Hoffmann and Roggenkamp, 2003; Iversen </w:t>
      </w:r>
      <w:r>
        <w:rPr>
          <w:i/>
        </w:rPr>
        <w:t>et al</w:t>
      </w:r>
      <w:r>
        <w:rPr/>
        <w:t>., 2004b). They are frequently isolated from clinical samples and</w:t>
      </w:r>
      <w:r>
        <w:rPr>
          <w:spacing w:val="-1"/>
        </w:rPr>
        <w:t> </w:t>
      </w:r>
      <w:r>
        <w:rPr/>
        <w:t>food</w:t>
      </w:r>
      <w:r>
        <w:rPr>
          <w:spacing w:val="-1"/>
        </w:rPr>
        <w:t> </w:t>
      </w:r>
      <w:r>
        <w:rPr/>
        <w:t>products and</w:t>
      </w:r>
      <w:r>
        <w:rPr>
          <w:spacing w:val="-1"/>
        </w:rPr>
        <w:t> </w:t>
      </w:r>
      <w:r>
        <w:rPr/>
        <w:t>are considered</w:t>
      </w:r>
      <w:r>
        <w:rPr>
          <w:spacing w:val="-6"/>
        </w:rPr>
        <w:t> </w:t>
      </w:r>
      <w:r>
        <w:rPr/>
        <w:t>opportunistic</w:t>
      </w:r>
      <w:r>
        <w:rPr>
          <w:spacing w:val="-3"/>
        </w:rPr>
        <w:t> </w:t>
      </w:r>
      <w:r>
        <w:rPr/>
        <w:t>pathogenthat</w:t>
      </w:r>
      <w:r>
        <w:rPr>
          <w:spacing w:val="-2"/>
        </w:rPr>
        <w:t> </w:t>
      </w:r>
      <w:r>
        <w:rPr/>
        <w:t>have been</w:t>
      </w:r>
      <w:r>
        <w:rPr>
          <w:spacing w:val="-1"/>
        </w:rPr>
        <w:t> </w:t>
      </w:r>
      <w:r>
        <w:rPr/>
        <w:t>implicated in severe forms of necrotizing colitis(Van Acker </w:t>
      </w:r>
      <w:r>
        <w:rPr>
          <w:i/>
        </w:rPr>
        <w:t>et al</w:t>
      </w:r>
      <w:r>
        <w:rPr/>
        <w:t>., 2001) and meningitis (Bar-Oz </w:t>
      </w:r>
      <w:r>
        <w:rPr>
          <w:i/>
        </w:rPr>
        <w:t>et al</w:t>
      </w:r>
      <w:r>
        <w:rPr/>
        <w:t>., 2001) especially in neonates witha mortality rate varying from 40% to 80%. </w:t>
      </w:r>
      <w:r>
        <w:rPr>
          <w:i/>
        </w:rPr>
        <w:t>Enterobacter </w:t>
      </w:r>
      <w:r>
        <w:rPr/>
        <w:t>species have beenreported as frequently isolated from different environmentsincluding soil, milk powder factories, chocolatefactories and households (Kandhai </w:t>
      </w:r>
      <w:r>
        <w:rPr>
          <w:i/>
        </w:rPr>
        <w:t>et al</w:t>
      </w:r>
      <w:r>
        <w:rPr/>
        <w:t>., 2004). Theyhave been also isolated from a wide</w:t>
      </w:r>
      <w:r>
        <w:rPr>
          <w:spacing w:val="40"/>
        </w:rPr>
        <w:t> </w:t>
      </w:r>
      <w:r>
        <w:rPr/>
        <w:t>range of foods including ultra high-temperature treated milk (UHT milk), cheese, meat, vegetables, grains, sorghum seeds, rice seeds, herbs, spices, fermented bread,fermented beverage, tofu, and sour tea (Gassem, 1999, 2002; Leclercq </w:t>
      </w:r>
      <w:r>
        <w:rPr>
          <w:i/>
        </w:rPr>
        <w:t>et al</w:t>
      </w:r>
      <w:r>
        <w:rPr/>
        <w:t>., 2002; Iversen and Forsythe, 2003, 2004a),</w:t>
      </w:r>
    </w:p>
    <w:p>
      <w:pPr>
        <w:pStyle w:val="BodyText"/>
        <w:spacing w:line="480" w:lineRule="auto" w:before="241"/>
        <w:ind w:left="920" w:right="1175"/>
        <w:jc w:val="both"/>
      </w:pPr>
      <w:r>
        <w:rPr>
          <w:i/>
        </w:rPr>
        <w:t>Enterobacter </w:t>
      </w:r>
      <w:r>
        <w:rPr/>
        <w:t>species are responsible for variety of infections (Sinave, 2003). These infections include bacteremia, lower respiratory tract infections, skin and soft tissue infections, urinary tract infections, intra-abdominal infections, septic arthritis, osteomyelitis and ophthalmic infections.</w:t>
      </w:r>
    </w:p>
    <w:p>
      <w:pPr>
        <w:pStyle w:val="BodyText"/>
        <w:spacing w:line="480" w:lineRule="auto" w:before="236"/>
        <w:ind w:left="920" w:right="1171"/>
        <w:jc w:val="both"/>
      </w:pPr>
      <w:r>
        <w:rPr/>
        <w:t>Most of the enterobacter bacteria are innately resistant to older antimicrobial agents such as the beta- lactams and have the ability to rapidly develop resistance to newer agents like the quinolones. Resistant strains</w:t>
      </w:r>
      <w:r>
        <w:rPr>
          <w:spacing w:val="-1"/>
        </w:rPr>
        <w:t> </w:t>
      </w:r>
      <w:r>
        <w:rPr/>
        <w:t>of</w:t>
      </w:r>
      <w:r>
        <w:rPr>
          <w:spacing w:val="-1"/>
        </w:rPr>
        <w:t> </w:t>
      </w:r>
      <w:r>
        <w:rPr/>
        <w:t>Enterobacterto</w:t>
      </w:r>
      <w:r>
        <w:rPr>
          <w:spacing w:val="-3"/>
        </w:rPr>
        <w:t> </w:t>
      </w:r>
      <w:r>
        <w:rPr/>
        <w:t>major</w:t>
      </w:r>
      <w:r>
        <w:rPr>
          <w:spacing w:val="-1"/>
        </w:rPr>
        <w:t> </w:t>
      </w:r>
      <w:r>
        <w:rPr/>
        <w:t>groups</w:t>
      </w:r>
      <w:r>
        <w:rPr>
          <w:spacing w:val="-1"/>
        </w:rPr>
        <w:t> </w:t>
      </w:r>
      <w:r>
        <w:rPr/>
        <w:t>of</w:t>
      </w:r>
      <w:r>
        <w:rPr>
          <w:spacing w:val="-2"/>
        </w:rPr>
        <w:t> </w:t>
      </w:r>
      <w:r>
        <w:rPr/>
        <w:t>antimicrobial agents</w:t>
      </w:r>
      <w:r>
        <w:rPr>
          <w:spacing w:val="-5"/>
        </w:rPr>
        <w:t> </w:t>
      </w:r>
      <w:r>
        <w:rPr/>
        <w:t>vary</w:t>
      </w:r>
      <w:r>
        <w:rPr>
          <w:spacing w:val="-4"/>
        </w:rPr>
        <w:t> </w:t>
      </w:r>
      <w:r>
        <w:rPr/>
        <w:t>widely</w:t>
      </w:r>
      <w:r>
        <w:rPr>
          <w:spacing w:val="-1"/>
        </w:rPr>
        <w:t> </w:t>
      </w:r>
      <w:r>
        <w:rPr/>
        <w:t>among published</w:t>
      </w:r>
      <w:r>
        <w:rPr>
          <w:spacing w:val="-2"/>
        </w:rPr>
        <w:t> </w:t>
      </w:r>
      <w:r>
        <w:rPr/>
        <w:t>reports. For example, aminoglycosides, the percentage of strains resistant to gentamicin ranges from 0 to 51%.</w:t>
      </w:r>
      <w:r>
        <w:rPr>
          <w:spacing w:val="40"/>
        </w:rPr>
        <w:t> </w:t>
      </w:r>
      <w:r>
        <w:rPr/>
        <w:t>For ciprofloxacin, resistance varies from 0 to 36% of strains tested, and for trimethoprim-sufamethoxazole, resistance varies from 0 to 60% of strains (Thomson </w:t>
      </w:r>
      <w:r>
        <w:rPr>
          <w:i/>
        </w:rPr>
        <w:t>et al</w:t>
      </w:r>
      <w:r>
        <w:rPr/>
        <w:t>., 1994; Scriver and Low, 1995). These wide ranges suggest that numerous factors impact the occurrence of antimicrobial resistance among strains</w:t>
      </w:r>
      <w:r>
        <w:rPr>
          <w:spacing w:val="40"/>
        </w:rPr>
        <w:t> </w:t>
      </w:r>
      <w:r>
        <w:rPr/>
        <w:t>of </w:t>
      </w:r>
      <w:r>
        <w:rPr>
          <w:i/>
        </w:rPr>
        <w:t>Enterobacter </w:t>
      </w:r>
      <w:r>
        <w:rPr/>
        <w:t>spp such as increased use of the respective drugs in a given environment (Jones, 1994).</w:t>
      </w:r>
    </w:p>
    <w:p>
      <w:pPr>
        <w:spacing w:after="0" w:line="480" w:lineRule="auto"/>
        <w:jc w:val="both"/>
        <w:sectPr>
          <w:pgSz w:w="12240" w:h="15840"/>
          <w:pgMar w:header="0" w:footer="1017" w:top="1400" w:bottom="1200" w:left="520" w:right="260"/>
        </w:sectPr>
      </w:pPr>
    </w:p>
    <w:p>
      <w:pPr>
        <w:pStyle w:val="Heading7"/>
        <w:numPr>
          <w:ilvl w:val="2"/>
          <w:numId w:val="10"/>
        </w:numPr>
        <w:tabs>
          <w:tab w:pos="1415" w:val="left" w:leader="none"/>
        </w:tabs>
        <w:spacing w:line="240" w:lineRule="auto" w:before="37" w:after="0"/>
        <w:ind w:left="1415" w:right="0" w:hanging="495"/>
        <w:jc w:val="left"/>
        <w:rPr>
          <w:i w:val="0"/>
        </w:rPr>
      </w:pPr>
      <w:bookmarkStart w:name="_TOC_250061" w:id="30"/>
      <w:r>
        <w:rPr/>
        <w:t>Staphylococcus</w:t>
      </w:r>
      <w:r>
        <w:rPr>
          <w:spacing w:val="-9"/>
        </w:rPr>
        <w:t> </w:t>
      </w:r>
      <w:bookmarkEnd w:id="30"/>
      <w:r>
        <w:rPr>
          <w:spacing w:val="-2"/>
        </w:rPr>
        <w:t>aureus</w:t>
      </w:r>
    </w:p>
    <w:p>
      <w:pPr>
        <w:pStyle w:val="BodyText"/>
        <w:spacing w:before="240"/>
        <w:rPr>
          <w:b/>
          <w:i/>
        </w:rPr>
      </w:pPr>
    </w:p>
    <w:p>
      <w:pPr>
        <w:pStyle w:val="BodyText"/>
        <w:spacing w:line="480" w:lineRule="auto"/>
        <w:ind w:left="920" w:right="1173"/>
        <w:jc w:val="both"/>
      </w:pPr>
      <w:r>
        <w:rPr/>
        <w:t>These are Gram-positive, facultatively anaerobic, non-sporeforming cocci. They were described in 1897 (Forsythe, 2000). This pathogen produces a wide range of pathogenicity and virulence factors like staphylokinase, hyaluronidases, coagulases and haemolysins (Forsythe, 2000). Staphylococcal food poisoning has been</w:t>
      </w:r>
      <w:r>
        <w:rPr>
          <w:spacing w:val="-5"/>
        </w:rPr>
        <w:t> </w:t>
      </w:r>
      <w:r>
        <w:rPr/>
        <w:t>reported to</w:t>
      </w:r>
      <w:r>
        <w:rPr>
          <w:spacing w:val="-1"/>
        </w:rPr>
        <w:t> </w:t>
      </w:r>
      <w:r>
        <w:rPr/>
        <w:t>be caused by the ingestion of food containing pre-formed toxins,</w:t>
      </w:r>
      <w:r>
        <w:rPr>
          <w:spacing w:val="-2"/>
        </w:rPr>
        <w:t> </w:t>
      </w:r>
      <w:r>
        <w:rPr/>
        <w:t>named enterotoxins secreted by </w:t>
      </w:r>
      <w:r>
        <w:rPr>
          <w:i/>
        </w:rPr>
        <w:t>S. aureus</w:t>
      </w:r>
      <w:r>
        <w:rPr/>
        <w:t>. It is considered one of the leading food-borne illnesses in human worldwide and is associated with contaminated food of animal origin such as milk and dairy products, meat and meat products (Tsegmed </w:t>
      </w:r>
      <w:r>
        <w:rPr>
          <w:i/>
        </w:rPr>
        <w:t>et al., </w:t>
      </w:r>
      <w:r>
        <w:rPr/>
        <w:t>2007).</w:t>
      </w:r>
    </w:p>
    <w:p>
      <w:pPr>
        <w:pStyle w:val="BodyText"/>
        <w:spacing w:line="480" w:lineRule="auto" w:before="239"/>
        <w:ind w:left="920" w:right="1174"/>
        <w:jc w:val="both"/>
      </w:pPr>
      <w:r>
        <w:rPr/>
        <w:t>The type of food poisoning caused by </w:t>
      </w:r>
      <w:r>
        <w:rPr>
          <w:i/>
        </w:rPr>
        <w:t>S. aureus </w:t>
      </w:r>
      <w:r>
        <w:rPr/>
        <w:t>is characterized by nausea, characteristic projectile vomiting, and abdominal cramps, often with diarrhoea but without fever. The onset of the symptoms is rapid, often appearing 1-6 h after ingestion of the contaminated food depending on individual susceptibility and toxic dose ingested. (Le Loir </w:t>
      </w:r>
      <w:r>
        <w:rPr>
          <w:i/>
        </w:rPr>
        <w:t>et al</w:t>
      </w:r>
      <w:r>
        <w:rPr/>
        <w:t>., 2003).</w:t>
      </w:r>
    </w:p>
    <w:p>
      <w:pPr>
        <w:pStyle w:val="BodyText"/>
        <w:spacing w:line="480" w:lineRule="auto" w:before="242"/>
        <w:ind w:left="920" w:right="1174"/>
        <w:jc w:val="both"/>
      </w:pPr>
      <w:r>
        <w:rPr>
          <w:i/>
        </w:rPr>
        <w:t>Staphylococcus aureus </w:t>
      </w:r>
      <w:r>
        <w:rPr/>
        <w:t>has been a major causative agent of mastitis which is the most economically important diseases for the dairy industry so more effective therapeutic treatment and prophylactic approaches are surely needed (Chiang </w:t>
      </w:r>
      <w:r>
        <w:rPr>
          <w:i/>
        </w:rPr>
        <w:t>et al</w:t>
      </w:r>
      <w:r>
        <w:rPr/>
        <w:t>., 2007; Oviedo-Boyso </w:t>
      </w:r>
      <w:r>
        <w:rPr>
          <w:i/>
        </w:rPr>
        <w:t>etal</w:t>
      </w:r>
      <w:r>
        <w:rPr/>
        <w:t>., 2008). </w:t>
      </w:r>
      <w:r>
        <w:rPr>
          <w:i/>
        </w:rPr>
        <w:t>Staphylococcus aureus</w:t>
      </w:r>
      <w:r>
        <w:rPr>
          <w:i/>
          <w:spacing w:val="80"/>
        </w:rPr>
        <w:t> </w:t>
      </w:r>
      <w:r>
        <w:rPr/>
        <w:t>can gain access to</w:t>
      </w:r>
      <w:r>
        <w:rPr>
          <w:spacing w:val="-1"/>
        </w:rPr>
        <w:t> </w:t>
      </w:r>
      <w:r>
        <w:rPr/>
        <w:t>milk</w:t>
      </w:r>
      <w:r>
        <w:rPr>
          <w:spacing w:val="-4"/>
        </w:rPr>
        <w:t> </w:t>
      </w:r>
      <w:r>
        <w:rPr/>
        <w:t>either by direct</w:t>
      </w:r>
      <w:r>
        <w:rPr>
          <w:spacing w:val="-1"/>
        </w:rPr>
        <w:t> </w:t>
      </w:r>
      <w:r>
        <w:rPr/>
        <w:t>excretion from</w:t>
      </w:r>
      <w:r>
        <w:rPr>
          <w:spacing w:val="-3"/>
        </w:rPr>
        <w:t> </w:t>
      </w:r>
      <w:r>
        <w:rPr/>
        <w:t>udders with clinical and subclinical staphylococcal mastitis or by environmental contamination during the handling and processing of raw milk (Scherrer</w:t>
      </w:r>
      <w:r>
        <w:rPr>
          <w:spacing w:val="-1"/>
        </w:rPr>
        <w:t> </w:t>
      </w:r>
      <w:r>
        <w:rPr>
          <w:i/>
        </w:rPr>
        <w:t>et al</w:t>
      </w:r>
      <w:r>
        <w:rPr/>
        <w:t>., 2004; Jørgensen </w:t>
      </w:r>
      <w:r>
        <w:rPr>
          <w:i/>
        </w:rPr>
        <w:t>et al</w:t>
      </w:r>
      <w:r>
        <w:rPr/>
        <w:t>., 2005). Staphylococcal enterotoxins (SEs) are serologically grouped into five major classical types which are staphylococcal enterotoxin A (SEA), staphylococcal enterotoxin B (SEB), staphylococcal enterotoxin</w:t>
      </w:r>
      <w:r>
        <w:rPr>
          <w:spacing w:val="-2"/>
        </w:rPr>
        <w:t> </w:t>
      </w:r>
      <w:r>
        <w:rPr/>
        <w:t>C (SEC),</w:t>
      </w:r>
      <w:r>
        <w:rPr>
          <w:spacing w:val="-4"/>
        </w:rPr>
        <w:t> </w:t>
      </w:r>
      <w:r>
        <w:rPr/>
        <w:t>staphylococcal enterotoxin</w:t>
      </w:r>
      <w:r>
        <w:rPr>
          <w:spacing w:val="-2"/>
        </w:rPr>
        <w:t> </w:t>
      </w:r>
      <w:r>
        <w:rPr/>
        <w:t>D</w:t>
      </w:r>
      <w:r>
        <w:rPr>
          <w:spacing w:val="-3"/>
        </w:rPr>
        <w:t> </w:t>
      </w:r>
      <w:r>
        <w:rPr/>
        <w:t>(SED) and</w:t>
      </w:r>
      <w:r>
        <w:rPr>
          <w:spacing w:val="-2"/>
        </w:rPr>
        <w:t> </w:t>
      </w:r>
      <w:r>
        <w:rPr/>
        <w:t>staphylococcal enterotoxin</w:t>
      </w:r>
      <w:r>
        <w:rPr>
          <w:spacing w:val="-2"/>
        </w:rPr>
        <w:t> </w:t>
      </w:r>
      <w:r>
        <w:rPr/>
        <w:t>E (SEE) in addition to toxic shock syndrome toxin (TSST-1) which causes toxic shock syndrome in human, SEA and SEB are usually more common in milk and milk products (Chiang </w:t>
      </w:r>
      <w:r>
        <w:rPr>
          <w:i/>
        </w:rPr>
        <w:t>et al., </w:t>
      </w:r>
      <w:r>
        <w:rPr/>
        <w:t>2006).</w:t>
      </w:r>
    </w:p>
    <w:p>
      <w:pPr>
        <w:spacing w:after="0" w:line="480" w:lineRule="auto"/>
        <w:jc w:val="both"/>
        <w:sectPr>
          <w:pgSz w:w="12240" w:h="15840"/>
          <w:pgMar w:header="0" w:footer="1017" w:top="1400" w:bottom="1200" w:left="520" w:right="260"/>
        </w:sectPr>
      </w:pPr>
    </w:p>
    <w:p>
      <w:pPr>
        <w:pStyle w:val="BodyText"/>
        <w:spacing w:line="480" w:lineRule="auto" w:before="37"/>
        <w:ind w:left="920" w:right="1172"/>
        <w:jc w:val="both"/>
      </w:pPr>
      <w:r>
        <w:rPr/>
        <w:t>The resistance to antimicrobial agents among staphylococci is an increasing problem; these strains have been reported to frequently show multiple antimicrobial resistance patterns particularly to methicillin and vancomycin (Enright, 2003;Reinoso </w:t>
      </w:r>
      <w:r>
        <w:rPr>
          <w:i/>
        </w:rPr>
        <w:t>et al</w:t>
      </w:r>
      <w:r>
        <w:rPr/>
        <w:t>., 2006; Normanno, </w:t>
      </w:r>
      <w:r>
        <w:rPr>
          <w:i/>
        </w:rPr>
        <w:t>et al</w:t>
      </w:r>
      <w:r>
        <w:rPr/>
        <w:t>., 2007;Dizbay </w:t>
      </w:r>
      <w:r>
        <w:rPr>
          <w:i/>
        </w:rPr>
        <w:t>et al., </w:t>
      </w:r>
      <w:r>
        <w:rPr/>
        <w:t>2008).The administration of antibiotics to food-producing animals, for therapeutic purposes or as growth promoters, could be a primary selection factor for antimicrobial-resistant bacteria pathogens. Increased attention has been focused on plasmid-encoded resistance to antiseptics and disinfectants in antibiotic resistant staphylococci (Bjorland </w:t>
      </w:r>
      <w:r>
        <w:rPr>
          <w:i/>
        </w:rPr>
        <w:t>et al., </w:t>
      </w:r>
      <w:r>
        <w:rPr/>
        <w:t>2003). Lindsay (2010) recorded that plasmids in </w:t>
      </w:r>
      <w:r>
        <w:rPr>
          <w:i/>
        </w:rPr>
        <w:t>S. aureus </w:t>
      </w:r>
      <w:r>
        <w:rPr/>
        <w:t>are predominantly of two</w:t>
      </w:r>
      <w:r>
        <w:rPr>
          <w:spacing w:val="-1"/>
        </w:rPr>
        <w:t> </w:t>
      </w:r>
      <w:r>
        <w:rPr/>
        <w:t>types,</w:t>
      </w:r>
      <w:r>
        <w:rPr>
          <w:spacing w:val="-2"/>
        </w:rPr>
        <w:t> </w:t>
      </w:r>
      <w:r>
        <w:rPr/>
        <w:t>small rolling circle plasmids often encode only one or two</w:t>
      </w:r>
      <w:r>
        <w:rPr>
          <w:spacing w:val="-1"/>
        </w:rPr>
        <w:t> </w:t>
      </w:r>
      <w:r>
        <w:rPr/>
        <w:t>resistance genes, such as pT181 (Khan, 2005). The larger plasmids replicate by the theta mechanism and can carry a combination of resistance genes including penicillinase, heavy metals, detergents, trimethoprim and aminoglycosides, some of which are due to integrated</w:t>
      </w:r>
      <w:r>
        <w:rPr>
          <w:spacing w:val="-1"/>
        </w:rPr>
        <w:t> </w:t>
      </w:r>
      <w:r>
        <w:rPr/>
        <w:t>small plasmids or transposons (Berg </w:t>
      </w:r>
      <w:r>
        <w:rPr>
          <w:i/>
        </w:rPr>
        <w:t>et</w:t>
      </w:r>
      <w:r>
        <w:rPr>
          <w:i/>
          <w:spacing w:val="-2"/>
        </w:rPr>
        <w:t> </w:t>
      </w:r>
      <w:r>
        <w:rPr>
          <w:i/>
        </w:rPr>
        <w:t>al., </w:t>
      </w:r>
      <w:r>
        <w:rPr/>
        <w:t>1998). Some larger plasmids also encode the </w:t>
      </w:r>
      <w:r>
        <w:rPr>
          <w:i/>
        </w:rPr>
        <w:t>tra </w:t>
      </w:r>
      <w:r>
        <w:rPr/>
        <w:t>genes for conjugative transfer and many strains of </w:t>
      </w:r>
      <w:r>
        <w:rPr>
          <w:i/>
        </w:rPr>
        <w:t>S. aureus </w:t>
      </w:r>
      <w:r>
        <w:rPr/>
        <w:t>carry one or more plasmids (Lindsay,</w:t>
      </w:r>
      <w:r>
        <w:rPr>
          <w:spacing w:val="-2"/>
        </w:rPr>
        <w:t> </w:t>
      </w:r>
      <w:r>
        <w:rPr/>
        <w:t>2010). </w:t>
      </w:r>
      <w:r>
        <w:rPr>
          <w:i/>
        </w:rPr>
        <w:t>Staphylococcus</w:t>
      </w:r>
      <w:r>
        <w:rPr>
          <w:i/>
          <w:spacing w:val="-4"/>
        </w:rPr>
        <w:t> </w:t>
      </w:r>
      <w:r>
        <w:rPr>
          <w:i/>
        </w:rPr>
        <w:t>aureus</w:t>
      </w:r>
      <w:r>
        <w:rPr>
          <w:i/>
          <w:spacing w:val="-3"/>
        </w:rPr>
        <w:t> </w:t>
      </w:r>
      <w:r>
        <w:rPr/>
        <w:t>is one of the</w:t>
      </w:r>
      <w:r>
        <w:rPr>
          <w:spacing w:val="-4"/>
        </w:rPr>
        <w:t> </w:t>
      </w:r>
      <w:r>
        <w:rPr/>
        <w:t>most</w:t>
      </w:r>
      <w:r>
        <w:rPr>
          <w:spacing w:val="-1"/>
        </w:rPr>
        <w:t> </w:t>
      </w:r>
      <w:r>
        <w:rPr/>
        <w:t>common agents</w:t>
      </w:r>
      <w:r>
        <w:rPr>
          <w:spacing w:val="-4"/>
        </w:rPr>
        <w:t> </w:t>
      </w:r>
      <w:r>
        <w:rPr/>
        <w:t>in bacterial food poisoning outbreaks. Its strains produce a spectrum of protein toxins and virulence</w:t>
      </w:r>
      <w:r>
        <w:rPr>
          <w:spacing w:val="40"/>
        </w:rPr>
        <w:t> </w:t>
      </w:r>
      <w:r>
        <w:rPr/>
        <w:t>factors thought to contribute to the pathogenicity of this organism (Adwan </w:t>
      </w:r>
      <w:r>
        <w:rPr>
          <w:i/>
        </w:rPr>
        <w:t>et al.</w:t>
      </w:r>
      <w:r>
        <w:rPr/>
        <w:t>, 2005).</w:t>
      </w:r>
    </w:p>
    <w:p>
      <w:pPr>
        <w:pStyle w:val="Heading7"/>
        <w:numPr>
          <w:ilvl w:val="2"/>
          <w:numId w:val="10"/>
        </w:numPr>
        <w:tabs>
          <w:tab w:pos="1415" w:val="left" w:leader="none"/>
        </w:tabs>
        <w:spacing w:line="240" w:lineRule="auto" w:before="237" w:after="0"/>
        <w:ind w:left="1415" w:right="0" w:hanging="495"/>
        <w:jc w:val="both"/>
        <w:rPr>
          <w:i w:val="0"/>
        </w:rPr>
      </w:pPr>
      <w:r>
        <w:rPr/>
        <w:t>Pseudomonas</w:t>
      </w:r>
      <w:r>
        <w:rPr>
          <w:spacing w:val="-9"/>
        </w:rPr>
        <w:t> </w:t>
      </w:r>
      <w:r>
        <w:rPr>
          <w:spacing w:val="-2"/>
        </w:rPr>
        <w:t>species</w:t>
      </w:r>
    </w:p>
    <w:p>
      <w:pPr>
        <w:pStyle w:val="BodyText"/>
        <w:spacing w:before="241"/>
        <w:rPr>
          <w:b/>
          <w:i/>
        </w:rPr>
      </w:pPr>
    </w:p>
    <w:p>
      <w:pPr>
        <w:pStyle w:val="BodyText"/>
        <w:spacing w:line="480" w:lineRule="auto"/>
        <w:ind w:left="920" w:right="1175"/>
        <w:jc w:val="both"/>
      </w:pPr>
      <w:r>
        <w:rPr/>
        <w:t>Pschrotrophic bacteria have been recognised as a recurring problem in refrigerated storage and distribution of perishable food products. The predominant bacteria limiting the shelf life of processed fluid milk has been reported to be </w:t>
      </w:r>
      <w:r>
        <w:rPr>
          <w:i/>
        </w:rPr>
        <w:t>Pseudomonas </w:t>
      </w:r>
      <w:r>
        <w:rPr/>
        <w:t>species (Dogan and Boor, 2003; Gunasekera </w:t>
      </w:r>
      <w:r>
        <w:rPr>
          <w:i/>
        </w:rPr>
        <w:t>et al</w:t>
      </w:r>
      <w:r>
        <w:rPr/>
        <w:t>., 2003). </w:t>
      </w:r>
      <w:r>
        <w:rPr>
          <w:i/>
        </w:rPr>
        <w:t>Pseudomonas </w:t>
      </w:r>
      <w:r>
        <w:rPr/>
        <w:t>species have been implicated in the spoilage of processed milk (Rajmohan </w:t>
      </w:r>
      <w:r>
        <w:rPr>
          <w:i/>
        </w:rPr>
        <w:t>et al</w:t>
      </w:r>
      <w:r>
        <w:rPr/>
        <w:t>., 2002). These species are able to grow to high numbers during refrigerated storage, and also produce heat-stable extracellular lipases, proteases, and lecithinases which can further contribute to milk spoilage</w:t>
      </w:r>
      <w:r>
        <w:rPr>
          <w:spacing w:val="59"/>
        </w:rPr>
        <w:t> </w:t>
      </w:r>
      <w:r>
        <w:rPr/>
        <w:t>(Ternström</w:t>
      </w:r>
      <w:r>
        <w:rPr>
          <w:spacing w:val="60"/>
        </w:rPr>
        <w:t> </w:t>
      </w:r>
      <w:r>
        <w:rPr>
          <w:i/>
        </w:rPr>
        <w:t>et</w:t>
      </w:r>
      <w:r>
        <w:rPr>
          <w:i/>
          <w:spacing w:val="56"/>
        </w:rPr>
        <w:t> </w:t>
      </w:r>
      <w:r>
        <w:rPr>
          <w:i/>
        </w:rPr>
        <w:t>al</w:t>
      </w:r>
      <w:r>
        <w:rPr/>
        <w:t>.,</w:t>
      </w:r>
      <w:r>
        <w:rPr>
          <w:spacing w:val="56"/>
        </w:rPr>
        <w:t> </w:t>
      </w:r>
      <w:r>
        <w:rPr/>
        <w:t>1993).</w:t>
      </w:r>
      <w:r>
        <w:rPr>
          <w:spacing w:val="60"/>
        </w:rPr>
        <w:t> </w:t>
      </w:r>
      <w:r>
        <w:rPr/>
        <w:t>Many</w:t>
      </w:r>
      <w:r>
        <w:rPr>
          <w:spacing w:val="59"/>
        </w:rPr>
        <w:t> </w:t>
      </w:r>
      <w:r>
        <w:rPr/>
        <w:t>of</w:t>
      </w:r>
      <w:r>
        <w:rPr>
          <w:spacing w:val="58"/>
        </w:rPr>
        <w:t> </w:t>
      </w:r>
      <w:r>
        <w:rPr/>
        <w:t>these</w:t>
      </w:r>
      <w:r>
        <w:rPr>
          <w:spacing w:val="59"/>
        </w:rPr>
        <w:t> </w:t>
      </w:r>
      <w:r>
        <w:rPr/>
        <w:t>enzymes</w:t>
      </w:r>
      <w:r>
        <w:rPr>
          <w:spacing w:val="58"/>
        </w:rPr>
        <w:t> </w:t>
      </w:r>
      <w:r>
        <w:rPr/>
        <w:t>remain</w:t>
      </w:r>
      <w:r>
        <w:rPr>
          <w:spacing w:val="58"/>
        </w:rPr>
        <w:t> </w:t>
      </w:r>
      <w:r>
        <w:rPr/>
        <w:t>active,</w:t>
      </w:r>
      <w:r>
        <w:rPr>
          <w:spacing w:val="56"/>
        </w:rPr>
        <w:t> </w:t>
      </w:r>
      <w:r>
        <w:rPr/>
        <w:t>even</w:t>
      </w:r>
      <w:r>
        <w:rPr>
          <w:spacing w:val="58"/>
        </w:rPr>
        <w:t> </w:t>
      </w:r>
      <w:r>
        <w:rPr/>
        <w:t>following</w:t>
      </w:r>
      <w:r>
        <w:rPr>
          <w:spacing w:val="60"/>
        </w:rPr>
        <w:t> </w:t>
      </w:r>
      <w:r>
        <w:rPr/>
        <w:t>thermal</w:t>
      </w:r>
    </w:p>
    <w:p>
      <w:pPr>
        <w:spacing w:after="0" w:line="480" w:lineRule="auto"/>
        <w:jc w:val="both"/>
        <w:sectPr>
          <w:pgSz w:w="12240" w:h="15840"/>
          <w:pgMar w:header="0" w:footer="1017" w:top="1400" w:bottom="1200" w:left="520" w:right="260"/>
        </w:sectPr>
      </w:pPr>
    </w:p>
    <w:p>
      <w:pPr>
        <w:pStyle w:val="BodyText"/>
        <w:spacing w:line="480" w:lineRule="auto" w:before="37"/>
        <w:ind w:left="920" w:right="1181"/>
        <w:jc w:val="both"/>
      </w:pPr>
      <w:r>
        <w:rPr/>
        <w:t>processing. Even though they are easily inactivated through pasteurization or UHT-treatment, their heat resistant enzymes persist upon processing of the milk (Chen </w:t>
      </w:r>
      <w:r>
        <w:rPr>
          <w:i/>
        </w:rPr>
        <w:t>et al</w:t>
      </w:r>
      <w:r>
        <w:rPr/>
        <w:t>., 2003).</w:t>
      </w:r>
    </w:p>
    <w:p>
      <w:pPr>
        <w:pStyle w:val="BodyText"/>
        <w:spacing w:line="480" w:lineRule="auto" w:before="241"/>
        <w:ind w:left="920" w:right="1173"/>
        <w:jc w:val="both"/>
      </w:pPr>
      <w:r>
        <w:rPr/>
        <w:t>Degradation of milk components through various enzymatic activities can reduce the shelf life of processed milk. Lipases degrade the milk fat causing rancid, soapy and occasional bitter off-flavours through the formation of medium chain fatty acids. Proteases that degrade casein cause a grey colour, bitter off-flavours and gelation of UHT products (Datta and Deeth, 2001).</w:t>
      </w:r>
    </w:p>
    <w:p>
      <w:pPr>
        <w:pStyle w:val="BodyText"/>
        <w:spacing w:line="480" w:lineRule="auto" w:before="237"/>
        <w:ind w:left="920" w:right="1178"/>
        <w:jc w:val="both"/>
      </w:pPr>
      <w:r>
        <w:rPr>
          <w:i/>
        </w:rPr>
        <w:t>Pseudomonas</w:t>
      </w:r>
      <w:r>
        <w:rPr>
          <w:i/>
          <w:spacing w:val="-4"/>
        </w:rPr>
        <w:t> </w:t>
      </w:r>
      <w:r>
        <w:rPr/>
        <w:t>species has been</w:t>
      </w:r>
      <w:r>
        <w:rPr>
          <w:spacing w:val="-1"/>
        </w:rPr>
        <w:t> </w:t>
      </w:r>
      <w:r>
        <w:rPr/>
        <w:t>recognized</w:t>
      </w:r>
      <w:r>
        <w:rPr>
          <w:spacing w:val="-1"/>
        </w:rPr>
        <w:t> </w:t>
      </w:r>
      <w:r>
        <w:rPr/>
        <w:t>as</w:t>
      </w:r>
      <w:r>
        <w:rPr>
          <w:spacing w:val="-5"/>
        </w:rPr>
        <w:t> </w:t>
      </w:r>
      <w:r>
        <w:rPr/>
        <w:t>a</w:t>
      </w:r>
      <w:r>
        <w:rPr>
          <w:spacing w:val="-1"/>
        </w:rPr>
        <w:t> </w:t>
      </w:r>
      <w:r>
        <w:rPr/>
        <w:t>potential opportunistic</w:t>
      </w:r>
      <w:r>
        <w:rPr>
          <w:spacing w:val="-3"/>
        </w:rPr>
        <w:t> </w:t>
      </w:r>
      <w:r>
        <w:rPr/>
        <w:t>human</w:t>
      </w:r>
      <w:r>
        <w:rPr>
          <w:spacing w:val="-6"/>
        </w:rPr>
        <w:t> </w:t>
      </w:r>
      <w:r>
        <w:rPr/>
        <w:t>pathogen</w:t>
      </w:r>
      <w:r>
        <w:rPr>
          <w:spacing w:val="-1"/>
        </w:rPr>
        <w:t> </w:t>
      </w:r>
      <w:r>
        <w:rPr/>
        <w:t>and</w:t>
      </w:r>
      <w:r>
        <w:rPr>
          <w:spacing w:val="-1"/>
        </w:rPr>
        <w:t> </w:t>
      </w:r>
      <w:r>
        <w:rPr/>
        <w:t>constitutes potential hazards to both human and animal health. It has been implicated in many types of infections and food poisoning outbreaks (Jay, 2000)</w:t>
      </w:r>
    </w:p>
    <w:p>
      <w:pPr>
        <w:pStyle w:val="BodyText"/>
        <w:spacing w:line="480" w:lineRule="auto" w:before="241"/>
        <w:ind w:left="920" w:right="1173"/>
        <w:jc w:val="both"/>
      </w:pPr>
      <w:r>
        <w:rPr>
          <w:i/>
        </w:rPr>
        <w:t>Pseudomonas </w:t>
      </w:r>
      <w:r>
        <w:rPr/>
        <w:t>species has been found to be resistant to aminoglycosides and quinolones (Alatossava</w:t>
      </w:r>
      <w:r>
        <w:rPr>
          <w:spacing w:val="80"/>
        </w:rPr>
        <w:t> </w:t>
      </w:r>
      <w:r>
        <w:rPr/>
        <w:t>and Alatossava, 2007).Its general resistance is due to a combination of factors such as low permeability of its cell wall, genetic capacity to express a wide repertoire of resistance mechanisms. It can become resistant through mutation in chromosomal genes which regulate resistance genes as well as acquire additional resistance genes from other organisms via plasmids, transposons and bacteriophages (Pitt</w:t>
      </w:r>
      <w:r>
        <w:rPr>
          <w:spacing w:val="40"/>
        </w:rPr>
        <w:t> </w:t>
      </w:r>
      <w:r>
        <w:rPr/>
        <w:t>and Sparrow, 2001). The possession of efflux pump systems capable of conferring resistance to a wide range of unrelated classes of antimicrobial agents has also been demonstrated in </w:t>
      </w:r>
      <w:r>
        <w:rPr>
          <w:i/>
        </w:rPr>
        <w:t>Pseudomonas </w:t>
      </w:r>
      <w:r>
        <w:rPr/>
        <w:t>species (Lomovskaya </w:t>
      </w:r>
      <w:r>
        <w:rPr>
          <w:i/>
        </w:rPr>
        <w:t>et al</w:t>
      </w:r>
      <w:r>
        <w:rPr/>
        <w:t>., 2001).</w:t>
      </w:r>
    </w:p>
    <w:p>
      <w:pPr>
        <w:pStyle w:val="Heading7"/>
        <w:numPr>
          <w:ilvl w:val="2"/>
          <w:numId w:val="10"/>
        </w:numPr>
        <w:tabs>
          <w:tab w:pos="1415" w:val="left" w:leader="none"/>
        </w:tabs>
        <w:spacing w:line="240" w:lineRule="auto" w:before="239" w:after="0"/>
        <w:ind w:left="1415" w:right="0" w:hanging="495"/>
        <w:jc w:val="both"/>
        <w:rPr>
          <w:i w:val="0"/>
        </w:rPr>
      </w:pPr>
      <w:r>
        <w:rPr/>
        <w:t>Yersinia</w:t>
      </w:r>
      <w:r>
        <w:rPr>
          <w:spacing w:val="-9"/>
        </w:rPr>
        <w:t> </w:t>
      </w:r>
      <w:r>
        <w:rPr>
          <w:spacing w:val="-2"/>
        </w:rPr>
        <w:t>species</w:t>
      </w:r>
    </w:p>
    <w:p>
      <w:pPr>
        <w:pStyle w:val="BodyText"/>
        <w:spacing w:before="241"/>
        <w:rPr>
          <w:b/>
          <w:i/>
        </w:rPr>
      </w:pPr>
    </w:p>
    <w:p>
      <w:pPr>
        <w:pStyle w:val="BodyText"/>
        <w:spacing w:line="480" w:lineRule="auto"/>
        <w:ind w:left="920" w:right="1172"/>
        <w:jc w:val="both"/>
      </w:pPr>
      <w:r>
        <w:rPr>
          <w:i/>
        </w:rPr>
        <w:t>Yersinia </w:t>
      </w:r>
      <w:r>
        <w:rPr/>
        <w:t>speciesare Gram negative, facultative anaerobic rod bacteria. The natural reservoir of infection has been reported to</w:t>
      </w:r>
      <w:r>
        <w:rPr>
          <w:spacing w:val="-1"/>
        </w:rPr>
        <w:t> </w:t>
      </w:r>
      <w:r>
        <w:rPr/>
        <w:t>be the</w:t>
      </w:r>
      <w:r>
        <w:rPr>
          <w:spacing w:val="-4"/>
        </w:rPr>
        <w:t> </w:t>
      </w:r>
      <w:r>
        <w:rPr/>
        <w:t>intestinal tract</w:t>
      </w:r>
      <w:r>
        <w:rPr>
          <w:spacing w:val="-1"/>
        </w:rPr>
        <w:t> </w:t>
      </w:r>
      <w:r>
        <w:rPr/>
        <w:t>of wild and domestic</w:t>
      </w:r>
      <w:r>
        <w:rPr>
          <w:spacing w:val="-2"/>
        </w:rPr>
        <w:t> </w:t>
      </w:r>
      <w:r>
        <w:rPr/>
        <w:t>animals</w:t>
      </w:r>
      <w:r>
        <w:rPr>
          <w:spacing w:val="-4"/>
        </w:rPr>
        <w:t> </w:t>
      </w:r>
      <w:r>
        <w:rPr/>
        <w:t>(Quinn </w:t>
      </w:r>
      <w:r>
        <w:rPr>
          <w:i/>
        </w:rPr>
        <w:t>et</w:t>
      </w:r>
      <w:r>
        <w:rPr>
          <w:i/>
          <w:spacing w:val="-6"/>
        </w:rPr>
        <w:t> </w:t>
      </w:r>
      <w:r>
        <w:rPr>
          <w:i/>
        </w:rPr>
        <w:t>al</w:t>
      </w:r>
      <w:r>
        <w:rPr/>
        <w:t>.,</w:t>
      </w:r>
      <w:r>
        <w:rPr>
          <w:spacing w:val="-2"/>
        </w:rPr>
        <w:t> </w:t>
      </w:r>
      <w:r>
        <w:rPr/>
        <w:t>1999b). Although contaminated milk has been said to be a source of human infection due to </w:t>
      </w:r>
      <w:r>
        <w:rPr>
          <w:i/>
        </w:rPr>
        <w:t>Y. enterocolitica</w:t>
      </w:r>
      <w:r>
        <w:rPr/>
        <w:t>, animal reservoir</w:t>
      </w:r>
      <w:r>
        <w:rPr>
          <w:spacing w:val="30"/>
        </w:rPr>
        <w:t> </w:t>
      </w:r>
      <w:r>
        <w:rPr/>
        <w:t>and</w:t>
      </w:r>
      <w:r>
        <w:rPr>
          <w:spacing w:val="32"/>
        </w:rPr>
        <w:t> </w:t>
      </w:r>
      <w:r>
        <w:rPr/>
        <w:t>contaminated</w:t>
      </w:r>
      <w:r>
        <w:rPr>
          <w:spacing w:val="32"/>
        </w:rPr>
        <w:t> </w:t>
      </w:r>
      <w:r>
        <w:rPr/>
        <w:t>environment</w:t>
      </w:r>
      <w:r>
        <w:rPr>
          <w:spacing w:val="31"/>
        </w:rPr>
        <w:t> </w:t>
      </w:r>
      <w:r>
        <w:rPr/>
        <w:t>are</w:t>
      </w:r>
      <w:r>
        <w:rPr>
          <w:spacing w:val="33"/>
        </w:rPr>
        <w:t> </w:t>
      </w:r>
      <w:r>
        <w:rPr/>
        <w:t>also</w:t>
      </w:r>
      <w:r>
        <w:rPr>
          <w:spacing w:val="31"/>
        </w:rPr>
        <w:t> </w:t>
      </w:r>
      <w:r>
        <w:rPr/>
        <w:t>considered</w:t>
      </w:r>
      <w:r>
        <w:rPr>
          <w:spacing w:val="31"/>
        </w:rPr>
        <w:t> </w:t>
      </w:r>
      <w:r>
        <w:rPr/>
        <w:t>as</w:t>
      </w:r>
      <w:r>
        <w:rPr>
          <w:spacing w:val="33"/>
        </w:rPr>
        <w:t> </w:t>
      </w:r>
      <w:r>
        <w:rPr/>
        <w:t>other</w:t>
      </w:r>
      <w:r>
        <w:rPr>
          <w:spacing w:val="33"/>
        </w:rPr>
        <w:t> </w:t>
      </w:r>
      <w:r>
        <w:rPr/>
        <w:t>possible</w:t>
      </w:r>
      <w:r>
        <w:rPr>
          <w:spacing w:val="33"/>
        </w:rPr>
        <w:t> </w:t>
      </w:r>
      <w:r>
        <w:rPr/>
        <w:t>infection</w:t>
      </w:r>
      <w:r>
        <w:rPr>
          <w:spacing w:val="32"/>
        </w:rPr>
        <w:t> </w:t>
      </w:r>
      <w:r>
        <w:rPr/>
        <w:t>sources</w:t>
      </w:r>
      <w:r>
        <w:rPr>
          <w:spacing w:val="33"/>
        </w:rPr>
        <w:t> </w:t>
      </w:r>
      <w:r>
        <w:rPr>
          <w:spacing w:val="-5"/>
        </w:rPr>
        <w:t>for</w:t>
      </w:r>
    </w:p>
    <w:p>
      <w:pPr>
        <w:spacing w:after="0" w:line="480" w:lineRule="auto"/>
        <w:jc w:val="both"/>
        <w:sectPr>
          <w:pgSz w:w="12240" w:h="15840"/>
          <w:pgMar w:header="0" w:footer="1017" w:top="1400" w:bottom="1200" w:left="520" w:right="260"/>
        </w:sectPr>
      </w:pPr>
    </w:p>
    <w:p>
      <w:pPr>
        <w:pStyle w:val="BodyText"/>
        <w:spacing w:line="480" w:lineRule="auto" w:before="37"/>
        <w:ind w:left="920" w:right="1173"/>
        <w:jc w:val="both"/>
      </w:pPr>
      <w:r>
        <w:rPr/>
        <w:t>human (Schlundt, 2002). </w:t>
      </w:r>
      <w:r>
        <w:rPr>
          <w:i/>
        </w:rPr>
        <w:t>Yersinia enterocolitica </w:t>
      </w:r>
      <w:r>
        <w:rPr/>
        <w:t>and </w:t>
      </w:r>
      <w:r>
        <w:rPr>
          <w:i/>
        </w:rPr>
        <w:t>Y. pseudotuberculosis </w:t>
      </w:r>
      <w:r>
        <w:rPr/>
        <w:t>may contaminate raw milk</w:t>
      </w:r>
      <w:r>
        <w:rPr>
          <w:spacing w:val="40"/>
        </w:rPr>
        <w:t> </w:t>
      </w:r>
      <w:r>
        <w:rPr/>
        <w:t>and even pasteurized milk products thereby posing a public health risk</w:t>
      </w:r>
      <w:r>
        <w:rPr>
          <w:i/>
        </w:rPr>
        <w:t>.Yersinia enterocolitica </w:t>
      </w:r>
      <w:r>
        <w:rPr/>
        <w:t>has been isolated from raw milk in many countries, like Australia, Canada, Czechoslovakia, and USA. There were also a few reports on the isolation of this pathogenic strain associated with human disease from pasteurized milk (Ackers </w:t>
      </w:r>
      <w:r>
        <w:rPr>
          <w:i/>
        </w:rPr>
        <w:t>et al</w:t>
      </w:r>
      <w:r>
        <w:rPr/>
        <w:t>., 2000). This has been reported to be due to the malfunction in the pasteurization process leading to inadequate treatment or postprocess contamination, or it may be due to the contamination with heat-resistant strains of </w:t>
      </w:r>
      <w:r>
        <w:rPr>
          <w:i/>
        </w:rPr>
        <w:t>Y. enterocolitica </w:t>
      </w:r>
      <w:r>
        <w:rPr/>
        <w:t>(Bottone, 1999).</w:t>
      </w:r>
    </w:p>
    <w:p>
      <w:pPr>
        <w:pStyle w:val="BodyText"/>
        <w:spacing w:line="480" w:lineRule="auto" w:before="238"/>
        <w:ind w:left="920" w:right="1171"/>
        <w:jc w:val="both"/>
      </w:pPr>
      <w:r>
        <w:rPr>
          <w:i/>
        </w:rPr>
        <w:t>Yersinia enterocolitica </w:t>
      </w:r>
      <w:r>
        <w:rPr/>
        <w:t>has been reported to produce a heat-stable enterotoxin that has been associated with food-poisoning strains in humans and mesenteric lymphadenitis (“pseudo-appendicitis”); while </w:t>
      </w:r>
      <w:r>
        <w:rPr>
          <w:i/>
        </w:rPr>
        <w:t>Y. pseudotuberculosis</w:t>
      </w:r>
      <w:r>
        <w:rPr>
          <w:i/>
          <w:spacing w:val="-3"/>
        </w:rPr>
        <w:t> </w:t>
      </w:r>
      <w:r>
        <w:rPr/>
        <w:t>was reported to cause</w:t>
      </w:r>
      <w:r>
        <w:rPr>
          <w:spacing w:val="-4"/>
        </w:rPr>
        <w:t> </w:t>
      </w:r>
      <w:r>
        <w:rPr/>
        <w:t>mesenteric</w:t>
      </w:r>
      <w:r>
        <w:rPr>
          <w:spacing w:val="-6"/>
        </w:rPr>
        <w:t> </w:t>
      </w:r>
      <w:r>
        <w:rPr/>
        <w:t>lymphadenitis,</w:t>
      </w:r>
      <w:r>
        <w:rPr>
          <w:spacing w:val="-6"/>
        </w:rPr>
        <w:t> </w:t>
      </w:r>
      <w:r>
        <w:rPr/>
        <w:t>in addition to</w:t>
      </w:r>
      <w:r>
        <w:rPr>
          <w:spacing w:val="-5"/>
        </w:rPr>
        <w:t> </w:t>
      </w:r>
      <w:r>
        <w:rPr/>
        <w:t>ilitis and septicaemia (Greenwood and Hooper, 1990). Clinical diseases in humans from both species of </w:t>
      </w:r>
      <w:r>
        <w:rPr>
          <w:i/>
        </w:rPr>
        <w:t>Yersinia </w:t>
      </w:r>
      <w:r>
        <w:rPr/>
        <w:t>are mainly observed in children and young adults. In New Zealand, 487 cases of yersiniosis were notified in 2006 (Ackers </w:t>
      </w:r>
      <w:r>
        <w:rPr>
          <w:i/>
        </w:rPr>
        <w:t>et al., </w:t>
      </w:r>
      <w:r>
        <w:rPr/>
        <w:t>2000). Surveys of Bulk Tank Milk in US states found 1.2% (Jayarao and Wolfgang, 2003)</w:t>
      </w:r>
      <w:r>
        <w:rPr>
          <w:spacing w:val="40"/>
        </w:rPr>
        <w:t> </w:t>
      </w:r>
      <w:r>
        <w:rPr/>
        <w:t>and 6.1% (Jayarao and Henning, 2001) of samples positive for </w:t>
      </w:r>
      <w:r>
        <w:rPr>
          <w:i/>
        </w:rPr>
        <w:t>Y. enterocolitica. </w:t>
      </w:r>
      <w:r>
        <w:rPr/>
        <w:t>Irish and French studies reported prevalence’s of contamination of 39% and 36%, respectively (Rea </w:t>
      </w:r>
      <w:r>
        <w:rPr>
          <w:i/>
        </w:rPr>
        <w:t>et al., </w:t>
      </w:r>
      <w:r>
        <w:rPr/>
        <w:t>1992; Desmasures </w:t>
      </w:r>
      <w:r>
        <w:rPr>
          <w:i/>
        </w:rPr>
        <w:t>et al.</w:t>
      </w:r>
      <w:r>
        <w:rPr/>
        <w:t>,</w:t>
      </w:r>
      <w:r>
        <w:rPr>
          <w:spacing w:val="-2"/>
        </w:rPr>
        <w:t> </w:t>
      </w:r>
      <w:r>
        <w:rPr/>
        <w:t>1997). Rare cases of mastitis have been associated with </w:t>
      </w:r>
      <w:r>
        <w:rPr>
          <w:i/>
        </w:rPr>
        <w:t>Y. pseudotuberculosis </w:t>
      </w:r>
      <w:r>
        <w:rPr/>
        <w:t>in</w:t>
      </w:r>
      <w:r>
        <w:rPr>
          <w:spacing w:val="-5"/>
        </w:rPr>
        <w:t> </w:t>
      </w:r>
      <w:r>
        <w:rPr/>
        <w:t>Israel </w:t>
      </w:r>
      <w:r>
        <w:rPr>
          <w:i/>
        </w:rPr>
        <w:t>(</w:t>
      </w:r>
      <w:r>
        <w:rPr/>
        <w:t>Shwimmer </w:t>
      </w:r>
      <w:r>
        <w:rPr>
          <w:i/>
        </w:rPr>
        <w:t>et al., </w:t>
      </w:r>
      <w:r>
        <w:rPr/>
        <w:t>2007). Reports from other workers have shown that risk factors for contamination of raw milk has been those associated with poor hygiene at milking and faecal contamination of the teat ends prior to milking cup attachment </w:t>
      </w:r>
      <w:r>
        <w:rPr>
          <w:i/>
        </w:rPr>
        <w:t>(</w:t>
      </w:r>
      <w:r>
        <w:rPr/>
        <w:t>Shwimmer </w:t>
      </w:r>
      <w:r>
        <w:rPr>
          <w:i/>
        </w:rPr>
        <w:t>et al., </w:t>
      </w:r>
      <w:r>
        <w:rPr/>
        <w:t>2007). The psychrotrophic nature of </w:t>
      </w:r>
      <w:r>
        <w:rPr>
          <w:i/>
        </w:rPr>
        <w:t>Yersinia specie </w:t>
      </w:r>
      <w:r>
        <w:rPr/>
        <w:t>has been reported to be of particular significance in milk and milk products that are normally stored at low temperatures. They can survive in the presence of high numbers of competing microorganisms and</w:t>
      </w:r>
      <w:r>
        <w:rPr>
          <w:spacing w:val="40"/>
        </w:rPr>
        <w:t> </w:t>
      </w:r>
      <w:r>
        <w:rPr/>
        <w:t>could maintain the virulence plasmid during extended storage at refrigeration temperatures (Larkin </w:t>
      </w:r>
      <w:r>
        <w:rPr>
          <w:i/>
        </w:rPr>
        <w:t>et al</w:t>
      </w:r>
      <w:r>
        <w:rPr/>
        <w:t>., 1991). In pasteurized milk, contamination has been mainly attributed to inadequate pasteurization</w:t>
      </w:r>
      <w:r>
        <w:rPr>
          <w:spacing w:val="40"/>
        </w:rPr>
        <w:t> </w:t>
      </w:r>
      <w:r>
        <w:rPr/>
        <w:t>or post process contamination (Kushal and Anand, 1999).</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Systemic and extraintestinal infections and enterocolitis in immune-compromised patients require antibiotic therapy, and the agents used most commonly include chloramphenicol, gentamicin, tetracycline, cotrimoxazole and ciprofloxacin (Butler, 1990). Although there is data concerning the incidence of </w:t>
      </w:r>
      <w:r>
        <w:rPr>
          <w:i/>
        </w:rPr>
        <w:t>Y. enterocolitica </w:t>
      </w:r>
      <w:r>
        <w:rPr/>
        <w:t>and related species in foods in some countries (Siriken, 2002; Fredriksson- Ahomaa and Hannu, 2003; Soltan-Dallal and Moezardalan, 2004), but compared with other bacterial enteropathogenes, there are a few studies about the antimicrobial studies of </w:t>
      </w:r>
      <w:r>
        <w:rPr>
          <w:i/>
        </w:rPr>
        <w:t>Yersinia </w:t>
      </w:r>
      <w:r>
        <w:rPr/>
        <w:t>spp, which are isolated from milk products and human. Resistance to ampicillin and many cephalosporins is frequently observed among </w:t>
      </w:r>
      <w:r>
        <w:rPr>
          <w:i/>
        </w:rPr>
        <w:t>Pseudomonas </w:t>
      </w:r>
      <w:r>
        <w:rPr/>
        <w:t>species (Stock and Wiedemann, 1999; Tzelepi </w:t>
      </w:r>
      <w:r>
        <w:rPr>
          <w:i/>
        </w:rPr>
        <w:t>et al</w:t>
      </w:r>
      <w:r>
        <w:rPr/>
        <w:t>., 1999; White </w:t>
      </w:r>
      <w:r>
        <w:rPr>
          <w:i/>
        </w:rPr>
        <w:t>et al</w:t>
      </w:r>
      <w:r>
        <w:rPr/>
        <w:t>., 2002; Stock and Wiedemann, 2003). The expression of ß-lactamase enzymes A and B has already been associated with </w:t>
      </w:r>
      <w:r>
        <w:rPr>
          <w:i/>
        </w:rPr>
        <w:t>Y. enterocolitica</w:t>
      </w:r>
      <w:r>
        <w:rPr/>
        <w:t>, </w:t>
      </w:r>
      <w:r>
        <w:rPr>
          <w:i/>
        </w:rPr>
        <w:t>Yersinia intermedia </w:t>
      </w:r>
      <w:r>
        <w:rPr/>
        <w:t>and </w:t>
      </w:r>
      <w:r>
        <w:rPr>
          <w:i/>
        </w:rPr>
        <w:t>Yersinia frederiksenii </w:t>
      </w:r>
      <w:r>
        <w:rPr/>
        <w:t>(Stock </w:t>
      </w:r>
      <w:r>
        <w:rPr>
          <w:i/>
        </w:rPr>
        <w:t>et al</w:t>
      </w:r>
      <w:r>
        <w:rPr/>
        <w:t>., 1999, 2000; Stock and Wiedemann, 1999, 2003).</w:t>
      </w:r>
    </w:p>
    <w:p>
      <w:pPr>
        <w:pStyle w:val="ListParagraph"/>
        <w:numPr>
          <w:ilvl w:val="1"/>
          <w:numId w:val="10"/>
        </w:numPr>
        <w:tabs>
          <w:tab w:pos="1210" w:val="left" w:leader="none"/>
        </w:tabs>
        <w:spacing w:line="240" w:lineRule="auto" w:before="240" w:after="0"/>
        <w:ind w:left="1210" w:right="0" w:hanging="290"/>
        <w:jc w:val="both"/>
        <w:rPr>
          <w:rFonts w:ascii="Calibri"/>
          <w:b/>
          <w:sz w:val="21"/>
        </w:rPr>
      </w:pPr>
      <w:bookmarkStart w:name="_TOC_250060" w:id="31"/>
      <w:r>
        <w:rPr>
          <w:rFonts w:ascii="Calibri"/>
          <w:b/>
          <w:sz w:val="23"/>
        </w:rPr>
        <w:t>BACTERIOLOGICAL</w:t>
      </w:r>
      <w:r>
        <w:rPr>
          <w:rFonts w:ascii="Calibri"/>
          <w:b/>
          <w:spacing w:val="-12"/>
          <w:sz w:val="23"/>
        </w:rPr>
        <w:t> </w:t>
      </w:r>
      <w:r>
        <w:rPr>
          <w:rFonts w:ascii="Calibri"/>
          <w:b/>
          <w:sz w:val="23"/>
        </w:rPr>
        <w:t>QUALITY</w:t>
      </w:r>
      <w:r>
        <w:rPr>
          <w:rFonts w:ascii="Calibri"/>
          <w:b/>
          <w:spacing w:val="-10"/>
          <w:sz w:val="23"/>
        </w:rPr>
        <w:t> </w:t>
      </w:r>
      <w:r>
        <w:rPr>
          <w:rFonts w:ascii="Calibri"/>
          <w:b/>
          <w:sz w:val="23"/>
        </w:rPr>
        <w:t>TESTS</w:t>
      </w:r>
      <w:r>
        <w:rPr>
          <w:rFonts w:ascii="Calibri"/>
          <w:b/>
          <w:spacing w:val="-8"/>
          <w:sz w:val="23"/>
        </w:rPr>
        <w:t> </w:t>
      </w:r>
      <w:r>
        <w:rPr>
          <w:rFonts w:ascii="Calibri"/>
          <w:b/>
          <w:sz w:val="23"/>
        </w:rPr>
        <w:t>FOR</w:t>
      </w:r>
      <w:r>
        <w:rPr>
          <w:rFonts w:ascii="Calibri"/>
          <w:b/>
          <w:spacing w:val="-11"/>
          <w:sz w:val="23"/>
        </w:rPr>
        <w:t> </w:t>
      </w:r>
      <w:bookmarkEnd w:id="31"/>
      <w:r>
        <w:rPr>
          <w:rFonts w:ascii="Calibri"/>
          <w:b/>
          <w:spacing w:val="-4"/>
          <w:sz w:val="23"/>
        </w:rPr>
        <w:t>MILK</w:t>
      </w:r>
    </w:p>
    <w:p>
      <w:pPr>
        <w:pStyle w:val="BodyText"/>
        <w:spacing w:before="240"/>
        <w:rPr>
          <w:b/>
          <w:sz w:val="23"/>
        </w:rPr>
      </w:pPr>
    </w:p>
    <w:p>
      <w:pPr>
        <w:pStyle w:val="BodyText"/>
        <w:spacing w:line="480" w:lineRule="auto"/>
        <w:ind w:left="920" w:right="1173"/>
        <w:jc w:val="both"/>
      </w:pPr>
      <w:r>
        <w:rPr/>
        <w:t>Sanitary methods of handling milk must be strictly adhered to rigidly in order to provide safe milk for human consumption. Furthermore, since milk is a good growth medium, even a small number of non pathogens can multiply considerably if the milk is not kept refrigerated. A number of standard tests are carried out periodically on milk since consumers cannot determine milk contamination during purchase. From</w:t>
      </w:r>
      <w:r>
        <w:rPr>
          <w:spacing w:val="-1"/>
        </w:rPr>
        <w:t> </w:t>
      </w:r>
      <w:r>
        <w:rPr/>
        <w:t>the</w:t>
      </w:r>
      <w:r>
        <w:rPr>
          <w:spacing w:val="-2"/>
        </w:rPr>
        <w:t> </w:t>
      </w:r>
      <w:r>
        <w:rPr/>
        <w:t>results</w:t>
      </w:r>
      <w:r>
        <w:rPr>
          <w:spacing w:val="-2"/>
        </w:rPr>
        <w:t> </w:t>
      </w:r>
      <w:r>
        <w:rPr/>
        <w:t>of these</w:t>
      </w:r>
      <w:r>
        <w:rPr>
          <w:spacing w:val="-2"/>
        </w:rPr>
        <w:t> </w:t>
      </w:r>
      <w:r>
        <w:rPr/>
        <w:t>tests,</w:t>
      </w:r>
      <w:r>
        <w:rPr>
          <w:spacing w:val="-4"/>
        </w:rPr>
        <w:t> </w:t>
      </w:r>
      <w:r>
        <w:rPr/>
        <w:t>milk</w:t>
      </w:r>
      <w:r>
        <w:rPr>
          <w:spacing w:val="-2"/>
        </w:rPr>
        <w:t> </w:t>
      </w:r>
      <w:r>
        <w:rPr/>
        <w:t>is</w:t>
      </w:r>
      <w:r>
        <w:rPr>
          <w:spacing w:val="-2"/>
        </w:rPr>
        <w:t> </w:t>
      </w:r>
      <w:r>
        <w:rPr/>
        <w:t>classified</w:t>
      </w:r>
      <w:r>
        <w:rPr>
          <w:spacing w:val="-3"/>
        </w:rPr>
        <w:t> </w:t>
      </w:r>
      <w:r>
        <w:rPr/>
        <w:t>into</w:t>
      </w:r>
      <w:r>
        <w:rPr>
          <w:spacing w:val="-3"/>
        </w:rPr>
        <w:t> </w:t>
      </w:r>
      <w:r>
        <w:rPr/>
        <w:t>grades</w:t>
      </w:r>
      <w:r>
        <w:rPr>
          <w:spacing w:val="-2"/>
        </w:rPr>
        <w:t> </w:t>
      </w:r>
      <w:r>
        <w:rPr/>
        <w:t>designated</w:t>
      </w:r>
      <w:r>
        <w:rPr>
          <w:spacing w:val="-3"/>
        </w:rPr>
        <w:t> </w:t>
      </w:r>
      <w:r>
        <w:rPr/>
        <w:t>as</w:t>
      </w:r>
      <w:r>
        <w:rPr>
          <w:spacing w:val="-2"/>
        </w:rPr>
        <w:t> </w:t>
      </w:r>
      <w:r>
        <w:rPr/>
        <w:t>A,</w:t>
      </w:r>
      <w:r>
        <w:rPr>
          <w:spacing w:val="-4"/>
        </w:rPr>
        <w:t> </w:t>
      </w:r>
      <w:r>
        <w:rPr/>
        <w:t>B,</w:t>
      </w:r>
      <w:r>
        <w:rPr>
          <w:spacing w:val="-4"/>
        </w:rPr>
        <w:t> </w:t>
      </w:r>
      <w:r>
        <w:rPr/>
        <w:t>and C (Volk and</w:t>
      </w:r>
      <w:r>
        <w:rPr>
          <w:spacing w:val="-3"/>
        </w:rPr>
        <w:t> </w:t>
      </w:r>
      <w:r>
        <w:rPr/>
        <w:t>Wheeler, 1980). Tests commonly employed to determine the quality of milk include dye-reduction (Methylene blue reduction and resazurine reduction), Alcohol test, Standard plate count, Coliform count, Somatic cell count, Titrable acidity, and phosphatase tests (Marshall, 1992).</w:t>
      </w:r>
    </w:p>
    <w:p>
      <w:pPr>
        <w:spacing w:after="0" w:line="480" w:lineRule="auto"/>
        <w:jc w:val="both"/>
        <w:sectPr>
          <w:pgSz w:w="12240" w:h="15840"/>
          <w:pgMar w:header="0" w:footer="1017" w:top="1400" w:bottom="1200" w:left="520" w:right="260"/>
        </w:sectPr>
      </w:pPr>
    </w:p>
    <w:p>
      <w:pPr>
        <w:pStyle w:val="Heading6"/>
        <w:numPr>
          <w:ilvl w:val="2"/>
          <w:numId w:val="10"/>
        </w:numPr>
        <w:tabs>
          <w:tab w:pos="1415" w:val="left" w:leader="none"/>
        </w:tabs>
        <w:spacing w:line="240" w:lineRule="auto" w:before="37" w:after="0"/>
        <w:ind w:left="1415" w:right="0" w:hanging="495"/>
        <w:jc w:val="left"/>
      </w:pPr>
      <w:bookmarkStart w:name="_TOC_250059" w:id="32"/>
      <w:r>
        <w:rPr/>
        <w:t>Dye-reduction</w:t>
      </w:r>
      <w:r>
        <w:rPr>
          <w:spacing w:val="-7"/>
        </w:rPr>
        <w:t> </w:t>
      </w:r>
      <w:bookmarkEnd w:id="32"/>
      <w:r>
        <w:rPr>
          <w:spacing w:val="-4"/>
        </w:rPr>
        <w:t>Tests</w:t>
      </w:r>
    </w:p>
    <w:p>
      <w:pPr>
        <w:pStyle w:val="BodyText"/>
        <w:spacing w:before="240"/>
        <w:rPr>
          <w:b/>
        </w:rPr>
      </w:pPr>
    </w:p>
    <w:p>
      <w:pPr>
        <w:pStyle w:val="BodyText"/>
        <w:spacing w:line="480" w:lineRule="auto"/>
        <w:ind w:left="920" w:right="1174"/>
        <w:jc w:val="both"/>
      </w:pPr>
      <w:r>
        <w:rPr/>
        <w:t>Dye- reduction tests have been employed to check for the overall microbial load and quality control of milk and other liquid foods (Impert </w:t>
      </w:r>
      <w:r>
        <w:rPr>
          <w:i/>
        </w:rPr>
        <w:t>et al., </w:t>
      </w:r>
      <w:r>
        <w:rPr/>
        <w:t>2002). These tests have been successfully employed to quantify viable cell count in milk within a very short time. The tests are less precise criterion for classifying milk according to its bacteriological quality. This calls for the need to periodically verify the quality of</w:t>
      </w:r>
      <w:r>
        <w:rPr>
          <w:spacing w:val="-1"/>
        </w:rPr>
        <w:t> </w:t>
      </w:r>
      <w:r>
        <w:rPr/>
        <w:t>milk</w:t>
      </w:r>
      <w:r>
        <w:rPr>
          <w:spacing w:val="-1"/>
        </w:rPr>
        <w:t> </w:t>
      </w:r>
      <w:r>
        <w:rPr/>
        <w:t>with</w:t>
      </w:r>
      <w:r>
        <w:rPr>
          <w:spacing w:val="-2"/>
        </w:rPr>
        <w:t> </w:t>
      </w:r>
      <w:r>
        <w:rPr/>
        <w:t>more</w:t>
      </w:r>
      <w:r>
        <w:rPr>
          <w:spacing w:val="-1"/>
        </w:rPr>
        <w:t> </w:t>
      </w:r>
      <w:r>
        <w:rPr/>
        <w:t>precise</w:t>
      </w:r>
      <w:r>
        <w:rPr>
          <w:spacing w:val="-1"/>
        </w:rPr>
        <w:t> </w:t>
      </w:r>
      <w:r>
        <w:rPr/>
        <w:t>microbiological tests</w:t>
      </w:r>
      <w:r>
        <w:rPr>
          <w:spacing w:val="-1"/>
        </w:rPr>
        <w:t> </w:t>
      </w:r>
      <w:r>
        <w:rPr/>
        <w:t>such</w:t>
      </w:r>
      <w:r>
        <w:rPr>
          <w:spacing w:val="-2"/>
        </w:rPr>
        <w:t> </w:t>
      </w:r>
      <w:r>
        <w:rPr/>
        <w:t>as</w:t>
      </w:r>
      <w:r>
        <w:rPr>
          <w:spacing w:val="-1"/>
        </w:rPr>
        <w:t> </w:t>
      </w:r>
      <w:r>
        <w:rPr/>
        <w:t>standard plate</w:t>
      </w:r>
      <w:r>
        <w:rPr>
          <w:spacing w:val="-1"/>
        </w:rPr>
        <w:t> </w:t>
      </w:r>
      <w:r>
        <w:rPr/>
        <w:t>count</w:t>
      </w:r>
      <w:r>
        <w:rPr>
          <w:spacing w:val="-3"/>
        </w:rPr>
        <w:t> </w:t>
      </w:r>
      <w:r>
        <w:rPr/>
        <w:t>(Ombui </w:t>
      </w:r>
      <w:r>
        <w:rPr>
          <w:i/>
        </w:rPr>
        <w:t>et al.</w:t>
      </w:r>
      <w:r>
        <w:rPr/>
        <w:t>,</w:t>
      </w:r>
      <w:r>
        <w:rPr>
          <w:spacing w:val="-3"/>
        </w:rPr>
        <w:t> </w:t>
      </w:r>
      <w:r>
        <w:rPr/>
        <w:t>1995).</w:t>
      </w:r>
    </w:p>
    <w:p>
      <w:pPr>
        <w:pStyle w:val="BodyText"/>
      </w:pPr>
    </w:p>
    <w:p>
      <w:pPr>
        <w:pStyle w:val="BodyText"/>
      </w:pPr>
    </w:p>
    <w:p>
      <w:pPr>
        <w:pStyle w:val="BodyText"/>
      </w:pPr>
    </w:p>
    <w:p>
      <w:pPr>
        <w:pStyle w:val="BodyText"/>
      </w:pPr>
    </w:p>
    <w:p>
      <w:pPr>
        <w:pStyle w:val="BodyText"/>
      </w:pPr>
    </w:p>
    <w:p>
      <w:pPr>
        <w:pStyle w:val="BodyText"/>
        <w:spacing w:before="181"/>
      </w:pPr>
    </w:p>
    <w:p>
      <w:pPr>
        <w:pStyle w:val="ListParagraph"/>
        <w:numPr>
          <w:ilvl w:val="3"/>
          <w:numId w:val="10"/>
        </w:numPr>
        <w:tabs>
          <w:tab w:pos="1528" w:val="left" w:leader="none"/>
        </w:tabs>
        <w:spacing w:line="240" w:lineRule="auto" w:before="1" w:after="0"/>
        <w:ind w:left="1528" w:right="0" w:hanging="608"/>
        <w:jc w:val="both"/>
        <w:rPr>
          <w:rFonts w:ascii="Calibri"/>
          <w:i/>
          <w:sz w:val="20"/>
        </w:rPr>
      </w:pPr>
      <w:r>
        <w:rPr>
          <w:rFonts w:ascii="Calibri"/>
          <w:i/>
          <w:sz w:val="22"/>
        </w:rPr>
        <w:t>Methylene</w:t>
      </w:r>
      <w:r>
        <w:rPr>
          <w:rFonts w:ascii="Calibri"/>
          <w:i/>
          <w:spacing w:val="-6"/>
          <w:sz w:val="22"/>
        </w:rPr>
        <w:t> </w:t>
      </w:r>
      <w:r>
        <w:rPr>
          <w:rFonts w:ascii="Calibri"/>
          <w:i/>
          <w:sz w:val="22"/>
        </w:rPr>
        <w:t>blue</w:t>
      </w:r>
      <w:r>
        <w:rPr>
          <w:rFonts w:ascii="Calibri"/>
          <w:i/>
          <w:spacing w:val="-5"/>
          <w:sz w:val="22"/>
        </w:rPr>
        <w:t> </w:t>
      </w:r>
      <w:r>
        <w:rPr>
          <w:rFonts w:ascii="Calibri"/>
          <w:i/>
          <w:sz w:val="22"/>
        </w:rPr>
        <w:t>reduction</w:t>
      </w:r>
      <w:r>
        <w:rPr>
          <w:rFonts w:ascii="Calibri"/>
          <w:i/>
          <w:spacing w:val="-3"/>
          <w:sz w:val="22"/>
        </w:rPr>
        <w:t> </w:t>
      </w:r>
      <w:r>
        <w:rPr>
          <w:rFonts w:ascii="Calibri"/>
          <w:i/>
          <w:spacing w:val="-4"/>
          <w:sz w:val="22"/>
        </w:rPr>
        <w:t>test</w:t>
      </w:r>
    </w:p>
    <w:p>
      <w:pPr>
        <w:pStyle w:val="BodyText"/>
        <w:spacing w:before="240"/>
        <w:rPr>
          <w:i/>
        </w:rPr>
      </w:pPr>
    </w:p>
    <w:p>
      <w:pPr>
        <w:pStyle w:val="BodyText"/>
        <w:spacing w:line="480" w:lineRule="auto"/>
        <w:ind w:left="920" w:right="1175"/>
        <w:jc w:val="both"/>
      </w:pPr>
      <w:r>
        <w:rPr/>
        <w:t>Methylene blue is a blue-colored reagent used to estimate the bacterial population of a given milk sample (Nandy </w:t>
      </w:r>
      <w:r>
        <w:rPr>
          <w:i/>
        </w:rPr>
        <w:t>et al</w:t>
      </w:r>
      <w:r>
        <w:rPr/>
        <w:t>., 2007). A known dilution of the methylene blue solution is added to the milk</w:t>
      </w:r>
      <w:r>
        <w:rPr>
          <w:spacing w:val="40"/>
        </w:rPr>
        <w:t> </w:t>
      </w:r>
      <w:r>
        <w:rPr/>
        <w:t>sample and observation is made at fixed intervals until the blue color disappears. The number and species of organisms present</w:t>
      </w:r>
      <w:r>
        <w:rPr>
          <w:spacing w:val="-1"/>
        </w:rPr>
        <w:t> </w:t>
      </w:r>
      <w:r>
        <w:rPr/>
        <w:t>in the milk determines the time required for the disappearance of the blue color in the milk (May</w:t>
      </w:r>
      <w:r>
        <w:rPr>
          <w:spacing w:val="-2"/>
        </w:rPr>
        <w:t> </w:t>
      </w:r>
      <w:r>
        <w:rPr>
          <w:i/>
        </w:rPr>
        <w:t>et al</w:t>
      </w:r>
      <w:r>
        <w:rPr/>
        <w:t>.,</w:t>
      </w:r>
      <w:r>
        <w:rPr>
          <w:spacing w:val="-1"/>
        </w:rPr>
        <w:t> </w:t>
      </w:r>
      <w:r>
        <w:rPr/>
        <w:t>2003; Nandy </w:t>
      </w:r>
      <w:r>
        <w:rPr>
          <w:i/>
        </w:rPr>
        <w:t>et al</w:t>
      </w:r>
      <w:r>
        <w:rPr/>
        <w:t>.,</w:t>
      </w:r>
      <w:r>
        <w:rPr>
          <w:spacing w:val="-1"/>
        </w:rPr>
        <w:t> </w:t>
      </w:r>
      <w:r>
        <w:rPr/>
        <w:t>2007). Normally if the number of bacteria increases,</w:t>
      </w:r>
      <w:r>
        <w:rPr>
          <w:spacing w:val="-1"/>
        </w:rPr>
        <w:t> </w:t>
      </w:r>
      <w:r>
        <w:rPr/>
        <w:t>the time required to decolorize the blue color is shorter. This test is usually used for grading the quality of raw milk before pasteurization. On the basis of this test, raw milk is graded as follows (Kurwijilla </w:t>
      </w:r>
      <w:r>
        <w:rPr>
          <w:i/>
        </w:rPr>
        <w:t>et al</w:t>
      </w:r>
      <w:r>
        <w:rPr/>
        <w:t>., </w:t>
      </w:r>
      <w:r>
        <w:rPr>
          <w:spacing w:val="-2"/>
        </w:rPr>
        <w:t>1992):</w:t>
      </w:r>
    </w:p>
    <w:p>
      <w:pPr>
        <w:pStyle w:val="ListParagraph"/>
        <w:numPr>
          <w:ilvl w:val="4"/>
          <w:numId w:val="10"/>
        </w:numPr>
        <w:tabs>
          <w:tab w:pos="1707" w:val="left" w:leader="none"/>
        </w:tabs>
        <w:spacing w:line="240" w:lineRule="auto" w:before="236" w:after="0"/>
        <w:ind w:left="1707" w:right="0" w:hanging="360"/>
        <w:jc w:val="left"/>
        <w:rPr>
          <w:sz w:val="24"/>
        </w:rPr>
      </w:pPr>
      <w:r>
        <w:rPr>
          <w:sz w:val="24"/>
        </w:rPr>
        <w:t>Very</w:t>
      </w:r>
      <w:r>
        <w:rPr>
          <w:spacing w:val="-15"/>
          <w:sz w:val="24"/>
        </w:rPr>
        <w:t> </w:t>
      </w:r>
      <w:r>
        <w:rPr>
          <w:sz w:val="24"/>
        </w:rPr>
        <w:t>good:</w:t>
      </w:r>
      <w:r>
        <w:rPr>
          <w:spacing w:val="-5"/>
          <w:sz w:val="24"/>
        </w:rPr>
        <w:t> </w:t>
      </w:r>
      <w:r>
        <w:rPr>
          <w:sz w:val="24"/>
        </w:rPr>
        <w:t>not</w:t>
      </w:r>
      <w:r>
        <w:rPr>
          <w:spacing w:val="-5"/>
          <w:sz w:val="24"/>
        </w:rPr>
        <w:t> </w:t>
      </w:r>
      <w:r>
        <w:rPr>
          <w:sz w:val="24"/>
        </w:rPr>
        <w:t>decolorizing</w:t>
      </w:r>
      <w:r>
        <w:rPr>
          <w:spacing w:val="-1"/>
          <w:sz w:val="24"/>
        </w:rPr>
        <w:t> </w:t>
      </w:r>
      <w:r>
        <w:rPr>
          <w:sz w:val="24"/>
        </w:rPr>
        <w:t>in</w:t>
      </w:r>
      <w:r>
        <w:rPr>
          <w:spacing w:val="-10"/>
          <w:sz w:val="24"/>
        </w:rPr>
        <w:t> </w:t>
      </w:r>
      <w:r>
        <w:rPr>
          <w:sz w:val="24"/>
        </w:rPr>
        <w:t>5</w:t>
      </w:r>
      <w:r>
        <w:rPr>
          <w:spacing w:val="-5"/>
          <w:sz w:val="24"/>
        </w:rPr>
        <w:t> </w:t>
      </w:r>
      <w:r>
        <w:rPr>
          <w:spacing w:val="-2"/>
          <w:sz w:val="24"/>
        </w:rPr>
        <w:t>hours.</w:t>
      </w:r>
    </w:p>
    <w:p>
      <w:pPr>
        <w:pStyle w:val="BodyText"/>
        <w:spacing w:before="1"/>
        <w:rPr>
          <w:rFonts w:ascii="Times New Roman"/>
          <w:sz w:val="24"/>
        </w:rPr>
      </w:pPr>
    </w:p>
    <w:p>
      <w:pPr>
        <w:pStyle w:val="ListParagraph"/>
        <w:numPr>
          <w:ilvl w:val="4"/>
          <w:numId w:val="10"/>
        </w:numPr>
        <w:tabs>
          <w:tab w:pos="1707" w:val="left" w:leader="none"/>
        </w:tabs>
        <w:spacing w:line="240" w:lineRule="auto" w:before="0" w:after="0"/>
        <w:ind w:left="1707" w:right="0" w:hanging="360"/>
        <w:jc w:val="left"/>
        <w:rPr>
          <w:sz w:val="24"/>
        </w:rPr>
      </w:pPr>
      <w:r>
        <w:rPr>
          <w:sz w:val="24"/>
        </w:rPr>
        <w:t>Good:</w:t>
      </w:r>
      <w:r>
        <w:rPr>
          <w:spacing w:val="-9"/>
          <w:sz w:val="24"/>
        </w:rPr>
        <w:t> </w:t>
      </w:r>
      <w:r>
        <w:rPr>
          <w:sz w:val="24"/>
        </w:rPr>
        <w:t>decolorized in</w:t>
      </w:r>
      <w:r>
        <w:rPr>
          <w:spacing w:val="-5"/>
          <w:sz w:val="24"/>
        </w:rPr>
        <w:t> </w:t>
      </w:r>
      <w:r>
        <w:rPr>
          <w:sz w:val="24"/>
        </w:rPr>
        <w:t>less</w:t>
      </w:r>
      <w:r>
        <w:rPr>
          <w:spacing w:val="-6"/>
          <w:sz w:val="24"/>
        </w:rPr>
        <w:t> </w:t>
      </w:r>
      <w:r>
        <w:rPr>
          <w:sz w:val="24"/>
        </w:rPr>
        <w:t>than</w:t>
      </w:r>
      <w:r>
        <w:rPr>
          <w:spacing w:val="-9"/>
          <w:sz w:val="24"/>
        </w:rPr>
        <w:t> </w:t>
      </w:r>
      <w:r>
        <w:rPr>
          <w:sz w:val="24"/>
        </w:rPr>
        <w:t>4</w:t>
      </w:r>
      <w:r>
        <w:rPr>
          <w:spacing w:val="-5"/>
          <w:sz w:val="24"/>
        </w:rPr>
        <w:t> </w:t>
      </w:r>
      <w:r>
        <w:rPr>
          <w:sz w:val="24"/>
        </w:rPr>
        <w:t>hours,</w:t>
      </w:r>
      <w:r>
        <w:rPr>
          <w:spacing w:val="-3"/>
          <w:sz w:val="24"/>
        </w:rPr>
        <w:t> </w:t>
      </w:r>
      <w:r>
        <w:rPr>
          <w:sz w:val="24"/>
        </w:rPr>
        <w:t>but not</w:t>
      </w:r>
      <w:r>
        <w:rPr>
          <w:spacing w:val="-4"/>
          <w:sz w:val="24"/>
        </w:rPr>
        <w:t> </w:t>
      </w:r>
      <w:r>
        <w:rPr>
          <w:sz w:val="24"/>
        </w:rPr>
        <w:t>less</w:t>
      </w:r>
      <w:r>
        <w:rPr>
          <w:spacing w:val="-7"/>
          <w:sz w:val="24"/>
        </w:rPr>
        <w:t> </w:t>
      </w:r>
      <w:r>
        <w:rPr>
          <w:sz w:val="24"/>
        </w:rPr>
        <w:t>than</w:t>
      </w:r>
      <w:r>
        <w:rPr>
          <w:spacing w:val="-9"/>
          <w:sz w:val="24"/>
        </w:rPr>
        <w:t> </w:t>
      </w:r>
      <w:r>
        <w:rPr>
          <w:sz w:val="24"/>
        </w:rPr>
        <w:t>3</w:t>
      </w:r>
      <w:r>
        <w:rPr>
          <w:spacing w:val="-4"/>
          <w:sz w:val="24"/>
        </w:rPr>
        <w:t> </w:t>
      </w:r>
      <w:r>
        <w:rPr>
          <w:spacing w:val="-2"/>
          <w:sz w:val="24"/>
        </w:rPr>
        <w:t>hours.</w:t>
      </w:r>
    </w:p>
    <w:p>
      <w:pPr>
        <w:pStyle w:val="ListParagraph"/>
        <w:numPr>
          <w:ilvl w:val="4"/>
          <w:numId w:val="10"/>
        </w:numPr>
        <w:tabs>
          <w:tab w:pos="1707" w:val="left" w:leader="none"/>
        </w:tabs>
        <w:spacing w:line="240" w:lineRule="auto" w:before="273" w:after="0"/>
        <w:ind w:left="1707" w:right="0" w:hanging="360"/>
        <w:jc w:val="left"/>
        <w:rPr>
          <w:sz w:val="24"/>
        </w:rPr>
      </w:pPr>
      <w:r>
        <w:rPr>
          <w:sz w:val="24"/>
        </w:rPr>
        <w:t>Fair:</w:t>
      </w:r>
      <w:r>
        <w:rPr>
          <w:spacing w:val="-6"/>
          <w:sz w:val="24"/>
        </w:rPr>
        <w:t> </w:t>
      </w:r>
      <w:r>
        <w:rPr>
          <w:sz w:val="24"/>
        </w:rPr>
        <w:t>decolorized</w:t>
      </w:r>
      <w:r>
        <w:rPr>
          <w:spacing w:val="-1"/>
          <w:sz w:val="24"/>
        </w:rPr>
        <w:t> </w:t>
      </w:r>
      <w:r>
        <w:rPr>
          <w:sz w:val="24"/>
        </w:rPr>
        <w:t>in</w:t>
      </w:r>
      <w:r>
        <w:rPr>
          <w:spacing w:val="-5"/>
          <w:sz w:val="24"/>
        </w:rPr>
        <w:t> </w:t>
      </w:r>
      <w:r>
        <w:rPr>
          <w:sz w:val="24"/>
        </w:rPr>
        <w:t>less</w:t>
      </w:r>
      <w:r>
        <w:rPr>
          <w:spacing w:val="-7"/>
          <w:sz w:val="24"/>
        </w:rPr>
        <w:t> </w:t>
      </w:r>
      <w:r>
        <w:rPr>
          <w:sz w:val="24"/>
        </w:rPr>
        <w:t>than</w:t>
      </w:r>
      <w:r>
        <w:rPr>
          <w:spacing w:val="-5"/>
          <w:sz w:val="24"/>
        </w:rPr>
        <w:t> </w:t>
      </w:r>
      <w:r>
        <w:rPr>
          <w:sz w:val="24"/>
        </w:rPr>
        <w:t>in</w:t>
      </w:r>
      <w:r>
        <w:rPr>
          <w:spacing w:val="-10"/>
          <w:sz w:val="24"/>
        </w:rPr>
        <w:t> </w:t>
      </w:r>
      <w:r>
        <w:rPr>
          <w:sz w:val="24"/>
        </w:rPr>
        <w:t>2</w:t>
      </w:r>
      <w:r>
        <w:rPr>
          <w:spacing w:val="-5"/>
          <w:sz w:val="24"/>
        </w:rPr>
        <w:t> </w:t>
      </w:r>
      <w:r>
        <w:rPr>
          <w:sz w:val="24"/>
        </w:rPr>
        <w:t>hours,</w:t>
      </w:r>
      <w:r>
        <w:rPr>
          <w:spacing w:val="-4"/>
          <w:sz w:val="24"/>
        </w:rPr>
        <w:t> </w:t>
      </w:r>
      <w:r>
        <w:rPr>
          <w:sz w:val="24"/>
        </w:rPr>
        <w:t>but</w:t>
      </w:r>
      <w:r>
        <w:rPr>
          <w:spacing w:val="-5"/>
          <w:sz w:val="24"/>
        </w:rPr>
        <w:t> </w:t>
      </w:r>
      <w:r>
        <w:rPr>
          <w:sz w:val="24"/>
        </w:rPr>
        <w:t>not</w:t>
      </w:r>
      <w:r>
        <w:rPr>
          <w:spacing w:val="-1"/>
          <w:sz w:val="24"/>
        </w:rPr>
        <w:t> </w:t>
      </w:r>
      <w:r>
        <w:rPr>
          <w:sz w:val="24"/>
        </w:rPr>
        <w:t>less</w:t>
      </w:r>
      <w:r>
        <w:rPr>
          <w:spacing w:val="-7"/>
          <w:sz w:val="24"/>
        </w:rPr>
        <w:t> </w:t>
      </w:r>
      <w:r>
        <w:rPr>
          <w:sz w:val="24"/>
        </w:rPr>
        <w:t>than</w:t>
      </w:r>
      <w:r>
        <w:rPr>
          <w:spacing w:val="-10"/>
          <w:sz w:val="24"/>
        </w:rPr>
        <w:t> </w:t>
      </w:r>
      <w:r>
        <w:rPr>
          <w:sz w:val="24"/>
        </w:rPr>
        <w:t>1</w:t>
      </w:r>
      <w:r>
        <w:rPr>
          <w:spacing w:val="-5"/>
          <w:sz w:val="24"/>
        </w:rPr>
        <w:t> </w:t>
      </w:r>
      <w:r>
        <w:rPr>
          <w:spacing w:val="-2"/>
          <w:sz w:val="24"/>
        </w:rPr>
        <w:t>hour.</w:t>
      </w:r>
    </w:p>
    <w:p>
      <w:pPr>
        <w:pStyle w:val="BodyText"/>
        <w:spacing w:before="1"/>
        <w:rPr>
          <w:rFonts w:ascii="Times New Roman"/>
          <w:sz w:val="24"/>
        </w:rPr>
      </w:pPr>
    </w:p>
    <w:p>
      <w:pPr>
        <w:pStyle w:val="ListParagraph"/>
        <w:numPr>
          <w:ilvl w:val="4"/>
          <w:numId w:val="10"/>
        </w:numPr>
        <w:tabs>
          <w:tab w:pos="1707" w:val="left" w:leader="none"/>
        </w:tabs>
        <w:spacing w:line="240" w:lineRule="auto" w:before="0" w:after="0"/>
        <w:ind w:left="1707" w:right="0" w:hanging="360"/>
        <w:jc w:val="left"/>
        <w:rPr>
          <w:sz w:val="24"/>
        </w:rPr>
      </w:pPr>
      <w:r>
        <w:rPr>
          <w:sz w:val="24"/>
        </w:rPr>
        <w:t>Poor:</w:t>
      </w:r>
      <w:r>
        <w:rPr>
          <w:spacing w:val="-7"/>
          <w:sz w:val="24"/>
        </w:rPr>
        <w:t> </w:t>
      </w:r>
      <w:r>
        <w:rPr>
          <w:sz w:val="24"/>
        </w:rPr>
        <w:t>decolorized</w:t>
      </w:r>
      <w:r>
        <w:rPr>
          <w:spacing w:val="-1"/>
          <w:sz w:val="24"/>
        </w:rPr>
        <w:t> </w:t>
      </w:r>
      <w:r>
        <w:rPr>
          <w:sz w:val="24"/>
        </w:rPr>
        <w:t>in</w:t>
      </w:r>
      <w:r>
        <w:rPr>
          <w:spacing w:val="-7"/>
          <w:sz w:val="24"/>
        </w:rPr>
        <w:t> </w:t>
      </w:r>
      <w:r>
        <w:rPr>
          <w:sz w:val="24"/>
        </w:rPr>
        <w:t>less</w:t>
      </w:r>
      <w:r>
        <w:rPr>
          <w:spacing w:val="-7"/>
          <w:sz w:val="24"/>
        </w:rPr>
        <w:t> </w:t>
      </w:r>
      <w:r>
        <w:rPr>
          <w:sz w:val="24"/>
        </w:rPr>
        <w:t>than</w:t>
      </w:r>
      <w:r>
        <w:rPr>
          <w:spacing w:val="-11"/>
          <w:sz w:val="24"/>
        </w:rPr>
        <w:t> </w:t>
      </w:r>
      <w:r>
        <w:rPr>
          <w:sz w:val="24"/>
        </w:rPr>
        <w:t>½</w:t>
      </w:r>
      <w:r>
        <w:rPr>
          <w:spacing w:val="-4"/>
          <w:sz w:val="24"/>
        </w:rPr>
        <w:t> hour.</w:t>
      </w:r>
    </w:p>
    <w:p>
      <w:pPr>
        <w:spacing w:after="0" w:line="240" w:lineRule="auto"/>
        <w:jc w:val="left"/>
        <w:rPr>
          <w:sz w:val="24"/>
        </w:rPr>
        <w:sectPr>
          <w:pgSz w:w="12240" w:h="15840"/>
          <w:pgMar w:header="0" w:footer="1017" w:top="1400" w:bottom="1200" w:left="520" w:right="260"/>
        </w:sectPr>
      </w:pPr>
    </w:p>
    <w:p>
      <w:pPr>
        <w:pStyle w:val="ListParagraph"/>
        <w:numPr>
          <w:ilvl w:val="3"/>
          <w:numId w:val="10"/>
        </w:numPr>
        <w:tabs>
          <w:tab w:pos="1528" w:val="left" w:leader="none"/>
        </w:tabs>
        <w:spacing w:line="240" w:lineRule="auto" w:before="37" w:after="0"/>
        <w:ind w:left="1528" w:right="0" w:hanging="608"/>
        <w:jc w:val="both"/>
        <w:rPr>
          <w:rFonts w:ascii="Calibri"/>
          <w:i/>
          <w:sz w:val="20"/>
        </w:rPr>
      </w:pPr>
      <w:r>
        <w:rPr>
          <w:rFonts w:ascii="Calibri"/>
          <w:i/>
          <w:sz w:val="22"/>
        </w:rPr>
        <w:t>Resazurin</w:t>
      </w:r>
      <w:r>
        <w:rPr>
          <w:rFonts w:ascii="Calibri"/>
          <w:i/>
          <w:spacing w:val="-8"/>
          <w:sz w:val="22"/>
        </w:rPr>
        <w:t> </w:t>
      </w:r>
      <w:r>
        <w:rPr>
          <w:rFonts w:ascii="Calibri"/>
          <w:i/>
          <w:sz w:val="22"/>
        </w:rPr>
        <w:t>reduction</w:t>
      </w:r>
      <w:r>
        <w:rPr>
          <w:rFonts w:ascii="Calibri"/>
          <w:i/>
          <w:spacing w:val="-5"/>
          <w:sz w:val="22"/>
        </w:rPr>
        <w:t> </w:t>
      </w:r>
      <w:r>
        <w:rPr>
          <w:rFonts w:ascii="Calibri"/>
          <w:i/>
          <w:spacing w:val="-4"/>
          <w:sz w:val="22"/>
        </w:rPr>
        <w:t>test</w:t>
      </w:r>
    </w:p>
    <w:p>
      <w:pPr>
        <w:pStyle w:val="BodyText"/>
        <w:spacing w:before="240"/>
        <w:rPr>
          <w:i/>
        </w:rPr>
      </w:pPr>
    </w:p>
    <w:p>
      <w:pPr>
        <w:pStyle w:val="BodyText"/>
        <w:spacing w:line="480" w:lineRule="auto"/>
        <w:ind w:left="920" w:right="1173"/>
        <w:jc w:val="both"/>
      </w:pPr>
      <w:r>
        <w:rPr/>
        <w:t>This test is also used for grading the sanitary quality of milk by applying the chemical reagent resazurin. The procedure is similar to that of the methylene blue</w:t>
      </w:r>
      <w:r>
        <w:rPr>
          <w:spacing w:val="-3"/>
        </w:rPr>
        <w:t> </w:t>
      </w:r>
      <w:r>
        <w:rPr/>
        <w:t>test,</w:t>
      </w:r>
      <w:r>
        <w:rPr>
          <w:spacing w:val="-1"/>
        </w:rPr>
        <w:t> </w:t>
      </w:r>
      <w:r>
        <w:rPr/>
        <w:t>except that this test is quicker and the result is obtained in much less time (Reddy and Bordekar, 1999). Resazurin imparts blue color to milk which when reduced to resorufin changes to pink and finally to white on reduction to dihydroresorufin. The time required for complete decolorization,</w:t>
      </w:r>
      <w:r>
        <w:rPr>
          <w:spacing w:val="-2"/>
        </w:rPr>
        <w:t> </w:t>
      </w:r>
      <w:r>
        <w:rPr/>
        <w:t>reduction of the resazurin and the degree</w:t>
      </w:r>
      <w:r>
        <w:rPr>
          <w:spacing w:val="-3"/>
        </w:rPr>
        <w:t> </w:t>
      </w:r>
      <w:r>
        <w:rPr/>
        <w:t>of colour change is directly related to the number of bacterial organisms in the milk (Ombui </w:t>
      </w:r>
      <w:r>
        <w:rPr>
          <w:i/>
        </w:rPr>
        <w:t>et al</w:t>
      </w:r>
      <w:r>
        <w:rPr/>
        <w:t>., 1995; Teka, 1997). A comparator disc reading value of 4 and above at10 minutes with resazurin test indicates good quality while a comparator disc reading value of less than 4 at 10 minutes indicates poor quality milk (Ombui </w:t>
      </w:r>
      <w:r>
        <w:rPr>
          <w:i/>
        </w:rPr>
        <w:t>et al</w:t>
      </w:r>
      <w:r>
        <w:rPr/>
        <w:t>., 1995).</w:t>
      </w:r>
    </w:p>
    <w:p>
      <w:pPr>
        <w:pStyle w:val="Heading6"/>
        <w:numPr>
          <w:ilvl w:val="2"/>
          <w:numId w:val="10"/>
        </w:numPr>
        <w:tabs>
          <w:tab w:pos="1415" w:val="left" w:leader="none"/>
        </w:tabs>
        <w:spacing w:line="240" w:lineRule="auto" w:before="240" w:after="0"/>
        <w:ind w:left="1415" w:right="0" w:hanging="495"/>
        <w:jc w:val="both"/>
      </w:pPr>
      <w:bookmarkStart w:name="_TOC_250058" w:id="33"/>
      <w:r>
        <w:rPr/>
        <w:t>Alcohol</w:t>
      </w:r>
      <w:r>
        <w:rPr>
          <w:spacing w:val="-5"/>
        </w:rPr>
        <w:t> </w:t>
      </w:r>
      <w:bookmarkEnd w:id="33"/>
      <w:r>
        <w:rPr>
          <w:spacing w:val="-4"/>
        </w:rPr>
        <w:t>Test</w:t>
      </w:r>
    </w:p>
    <w:p>
      <w:pPr>
        <w:pStyle w:val="BodyText"/>
        <w:spacing w:before="240"/>
        <w:rPr>
          <w:b/>
        </w:rPr>
      </w:pPr>
    </w:p>
    <w:p>
      <w:pPr>
        <w:pStyle w:val="BodyText"/>
        <w:spacing w:line="480" w:lineRule="auto"/>
        <w:ind w:left="920" w:right="1177"/>
        <w:jc w:val="both"/>
      </w:pPr>
      <w:r>
        <w:rPr/>
        <w:t>When milk contains more than 0.21% acid, or when calcium or magnesium compounds are present in greater than normal amounts, it coagulates on the addition of alcohol. This fact is the basis of alcohol test, which furnishes a means of judging the quality of milk (Ombui </w:t>
      </w:r>
      <w:r>
        <w:rPr>
          <w:i/>
        </w:rPr>
        <w:t>et al</w:t>
      </w:r>
      <w:r>
        <w:rPr/>
        <w:t>., 1995).</w:t>
      </w:r>
    </w:p>
    <w:p>
      <w:pPr>
        <w:pStyle w:val="Heading6"/>
        <w:numPr>
          <w:ilvl w:val="2"/>
          <w:numId w:val="10"/>
        </w:numPr>
        <w:tabs>
          <w:tab w:pos="1415" w:val="left" w:leader="none"/>
        </w:tabs>
        <w:spacing w:line="240" w:lineRule="auto" w:before="242" w:after="0"/>
        <w:ind w:left="1415" w:right="0" w:hanging="495"/>
        <w:jc w:val="both"/>
      </w:pPr>
      <w:r>
        <w:rPr/>
        <w:t>Standard</w:t>
      </w:r>
      <w:r>
        <w:rPr>
          <w:spacing w:val="-3"/>
        </w:rPr>
        <w:t> </w:t>
      </w:r>
      <w:r>
        <w:rPr/>
        <w:t>Plate</w:t>
      </w:r>
      <w:r>
        <w:rPr>
          <w:spacing w:val="-4"/>
        </w:rPr>
        <w:t> </w:t>
      </w:r>
      <w:r>
        <w:rPr/>
        <w:t>Count</w:t>
      </w:r>
      <w:r>
        <w:rPr>
          <w:spacing w:val="-3"/>
        </w:rPr>
        <w:t> </w:t>
      </w:r>
      <w:r>
        <w:rPr>
          <w:spacing w:val="-4"/>
        </w:rPr>
        <w:t>(SPC)</w:t>
      </w:r>
    </w:p>
    <w:p>
      <w:pPr>
        <w:pStyle w:val="BodyText"/>
        <w:spacing w:before="235"/>
        <w:rPr>
          <w:b/>
        </w:rPr>
      </w:pPr>
    </w:p>
    <w:p>
      <w:pPr>
        <w:pStyle w:val="BodyText"/>
        <w:spacing w:line="480" w:lineRule="auto"/>
        <w:ind w:left="920" w:right="1173"/>
        <w:jc w:val="both"/>
      </w:pPr>
      <w:r>
        <w:rPr/>
        <w:t>The standard plate count of milk gives an indication of the total number of aerobic bacteria present in the milk at the time of pick up. Obviously, very clean milk will have lower bacterial counts than milk collected or handled under unsanitary conditions. The standard plate count has been reported to be a good basis for</w:t>
      </w:r>
      <w:r>
        <w:rPr>
          <w:spacing w:val="-4"/>
        </w:rPr>
        <w:t> </w:t>
      </w:r>
      <w:r>
        <w:rPr/>
        <w:t>grading the quality of milk (Volk</w:t>
      </w:r>
      <w:r>
        <w:rPr>
          <w:spacing w:val="-4"/>
        </w:rPr>
        <w:t> </w:t>
      </w:r>
      <w:r>
        <w:rPr/>
        <w:t>and Wheeler,</w:t>
      </w:r>
      <w:r>
        <w:rPr>
          <w:spacing w:val="-2"/>
        </w:rPr>
        <w:t> </w:t>
      </w:r>
      <w:r>
        <w:rPr/>
        <w:t>1980). Milk samples</w:t>
      </w:r>
      <w:r>
        <w:rPr>
          <w:spacing w:val="-4"/>
        </w:rPr>
        <w:t> </w:t>
      </w:r>
      <w:r>
        <w:rPr/>
        <w:t>are plated</w:t>
      </w:r>
      <w:r>
        <w:rPr>
          <w:spacing w:val="-5"/>
        </w:rPr>
        <w:t> </w:t>
      </w:r>
      <w:r>
        <w:rPr/>
        <w:t>on standard plate count agar media and then incubated for 48 hrs at 32°C to encourage bacterial growth. Single bacterium or clusters of bacteria visible colonies are then counted. All plate counts are expressed as the number</w:t>
      </w:r>
      <w:r>
        <w:rPr>
          <w:spacing w:val="38"/>
        </w:rPr>
        <w:t> </w:t>
      </w:r>
      <w:r>
        <w:rPr/>
        <w:t>of</w:t>
      </w:r>
      <w:r>
        <w:rPr>
          <w:spacing w:val="38"/>
        </w:rPr>
        <w:t> </w:t>
      </w:r>
      <w:r>
        <w:rPr/>
        <w:t>colony</w:t>
      </w:r>
      <w:r>
        <w:rPr>
          <w:spacing w:val="39"/>
        </w:rPr>
        <w:t> </w:t>
      </w:r>
      <w:r>
        <w:rPr/>
        <w:t>forming</w:t>
      </w:r>
      <w:r>
        <w:rPr>
          <w:spacing w:val="40"/>
        </w:rPr>
        <w:t> </w:t>
      </w:r>
      <w:r>
        <w:rPr/>
        <w:t>units</w:t>
      </w:r>
      <w:r>
        <w:rPr>
          <w:spacing w:val="38"/>
        </w:rPr>
        <w:t> </w:t>
      </w:r>
      <w:r>
        <w:rPr/>
        <w:t>(CFU)</w:t>
      </w:r>
      <w:r>
        <w:rPr>
          <w:spacing w:val="34"/>
        </w:rPr>
        <w:t> </w:t>
      </w:r>
      <w:r>
        <w:rPr/>
        <w:t>per</w:t>
      </w:r>
      <w:r>
        <w:rPr>
          <w:spacing w:val="38"/>
        </w:rPr>
        <w:t> </w:t>
      </w:r>
      <w:r>
        <w:rPr/>
        <w:t>milliliter</w:t>
      </w:r>
      <w:r>
        <w:rPr>
          <w:spacing w:val="34"/>
        </w:rPr>
        <w:t> </w:t>
      </w:r>
      <w:r>
        <w:rPr/>
        <w:t>(Murphy,</w:t>
      </w:r>
      <w:r>
        <w:rPr>
          <w:spacing w:val="36"/>
        </w:rPr>
        <w:t> </w:t>
      </w:r>
      <w:r>
        <w:rPr/>
        <w:t>1996).</w:t>
      </w:r>
      <w:r>
        <w:rPr>
          <w:spacing w:val="40"/>
        </w:rPr>
        <w:t> </w:t>
      </w:r>
      <w:r>
        <w:rPr/>
        <w:t>This</w:t>
      </w:r>
      <w:r>
        <w:rPr>
          <w:spacing w:val="38"/>
        </w:rPr>
        <w:t> </w:t>
      </w:r>
      <w:r>
        <w:rPr/>
        <w:t>method</w:t>
      </w:r>
      <w:r>
        <w:rPr>
          <w:spacing w:val="38"/>
        </w:rPr>
        <w:t> </w:t>
      </w:r>
      <w:r>
        <w:rPr/>
        <w:t>has</w:t>
      </w:r>
      <w:r>
        <w:rPr>
          <w:spacing w:val="38"/>
        </w:rPr>
        <w:t> </w:t>
      </w:r>
      <w:r>
        <w:rPr/>
        <w:t>been</w:t>
      </w:r>
      <w:r>
        <w:rPr>
          <w:spacing w:val="38"/>
        </w:rPr>
        <w:t> </w:t>
      </w:r>
      <w:r>
        <w:rPr/>
        <w:t>used</w:t>
      </w:r>
      <w:r>
        <w:rPr>
          <w:spacing w:val="38"/>
        </w:rPr>
        <w:t> </w:t>
      </w:r>
      <w:r>
        <w:rPr/>
        <w:t>to</w:t>
      </w:r>
    </w:p>
    <w:p>
      <w:pPr>
        <w:spacing w:after="0" w:line="480" w:lineRule="auto"/>
        <w:jc w:val="both"/>
        <w:sectPr>
          <w:pgSz w:w="12240" w:h="15840"/>
          <w:pgMar w:header="0" w:footer="1017" w:top="1400" w:bottom="1200" w:left="520" w:right="260"/>
        </w:sectPr>
      </w:pPr>
    </w:p>
    <w:p>
      <w:pPr>
        <w:pStyle w:val="BodyText"/>
        <w:spacing w:line="480" w:lineRule="auto" w:before="37"/>
        <w:ind w:left="920" w:right="1180"/>
        <w:jc w:val="both"/>
      </w:pPr>
      <w:r>
        <w:rPr/>
        <w:t>estimate the bacterial population in milk. This method has a limited value in that it doesn't indicate the quality of microbial populations in terms of pathogens and non pathogens (Teka, 1997). The standard plate</w:t>
      </w:r>
      <w:r>
        <w:rPr>
          <w:spacing w:val="-1"/>
        </w:rPr>
        <w:t> </w:t>
      </w:r>
      <w:r>
        <w:rPr/>
        <w:t>count</w:t>
      </w:r>
      <w:r>
        <w:rPr>
          <w:spacing w:val="-3"/>
        </w:rPr>
        <w:t> </w:t>
      </w:r>
      <w:r>
        <w:rPr/>
        <w:t>is</w:t>
      </w:r>
      <w:r>
        <w:rPr>
          <w:spacing w:val="-1"/>
        </w:rPr>
        <w:t> </w:t>
      </w:r>
      <w:r>
        <w:rPr/>
        <w:t>generally</w:t>
      </w:r>
      <w:r>
        <w:rPr>
          <w:spacing w:val="-1"/>
        </w:rPr>
        <w:t> </w:t>
      </w:r>
      <w:r>
        <w:rPr/>
        <w:t>accepted</w:t>
      </w:r>
      <w:r>
        <w:rPr>
          <w:spacing w:val="-2"/>
        </w:rPr>
        <w:t> </w:t>
      </w:r>
      <w:r>
        <w:rPr/>
        <w:t>as</w:t>
      </w:r>
      <w:r>
        <w:rPr>
          <w:spacing w:val="-1"/>
        </w:rPr>
        <w:t> </w:t>
      </w:r>
      <w:r>
        <w:rPr/>
        <w:t>the</w:t>
      </w:r>
      <w:r>
        <w:rPr>
          <w:spacing w:val="-5"/>
        </w:rPr>
        <w:t> </w:t>
      </w:r>
      <w:r>
        <w:rPr/>
        <w:t>most</w:t>
      </w:r>
      <w:r>
        <w:rPr>
          <w:spacing w:val="-3"/>
        </w:rPr>
        <w:t> </w:t>
      </w:r>
      <w:r>
        <w:rPr/>
        <w:t>accurate</w:t>
      </w:r>
      <w:r>
        <w:rPr>
          <w:spacing w:val="-1"/>
        </w:rPr>
        <w:t> </w:t>
      </w:r>
      <w:r>
        <w:rPr/>
        <w:t>and</w:t>
      </w:r>
      <w:r>
        <w:rPr>
          <w:spacing w:val="-2"/>
        </w:rPr>
        <w:t> </w:t>
      </w:r>
      <w:r>
        <w:rPr/>
        <w:t>informative</w:t>
      </w:r>
      <w:r>
        <w:rPr>
          <w:spacing w:val="-5"/>
        </w:rPr>
        <w:t> </w:t>
      </w:r>
      <w:r>
        <w:rPr/>
        <w:t>method</w:t>
      </w:r>
      <w:r>
        <w:rPr>
          <w:spacing w:val="-2"/>
        </w:rPr>
        <w:t> </w:t>
      </w:r>
      <w:r>
        <w:rPr/>
        <w:t>of</w:t>
      </w:r>
      <w:r>
        <w:rPr>
          <w:spacing w:val="-2"/>
        </w:rPr>
        <w:t> </w:t>
      </w:r>
      <w:r>
        <w:rPr/>
        <w:t>testing bacteriological quality of milk (Kurwijilla </w:t>
      </w:r>
      <w:r>
        <w:rPr>
          <w:i/>
        </w:rPr>
        <w:t>et al</w:t>
      </w:r>
      <w:r>
        <w:rPr/>
        <w:t>., 1992; Godefay and Molla 2000). It is sensitive but also labour intensive and is inaccurate for bacteria high count in milks (Slaughuis, 1996). Plate count standards have been developed to ensure satisfactory production hygiene and that the product is safe (Table 2). The plate count method has been conducted as a valuable adjunct to guide sanitarians in correcting sanitation failures and improving milk quality </w:t>
      </w:r>
      <w:r>
        <w:rPr>
          <w:color w:val="333333"/>
        </w:rPr>
        <w:t>(International Dairy Federation, 1990).</w:t>
      </w:r>
    </w:p>
    <w:p>
      <w:pPr>
        <w:pStyle w:val="Heading6"/>
        <w:spacing w:before="239"/>
        <w:ind w:left="920" w:firstLine="0"/>
        <w:jc w:val="both"/>
      </w:pPr>
      <w:r>
        <w:rPr/>
        <w:t>Table</w:t>
      </w:r>
      <w:r>
        <w:rPr>
          <w:spacing w:val="-8"/>
        </w:rPr>
        <w:t> </w:t>
      </w:r>
      <w:r>
        <w:rPr/>
        <w:t>2.1:</w:t>
      </w:r>
      <w:r>
        <w:rPr>
          <w:spacing w:val="-4"/>
        </w:rPr>
        <w:t> </w:t>
      </w:r>
      <w:r>
        <w:rPr/>
        <w:t>Grade</w:t>
      </w:r>
      <w:r>
        <w:rPr>
          <w:spacing w:val="-5"/>
        </w:rPr>
        <w:t> </w:t>
      </w:r>
      <w:r>
        <w:rPr/>
        <w:t>of</w:t>
      </w:r>
      <w:r>
        <w:rPr>
          <w:spacing w:val="-3"/>
        </w:rPr>
        <w:t> </w:t>
      </w:r>
      <w:r>
        <w:rPr/>
        <w:t>Milk</w:t>
      </w:r>
      <w:r>
        <w:rPr>
          <w:spacing w:val="-4"/>
        </w:rPr>
        <w:t> </w:t>
      </w:r>
      <w:r>
        <w:rPr/>
        <w:t>Based</w:t>
      </w:r>
      <w:r>
        <w:rPr>
          <w:spacing w:val="-4"/>
        </w:rPr>
        <w:t> </w:t>
      </w:r>
      <w:r>
        <w:rPr/>
        <w:t>on</w:t>
      </w:r>
      <w:r>
        <w:rPr>
          <w:spacing w:val="-3"/>
        </w:rPr>
        <w:t> </w:t>
      </w:r>
      <w:r>
        <w:rPr/>
        <w:t>Standard</w:t>
      </w:r>
      <w:r>
        <w:rPr>
          <w:spacing w:val="-4"/>
        </w:rPr>
        <w:t> </w:t>
      </w:r>
      <w:r>
        <w:rPr/>
        <w:t>Aerobic</w:t>
      </w:r>
      <w:r>
        <w:rPr>
          <w:spacing w:val="-5"/>
        </w:rPr>
        <w:t> </w:t>
      </w:r>
      <w:r>
        <w:rPr/>
        <w:t>Bacteria</w:t>
      </w:r>
      <w:r>
        <w:rPr>
          <w:spacing w:val="-4"/>
        </w:rPr>
        <w:t> </w:t>
      </w:r>
      <w:r>
        <w:rPr/>
        <w:t>Plate</w:t>
      </w:r>
      <w:r>
        <w:rPr>
          <w:spacing w:val="-5"/>
        </w:rPr>
        <w:t> </w:t>
      </w:r>
      <w:r>
        <w:rPr>
          <w:spacing w:val="-2"/>
        </w:rPr>
        <w:t>Count</w:t>
      </w:r>
    </w:p>
    <w:p>
      <w:pPr>
        <w:pStyle w:val="BodyText"/>
        <w:spacing w:before="205"/>
        <w:rPr>
          <w:b/>
          <w:sz w:val="20"/>
        </w:rPr>
      </w:pPr>
      <w:r>
        <w:rPr/>
        <mc:AlternateContent>
          <mc:Choice Requires="wps">
            <w:drawing>
              <wp:anchor distT="0" distB="0" distL="0" distR="0" allowOverlap="1" layoutInCell="1" locked="0" behindDoc="1" simplePos="0" relativeHeight="487593984">
                <wp:simplePos x="0" y="0"/>
                <wp:positionH relativeFrom="page">
                  <wp:posOffset>844296</wp:posOffset>
                </wp:positionH>
                <wp:positionV relativeFrom="paragraph">
                  <wp:posOffset>300843</wp:posOffset>
                </wp:positionV>
                <wp:extent cx="608393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6083935" cy="6350"/>
                        </a:xfrm>
                        <a:custGeom>
                          <a:avLst/>
                          <a:gdLst/>
                          <a:ahLst/>
                          <a:cxnLst/>
                          <a:rect l="l" t="t" r="r" b="b"/>
                          <a:pathLst>
                            <a:path w="6083935" h="6350">
                              <a:moveTo>
                                <a:pt x="6083808" y="0"/>
                              </a:moveTo>
                              <a:lnTo>
                                <a:pt x="3048000" y="0"/>
                              </a:lnTo>
                              <a:lnTo>
                                <a:pt x="3041904" y="0"/>
                              </a:lnTo>
                              <a:lnTo>
                                <a:pt x="0" y="0"/>
                              </a:lnTo>
                              <a:lnTo>
                                <a:pt x="0" y="6096"/>
                              </a:lnTo>
                              <a:lnTo>
                                <a:pt x="3041904" y="6096"/>
                              </a:lnTo>
                              <a:lnTo>
                                <a:pt x="304800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80003pt;margin-top:23.688494pt;width:479.05pt;height:.5pt;mso-position-horizontal-relative:page;mso-position-vertical-relative:paragraph;z-index:-15722496;mso-wrap-distance-left:0;mso-wrap-distance-right:0" id="docshape14" coordorigin="1330,474" coordsize="9581,10" path="m10910,474l6130,474,6120,474,1330,474,1330,483,6120,483,6130,483,10910,483,10910,474xe" filled="true" fillcolor="#000000" stroked="false">
                <v:path arrowok="t"/>
                <v:fill type="solid"/>
                <w10:wrap type="topAndBottom"/>
              </v:shape>
            </w:pict>
          </mc:Fallback>
        </mc:AlternateContent>
      </w:r>
    </w:p>
    <w:p>
      <w:pPr>
        <w:pStyle w:val="BodyText"/>
        <w:tabs>
          <w:tab w:pos="5705" w:val="left" w:leader="none"/>
        </w:tabs>
        <w:ind w:left="920"/>
        <w:jc w:val="both"/>
      </w:pPr>
      <w:r>
        <w:rPr/>
        <w:t>Bacterial</w:t>
      </w:r>
      <w:r>
        <w:rPr>
          <w:spacing w:val="-3"/>
        </w:rPr>
        <w:t> </w:t>
      </w:r>
      <w:r>
        <w:rPr>
          <w:spacing w:val="-2"/>
        </w:rPr>
        <w:t>Count/ml</w:t>
      </w:r>
      <w:r>
        <w:rPr/>
        <w:tab/>
      </w:r>
      <w:r>
        <w:rPr>
          <w:spacing w:val="-2"/>
        </w:rPr>
        <w:t>Grade</w:t>
      </w:r>
    </w:p>
    <w:p>
      <w:pPr>
        <w:pStyle w:val="BodyText"/>
        <w:rPr>
          <w:sz w:val="20"/>
        </w:rPr>
      </w:pPr>
      <w:r>
        <w:rPr/>
        <mc:AlternateContent>
          <mc:Choice Requires="wps">
            <w:drawing>
              <wp:anchor distT="0" distB="0" distL="0" distR="0" allowOverlap="1" layoutInCell="1" locked="0" behindDoc="1" simplePos="0" relativeHeight="487594496">
                <wp:simplePos x="0" y="0"/>
                <wp:positionH relativeFrom="page">
                  <wp:posOffset>844296</wp:posOffset>
                </wp:positionH>
                <wp:positionV relativeFrom="paragraph">
                  <wp:posOffset>170843</wp:posOffset>
                </wp:positionV>
                <wp:extent cx="6083935"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083935" cy="6350"/>
                        </a:xfrm>
                        <a:custGeom>
                          <a:avLst/>
                          <a:gdLst/>
                          <a:ahLst/>
                          <a:cxnLst/>
                          <a:rect l="l" t="t" r="r" b="b"/>
                          <a:pathLst>
                            <a:path w="6083935" h="6350">
                              <a:moveTo>
                                <a:pt x="6083808" y="0"/>
                              </a:moveTo>
                              <a:lnTo>
                                <a:pt x="3048000" y="0"/>
                              </a:lnTo>
                              <a:lnTo>
                                <a:pt x="3041904" y="0"/>
                              </a:lnTo>
                              <a:lnTo>
                                <a:pt x="0" y="0"/>
                              </a:lnTo>
                              <a:lnTo>
                                <a:pt x="0" y="6096"/>
                              </a:lnTo>
                              <a:lnTo>
                                <a:pt x="3041904" y="6096"/>
                              </a:lnTo>
                              <a:lnTo>
                                <a:pt x="304800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80003pt;margin-top:13.452246pt;width:479.05pt;height:.5pt;mso-position-horizontal-relative:page;mso-position-vertical-relative:paragraph;z-index:-15721984;mso-wrap-distance-left:0;mso-wrap-distance-right:0" id="docshape15" coordorigin="1330,269" coordsize="9581,10" path="m10910,269l6130,269,6120,269,1330,269,1330,279,6120,279,6130,279,10910,279,10910,269xe" filled="true" fillcolor="#000000" stroked="false">
                <v:path arrowok="t"/>
                <v:fill type="solid"/>
                <w10:wrap type="topAndBottom"/>
              </v:shape>
            </w:pict>
          </mc:Fallback>
        </mc:AlternateContent>
      </w:r>
    </w:p>
    <w:p>
      <w:pPr>
        <w:pStyle w:val="BodyText"/>
        <w:tabs>
          <w:tab w:pos="5705" w:val="left" w:leader="none"/>
        </w:tabs>
        <w:ind w:left="920"/>
      </w:pPr>
      <w:r>
        <w:rPr/>
        <w:t>Not</w:t>
      </w:r>
      <w:r>
        <w:rPr>
          <w:spacing w:val="-5"/>
        </w:rPr>
        <w:t> </w:t>
      </w:r>
      <w:r>
        <w:rPr/>
        <w:t>exceeding</w:t>
      </w:r>
      <w:r>
        <w:rPr>
          <w:spacing w:val="-1"/>
        </w:rPr>
        <w:t> </w:t>
      </w:r>
      <w:r>
        <w:rPr>
          <w:spacing w:val="-2"/>
        </w:rPr>
        <w:t>200,000</w:t>
      </w:r>
      <w:r>
        <w:rPr/>
        <w:tab/>
        <w:t>Very</w:t>
      </w:r>
      <w:r>
        <w:rPr>
          <w:spacing w:val="-3"/>
        </w:rPr>
        <w:t> </w:t>
      </w:r>
      <w:r>
        <w:rPr>
          <w:spacing w:val="-4"/>
        </w:rPr>
        <w:t>Good</w:t>
      </w:r>
    </w:p>
    <w:p>
      <w:pPr>
        <w:pStyle w:val="BodyText"/>
        <w:tabs>
          <w:tab w:pos="5705" w:val="left" w:leader="none"/>
        </w:tabs>
        <w:spacing w:before="266"/>
        <w:ind w:left="920"/>
      </w:pPr>
      <w:r>
        <w:rPr/>
        <w:t>200,000</w:t>
      </w:r>
      <w:r>
        <w:rPr>
          <w:spacing w:val="-7"/>
        </w:rPr>
        <w:t> </w:t>
      </w:r>
      <w:r>
        <w:rPr/>
        <w:t>–</w:t>
      </w:r>
      <w:r>
        <w:rPr>
          <w:spacing w:val="-1"/>
        </w:rPr>
        <w:t> </w:t>
      </w:r>
      <w:r>
        <w:rPr>
          <w:spacing w:val="-2"/>
        </w:rPr>
        <w:t>1,000,000</w:t>
      </w:r>
      <w:r>
        <w:rPr/>
        <w:tab/>
      </w:r>
      <w:r>
        <w:rPr>
          <w:spacing w:val="-4"/>
        </w:rPr>
        <w:t>Good</w:t>
      </w:r>
    </w:p>
    <w:p>
      <w:pPr>
        <w:pStyle w:val="BodyText"/>
      </w:pPr>
    </w:p>
    <w:p>
      <w:pPr>
        <w:pStyle w:val="BodyText"/>
        <w:tabs>
          <w:tab w:pos="5705" w:val="left" w:leader="none"/>
        </w:tabs>
        <w:ind w:left="920"/>
      </w:pPr>
      <w:r>
        <w:rPr/>
        <w:t>1,000,000</w:t>
      </w:r>
      <w:r>
        <w:rPr>
          <w:spacing w:val="-6"/>
        </w:rPr>
        <w:t> </w:t>
      </w:r>
      <w:r>
        <w:rPr/>
        <w:t>–</w:t>
      </w:r>
      <w:r>
        <w:rPr>
          <w:spacing w:val="-8"/>
        </w:rPr>
        <w:t> </w:t>
      </w:r>
      <w:r>
        <w:rPr>
          <w:spacing w:val="-2"/>
        </w:rPr>
        <w:t>5,000,000</w:t>
      </w:r>
      <w:r>
        <w:rPr/>
        <w:tab/>
      </w:r>
      <w:r>
        <w:rPr>
          <w:spacing w:val="-4"/>
        </w:rPr>
        <w:t>Fair</w:t>
      </w:r>
    </w:p>
    <w:p>
      <w:pPr>
        <w:pStyle w:val="BodyText"/>
      </w:pPr>
    </w:p>
    <w:p>
      <w:pPr>
        <w:pStyle w:val="BodyText"/>
        <w:tabs>
          <w:tab w:pos="5705" w:val="left" w:leader="none"/>
        </w:tabs>
        <w:spacing w:before="1"/>
        <w:ind w:left="920"/>
      </w:pPr>
      <w:r>
        <w:rPr>
          <w:spacing w:val="-2"/>
        </w:rPr>
        <w:t>˃5,000,000</w:t>
      </w:r>
      <w:r>
        <w:rPr/>
        <w:tab/>
      </w:r>
      <w:r>
        <w:rPr>
          <w:spacing w:val="-4"/>
        </w:rPr>
        <w:t>Poor</w:t>
      </w:r>
    </w:p>
    <w:p>
      <w:pPr>
        <w:pStyle w:val="BodyText"/>
        <w:spacing w:before="11"/>
        <w:rPr>
          <w:sz w:val="19"/>
        </w:rPr>
      </w:pPr>
      <w:r>
        <w:rPr/>
        <mc:AlternateContent>
          <mc:Choice Requires="wps">
            <w:drawing>
              <wp:anchor distT="0" distB="0" distL="0" distR="0" allowOverlap="1" layoutInCell="1" locked="0" behindDoc="1" simplePos="0" relativeHeight="487595008">
                <wp:simplePos x="0" y="0"/>
                <wp:positionH relativeFrom="page">
                  <wp:posOffset>835152</wp:posOffset>
                </wp:positionH>
                <wp:positionV relativeFrom="paragraph">
                  <wp:posOffset>169717</wp:posOffset>
                </wp:positionV>
                <wp:extent cx="6093460"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093460" cy="6350"/>
                        </a:xfrm>
                        <a:custGeom>
                          <a:avLst/>
                          <a:gdLst/>
                          <a:ahLst/>
                          <a:cxnLst/>
                          <a:rect l="l" t="t" r="r" b="b"/>
                          <a:pathLst>
                            <a:path w="6093460" h="6350">
                              <a:moveTo>
                                <a:pt x="6092952" y="0"/>
                              </a:moveTo>
                              <a:lnTo>
                                <a:pt x="3051048" y="0"/>
                              </a:lnTo>
                              <a:lnTo>
                                <a:pt x="3048000" y="0"/>
                              </a:lnTo>
                              <a:lnTo>
                                <a:pt x="3041904" y="0"/>
                              </a:lnTo>
                              <a:lnTo>
                                <a:pt x="0" y="0"/>
                              </a:lnTo>
                              <a:lnTo>
                                <a:pt x="0" y="6096"/>
                              </a:lnTo>
                              <a:lnTo>
                                <a:pt x="3041904" y="6096"/>
                              </a:lnTo>
                              <a:lnTo>
                                <a:pt x="3048000" y="6096"/>
                              </a:lnTo>
                              <a:lnTo>
                                <a:pt x="3051048"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760002pt;margin-top:13.363579pt;width:479.8pt;height:.5pt;mso-position-horizontal-relative:page;mso-position-vertical-relative:paragraph;z-index:-15721472;mso-wrap-distance-left:0;mso-wrap-distance-right:0" id="docshape16" coordorigin="1315,267" coordsize="9596,10" path="m10910,267l6120,267,6115,267,6106,267,1315,267,1315,277,6106,277,6115,277,6120,277,10910,277,10910,267xe" filled="true" fillcolor="#000000" stroked="false">
                <v:path arrowok="t"/>
                <v:fill type="solid"/>
                <w10:wrap type="topAndBottom"/>
              </v:shape>
            </w:pict>
          </mc:Fallback>
        </mc:AlternateContent>
      </w:r>
    </w:p>
    <w:p>
      <w:pPr>
        <w:spacing w:before="0"/>
        <w:ind w:left="920" w:right="0" w:firstLine="0"/>
        <w:jc w:val="both"/>
        <w:rPr>
          <w:sz w:val="22"/>
        </w:rPr>
      </w:pPr>
      <w:r>
        <w:rPr>
          <w:color w:val="333333"/>
          <w:sz w:val="22"/>
        </w:rPr>
        <w:t>Source:</w:t>
      </w:r>
      <w:r>
        <w:rPr>
          <w:color w:val="333333"/>
          <w:spacing w:val="-4"/>
          <w:sz w:val="22"/>
        </w:rPr>
        <w:t> </w:t>
      </w:r>
      <w:r>
        <w:rPr>
          <w:color w:val="333333"/>
          <w:sz w:val="22"/>
        </w:rPr>
        <w:t>Kurwijilla</w:t>
      </w:r>
      <w:r>
        <w:rPr>
          <w:color w:val="333333"/>
          <w:spacing w:val="-2"/>
          <w:sz w:val="22"/>
        </w:rPr>
        <w:t> </w:t>
      </w:r>
      <w:r>
        <w:rPr>
          <w:i/>
          <w:color w:val="333333"/>
          <w:sz w:val="22"/>
        </w:rPr>
        <w:t>et</w:t>
      </w:r>
      <w:r>
        <w:rPr>
          <w:i/>
          <w:color w:val="333333"/>
          <w:spacing w:val="-4"/>
          <w:sz w:val="22"/>
        </w:rPr>
        <w:t> </w:t>
      </w:r>
      <w:r>
        <w:rPr>
          <w:i/>
          <w:color w:val="333333"/>
          <w:sz w:val="22"/>
        </w:rPr>
        <w:t>al. </w:t>
      </w:r>
      <w:r>
        <w:rPr>
          <w:color w:val="333333"/>
          <w:spacing w:val="-2"/>
          <w:sz w:val="22"/>
        </w:rPr>
        <w:t>(1992)</w:t>
      </w:r>
    </w:p>
    <w:p>
      <w:pPr>
        <w:pStyle w:val="BodyText"/>
      </w:pPr>
    </w:p>
    <w:p>
      <w:pPr>
        <w:pStyle w:val="BodyText"/>
      </w:pPr>
    </w:p>
    <w:p>
      <w:pPr>
        <w:pStyle w:val="BodyText"/>
        <w:spacing w:before="170"/>
      </w:pPr>
    </w:p>
    <w:p>
      <w:pPr>
        <w:pStyle w:val="Heading6"/>
        <w:numPr>
          <w:ilvl w:val="2"/>
          <w:numId w:val="10"/>
        </w:numPr>
        <w:tabs>
          <w:tab w:pos="1415" w:val="left" w:leader="none"/>
        </w:tabs>
        <w:spacing w:line="240" w:lineRule="auto" w:before="0" w:after="0"/>
        <w:ind w:left="1415" w:right="0" w:hanging="495"/>
        <w:jc w:val="left"/>
      </w:pPr>
      <w:bookmarkStart w:name="_TOC_250057" w:id="34"/>
      <w:r>
        <w:rPr/>
        <w:t>Coliform</w:t>
      </w:r>
      <w:r>
        <w:rPr>
          <w:spacing w:val="-8"/>
        </w:rPr>
        <w:t> </w:t>
      </w:r>
      <w:r>
        <w:rPr/>
        <w:t>Bacteria</w:t>
      </w:r>
      <w:r>
        <w:rPr>
          <w:spacing w:val="-4"/>
        </w:rPr>
        <w:t> </w:t>
      </w:r>
      <w:r>
        <w:rPr/>
        <w:t>in</w:t>
      </w:r>
      <w:bookmarkEnd w:id="34"/>
      <w:r>
        <w:rPr>
          <w:spacing w:val="-4"/>
        </w:rPr>
        <w:t> Milk</w:t>
      </w:r>
    </w:p>
    <w:p>
      <w:pPr>
        <w:pStyle w:val="BodyText"/>
        <w:spacing w:before="241"/>
        <w:rPr>
          <w:b/>
        </w:rPr>
      </w:pPr>
    </w:p>
    <w:p>
      <w:pPr>
        <w:pStyle w:val="BodyText"/>
        <w:spacing w:line="480" w:lineRule="auto"/>
        <w:ind w:left="920" w:right="1173"/>
        <w:jc w:val="both"/>
        <w:rPr>
          <w:i/>
        </w:rPr>
      </w:pPr>
      <w:r>
        <w:rPr/>
        <w:t>Coliforms are group of bacteria, which inhabit the intestinal tracts of human and animals. They are excreted in large number with human excreta and animal droppings. They may be found in the soil, on vegetables and in untreated water (Teka, 1997). It includes all aerobic and facultatively anaerobic,</w:t>
      </w:r>
      <w:r>
        <w:rPr>
          <w:spacing w:val="80"/>
        </w:rPr>
        <w:t> </w:t>
      </w:r>
      <w:r>
        <w:rPr/>
        <w:t>Gram-negative, non-spore forming rods able to ferment lactose with the production of acid and gas at 35°C</w:t>
      </w:r>
      <w:r>
        <w:rPr>
          <w:spacing w:val="40"/>
        </w:rPr>
        <w:t> </w:t>
      </w:r>
      <w:r>
        <w:rPr/>
        <w:t>within</w:t>
      </w:r>
      <w:r>
        <w:rPr>
          <w:spacing w:val="40"/>
        </w:rPr>
        <w:t> </w:t>
      </w:r>
      <w:r>
        <w:rPr/>
        <w:t>48</w:t>
      </w:r>
      <w:r>
        <w:rPr>
          <w:spacing w:val="40"/>
        </w:rPr>
        <w:t> </w:t>
      </w:r>
      <w:r>
        <w:rPr/>
        <w:t>hours.</w:t>
      </w:r>
      <w:r>
        <w:rPr>
          <w:spacing w:val="40"/>
        </w:rPr>
        <w:t> </w:t>
      </w:r>
      <w:r>
        <w:rPr/>
        <w:t>Most</w:t>
      </w:r>
      <w:r>
        <w:rPr>
          <w:spacing w:val="40"/>
        </w:rPr>
        <w:t> </w:t>
      </w:r>
      <w:r>
        <w:rPr/>
        <w:t>of</w:t>
      </w:r>
      <w:r>
        <w:rPr>
          <w:spacing w:val="40"/>
        </w:rPr>
        <w:t> </w:t>
      </w:r>
      <w:r>
        <w:rPr/>
        <w:t>them</w:t>
      </w:r>
      <w:r>
        <w:rPr>
          <w:spacing w:val="40"/>
        </w:rPr>
        <w:t> </w:t>
      </w:r>
      <w:r>
        <w:rPr/>
        <w:t>belong</w:t>
      </w:r>
      <w:r>
        <w:rPr>
          <w:spacing w:val="40"/>
        </w:rPr>
        <w:t> </w:t>
      </w:r>
      <w:r>
        <w:rPr/>
        <w:t>to</w:t>
      </w:r>
      <w:r>
        <w:rPr>
          <w:spacing w:val="40"/>
        </w:rPr>
        <w:t> </w:t>
      </w:r>
      <w:r>
        <w:rPr/>
        <w:t>the</w:t>
      </w:r>
      <w:r>
        <w:rPr>
          <w:spacing w:val="40"/>
        </w:rPr>
        <w:t> </w:t>
      </w:r>
      <w:r>
        <w:rPr/>
        <w:t>genera</w:t>
      </w:r>
      <w:r>
        <w:rPr>
          <w:spacing w:val="40"/>
        </w:rPr>
        <w:t> </w:t>
      </w:r>
      <w:r>
        <w:rPr>
          <w:i/>
        </w:rPr>
        <w:t>Escherichia,</w:t>
      </w:r>
      <w:r>
        <w:rPr>
          <w:i/>
          <w:spacing w:val="40"/>
        </w:rPr>
        <w:t> </w:t>
      </w:r>
      <w:r>
        <w:rPr>
          <w:i/>
        </w:rPr>
        <w:t>Enterobacter</w:t>
      </w:r>
      <w:r>
        <w:rPr>
          <w:i/>
          <w:spacing w:val="40"/>
        </w:rPr>
        <w:t> </w:t>
      </w:r>
      <w:r>
        <w:rPr/>
        <w:t>and</w:t>
      </w:r>
      <w:r>
        <w:rPr>
          <w:spacing w:val="40"/>
        </w:rPr>
        <w:t> </w:t>
      </w:r>
      <w:r>
        <w:rPr>
          <w:i/>
        </w:rPr>
        <w:t>Klebsiella</w:t>
      </w:r>
    </w:p>
    <w:p>
      <w:pPr>
        <w:spacing w:after="0" w:line="480" w:lineRule="auto"/>
        <w:jc w:val="both"/>
        <w:sectPr>
          <w:pgSz w:w="12240" w:h="15840"/>
          <w:pgMar w:header="0" w:footer="1017" w:top="1400" w:bottom="1200" w:left="520" w:right="260"/>
        </w:sectPr>
      </w:pPr>
    </w:p>
    <w:p>
      <w:pPr>
        <w:pStyle w:val="BodyText"/>
        <w:spacing w:line="480" w:lineRule="auto" w:before="37"/>
        <w:ind w:left="920" w:right="1173"/>
        <w:jc w:val="both"/>
      </w:pPr>
      <w:r>
        <w:rPr/>
        <w:t>(Godefay and Molla, 2000). The presence of coliform organisms in milk indicates unsanitary conditions</w:t>
      </w:r>
      <w:r>
        <w:rPr>
          <w:spacing w:val="40"/>
        </w:rPr>
        <w:t> </w:t>
      </w:r>
      <w:r>
        <w:rPr/>
        <w:t>of production, processing or storage. Hence their presence in large number in dairy products is an indication that the products are potentially hazardous to the consumers’ health (Volk and Wheeler, 1980; Godefay and Molla, 2000). Coliform organisms contaminate milk from unclean milker’s hands, improperly cleaned and un sanitized or faulty sterilization of raw milk utensils especially churns, milking machines, improper preparation of the cows’ flecks or dirt, manure, hair dropping into milk during milking, udder washed with unclean water, dirty towels and udder not dried before milking (Ombui </w:t>
      </w:r>
      <w:r>
        <w:rPr>
          <w:i/>
        </w:rPr>
        <w:t>et al., </w:t>
      </w:r>
      <w:r>
        <w:rPr/>
        <w:t>1995).</w:t>
      </w:r>
    </w:p>
    <w:p>
      <w:pPr>
        <w:pStyle w:val="Heading6"/>
        <w:numPr>
          <w:ilvl w:val="2"/>
          <w:numId w:val="10"/>
        </w:numPr>
        <w:tabs>
          <w:tab w:pos="1415" w:val="left" w:leader="none"/>
        </w:tabs>
        <w:spacing w:line="240" w:lineRule="auto" w:before="239" w:after="0"/>
        <w:ind w:left="1415" w:right="0" w:hanging="495"/>
        <w:jc w:val="both"/>
      </w:pPr>
      <w:bookmarkStart w:name="_TOC_250056" w:id="35"/>
      <w:r>
        <w:rPr/>
        <w:t>Tests</w:t>
      </w:r>
      <w:r>
        <w:rPr>
          <w:spacing w:val="-4"/>
        </w:rPr>
        <w:t> </w:t>
      </w:r>
      <w:r>
        <w:rPr/>
        <w:t>for</w:t>
      </w:r>
      <w:r>
        <w:rPr>
          <w:spacing w:val="-4"/>
        </w:rPr>
        <w:t> </w:t>
      </w:r>
      <w:r>
        <w:rPr/>
        <w:t>Specific</w:t>
      </w:r>
      <w:r>
        <w:rPr>
          <w:spacing w:val="-3"/>
        </w:rPr>
        <w:t> </w:t>
      </w:r>
      <w:bookmarkEnd w:id="35"/>
      <w:r>
        <w:rPr>
          <w:spacing w:val="-2"/>
        </w:rPr>
        <w:t>Pathogens</w:t>
      </w:r>
    </w:p>
    <w:p>
      <w:pPr>
        <w:pStyle w:val="BodyText"/>
        <w:spacing w:before="240"/>
        <w:rPr>
          <w:b/>
        </w:rPr>
      </w:pPr>
    </w:p>
    <w:p>
      <w:pPr>
        <w:pStyle w:val="BodyText"/>
        <w:spacing w:line="480" w:lineRule="auto"/>
        <w:ind w:left="920" w:right="1176"/>
        <w:jc w:val="both"/>
      </w:pPr>
      <w:r>
        <w:rPr/>
        <w:t>Unless there is some evidence that a particular disease is being transmitted through milk, tests for specific pathogens are not run. The procedure to be followed depends on the specific organism in question (Quinn</w:t>
      </w:r>
      <w:r>
        <w:rPr>
          <w:i/>
        </w:rPr>
        <w:t>et al., </w:t>
      </w:r>
      <w:r>
        <w:rPr/>
        <w:t>1999a).</w:t>
      </w:r>
    </w:p>
    <w:p>
      <w:pPr>
        <w:pStyle w:val="Heading6"/>
        <w:numPr>
          <w:ilvl w:val="2"/>
          <w:numId w:val="10"/>
        </w:numPr>
        <w:tabs>
          <w:tab w:pos="1415" w:val="left" w:leader="none"/>
        </w:tabs>
        <w:spacing w:line="240" w:lineRule="auto" w:before="242" w:after="0"/>
        <w:ind w:left="1415" w:right="0" w:hanging="495"/>
        <w:jc w:val="both"/>
      </w:pPr>
      <w:bookmarkStart w:name="_TOC_250055" w:id="36"/>
      <w:r>
        <w:rPr/>
        <w:t>Somatic</w:t>
      </w:r>
      <w:r>
        <w:rPr>
          <w:spacing w:val="-7"/>
        </w:rPr>
        <w:t> </w:t>
      </w:r>
      <w:r>
        <w:rPr/>
        <w:t>Cell</w:t>
      </w:r>
      <w:r>
        <w:rPr>
          <w:spacing w:val="-1"/>
        </w:rPr>
        <w:t> </w:t>
      </w:r>
      <w:r>
        <w:rPr/>
        <w:t>Counts</w:t>
      </w:r>
      <w:bookmarkEnd w:id="36"/>
      <w:r>
        <w:rPr>
          <w:spacing w:val="-4"/>
        </w:rPr>
        <w:t> (SCC)</w:t>
      </w:r>
    </w:p>
    <w:p>
      <w:pPr>
        <w:pStyle w:val="BodyText"/>
        <w:spacing w:before="240"/>
        <w:rPr>
          <w:b/>
        </w:rPr>
      </w:pPr>
    </w:p>
    <w:p>
      <w:pPr>
        <w:pStyle w:val="BodyText"/>
        <w:spacing w:line="480" w:lineRule="auto"/>
        <w:ind w:left="920" w:right="1174"/>
        <w:jc w:val="both"/>
      </w:pPr>
      <w:r>
        <w:rPr/>
        <w:t>Somatic cell count refers to the total cells per millitre in milk. The somatic cell count (SCC) has been internationally recognized as a parameter for assessing milk quality and udder health (Degraaf </w:t>
      </w:r>
      <w:r>
        <w:rPr>
          <w:i/>
        </w:rPr>
        <w:t>et al</w:t>
      </w:r>
      <w:r>
        <w:rPr/>
        <w:t>., 1997). European Union (EU) standards require that the milk should not contain more than 400,000 somatic</w:t>
      </w:r>
      <w:r>
        <w:rPr>
          <w:spacing w:val="-1"/>
        </w:rPr>
        <w:t> </w:t>
      </w:r>
      <w:r>
        <w:rPr/>
        <w:t>cells/ml. Milk markets routinely rely on somatic</w:t>
      </w:r>
      <w:r>
        <w:rPr>
          <w:spacing w:val="-1"/>
        </w:rPr>
        <w:t> </w:t>
      </w:r>
      <w:r>
        <w:rPr/>
        <w:t>cell counts to ensure a quality product. Somatic cell counts levels are monitored to ensure compliance with set milk quality standards. Today, most markets in developed countries pay a premium for low SCC, good quality milk. One can appreciate the reasons, for paying a bonus for quality milk when the relationship between mastitis (high SCC) and milk composition is understood. Chemical changes in milk composition due to mastitis reduce milk quality (Rice and Bodman, 1997).</w:t>
      </w:r>
    </w:p>
    <w:p>
      <w:pPr>
        <w:spacing w:after="0" w:line="480" w:lineRule="auto"/>
        <w:jc w:val="both"/>
        <w:sectPr>
          <w:pgSz w:w="12240" w:h="15840"/>
          <w:pgMar w:header="0" w:footer="1017" w:top="1400" w:bottom="1200" w:left="520" w:right="260"/>
        </w:sectPr>
      </w:pPr>
    </w:p>
    <w:p>
      <w:pPr>
        <w:pStyle w:val="Heading6"/>
        <w:numPr>
          <w:ilvl w:val="2"/>
          <w:numId w:val="10"/>
        </w:numPr>
        <w:tabs>
          <w:tab w:pos="1415" w:val="left" w:leader="none"/>
        </w:tabs>
        <w:spacing w:line="240" w:lineRule="auto" w:before="37" w:after="0"/>
        <w:ind w:left="1415" w:right="0" w:hanging="495"/>
        <w:jc w:val="both"/>
      </w:pPr>
      <w:bookmarkStart w:name="_TOC_250054" w:id="37"/>
      <w:r>
        <w:rPr/>
        <w:t>Titrable</w:t>
      </w:r>
      <w:r>
        <w:rPr>
          <w:spacing w:val="-9"/>
        </w:rPr>
        <w:t> </w:t>
      </w:r>
      <w:r>
        <w:rPr/>
        <w:t>Acidity</w:t>
      </w:r>
      <w:bookmarkEnd w:id="37"/>
      <w:r>
        <w:rPr>
          <w:spacing w:val="-4"/>
        </w:rPr>
        <w:t> Test</w:t>
      </w:r>
    </w:p>
    <w:p>
      <w:pPr>
        <w:pStyle w:val="BodyText"/>
        <w:spacing w:before="240"/>
        <w:rPr>
          <w:b/>
        </w:rPr>
      </w:pPr>
    </w:p>
    <w:p>
      <w:pPr>
        <w:pStyle w:val="BodyText"/>
        <w:spacing w:line="480" w:lineRule="auto"/>
        <w:ind w:left="920" w:right="1173"/>
        <w:jc w:val="both"/>
      </w:pPr>
      <w:r>
        <w:rPr/>
        <w:t>In order to determine the sourness of milk, titration is often used with sodium hydroxide (NaOH) and</w:t>
      </w:r>
      <w:r>
        <w:rPr>
          <w:spacing w:val="40"/>
        </w:rPr>
        <w:t> </w:t>
      </w:r>
      <w:r>
        <w:rPr/>
        <w:t>the degree of sourness is given by Soxhlet-Henkel Degree (°SH). Generally the sourness of normal</w:t>
      </w:r>
      <w:r>
        <w:rPr>
          <w:spacing w:val="-2"/>
        </w:rPr>
        <w:t> </w:t>
      </w:r>
      <w:r>
        <w:rPr/>
        <w:t>milk is 6 to 7°SH. If the milk sourness is 4 to 5°SH, it indicates that either the milk is adulterated or there is mastitis (Kurwijila </w:t>
      </w:r>
      <w:r>
        <w:rPr>
          <w:i/>
        </w:rPr>
        <w:t>et al., </w:t>
      </w:r>
      <w:r>
        <w:rPr/>
        <w:t>1992).</w:t>
      </w:r>
    </w:p>
    <w:p>
      <w:pPr>
        <w:pStyle w:val="Heading6"/>
        <w:numPr>
          <w:ilvl w:val="2"/>
          <w:numId w:val="10"/>
        </w:numPr>
        <w:tabs>
          <w:tab w:pos="1415" w:val="left" w:leader="none"/>
        </w:tabs>
        <w:spacing w:line="240" w:lineRule="auto" w:before="237" w:after="0"/>
        <w:ind w:left="1415" w:right="0" w:hanging="495"/>
        <w:jc w:val="both"/>
      </w:pPr>
      <w:bookmarkStart w:name="_TOC_250053" w:id="38"/>
      <w:r>
        <w:rPr/>
        <w:t>Phosphatase</w:t>
      </w:r>
      <w:r>
        <w:rPr>
          <w:spacing w:val="-6"/>
        </w:rPr>
        <w:t> </w:t>
      </w:r>
      <w:bookmarkEnd w:id="38"/>
      <w:r>
        <w:rPr>
          <w:spacing w:val="-4"/>
        </w:rPr>
        <w:t>Test</w:t>
      </w:r>
    </w:p>
    <w:p>
      <w:pPr>
        <w:pStyle w:val="BodyText"/>
        <w:spacing w:before="241"/>
        <w:rPr>
          <w:b/>
        </w:rPr>
      </w:pPr>
    </w:p>
    <w:p>
      <w:pPr>
        <w:pStyle w:val="BodyText"/>
        <w:spacing w:line="480" w:lineRule="auto"/>
        <w:ind w:left="920" w:right="1175"/>
        <w:jc w:val="both"/>
      </w:pPr>
      <w:r>
        <w:rPr/>
        <w:t>The phosphatase test is the most important public health measure for controlling the efficiency of pasteurization, hence the safety of milk. Phosphatase is an enzyme, which is normally present in raw milk. When milk is pasteurized by any of the recognized processes, the enzyme is completely</w:t>
      </w:r>
      <w:r>
        <w:rPr>
          <w:spacing w:val="40"/>
        </w:rPr>
        <w:t> </w:t>
      </w:r>
      <w:r>
        <w:rPr/>
        <w:t>inactivated. Therefore,</w:t>
      </w:r>
      <w:r>
        <w:rPr>
          <w:spacing w:val="-3"/>
        </w:rPr>
        <w:t> </w:t>
      </w:r>
      <w:r>
        <w:rPr/>
        <w:t>a</w:t>
      </w:r>
      <w:r>
        <w:rPr>
          <w:spacing w:val="-5"/>
        </w:rPr>
        <w:t> </w:t>
      </w:r>
      <w:r>
        <w:rPr/>
        <w:t>positive phosphatase test</w:t>
      </w:r>
      <w:r>
        <w:rPr>
          <w:spacing w:val="-7"/>
        </w:rPr>
        <w:t> </w:t>
      </w:r>
      <w:r>
        <w:rPr/>
        <w:t>will</w:t>
      </w:r>
      <w:r>
        <w:rPr>
          <w:spacing w:val="-3"/>
        </w:rPr>
        <w:t> </w:t>
      </w:r>
      <w:r>
        <w:rPr/>
        <w:t>indicate that</w:t>
      </w:r>
      <w:r>
        <w:rPr>
          <w:spacing w:val="-2"/>
        </w:rPr>
        <w:t> </w:t>
      </w:r>
      <w:r>
        <w:rPr/>
        <w:t>the</w:t>
      </w:r>
      <w:r>
        <w:rPr>
          <w:spacing w:val="-5"/>
        </w:rPr>
        <w:t> </w:t>
      </w:r>
      <w:r>
        <w:rPr/>
        <w:t>milk</w:t>
      </w:r>
      <w:r>
        <w:rPr>
          <w:spacing w:val="-5"/>
        </w:rPr>
        <w:t> </w:t>
      </w:r>
      <w:r>
        <w:rPr/>
        <w:t>is not</w:t>
      </w:r>
      <w:r>
        <w:rPr>
          <w:spacing w:val="-2"/>
        </w:rPr>
        <w:t> </w:t>
      </w:r>
      <w:r>
        <w:rPr/>
        <w:t>properly pasteurized. It may mean any one of the following (Teka, 1997):</w:t>
      </w:r>
    </w:p>
    <w:p>
      <w:pPr>
        <w:pStyle w:val="ListParagraph"/>
        <w:numPr>
          <w:ilvl w:val="0"/>
          <w:numId w:val="11"/>
        </w:numPr>
        <w:tabs>
          <w:tab w:pos="1639" w:val="left" w:leader="none"/>
        </w:tabs>
        <w:spacing w:line="240" w:lineRule="auto" w:before="239" w:after="0"/>
        <w:ind w:left="1639" w:right="0" w:hanging="359"/>
        <w:jc w:val="left"/>
        <w:rPr>
          <w:sz w:val="24"/>
        </w:rPr>
      </w:pPr>
      <w:r>
        <w:rPr>
          <w:sz w:val="24"/>
        </w:rPr>
        <w:t>The</w:t>
      </w:r>
      <w:r>
        <w:rPr>
          <w:spacing w:val="-9"/>
          <w:sz w:val="24"/>
        </w:rPr>
        <w:t> </w:t>
      </w:r>
      <w:r>
        <w:rPr>
          <w:sz w:val="24"/>
        </w:rPr>
        <w:t>pasteurization</w:t>
      </w:r>
      <w:r>
        <w:rPr>
          <w:spacing w:val="-12"/>
          <w:sz w:val="24"/>
        </w:rPr>
        <w:t> </w:t>
      </w:r>
      <w:r>
        <w:rPr>
          <w:sz w:val="24"/>
        </w:rPr>
        <w:t>temperature</w:t>
      </w:r>
      <w:r>
        <w:rPr>
          <w:spacing w:val="-12"/>
          <w:sz w:val="24"/>
        </w:rPr>
        <w:t> </w:t>
      </w:r>
      <w:r>
        <w:rPr>
          <w:sz w:val="24"/>
        </w:rPr>
        <w:t>time</w:t>
      </w:r>
      <w:r>
        <w:rPr>
          <w:spacing w:val="-8"/>
          <w:sz w:val="24"/>
        </w:rPr>
        <w:t> </w:t>
      </w:r>
      <w:r>
        <w:rPr>
          <w:sz w:val="24"/>
        </w:rPr>
        <w:t>combination</w:t>
      </w:r>
      <w:r>
        <w:rPr>
          <w:spacing w:val="-12"/>
          <w:sz w:val="24"/>
        </w:rPr>
        <w:t> </w:t>
      </w:r>
      <w:r>
        <w:rPr>
          <w:sz w:val="24"/>
        </w:rPr>
        <w:t>was</w:t>
      </w:r>
      <w:r>
        <w:rPr>
          <w:spacing w:val="-10"/>
          <w:sz w:val="24"/>
        </w:rPr>
        <w:t> </w:t>
      </w:r>
      <w:r>
        <w:rPr>
          <w:sz w:val="24"/>
        </w:rPr>
        <w:t>not</w:t>
      </w:r>
      <w:r>
        <w:rPr>
          <w:spacing w:val="-3"/>
          <w:sz w:val="24"/>
        </w:rPr>
        <w:t> </w:t>
      </w:r>
      <w:r>
        <w:rPr>
          <w:sz w:val="24"/>
        </w:rPr>
        <w:t>strictly</w:t>
      </w:r>
      <w:r>
        <w:rPr>
          <w:spacing w:val="-12"/>
          <w:sz w:val="24"/>
        </w:rPr>
        <w:t> </w:t>
      </w:r>
      <w:r>
        <w:rPr>
          <w:spacing w:val="-2"/>
          <w:sz w:val="24"/>
        </w:rPr>
        <w:t>observed</w:t>
      </w:r>
    </w:p>
    <w:p>
      <w:pPr>
        <w:pStyle w:val="ListParagraph"/>
        <w:numPr>
          <w:ilvl w:val="0"/>
          <w:numId w:val="11"/>
        </w:numPr>
        <w:tabs>
          <w:tab w:pos="1639" w:val="left" w:leader="none"/>
        </w:tabs>
        <w:spacing w:line="240" w:lineRule="auto" w:before="273" w:after="0"/>
        <w:ind w:left="1639" w:right="0" w:hanging="359"/>
        <w:jc w:val="left"/>
        <w:rPr>
          <w:sz w:val="24"/>
        </w:rPr>
      </w:pPr>
      <w:r>
        <w:rPr>
          <w:sz w:val="24"/>
        </w:rPr>
        <w:t>The</w:t>
      </w:r>
      <w:r>
        <w:rPr>
          <w:spacing w:val="-11"/>
          <w:sz w:val="24"/>
        </w:rPr>
        <w:t> </w:t>
      </w:r>
      <w:r>
        <w:rPr>
          <w:sz w:val="24"/>
        </w:rPr>
        <w:t>pasteurization</w:t>
      </w:r>
      <w:r>
        <w:rPr>
          <w:spacing w:val="-13"/>
          <w:sz w:val="24"/>
        </w:rPr>
        <w:t> </w:t>
      </w:r>
      <w:r>
        <w:rPr>
          <w:sz w:val="24"/>
        </w:rPr>
        <w:t>equipment</w:t>
      </w:r>
      <w:r>
        <w:rPr>
          <w:spacing w:val="-6"/>
          <w:sz w:val="24"/>
        </w:rPr>
        <w:t> </w:t>
      </w:r>
      <w:r>
        <w:rPr>
          <w:sz w:val="24"/>
        </w:rPr>
        <w:t>was</w:t>
      </w:r>
      <w:r>
        <w:rPr>
          <w:spacing w:val="-11"/>
          <w:sz w:val="24"/>
        </w:rPr>
        <w:t> </w:t>
      </w:r>
      <w:r>
        <w:rPr>
          <w:sz w:val="24"/>
        </w:rPr>
        <w:t>not</w:t>
      </w:r>
      <w:r>
        <w:rPr>
          <w:spacing w:val="-9"/>
          <w:sz w:val="24"/>
        </w:rPr>
        <w:t> </w:t>
      </w:r>
      <w:r>
        <w:rPr>
          <w:sz w:val="24"/>
        </w:rPr>
        <w:t>functioning</w:t>
      </w:r>
      <w:r>
        <w:rPr>
          <w:spacing w:val="-10"/>
          <w:sz w:val="24"/>
        </w:rPr>
        <w:t> </w:t>
      </w:r>
      <w:r>
        <w:rPr>
          <w:spacing w:val="-2"/>
          <w:sz w:val="24"/>
        </w:rPr>
        <w:t>properly</w:t>
      </w:r>
    </w:p>
    <w:p>
      <w:pPr>
        <w:pStyle w:val="BodyText"/>
        <w:spacing w:before="1"/>
        <w:rPr>
          <w:rFonts w:ascii="Times New Roman"/>
          <w:sz w:val="24"/>
        </w:rPr>
      </w:pPr>
    </w:p>
    <w:p>
      <w:pPr>
        <w:pStyle w:val="ListParagraph"/>
        <w:numPr>
          <w:ilvl w:val="0"/>
          <w:numId w:val="11"/>
        </w:numPr>
        <w:tabs>
          <w:tab w:pos="1639" w:val="left" w:leader="none"/>
        </w:tabs>
        <w:spacing w:line="240" w:lineRule="auto" w:before="0" w:after="0"/>
        <w:ind w:left="1639" w:right="0" w:hanging="359"/>
        <w:jc w:val="left"/>
        <w:rPr>
          <w:sz w:val="24"/>
        </w:rPr>
      </w:pPr>
      <w:r>
        <w:rPr>
          <w:sz w:val="24"/>
        </w:rPr>
        <w:t>The</w:t>
      </w:r>
      <w:r>
        <w:rPr>
          <w:spacing w:val="-7"/>
          <w:sz w:val="24"/>
        </w:rPr>
        <w:t> </w:t>
      </w:r>
      <w:r>
        <w:rPr>
          <w:sz w:val="24"/>
        </w:rPr>
        <w:t>pasteurized</w:t>
      </w:r>
      <w:r>
        <w:rPr>
          <w:spacing w:val="-2"/>
          <w:sz w:val="24"/>
        </w:rPr>
        <w:t> </w:t>
      </w:r>
      <w:r>
        <w:rPr>
          <w:sz w:val="24"/>
        </w:rPr>
        <w:t>milk</w:t>
      </w:r>
      <w:r>
        <w:rPr>
          <w:spacing w:val="-6"/>
          <w:sz w:val="24"/>
        </w:rPr>
        <w:t> </w:t>
      </w:r>
      <w:r>
        <w:rPr>
          <w:sz w:val="24"/>
        </w:rPr>
        <w:t>has</w:t>
      </w:r>
      <w:r>
        <w:rPr>
          <w:spacing w:val="-3"/>
          <w:sz w:val="24"/>
        </w:rPr>
        <w:t> </w:t>
      </w:r>
      <w:r>
        <w:rPr>
          <w:sz w:val="24"/>
        </w:rPr>
        <w:t>been</w:t>
      </w:r>
      <w:r>
        <w:rPr>
          <w:spacing w:val="-11"/>
          <w:sz w:val="24"/>
        </w:rPr>
        <w:t> </w:t>
      </w:r>
      <w:r>
        <w:rPr>
          <w:sz w:val="24"/>
        </w:rPr>
        <w:t>contaminated</w:t>
      </w:r>
      <w:r>
        <w:rPr>
          <w:spacing w:val="-6"/>
          <w:sz w:val="24"/>
        </w:rPr>
        <w:t> </w:t>
      </w:r>
      <w:r>
        <w:rPr>
          <w:sz w:val="24"/>
        </w:rPr>
        <w:t>by</w:t>
      </w:r>
      <w:r>
        <w:rPr>
          <w:spacing w:val="-14"/>
          <w:sz w:val="24"/>
        </w:rPr>
        <w:t> </w:t>
      </w:r>
      <w:r>
        <w:rPr>
          <w:sz w:val="24"/>
        </w:rPr>
        <w:t>raw</w:t>
      </w:r>
      <w:r>
        <w:rPr>
          <w:spacing w:val="-6"/>
          <w:sz w:val="24"/>
        </w:rPr>
        <w:t> </w:t>
      </w:r>
      <w:r>
        <w:rPr>
          <w:spacing w:val="-2"/>
          <w:sz w:val="24"/>
        </w:rPr>
        <w:t>milk.</w:t>
      </w:r>
    </w:p>
    <w:p>
      <w:pPr>
        <w:pStyle w:val="BodyText"/>
        <w:spacing w:before="244"/>
        <w:rPr>
          <w:rFonts w:ascii="Times New Roman"/>
          <w:sz w:val="24"/>
        </w:rPr>
      </w:pPr>
    </w:p>
    <w:p>
      <w:pPr>
        <w:pStyle w:val="BodyText"/>
        <w:spacing w:line="480" w:lineRule="auto"/>
        <w:ind w:left="920" w:right="1178"/>
        <w:jc w:val="both"/>
      </w:pPr>
      <w:r>
        <w:rPr/>
        <w:t>This is important because improperly pasteurized milk still could transmit tuberculosis, brucellosis, and</w:t>
      </w:r>
      <w:r>
        <w:rPr>
          <w:spacing w:val="40"/>
        </w:rPr>
        <w:t> </w:t>
      </w:r>
      <w:r>
        <w:rPr/>
        <w:t>Q fever (Volk and Wheeler, 1980).</w:t>
      </w:r>
    </w:p>
    <w:p>
      <w:pPr>
        <w:pStyle w:val="Heading6"/>
        <w:numPr>
          <w:ilvl w:val="2"/>
          <w:numId w:val="10"/>
        </w:numPr>
        <w:tabs>
          <w:tab w:pos="1415" w:val="left" w:leader="none"/>
        </w:tabs>
        <w:spacing w:line="240" w:lineRule="auto" w:before="236" w:after="0"/>
        <w:ind w:left="1415" w:right="0" w:hanging="495"/>
        <w:jc w:val="left"/>
      </w:pPr>
      <w:bookmarkStart w:name="_TOC_250052" w:id="39"/>
      <w:r>
        <w:rPr/>
        <w:t>Other</w:t>
      </w:r>
      <w:r>
        <w:rPr>
          <w:spacing w:val="-8"/>
        </w:rPr>
        <w:t> </w:t>
      </w:r>
      <w:r>
        <w:rPr/>
        <w:t>Milk Quality</w:t>
      </w:r>
      <w:r>
        <w:rPr>
          <w:spacing w:val="-2"/>
        </w:rPr>
        <w:t> </w:t>
      </w:r>
      <w:bookmarkEnd w:id="39"/>
      <w:r>
        <w:rPr>
          <w:spacing w:val="-4"/>
        </w:rPr>
        <w:t>Tests</w:t>
      </w:r>
    </w:p>
    <w:p>
      <w:pPr>
        <w:pStyle w:val="BodyText"/>
        <w:spacing w:before="240"/>
        <w:rPr>
          <w:b/>
        </w:rPr>
      </w:pPr>
    </w:p>
    <w:p>
      <w:pPr>
        <w:pStyle w:val="ListParagraph"/>
        <w:numPr>
          <w:ilvl w:val="0"/>
          <w:numId w:val="12"/>
        </w:numPr>
        <w:tabs>
          <w:tab w:pos="1139" w:val="left" w:leader="none"/>
        </w:tabs>
        <w:spacing w:line="240" w:lineRule="auto" w:before="1" w:after="0"/>
        <w:ind w:left="1139" w:right="0" w:hanging="219"/>
        <w:jc w:val="left"/>
        <w:rPr>
          <w:rFonts w:ascii="Calibri"/>
          <w:i/>
          <w:sz w:val="22"/>
        </w:rPr>
      </w:pPr>
      <w:r>
        <w:rPr>
          <w:rFonts w:ascii="Calibri"/>
          <w:i/>
          <w:sz w:val="22"/>
        </w:rPr>
        <w:t>Organoleptic</w:t>
      </w:r>
      <w:r>
        <w:rPr>
          <w:rFonts w:ascii="Calibri"/>
          <w:i/>
          <w:spacing w:val="-10"/>
          <w:sz w:val="22"/>
        </w:rPr>
        <w:t> </w:t>
      </w:r>
      <w:r>
        <w:rPr>
          <w:rFonts w:ascii="Calibri"/>
          <w:i/>
          <w:spacing w:val="-4"/>
          <w:sz w:val="22"/>
        </w:rPr>
        <w:t>tests</w:t>
      </w:r>
    </w:p>
    <w:p>
      <w:pPr>
        <w:pStyle w:val="BodyText"/>
        <w:spacing w:before="240"/>
        <w:rPr>
          <w:i/>
        </w:rPr>
      </w:pPr>
    </w:p>
    <w:p>
      <w:pPr>
        <w:pStyle w:val="BodyText"/>
        <w:spacing w:line="480" w:lineRule="auto"/>
        <w:ind w:left="920" w:right="1171"/>
        <w:jc w:val="both"/>
      </w:pPr>
      <w:r>
        <w:rPr/>
        <w:t>Bacteria cause various undesirable and detectable organoleptic and physical changes in milk. Generally, when actively growing types of organism capable of causing changes in flavor and physical appearance</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reach population levels of 5-20 millions per ml; organoleptic and physical changes are evident or imminent (Ashenafi and Beyene, 1994). The general appearance, cleanliness, colour and smell of the fresh milk should be checked at collection before it is blended with milk from other suppliers since the volume and value at risk increases down the chain (Harding, 1999).</w:t>
      </w:r>
    </w:p>
    <w:p>
      <w:pPr>
        <w:pStyle w:val="ListParagraph"/>
        <w:numPr>
          <w:ilvl w:val="0"/>
          <w:numId w:val="12"/>
        </w:numPr>
        <w:tabs>
          <w:tab w:pos="1139" w:val="left" w:leader="none"/>
        </w:tabs>
        <w:spacing w:line="240" w:lineRule="auto" w:before="242" w:after="0"/>
        <w:ind w:left="1139" w:right="0" w:hanging="219"/>
        <w:jc w:val="both"/>
        <w:rPr>
          <w:rFonts w:ascii="Calibri"/>
          <w:i/>
          <w:sz w:val="22"/>
        </w:rPr>
      </w:pPr>
      <w:r>
        <w:rPr>
          <w:rFonts w:ascii="Calibri"/>
          <w:i/>
          <w:sz w:val="22"/>
        </w:rPr>
        <w:t>Sedimentation</w:t>
      </w:r>
      <w:r>
        <w:rPr>
          <w:rFonts w:ascii="Calibri"/>
          <w:i/>
          <w:spacing w:val="-8"/>
          <w:sz w:val="22"/>
        </w:rPr>
        <w:t> </w:t>
      </w:r>
      <w:r>
        <w:rPr>
          <w:rFonts w:ascii="Calibri"/>
          <w:i/>
          <w:spacing w:val="-4"/>
          <w:sz w:val="22"/>
        </w:rPr>
        <w:t>test</w:t>
      </w:r>
    </w:p>
    <w:p>
      <w:pPr>
        <w:pStyle w:val="BodyText"/>
        <w:spacing w:before="235"/>
        <w:rPr>
          <w:i/>
        </w:rPr>
      </w:pPr>
    </w:p>
    <w:p>
      <w:pPr>
        <w:pStyle w:val="BodyText"/>
        <w:spacing w:line="480" w:lineRule="auto"/>
        <w:ind w:left="920" w:right="1173"/>
        <w:jc w:val="both"/>
      </w:pPr>
      <w:r>
        <w:rPr/>
        <w:t>This is Performed by leaving milk in flask or any container and kept for 15-30 minutes and observing if there is any sedimentation of dirt. The sediment can be examined bacteriologically for the presence of bacteria (Warner, 1975).</w:t>
      </w:r>
    </w:p>
    <w:p>
      <w:pPr>
        <w:pStyle w:val="ListParagraph"/>
        <w:numPr>
          <w:ilvl w:val="0"/>
          <w:numId w:val="12"/>
        </w:numPr>
        <w:tabs>
          <w:tab w:pos="1116" w:val="left" w:leader="none"/>
        </w:tabs>
        <w:spacing w:line="240" w:lineRule="auto" w:before="242" w:after="0"/>
        <w:ind w:left="1116" w:right="0" w:hanging="196"/>
        <w:jc w:val="both"/>
        <w:rPr>
          <w:rFonts w:ascii="Calibri"/>
          <w:i/>
          <w:sz w:val="22"/>
        </w:rPr>
      </w:pPr>
      <w:r>
        <w:rPr>
          <w:rFonts w:ascii="Calibri"/>
          <w:i/>
          <w:sz w:val="22"/>
        </w:rPr>
        <w:t>Clot</w:t>
      </w:r>
      <w:r>
        <w:rPr>
          <w:rFonts w:ascii="Calibri"/>
          <w:i/>
          <w:spacing w:val="-7"/>
          <w:sz w:val="22"/>
        </w:rPr>
        <w:t> </w:t>
      </w:r>
      <w:r>
        <w:rPr>
          <w:rFonts w:ascii="Calibri"/>
          <w:i/>
          <w:sz w:val="22"/>
        </w:rPr>
        <w:t>on</w:t>
      </w:r>
      <w:r>
        <w:rPr>
          <w:rFonts w:ascii="Calibri"/>
          <w:i/>
          <w:spacing w:val="-1"/>
          <w:sz w:val="22"/>
        </w:rPr>
        <w:t> </w:t>
      </w:r>
      <w:r>
        <w:rPr>
          <w:rFonts w:ascii="Calibri"/>
          <w:i/>
          <w:sz w:val="22"/>
        </w:rPr>
        <w:t>boiling </w:t>
      </w:r>
      <w:r>
        <w:rPr>
          <w:rFonts w:ascii="Calibri"/>
          <w:i/>
          <w:spacing w:val="-4"/>
          <w:sz w:val="22"/>
        </w:rPr>
        <w:t>test</w:t>
      </w:r>
    </w:p>
    <w:p>
      <w:pPr>
        <w:pStyle w:val="BodyText"/>
        <w:spacing w:before="240"/>
        <w:rPr>
          <w:i/>
        </w:rPr>
      </w:pPr>
    </w:p>
    <w:p>
      <w:pPr>
        <w:pStyle w:val="BodyText"/>
        <w:spacing w:line="480" w:lineRule="auto"/>
        <w:ind w:left="920" w:right="1174"/>
        <w:jc w:val="both"/>
      </w:pPr>
      <w:r>
        <w:rPr/>
        <w:t>Acidity decreases the stability of milk. If the concentration of hydrogen ion is more than the normal amount (O’Mahony, 1988), then casein will get precipitated on heating immediately. The clot on boiling test</w:t>
      </w:r>
      <w:r>
        <w:rPr>
          <w:spacing w:val="-1"/>
        </w:rPr>
        <w:t> </w:t>
      </w:r>
      <w:r>
        <w:rPr/>
        <w:t>is used to</w:t>
      </w:r>
      <w:r>
        <w:rPr>
          <w:spacing w:val="-1"/>
        </w:rPr>
        <w:t> </w:t>
      </w:r>
      <w:r>
        <w:rPr/>
        <w:t>determine</w:t>
      </w:r>
      <w:r>
        <w:rPr>
          <w:spacing w:val="-4"/>
        </w:rPr>
        <w:t> </w:t>
      </w:r>
      <w:r>
        <w:rPr/>
        <w:t>whether milk</w:t>
      </w:r>
      <w:r>
        <w:rPr>
          <w:spacing w:val="-4"/>
        </w:rPr>
        <w:t> </w:t>
      </w:r>
      <w:r>
        <w:rPr/>
        <w:t>is suitable for processing,</w:t>
      </w:r>
      <w:r>
        <w:rPr>
          <w:spacing w:val="-2"/>
        </w:rPr>
        <w:t> </w:t>
      </w:r>
      <w:r>
        <w:rPr/>
        <w:t>as it</w:t>
      </w:r>
      <w:r>
        <w:rPr>
          <w:spacing w:val="-1"/>
        </w:rPr>
        <w:t> </w:t>
      </w:r>
      <w:r>
        <w:rPr/>
        <w:t>indicates whether the milk is</w:t>
      </w:r>
      <w:r>
        <w:rPr>
          <w:spacing w:val="-4"/>
        </w:rPr>
        <w:t> </w:t>
      </w:r>
      <w:r>
        <w:rPr/>
        <w:t>likely to coagulate during processing (usually pasteurization). It is performed when milk is brought to the processing plant. If the milk fails the test, it is rejected (O’Mahony</w:t>
      </w:r>
      <w:r>
        <w:rPr>
          <w:b/>
        </w:rPr>
        <w:t>, </w:t>
      </w:r>
      <w:r>
        <w:rPr/>
        <w:t>1988).</w:t>
      </w:r>
    </w:p>
    <w:p>
      <w:pPr>
        <w:pStyle w:val="ListParagraph"/>
        <w:numPr>
          <w:ilvl w:val="0"/>
          <w:numId w:val="12"/>
        </w:numPr>
        <w:tabs>
          <w:tab w:pos="1139" w:val="left" w:leader="none"/>
        </w:tabs>
        <w:spacing w:line="240" w:lineRule="auto" w:before="243" w:after="0"/>
        <w:ind w:left="1139" w:right="0" w:hanging="219"/>
        <w:jc w:val="both"/>
        <w:rPr>
          <w:rFonts w:ascii="Calibri"/>
          <w:i/>
          <w:sz w:val="22"/>
        </w:rPr>
      </w:pPr>
      <w:r>
        <w:rPr>
          <w:rFonts w:ascii="Calibri"/>
          <w:i/>
          <w:sz w:val="22"/>
        </w:rPr>
        <w:t>Catalase</w:t>
      </w:r>
      <w:r>
        <w:rPr>
          <w:rFonts w:ascii="Calibri"/>
          <w:i/>
          <w:spacing w:val="-4"/>
          <w:sz w:val="22"/>
        </w:rPr>
        <w:t> test</w:t>
      </w:r>
    </w:p>
    <w:p>
      <w:pPr>
        <w:pStyle w:val="BodyText"/>
        <w:spacing w:before="235"/>
        <w:rPr>
          <w:i/>
        </w:rPr>
      </w:pPr>
    </w:p>
    <w:p>
      <w:pPr>
        <w:pStyle w:val="BodyText"/>
        <w:spacing w:line="480" w:lineRule="auto"/>
        <w:ind w:left="920" w:right="1172"/>
        <w:jc w:val="both"/>
      </w:pPr>
      <w:r>
        <w:rPr/>
        <w:t>This measures the activity of the enzyme catalase. The catalase content of milk primarily depends upon the number of cells in milk. Hence the increased activity of this enzyme indicates mastitis (Cheesbrough, </w:t>
      </w:r>
      <w:r>
        <w:rPr>
          <w:spacing w:val="-2"/>
        </w:rPr>
        <w:t>2000).</w:t>
      </w:r>
    </w:p>
    <w:p>
      <w:pPr>
        <w:spacing w:after="0" w:line="480" w:lineRule="auto"/>
        <w:jc w:val="both"/>
        <w:sectPr>
          <w:pgSz w:w="12240" w:h="15840"/>
          <w:pgMar w:header="0" w:footer="1017" w:top="1400" w:bottom="1200" w:left="520" w:right="260"/>
        </w:sectPr>
      </w:pPr>
    </w:p>
    <w:p>
      <w:pPr>
        <w:pStyle w:val="BodyText"/>
        <w:spacing w:before="125"/>
      </w:pPr>
    </w:p>
    <w:p>
      <w:pPr>
        <w:pStyle w:val="ListParagraph"/>
        <w:numPr>
          <w:ilvl w:val="0"/>
          <w:numId w:val="12"/>
        </w:numPr>
        <w:tabs>
          <w:tab w:pos="1130" w:val="left" w:leader="none"/>
        </w:tabs>
        <w:spacing w:line="240" w:lineRule="auto" w:before="1" w:after="0"/>
        <w:ind w:left="1130" w:right="0" w:hanging="210"/>
        <w:jc w:val="both"/>
        <w:rPr>
          <w:rFonts w:ascii="Calibri"/>
          <w:i/>
          <w:sz w:val="22"/>
        </w:rPr>
      </w:pPr>
      <w:r>
        <w:rPr>
          <w:rFonts w:ascii="Calibri"/>
          <w:i/>
          <w:sz w:val="22"/>
        </w:rPr>
        <w:t>Specific</w:t>
      </w:r>
      <w:r>
        <w:rPr>
          <w:rFonts w:ascii="Calibri"/>
          <w:i/>
          <w:spacing w:val="-3"/>
          <w:sz w:val="22"/>
        </w:rPr>
        <w:t> </w:t>
      </w:r>
      <w:r>
        <w:rPr>
          <w:rFonts w:ascii="Calibri"/>
          <w:i/>
          <w:spacing w:val="-2"/>
          <w:sz w:val="22"/>
        </w:rPr>
        <w:t>gravity</w:t>
      </w:r>
    </w:p>
    <w:p>
      <w:pPr>
        <w:pStyle w:val="BodyText"/>
        <w:spacing w:before="240"/>
        <w:rPr>
          <w:i/>
        </w:rPr>
      </w:pPr>
    </w:p>
    <w:p>
      <w:pPr>
        <w:pStyle w:val="BodyText"/>
        <w:spacing w:line="480" w:lineRule="auto"/>
        <w:ind w:left="920" w:right="1173"/>
        <w:jc w:val="both"/>
      </w:pPr>
      <w:r>
        <w:rPr/>
        <w:t>To test adulteration, specific gravity is measured and calculated. The specific gravity of milk will be measured using lactometer. The specific gravity of normal unadulterated cow’s milk is between 1.026 and 1.032 at 20°C (Ombui </w:t>
      </w:r>
      <w:r>
        <w:rPr>
          <w:i/>
        </w:rPr>
        <w:t>et al</w:t>
      </w:r>
      <w:r>
        <w:rPr/>
        <w:t>., 1995).</w:t>
      </w:r>
    </w:p>
    <w:p>
      <w:pPr>
        <w:pStyle w:val="ListParagraph"/>
        <w:numPr>
          <w:ilvl w:val="0"/>
          <w:numId w:val="12"/>
        </w:numPr>
        <w:tabs>
          <w:tab w:pos="1091" w:val="left" w:leader="none"/>
        </w:tabs>
        <w:spacing w:line="240" w:lineRule="auto" w:before="237" w:after="0"/>
        <w:ind w:left="1091" w:right="0" w:hanging="171"/>
        <w:jc w:val="both"/>
        <w:rPr>
          <w:rFonts w:ascii="Calibri"/>
          <w:i/>
          <w:sz w:val="22"/>
        </w:rPr>
      </w:pPr>
      <w:r>
        <w:rPr>
          <w:rFonts w:ascii="Calibri"/>
          <w:i/>
          <w:sz w:val="22"/>
        </w:rPr>
        <w:t>Freezing</w:t>
      </w:r>
      <w:r>
        <w:rPr>
          <w:rFonts w:ascii="Calibri"/>
          <w:i/>
          <w:spacing w:val="-2"/>
          <w:sz w:val="22"/>
        </w:rPr>
        <w:t> </w:t>
      </w:r>
      <w:r>
        <w:rPr>
          <w:rFonts w:ascii="Calibri"/>
          <w:i/>
          <w:spacing w:val="-4"/>
          <w:sz w:val="22"/>
        </w:rPr>
        <w:t>test</w:t>
      </w:r>
    </w:p>
    <w:p>
      <w:pPr>
        <w:pStyle w:val="BodyText"/>
        <w:spacing w:before="240"/>
        <w:rPr>
          <w:i/>
        </w:rPr>
      </w:pPr>
    </w:p>
    <w:p>
      <w:pPr>
        <w:pStyle w:val="BodyText"/>
        <w:spacing w:line="480" w:lineRule="auto"/>
        <w:ind w:left="920" w:right="1178"/>
        <w:jc w:val="both"/>
      </w:pPr>
      <w:r>
        <w:rPr/>
        <w:t>The normal freezing point of milk is between -0.50 and -0.61°C. The soluble constituents, lactose and</w:t>
      </w:r>
      <w:r>
        <w:rPr>
          <w:spacing w:val="80"/>
        </w:rPr>
        <w:t> </w:t>
      </w:r>
      <w:r>
        <w:rPr/>
        <w:t>ash determine the freezing point of milk and are responsible for its being lower than that of water. This fact makes it possible to determine whether or not milk has been watered. It had been shown that with addition of 1% of water to milk, the freezing point is raised approximately by 0.0055°C (Hansen, 1994).</w:t>
      </w:r>
    </w:p>
    <w:p>
      <w:pPr>
        <w:pStyle w:val="Heading5"/>
        <w:numPr>
          <w:ilvl w:val="1"/>
          <w:numId w:val="10"/>
        </w:numPr>
        <w:tabs>
          <w:tab w:pos="1196" w:val="left" w:leader="none"/>
        </w:tabs>
        <w:spacing w:line="240" w:lineRule="auto" w:before="242" w:after="0"/>
        <w:ind w:left="1196" w:right="0" w:hanging="276"/>
        <w:jc w:val="both"/>
        <w:rPr>
          <w:sz w:val="20"/>
        </w:rPr>
      </w:pPr>
      <w:bookmarkStart w:name="_TOC_250051" w:id="40"/>
      <w:r>
        <w:rPr/>
        <w:t>ANTIBIOTIC</w:t>
      </w:r>
      <w:r>
        <w:rPr>
          <w:spacing w:val="-10"/>
        </w:rPr>
        <w:t> </w:t>
      </w:r>
      <w:bookmarkEnd w:id="40"/>
      <w:r>
        <w:rPr>
          <w:spacing w:val="-2"/>
        </w:rPr>
        <w:t>SUSCEPTIBILITY</w:t>
      </w:r>
    </w:p>
    <w:p>
      <w:pPr>
        <w:pStyle w:val="BodyText"/>
        <w:spacing w:before="241"/>
        <w:rPr>
          <w:b/>
        </w:rPr>
      </w:pPr>
    </w:p>
    <w:p>
      <w:pPr>
        <w:pStyle w:val="BodyText"/>
        <w:spacing w:line="480" w:lineRule="auto"/>
        <w:ind w:left="920" w:right="1178"/>
        <w:jc w:val="both"/>
      </w:pPr>
      <w:r>
        <w:rPr/>
        <w:t>Antibiotics are essential therapeutic tools for a wide variety of illnesses caused by bacterial infections. The rapid emergence of antibiotic resistant pathogens negates effective treatments and therefore is becoming a major threat to public health (Wassenaar, 2005). It is a significant health, social and economic problem at this time.</w:t>
      </w:r>
    </w:p>
    <w:p>
      <w:pPr>
        <w:pStyle w:val="BodyText"/>
        <w:spacing w:line="480" w:lineRule="auto" w:before="237"/>
        <w:ind w:left="920" w:right="1174"/>
        <w:jc w:val="both"/>
      </w:pPr>
      <w:r>
        <w:rPr/>
        <w:t>Infections caused by antibiotic-resistant bacteria often fail to respond to standard treatments, thereby reducing the possibilities of effective treatment and increasing the risk of morbidity and mortality in serious diseases (Martinez, 2009; Collignon </w:t>
      </w:r>
      <w:r>
        <w:rPr>
          <w:i/>
        </w:rPr>
        <w:t>et al</w:t>
      </w:r>
      <w:r>
        <w:rPr/>
        <w:t>., 2009). In recent years accumulating problems with bacteria that are resistant to antibiotics occur globally (Keyser </w:t>
      </w:r>
      <w:r>
        <w:rPr>
          <w:i/>
        </w:rPr>
        <w:t>et al</w:t>
      </w:r>
      <w:r>
        <w:rPr/>
        <w:t>., 2008). Evidence obtained from laboratory and epidemiological studies indicates that the persistence of resistant bacteria is related to the persistence of antibiotic use (Andersson, 2003).</w:t>
      </w:r>
    </w:p>
    <w:p>
      <w:pPr>
        <w:spacing w:after="0" w:line="480" w:lineRule="auto"/>
        <w:jc w:val="both"/>
        <w:sectPr>
          <w:pgSz w:w="12240" w:h="15840"/>
          <w:pgMar w:header="0" w:footer="1017" w:top="1820" w:bottom="1200" w:left="520" w:right="260"/>
        </w:sectPr>
      </w:pPr>
    </w:p>
    <w:p>
      <w:pPr>
        <w:pStyle w:val="BodyText"/>
        <w:spacing w:line="480" w:lineRule="auto" w:before="37"/>
        <w:ind w:left="920" w:right="1174"/>
        <w:jc w:val="both"/>
      </w:pPr>
      <w:r>
        <w:rPr/>
        <w:t>The health safety of foods (Mareček </w:t>
      </w:r>
      <w:r>
        <w:rPr>
          <w:i/>
        </w:rPr>
        <w:t>et</w:t>
      </w:r>
      <w:r>
        <w:rPr>
          <w:i/>
          <w:spacing w:val="-6"/>
        </w:rPr>
        <w:t> </w:t>
      </w:r>
      <w:r>
        <w:rPr>
          <w:i/>
        </w:rPr>
        <w:t>al</w:t>
      </w:r>
      <w:r>
        <w:rPr/>
        <w:t>.,</w:t>
      </w:r>
      <w:r>
        <w:rPr>
          <w:spacing w:val="-2"/>
        </w:rPr>
        <w:t> </w:t>
      </w:r>
      <w:r>
        <w:rPr/>
        <w:t>2008;</w:t>
      </w:r>
      <w:r>
        <w:rPr>
          <w:spacing w:val="-1"/>
        </w:rPr>
        <w:t> </w:t>
      </w:r>
      <w:r>
        <w:rPr/>
        <w:t>Fikselová </w:t>
      </w:r>
      <w:r>
        <w:rPr>
          <w:i/>
        </w:rPr>
        <w:t>et</w:t>
      </w:r>
      <w:r>
        <w:rPr>
          <w:i/>
          <w:spacing w:val="-1"/>
        </w:rPr>
        <w:t> </w:t>
      </w:r>
      <w:r>
        <w:rPr>
          <w:i/>
        </w:rPr>
        <w:t>al</w:t>
      </w:r>
      <w:r>
        <w:rPr/>
        <w:t>.,</w:t>
      </w:r>
      <w:r>
        <w:rPr>
          <w:spacing w:val="-2"/>
        </w:rPr>
        <w:t> </w:t>
      </w:r>
      <w:r>
        <w:rPr/>
        <w:t>2008),</w:t>
      </w:r>
      <w:r>
        <w:rPr>
          <w:spacing w:val="-2"/>
        </w:rPr>
        <w:t> </w:t>
      </w:r>
      <w:r>
        <w:rPr/>
        <w:t>including milk,</w:t>
      </w:r>
      <w:r>
        <w:rPr>
          <w:spacing w:val="-6"/>
        </w:rPr>
        <w:t> </w:t>
      </w:r>
      <w:r>
        <w:rPr/>
        <w:t>is an</w:t>
      </w:r>
      <w:r>
        <w:rPr>
          <w:spacing w:val="-5"/>
        </w:rPr>
        <w:t> </w:t>
      </w:r>
      <w:r>
        <w:rPr/>
        <w:t>integral part of consumers policy and health (Bíreš, 2004). Increase in antibiotics resistance indicates the great capacity of bacteria to overcome the antibiotic pressures. Therefore, at a given time, antibiotic resistance will emerge. In view of this, there are no antibiotics to which resistance has not been</w:t>
      </w:r>
      <w:r>
        <w:rPr>
          <w:spacing w:val="40"/>
        </w:rPr>
        <w:t> </w:t>
      </w:r>
      <w:r>
        <w:rPr/>
        <w:t>recorded (Neely and Holder, 1999; Richet </w:t>
      </w:r>
      <w:r>
        <w:rPr>
          <w:i/>
        </w:rPr>
        <w:t>et al</w:t>
      </w:r>
      <w:r>
        <w:rPr/>
        <w:t>., 2001; Florea and Nightingale, 2004)</w:t>
      </w:r>
    </w:p>
    <w:p>
      <w:pPr>
        <w:pStyle w:val="BodyText"/>
        <w:spacing w:line="480" w:lineRule="auto" w:before="237"/>
        <w:ind w:left="920" w:right="1172"/>
        <w:jc w:val="both"/>
      </w:pPr>
      <w:r>
        <w:rPr/>
        <w:t>Tetracyclines, β-Lactams,</w:t>
      </w:r>
      <w:r>
        <w:rPr>
          <w:color w:val="221E1F"/>
        </w:rPr>
        <w:t>Co-trimoxazole</w:t>
      </w:r>
      <w:r>
        <w:rPr/>
        <w:t>, macrolides, fluoroquinolones, aminoglycosides and chloramphenicols are common antibiotics that are used as therapeutics to treat human illnesses</w:t>
      </w:r>
      <w:r>
        <w:rPr>
          <w:spacing w:val="40"/>
        </w:rPr>
        <w:t> </w:t>
      </w:r>
      <w:r>
        <w:rPr/>
        <w:t>(Barton, 2000).Description of profiles of these antibiotics isdiscussed below;</w:t>
      </w:r>
    </w:p>
    <w:p>
      <w:pPr>
        <w:pStyle w:val="ListParagraph"/>
        <w:numPr>
          <w:ilvl w:val="0"/>
          <w:numId w:val="13"/>
        </w:numPr>
        <w:tabs>
          <w:tab w:pos="1129" w:val="left" w:leader="none"/>
        </w:tabs>
        <w:spacing w:line="240" w:lineRule="auto" w:before="242" w:after="0"/>
        <w:ind w:left="1129" w:right="0" w:hanging="209"/>
        <w:jc w:val="both"/>
        <w:rPr>
          <w:rFonts w:ascii="Calibri"/>
          <w:sz w:val="22"/>
        </w:rPr>
      </w:pPr>
      <w:r>
        <w:rPr>
          <w:rFonts w:ascii="Calibri"/>
          <w:spacing w:val="-2"/>
          <w:sz w:val="22"/>
        </w:rPr>
        <w:t>Tetracyclines</w:t>
      </w:r>
    </w:p>
    <w:p>
      <w:pPr>
        <w:pStyle w:val="BodyText"/>
        <w:spacing w:before="240"/>
      </w:pPr>
    </w:p>
    <w:p>
      <w:pPr>
        <w:pStyle w:val="BodyText"/>
        <w:spacing w:line="480" w:lineRule="auto"/>
        <w:ind w:left="920" w:right="1177"/>
        <w:jc w:val="both"/>
      </w:pPr>
      <w:r>
        <w:rPr>
          <w:color w:val="221E1F"/>
        </w:rPr>
        <w:t>Tetracyclines consist of a group of antibiotics obtained as byproducts from the metabolism of various species of </w:t>
      </w:r>
      <w:r>
        <w:rPr>
          <w:i/>
          <w:color w:val="221E1F"/>
        </w:rPr>
        <w:t>Streptomyces</w:t>
      </w:r>
      <w:r>
        <w:rPr>
          <w:color w:val="221E1F"/>
        </w:rPr>
        <w:t>, although some members may now be thought of as being semisynthetic. The tetracyclines are broad-spectrum antibiotics, that is, they have a wide range of activity againstGram- positive and Gram-negative bacteria. They are bacteriostatic and inhibit protein synthesis by preventing the binding of amino aceyltransferase RNA to the ribosomal site. It also chelates magnesium</w:t>
      </w:r>
      <w:r>
        <w:rPr>
          <w:color w:val="221E1F"/>
          <w:spacing w:val="-2"/>
        </w:rPr>
        <w:t> </w:t>
      </w:r>
      <w:r>
        <w:rPr>
          <w:color w:val="221E1F"/>
        </w:rPr>
        <w:t>ion to form tetracycline or magnesium complex preventing protein synthesis. The tetracyclines are no longer used clinically to the same extent as they were in the past because of the increase in bacterial resistance (Hugo and Russel, 2000).</w:t>
      </w:r>
    </w:p>
    <w:p>
      <w:pPr>
        <w:pStyle w:val="ListParagraph"/>
        <w:numPr>
          <w:ilvl w:val="0"/>
          <w:numId w:val="13"/>
        </w:numPr>
        <w:tabs>
          <w:tab w:pos="1140" w:val="left" w:leader="none"/>
        </w:tabs>
        <w:spacing w:line="240" w:lineRule="auto" w:before="239" w:after="0"/>
        <w:ind w:left="1140" w:right="0" w:hanging="220"/>
        <w:jc w:val="both"/>
        <w:rPr>
          <w:rFonts w:ascii="Calibri" w:hAnsi="Calibri"/>
          <w:color w:val="221E1F"/>
          <w:sz w:val="22"/>
        </w:rPr>
      </w:pPr>
      <w:r>
        <w:rPr>
          <w:rFonts w:ascii="Calibri" w:hAnsi="Calibri"/>
          <w:spacing w:val="-2"/>
          <w:sz w:val="22"/>
        </w:rPr>
        <w:t>β-Lactams</w:t>
      </w:r>
    </w:p>
    <w:p>
      <w:pPr>
        <w:pStyle w:val="BodyText"/>
        <w:spacing w:before="236"/>
      </w:pPr>
    </w:p>
    <w:p>
      <w:pPr>
        <w:spacing w:line="480" w:lineRule="auto" w:before="0"/>
        <w:ind w:left="920" w:right="1182" w:firstLine="0"/>
        <w:jc w:val="both"/>
        <w:rPr>
          <w:rFonts w:ascii="Times New Roman"/>
          <w:sz w:val="24"/>
        </w:rPr>
      </w:pPr>
      <w:r>
        <w:rPr>
          <w:rFonts w:ascii="Times New Roman"/>
          <w:sz w:val="24"/>
        </w:rPr>
        <w:t>These</w:t>
      </w:r>
      <w:r>
        <w:rPr>
          <w:rFonts w:ascii="Times New Roman"/>
          <w:spacing w:val="-2"/>
          <w:sz w:val="24"/>
        </w:rPr>
        <w:t> </w:t>
      </w:r>
      <w:r>
        <w:rPr>
          <w:rFonts w:ascii="Times New Roman"/>
          <w:sz w:val="24"/>
        </w:rPr>
        <w:t>are</w:t>
      </w:r>
      <w:r>
        <w:rPr>
          <w:rFonts w:ascii="Times New Roman"/>
          <w:spacing w:val="-2"/>
          <w:sz w:val="24"/>
        </w:rPr>
        <w:t> </w:t>
      </w:r>
      <w:r>
        <w:rPr>
          <w:rFonts w:ascii="Times New Roman"/>
          <w:color w:val="221E1F"/>
          <w:sz w:val="24"/>
        </w:rPr>
        <w:t>antibiotics</w:t>
      </w:r>
      <w:r>
        <w:rPr>
          <w:rFonts w:ascii="Times New Roman"/>
          <w:color w:val="221E1F"/>
          <w:spacing w:val="-3"/>
          <w:sz w:val="24"/>
        </w:rPr>
        <w:t> </w:t>
      </w:r>
      <w:r>
        <w:rPr>
          <w:rFonts w:ascii="Times New Roman"/>
          <w:color w:val="221E1F"/>
          <w:sz w:val="24"/>
        </w:rPr>
        <w:t>produced</w:t>
      </w:r>
      <w:r>
        <w:rPr>
          <w:rFonts w:ascii="Times New Roman"/>
          <w:color w:val="221E1F"/>
          <w:spacing w:val="-1"/>
          <w:sz w:val="24"/>
        </w:rPr>
        <w:t> </w:t>
      </w:r>
      <w:r>
        <w:rPr>
          <w:rFonts w:ascii="Times New Roman"/>
          <w:color w:val="221E1F"/>
          <w:sz w:val="24"/>
        </w:rPr>
        <w:t>by</w:t>
      </w:r>
      <w:r>
        <w:rPr>
          <w:rFonts w:ascii="Times New Roman"/>
          <w:color w:val="221E1F"/>
          <w:spacing w:val="-6"/>
          <w:sz w:val="24"/>
        </w:rPr>
        <w:t> </w:t>
      </w:r>
      <w:r>
        <w:rPr>
          <w:rFonts w:ascii="Times New Roman"/>
          <w:color w:val="221E1F"/>
          <w:sz w:val="24"/>
        </w:rPr>
        <w:t>the</w:t>
      </w:r>
      <w:r>
        <w:rPr>
          <w:rFonts w:ascii="Times New Roman"/>
          <w:color w:val="221E1F"/>
          <w:spacing w:val="-2"/>
          <w:sz w:val="24"/>
        </w:rPr>
        <w:t> </w:t>
      </w:r>
      <w:r>
        <w:rPr>
          <w:rFonts w:ascii="Times New Roman"/>
          <w:color w:val="221E1F"/>
          <w:sz w:val="24"/>
        </w:rPr>
        <w:t>genus </w:t>
      </w:r>
      <w:r>
        <w:rPr>
          <w:rFonts w:ascii="Times New Roman"/>
          <w:i/>
          <w:color w:val="221E1F"/>
          <w:sz w:val="24"/>
        </w:rPr>
        <w:t>Cephalosporium</w:t>
      </w:r>
      <w:r>
        <w:rPr>
          <w:rFonts w:ascii="Times New Roman"/>
          <w:color w:val="221E1F"/>
          <w:sz w:val="24"/>
        </w:rPr>
        <w:t>. </w:t>
      </w:r>
      <w:r>
        <w:rPr>
          <w:rFonts w:ascii="Times New Roman"/>
          <w:sz w:val="24"/>
        </w:rPr>
        <w:t>Structurally, all are</w:t>
      </w:r>
      <w:r>
        <w:rPr>
          <w:rFonts w:ascii="Times New Roman"/>
          <w:spacing w:val="-2"/>
          <w:sz w:val="24"/>
        </w:rPr>
        <w:t> </w:t>
      </w:r>
      <w:r>
        <w:rPr>
          <w:rFonts w:ascii="Times New Roman"/>
          <w:sz w:val="24"/>
        </w:rPr>
        <w:t>based</w:t>
      </w:r>
      <w:r>
        <w:rPr>
          <w:rFonts w:ascii="Times New Roman"/>
          <w:spacing w:val="-1"/>
          <w:sz w:val="24"/>
        </w:rPr>
        <w:t> </w:t>
      </w:r>
      <w:r>
        <w:rPr>
          <w:rFonts w:ascii="Times New Roman"/>
          <w:sz w:val="24"/>
        </w:rPr>
        <w:t>upon</w:t>
      </w:r>
      <w:r>
        <w:rPr>
          <w:rFonts w:ascii="Times New Roman"/>
          <w:spacing w:val="-6"/>
          <w:sz w:val="24"/>
        </w:rPr>
        <w:t> </w:t>
      </w:r>
      <w:r>
        <w:rPr>
          <w:rFonts w:ascii="Times New Roman"/>
          <w:sz w:val="24"/>
        </w:rPr>
        <w:t>the four-membered nitrogen-containing beta-lactam ring that gives these agents their antibacterial activity. They can be divided into four groups; penicillins, cephalosporins, carbapenems and monobactams</w:t>
      </w:r>
      <w:r>
        <w:rPr>
          <w:rFonts w:ascii="Times New Roman"/>
          <w:spacing w:val="20"/>
          <w:sz w:val="24"/>
        </w:rPr>
        <w:t> </w:t>
      </w:r>
      <w:r>
        <w:rPr>
          <w:rFonts w:ascii="Times New Roman"/>
          <w:sz w:val="24"/>
        </w:rPr>
        <w:t>-</w:t>
      </w:r>
      <w:r>
        <w:rPr>
          <w:rFonts w:ascii="Times New Roman"/>
          <w:spacing w:val="19"/>
          <w:sz w:val="24"/>
        </w:rPr>
        <w:t> </w:t>
      </w:r>
      <w:r>
        <w:rPr>
          <w:rFonts w:ascii="Times New Roman"/>
          <w:sz w:val="24"/>
        </w:rPr>
        <w:t>on</w:t>
      </w:r>
      <w:r>
        <w:rPr>
          <w:rFonts w:ascii="Times New Roman"/>
          <w:spacing w:val="17"/>
          <w:sz w:val="24"/>
        </w:rPr>
        <w:t> </w:t>
      </w:r>
      <w:r>
        <w:rPr>
          <w:rFonts w:ascii="Times New Roman"/>
          <w:sz w:val="24"/>
        </w:rPr>
        <w:t>the</w:t>
      </w:r>
      <w:r>
        <w:rPr>
          <w:rFonts w:ascii="Times New Roman"/>
          <w:spacing w:val="21"/>
          <w:sz w:val="24"/>
        </w:rPr>
        <w:t> </w:t>
      </w:r>
      <w:r>
        <w:rPr>
          <w:rFonts w:ascii="Times New Roman"/>
          <w:sz w:val="24"/>
        </w:rPr>
        <w:t>basis</w:t>
      </w:r>
      <w:r>
        <w:rPr>
          <w:rFonts w:ascii="Times New Roman"/>
          <w:spacing w:val="20"/>
          <w:sz w:val="24"/>
        </w:rPr>
        <w:t> </w:t>
      </w:r>
      <w:r>
        <w:rPr>
          <w:rFonts w:ascii="Times New Roman"/>
          <w:sz w:val="24"/>
        </w:rPr>
        <w:t>of</w:t>
      </w:r>
      <w:r>
        <w:rPr>
          <w:rFonts w:ascii="Times New Roman"/>
          <w:spacing w:val="14"/>
          <w:sz w:val="24"/>
        </w:rPr>
        <w:t> </w:t>
      </w:r>
      <w:r>
        <w:rPr>
          <w:rFonts w:ascii="Times New Roman"/>
          <w:sz w:val="24"/>
        </w:rPr>
        <w:t>the</w:t>
      </w:r>
      <w:r>
        <w:rPr>
          <w:rFonts w:ascii="Times New Roman"/>
          <w:spacing w:val="26"/>
          <w:sz w:val="24"/>
        </w:rPr>
        <w:t> </w:t>
      </w:r>
      <w:r>
        <w:rPr>
          <w:rFonts w:ascii="Times New Roman"/>
          <w:sz w:val="24"/>
        </w:rPr>
        <w:t>molecular</w:t>
      </w:r>
      <w:r>
        <w:rPr>
          <w:rFonts w:ascii="Times New Roman"/>
          <w:spacing w:val="23"/>
          <w:sz w:val="24"/>
        </w:rPr>
        <w:t> </w:t>
      </w:r>
      <w:r>
        <w:rPr>
          <w:rFonts w:ascii="Times New Roman"/>
          <w:sz w:val="24"/>
        </w:rPr>
        <w:t>structures</w:t>
      </w:r>
      <w:r>
        <w:rPr>
          <w:rFonts w:ascii="Times New Roman"/>
          <w:spacing w:val="20"/>
          <w:sz w:val="24"/>
        </w:rPr>
        <w:t> </w:t>
      </w:r>
      <w:r>
        <w:rPr>
          <w:rFonts w:ascii="Times New Roman"/>
          <w:sz w:val="24"/>
        </w:rPr>
        <w:t>surrounding</w:t>
      </w:r>
      <w:r>
        <w:rPr>
          <w:rFonts w:ascii="Times New Roman"/>
          <w:spacing w:val="22"/>
          <w:sz w:val="24"/>
        </w:rPr>
        <w:t> </w:t>
      </w:r>
      <w:r>
        <w:rPr>
          <w:rFonts w:ascii="Times New Roman"/>
          <w:sz w:val="24"/>
        </w:rPr>
        <w:t>and</w:t>
      </w:r>
      <w:r>
        <w:rPr>
          <w:rFonts w:ascii="Times New Roman"/>
          <w:spacing w:val="22"/>
          <w:sz w:val="24"/>
        </w:rPr>
        <w:t> </w:t>
      </w:r>
      <w:r>
        <w:rPr>
          <w:rFonts w:ascii="Times New Roman"/>
          <w:sz w:val="24"/>
        </w:rPr>
        <w:t>supporting</w:t>
      </w:r>
      <w:r>
        <w:rPr>
          <w:rFonts w:ascii="Times New Roman"/>
          <w:spacing w:val="22"/>
          <w:sz w:val="24"/>
        </w:rPr>
        <w:t> </w:t>
      </w:r>
      <w:r>
        <w:rPr>
          <w:rFonts w:ascii="Times New Roman"/>
          <w:sz w:val="24"/>
        </w:rPr>
        <w:t>this</w:t>
      </w:r>
      <w:r>
        <w:rPr>
          <w:rFonts w:ascii="Times New Roman"/>
          <w:spacing w:val="20"/>
          <w:sz w:val="24"/>
        </w:rPr>
        <w:t> </w:t>
      </w:r>
      <w:r>
        <w:rPr>
          <w:rFonts w:ascii="Times New Roman"/>
          <w:sz w:val="24"/>
        </w:rPr>
        <w:t>active</w:t>
      </w:r>
    </w:p>
    <w:p>
      <w:pPr>
        <w:spacing w:after="0" w:line="480" w:lineRule="auto"/>
        <w:jc w:val="both"/>
        <w:rPr>
          <w:rFonts w:ascii="Times New Roman"/>
          <w:sz w:val="24"/>
        </w:rPr>
        <w:sectPr>
          <w:pgSz w:w="12240" w:h="15840"/>
          <w:pgMar w:header="0" w:footer="1017" w:top="1400" w:bottom="1200" w:left="520" w:right="260"/>
        </w:sectPr>
      </w:pPr>
    </w:p>
    <w:p>
      <w:pPr>
        <w:spacing w:line="480" w:lineRule="auto" w:before="72"/>
        <w:ind w:left="920" w:right="1174" w:firstLine="0"/>
        <w:jc w:val="both"/>
        <w:rPr>
          <w:rFonts w:ascii="Times New Roman" w:hAnsi="Times New Roman"/>
          <w:sz w:val="24"/>
        </w:rPr>
      </w:pPr>
      <w:r>
        <w:rPr>
          <w:rFonts w:ascii="Times New Roman" w:hAnsi="Times New Roman"/>
          <w:sz w:val="24"/>
        </w:rPr>
        <w:t>site. A fifth group in clinical use is the beta -lactamase inhibitors that do not have intrinsic antibacterial activity (Thompson and Smith, 2000). They are bactericidal drugs. They inhibit building of bacterial cell wall by interference with the synthesis of peptidoglycan. The bacterial enzymes</w:t>
      </w:r>
      <w:r>
        <w:rPr>
          <w:rFonts w:ascii="Times New Roman" w:hAnsi="Times New Roman"/>
          <w:spacing w:val="-3"/>
          <w:sz w:val="24"/>
        </w:rPr>
        <w:t> </w:t>
      </w:r>
      <w:r>
        <w:rPr>
          <w:rFonts w:ascii="Times New Roman" w:hAnsi="Times New Roman"/>
          <w:sz w:val="24"/>
        </w:rPr>
        <w:t>that are</w:t>
      </w:r>
      <w:r>
        <w:rPr>
          <w:rFonts w:ascii="Times New Roman" w:hAnsi="Times New Roman"/>
          <w:spacing w:val="-2"/>
          <w:sz w:val="24"/>
        </w:rPr>
        <w:t> </w:t>
      </w:r>
      <w:r>
        <w:rPr>
          <w:rFonts w:ascii="Times New Roman" w:hAnsi="Times New Roman"/>
          <w:sz w:val="24"/>
        </w:rPr>
        <w:t>affected</w:t>
      </w:r>
      <w:r>
        <w:rPr>
          <w:rFonts w:ascii="Times New Roman" w:hAnsi="Times New Roman"/>
          <w:spacing w:val="-1"/>
          <w:sz w:val="24"/>
        </w:rPr>
        <w:t> </w:t>
      </w:r>
      <w:r>
        <w:rPr>
          <w:rFonts w:ascii="Times New Roman" w:hAnsi="Times New Roman"/>
          <w:sz w:val="24"/>
        </w:rPr>
        <w:t>by</w:t>
      </w:r>
      <w:r>
        <w:rPr>
          <w:rFonts w:ascii="Times New Roman" w:hAnsi="Times New Roman"/>
          <w:spacing w:val="-1"/>
          <w:sz w:val="24"/>
        </w:rPr>
        <w:t> </w:t>
      </w:r>
      <w:r>
        <w:rPr>
          <w:rFonts w:ascii="Times New Roman" w:hAnsi="Times New Roman"/>
          <w:sz w:val="24"/>
        </w:rPr>
        <w:t>beta-lactams</w:t>
      </w:r>
      <w:r>
        <w:rPr>
          <w:rFonts w:ascii="Times New Roman" w:hAnsi="Times New Roman"/>
          <w:spacing w:val="-3"/>
          <w:sz w:val="24"/>
        </w:rPr>
        <w:t> </w:t>
      </w:r>
      <w:r>
        <w:rPr>
          <w:rFonts w:ascii="Times New Roman" w:hAnsi="Times New Roman"/>
          <w:sz w:val="24"/>
        </w:rPr>
        <w:t>are called</w:t>
      </w:r>
      <w:r>
        <w:rPr>
          <w:rFonts w:ascii="Times New Roman" w:hAnsi="Times New Roman"/>
          <w:spacing w:val="-1"/>
          <w:sz w:val="24"/>
        </w:rPr>
        <w:t> </w:t>
      </w:r>
      <w:r>
        <w:rPr>
          <w:rFonts w:ascii="Times New Roman" w:hAnsi="Times New Roman"/>
          <w:sz w:val="24"/>
        </w:rPr>
        <w:t>penicilin-binding proteins</w:t>
      </w:r>
      <w:r>
        <w:rPr>
          <w:rFonts w:ascii="Times New Roman" w:hAnsi="Times New Roman"/>
          <w:spacing w:val="-3"/>
          <w:sz w:val="24"/>
        </w:rPr>
        <w:t> </w:t>
      </w:r>
      <w:r>
        <w:rPr>
          <w:rFonts w:ascii="Times New Roman" w:hAnsi="Times New Roman"/>
          <w:sz w:val="24"/>
        </w:rPr>
        <w:t>(PBPs). There</w:t>
      </w:r>
      <w:r>
        <w:rPr>
          <w:rFonts w:ascii="Times New Roman" w:hAnsi="Times New Roman"/>
          <w:spacing w:val="-2"/>
          <w:sz w:val="24"/>
        </w:rPr>
        <w:t> </w:t>
      </w:r>
      <w:r>
        <w:rPr>
          <w:rFonts w:ascii="Times New Roman" w:hAnsi="Times New Roman"/>
          <w:sz w:val="24"/>
        </w:rPr>
        <w:t>are various</w:t>
      </w:r>
      <w:r>
        <w:rPr>
          <w:rFonts w:ascii="Times New Roman" w:hAnsi="Times New Roman"/>
          <w:spacing w:val="-4"/>
          <w:sz w:val="24"/>
        </w:rPr>
        <w:t> </w:t>
      </w:r>
      <w:r>
        <w:rPr>
          <w:rFonts w:ascii="Times New Roman" w:hAnsi="Times New Roman"/>
          <w:sz w:val="24"/>
        </w:rPr>
        <w:t>PBPs</w:t>
      </w:r>
      <w:r>
        <w:rPr>
          <w:rFonts w:ascii="Times New Roman" w:hAnsi="Times New Roman"/>
          <w:spacing w:val="-4"/>
          <w:sz w:val="24"/>
        </w:rPr>
        <w:t> </w:t>
      </w:r>
      <w:r>
        <w:rPr>
          <w:rFonts w:ascii="Times New Roman" w:hAnsi="Times New Roman"/>
          <w:sz w:val="24"/>
        </w:rPr>
        <w:t>differing in</w:t>
      </w:r>
      <w:r>
        <w:rPr>
          <w:rFonts w:ascii="Times New Roman" w:hAnsi="Times New Roman"/>
          <w:spacing w:val="-7"/>
          <w:sz w:val="24"/>
        </w:rPr>
        <w:t> </w:t>
      </w:r>
      <w:r>
        <w:rPr>
          <w:rFonts w:ascii="Times New Roman" w:hAnsi="Times New Roman"/>
          <w:sz w:val="24"/>
        </w:rPr>
        <w:t>their</w:t>
      </w:r>
      <w:r>
        <w:rPr>
          <w:rFonts w:ascii="Times New Roman" w:hAnsi="Times New Roman"/>
          <w:spacing w:val="-1"/>
          <w:sz w:val="24"/>
        </w:rPr>
        <w:t> </w:t>
      </w:r>
      <w:r>
        <w:rPr>
          <w:rFonts w:ascii="Times New Roman" w:hAnsi="Times New Roman"/>
          <w:sz w:val="24"/>
        </w:rPr>
        <w:t>detail</w:t>
      </w:r>
      <w:r>
        <w:rPr>
          <w:rFonts w:ascii="Times New Roman" w:hAnsi="Times New Roman"/>
          <w:spacing w:val="-1"/>
          <w:sz w:val="24"/>
        </w:rPr>
        <w:t> </w:t>
      </w:r>
      <w:r>
        <w:rPr>
          <w:rFonts w:ascii="Times New Roman" w:hAnsi="Times New Roman"/>
          <w:sz w:val="24"/>
        </w:rPr>
        <w:t>function, quantity, and affinity</w:t>
      </w:r>
      <w:r>
        <w:rPr>
          <w:rFonts w:ascii="Times New Roman" w:hAnsi="Times New Roman"/>
          <w:spacing w:val="-7"/>
          <w:sz w:val="24"/>
        </w:rPr>
        <w:t> </w:t>
      </w:r>
      <w:r>
        <w:rPr>
          <w:rFonts w:ascii="Times New Roman" w:hAnsi="Times New Roman"/>
          <w:sz w:val="24"/>
        </w:rPr>
        <w:t>for</w:t>
      </w:r>
      <w:r>
        <w:rPr>
          <w:rFonts w:ascii="Times New Roman" w:hAnsi="Times New Roman"/>
          <w:spacing w:val="-1"/>
          <w:sz w:val="24"/>
        </w:rPr>
        <w:t> </w:t>
      </w:r>
      <w:r>
        <w:rPr>
          <w:rFonts w:ascii="Times New Roman" w:hAnsi="Times New Roman"/>
          <w:sz w:val="24"/>
        </w:rPr>
        <w:t>beta-lactams</w:t>
      </w:r>
      <w:r>
        <w:rPr>
          <w:rFonts w:ascii="Times New Roman" w:hAnsi="Times New Roman"/>
          <w:spacing w:val="-4"/>
          <w:sz w:val="24"/>
        </w:rPr>
        <w:t> </w:t>
      </w:r>
      <w:r>
        <w:rPr>
          <w:rFonts w:ascii="Times New Roman" w:hAnsi="Times New Roman"/>
          <w:sz w:val="24"/>
        </w:rPr>
        <w:t>(Matagne</w:t>
      </w:r>
      <w:r>
        <w:rPr>
          <w:rFonts w:ascii="Times New Roman" w:hAnsi="Times New Roman"/>
          <w:spacing w:val="-2"/>
          <w:sz w:val="24"/>
        </w:rPr>
        <w:t> </w:t>
      </w:r>
      <w:r>
        <w:rPr>
          <w:rFonts w:ascii="Times New Roman" w:hAnsi="Times New Roman"/>
          <w:i/>
          <w:sz w:val="24"/>
        </w:rPr>
        <w:t>et al</w:t>
      </w:r>
      <w:r>
        <w:rPr>
          <w:rFonts w:ascii="Times New Roman" w:hAnsi="Times New Roman"/>
          <w:sz w:val="24"/>
        </w:rPr>
        <w:t>.,</w:t>
      </w:r>
      <w:r>
        <w:rPr>
          <w:rFonts w:ascii="Times New Roman" w:hAnsi="Times New Roman"/>
          <w:spacing w:val="-1"/>
          <w:sz w:val="24"/>
        </w:rPr>
        <w:t> </w:t>
      </w:r>
      <w:r>
        <w:rPr>
          <w:rFonts w:ascii="Times New Roman" w:hAnsi="Times New Roman"/>
          <w:sz w:val="24"/>
        </w:rPr>
        <w:t>1999).</w:t>
      </w:r>
      <w:r>
        <w:rPr>
          <w:rFonts w:ascii="Times New Roman" w:hAnsi="Times New Roman"/>
          <w:spacing w:val="-1"/>
          <w:sz w:val="24"/>
        </w:rPr>
        <w:t> </w:t>
      </w:r>
      <w:r>
        <w:rPr>
          <w:rFonts w:ascii="Times New Roman" w:hAnsi="Times New Roman"/>
          <w:sz w:val="24"/>
        </w:rPr>
        <w:t>Principally,</w:t>
      </w:r>
      <w:r>
        <w:rPr>
          <w:rFonts w:ascii="Times New Roman" w:hAnsi="Times New Roman"/>
          <w:spacing w:val="-1"/>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effect of</w:t>
      </w:r>
      <w:r>
        <w:rPr>
          <w:rFonts w:ascii="Times New Roman" w:hAnsi="Times New Roman"/>
          <w:spacing w:val="-10"/>
          <w:sz w:val="24"/>
        </w:rPr>
        <w:t> </w:t>
      </w:r>
      <w:r>
        <w:rPr>
          <w:rFonts w:ascii="Times New Roman" w:hAnsi="Times New Roman"/>
          <w:sz w:val="24"/>
        </w:rPr>
        <w:t>beta-lactams is mostly</w:t>
      </w:r>
      <w:r>
        <w:rPr>
          <w:rFonts w:ascii="Times New Roman" w:hAnsi="Times New Roman"/>
          <w:spacing w:val="-7"/>
          <w:sz w:val="24"/>
        </w:rPr>
        <w:t> </w:t>
      </w:r>
      <w:r>
        <w:rPr>
          <w:rFonts w:ascii="Times New Roman" w:hAnsi="Times New Roman"/>
          <w:sz w:val="24"/>
        </w:rPr>
        <w:t>expressed</w:t>
      </w:r>
      <w:r>
        <w:rPr>
          <w:rFonts w:ascii="Times New Roman" w:hAnsi="Times New Roman"/>
          <w:spacing w:val="-3"/>
          <w:sz w:val="24"/>
        </w:rPr>
        <w:t> </w:t>
      </w:r>
      <w:r>
        <w:rPr>
          <w:rFonts w:ascii="Times New Roman" w:hAnsi="Times New Roman"/>
          <w:sz w:val="24"/>
        </w:rPr>
        <w:t>against multiplying bacteria that are building their cell wall intensively. The penicillins are large group of bactericidal compounds with a ß-lactam ring fused with a thiazolidine nucleus. Addition of various side chains (R) to the basic penicillin molecule creates classes of compounds with the same mechanism</w:t>
      </w:r>
      <w:r>
        <w:rPr>
          <w:rFonts w:ascii="Times New Roman" w:hAnsi="Times New Roman"/>
          <w:spacing w:val="-9"/>
          <w:sz w:val="24"/>
        </w:rPr>
        <w:t> </w:t>
      </w:r>
      <w:r>
        <w:rPr>
          <w:rFonts w:ascii="Times New Roman" w:hAnsi="Times New Roman"/>
          <w:sz w:val="24"/>
        </w:rPr>
        <w:t>of</w:t>
      </w:r>
      <w:r>
        <w:rPr>
          <w:rFonts w:ascii="Times New Roman" w:hAnsi="Times New Roman"/>
          <w:spacing w:val="-8"/>
          <w:sz w:val="24"/>
        </w:rPr>
        <w:t> </w:t>
      </w:r>
      <w:r>
        <w:rPr>
          <w:rFonts w:ascii="Times New Roman" w:hAnsi="Times New Roman"/>
          <w:sz w:val="24"/>
        </w:rPr>
        <w:t>action</w:t>
      </w:r>
      <w:r>
        <w:rPr>
          <w:rFonts w:ascii="Times New Roman" w:hAnsi="Times New Roman"/>
          <w:spacing w:val="-5"/>
          <w:sz w:val="24"/>
        </w:rPr>
        <w:t> </w:t>
      </w:r>
      <w:r>
        <w:rPr>
          <w:rFonts w:ascii="Times New Roman" w:hAnsi="Times New Roman"/>
          <w:sz w:val="24"/>
        </w:rPr>
        <w:t>as</w:t>
      </w:r>
      <w:r>
        <w:rPr>
          <w:rFonts w:ascii="Times New Roman" w:hAnsi="Times New Roman"/>
          <w:spacing w:val="-2"/>
          <w:sz w:val="24"/>
        </w:rPr>
        <w:t> </w:t>
      </w:r>
      <w:r>
        <w:rPr>
          <w:rFonts w:ascii="Times New Roman" w:hAnsi="Times New Roman"/>
          <w:sz w:val="24"/>
        </w:rPr>
        <w:t>penicillin but with</w:t>
      </w:r>
      <w:r>
        <w:rPr>
          <w:rFonts w:ascii="Times New Roman" w:hAnsi="Times New Roman"/>
          <w:spacing w:val="-5"/>
          <w:sz w:val="24"/>
        </w:rPr>
        <w:t> </w:t>
      </w:r>
      <w:r>
        <w:rPr>
          <w:rFonts w:ascii="Times New Roman" w:hAnsi="Times New Roman"/>
          <w:sz w:val="24"/>
        </w:rPr>
        <w:t>different chemical</w:t>
      </w:r>
      <w:r>
        <w:rPr>
          <w:rFonts w:ascii="Times New Roman" w:hAnsi="Times New Roman"/>
          <w:spacing w:val="-4"/>
          <w:sz w:val="24"/>
        </w:rPr>
        <w:t> </w:t>
      </w:r>
      <w:r>
        <w:rPr>
          <w:rFonts w:ascii="Times New Roman" w:hAnsi="Times New Roman"/>
          <w:sz w:val="24"/>
        </w:rPr>
        <w:t>and biological</w:t>
      </w:r>
      <w:r>
        <w:rPr>
          <w:rFonts w:ascii="Times New Roman" w:hAnsi="Times New Roman"/>
          <w:spacing w:val="-9"/>
          <w:sz w:val="24"/>
        </w:rPr>
        <w:t> </w:t>
      </w:r>
      <w:r>
        <w:rPr>
          <w:rFonts w:ascii="Times New Roman" w:hAnsi="Times New Roman"/>
          <w:sz w:val="24"/>
        </w:rPr>
        <w:t>properties. They</w:t>
      </w:r>
      <w:r>
        <w:rPr>
          <w:rFonts w:ascii="Times New Roman" w:hAnsi="Times New Roman"/>
          <w:spacing w:val="-5"/>
          <w:sz w:val="24"/>
        </w:rPr>
        <w:t> </w:t>
      </w:r>
      <w:r>
        <w:rPr>
          <w:rFonts w:ascii="Times New Roman" w:hAnsi="Times New Roman"/>
          <w:sz w:val="24"/>
        </w:rPr>
        <w:t>can be classed into four groups: natural penicillins (G and V), antistaphylococcal, antipseudomonal and aminopenicillins. The aminopenicillins such as amoxicillin and ampicillinare effective against streptococci, enterococci and some gram negative organisms but have variable activity against staphylococci and are effective against </w:t>
      </w:r>
      <w:r>
        <w:rPr>
          <w:rFonts w:ascii="Times New Roman" w:hAnsi="Times New Roman"/>
          <w:i/>
          <w:sz w:val="24"/>
        </w:rPr>
        <w:t>Pseudomonas aeruginosa </w:t>
      </w:r>
      <w:r>
        <w:rPr>
          <w:rFonts w:ascii="Times New Roman" w:hAnsi="Times New Roman"/>
          <w:sz w:val="24"/>
        </w:rPr>
        <w:t>(Wright, 1999).</w:t>
      </w:r>
    </w:p>
    <w:p>
      <w:pPr>
        <w:pStyle w:val="ListParagraph"/>
        <w:numPr>
          <w:ilvl w:val="0"/>
          <w:numId w:val="13"/>
        </w:numPr>
        <w:tabs>
          <w:tab w:pos="1116" w:val="left" w:leader="none"/>
        </w:tabs>
        <w:spacing w:line="240" w:lineRule="auto" w:before="245" w:after="0"/>
        <w:ind w:left="1116" w:right="0" w:hanging="196"/>
        <w:jc w:val="left"/>
        <w:rPr>
          <w:rFonts w:ascii="Calibri"/>
          <w:color w:val="221E1F"/>
          <w:sz w:val="22"/>
        </w:rPr>
      </w:pPr>
      <w:r>
        <w:rPr>
          <w:rFonts w:ascii="Calibri"/>
          <w:color w:val="221E1F"/>
          <w:sz w:val="22"/>
        </w:rPr>
        <w:t>Co-</w:t>
      </w:r>
      <w:r>
        <w:rPr>
          <w:rFonts w:ascii="Calibri"/>
          <w:color w:val="221E1F"/>
          <w:spacing w:val="-2"/>
          <w:sz w:val="22"/>
        </w:rPr>
        <w:t>trimoxazole</w:t>
      </w:r>
    </w:p>
    <w:p>
      <w:pPr>
        <w:pStyle w:val="BodyText"/>
        <w:spacing w:before="241"/>
      </w:pPr>
    </w:p>
    <w:p>
      <w:pPr>
        <w:pStyle w:val="BodyText"/>
        <w:spacing w:line="480" w:lineRule="auto"/>
        <w:ind w:left="920" w:right="1174"/>
        <w:jc w:val="both"/>
      </w:pPr>
      <w:r>
        <w:rPr>
          <w:color w:val="221E1F"/>
        </w:rPr>
        <w:t>Co-trimoxazole is a mixture of five parts of sulphamethoxazole and one part of trimethoprim. This combination </w:t>
      </w:r>
      <w:r>
        <w:rPr/>
        <w:t>results in an in vitrosynergistic antibacterial effect by inhibiting successive steps in folate synthesis</w:t>
      </w:r>
      <w:r>
        <w:rPr>
          <w:color w:val="221E1F"/>
        </w:rPr>
        <w:t>. </w:t>
      </w:r>
      <w:r>
        <w:rPr/>
        <w:t>Gram positive bacteria are generally or</w:t>
      </w:r>
      <w:r>
        <w:rPr>
          <w:spacing w:val="-5"/>
        </w:rPr>
        <w:t> </w:t>
      </w:r>
      <w:r>
        <w:rPr/>
        <w:t>moderately susceptible.</w:t>
      </w:r>
      <w:r>
        <w:rPr>
          <w:spacing w:val="-2"/>
        </w:rPr>
        <w:t> </w:t>
      </w:r>
      <w:r>
        <w:rPr>
          <w:color w:val="221E1F"/>
        </w:rPr>
        <w:t>Co-trimoxazole is</w:t>
      </w:r>
      <w:r>
        <w:rPr>
          <w:color w:val="221E1F"/>
          <w:spacing w:val="-5"/>
        </w:rPr>
        <w:t> </w:t>
      </w:r>
      <w:r>
        <w:rPr>
          <w:color w:val="221E1F"/>
        </w:rPr>
        <w:t>the agent</w:t>
      </w:r>
      <w:r>
        <w:rPr>
          <w:color w:val="221E1F"/>
          <w:spacing w:val="-2"/>
        </w:rPr>
        <w:t> </w:t>
      </w:r>
      <w:r>
        <w:rPr>
          <w:color w:val="221E1F"/>
        </w:rPr>
        <w:t>of choice in treatingpneumonia caused by </w:t>
      </w:r>
      <w:r>
        <w:rPr>
          <w:i/>
          <w:color w:val="221E1F"/>
        </w:rPr>
        <w:t>Pneumocystis carinii </w:t>
      </w:r>
      <w:r>
        <w:rPr>
          <w:color w:val="221E1F"/>
        </w:rPr>
        <w:t>in patients receiving immunosuppressive therapy and in those with AIDS. It has combined effects of its component. Sulphamethoxazole </w:t>
      </w:r>
      <w:r>
        <w:rPr/>
        <w:t>prevents the formation of dihydrofolic acid while trimethoprim acts by interfering with the action of bacterial dihydrofolate reductase, inhibiting synthesis of tetrahydrofolic acid which is necessary for synthesis of DNA precursors (Bean </w:t>
      </w:r>
      <w:r>
        <w:rPr>
          <w:i/>
        </w:rPr>
        <w:t>et al</w:t>
      </w:r>
      <w:r>
        <w:rPr/>
        <w:t>., 2005).</w:t>
      </w:r>
    </w:p>
    <w:p>
      <w:pPr>
        <w:spacing w:after="0" w:line="480" w:lineRule="auto"/>
        <w:jc w:val="both"/>
        <w:sectPr>
          <w:pgSz w:w="12240" w:h="15840"/>
          <w:pgMar w:header="0" w:footer="1017" w:top="1360" w:bottom="1200" w:left="520" w:right="260"/>
        </w:sectPr>
      </w:pPr>
    </w:p>
    <w:p>
      <w:pPr>
        <w:pStyle w:val="ListParagraph"/>
        <w:numPr>
          <w:ilvl w:val="0"/>
          <w:numId w:val="13"/>
        </w:numPr>
        <w:tabs>
          <w:tab w:pos="1164" w:val="left" w:leader="none"/>
        </w:tabs>
        <w:spacing w:line="240" w:lineRule="auto" w:before="76" w:after="0"/>
        <w:ind w:left="1164" w:right="0" w:hanging="244"/>
        <w:jc w:val="left"/>
        <w:rPr>
          <w:sz w:val="24"/>
        </w:rPr>
      </w:pPr>
      <w:r>
        <w:rPr>
          <w:spacing w:val="-2"/>
          <w:sz w:val="24"/>
        </w:rPr>
        <w:t>Macrolides</w:t>
      </w:r>
    </w:p>
    <w:p>
      <w:pPr>
        <w:pStyle w:val="BodyText"/>
        <w:spacing w:before="240"/>
        <w:rPr>
          <w:rFonts w:ascii="Times New Roman"/>
          <w:sz w:val="24"/>
        </w:rPr>
      </w:pPr>
    </w:p>
    <w:p>
      <w:pPr>
        <w:pStyle w:val="BodyText"/>
        <w:spacing w:line="480" w:lineRule="auto" w:before="1"/>
        <w:ind w:left="920" w:right="1172"/>
        <w:jc w:val="both"/>
      </w:pPr>
      <w:r>
        <w:rPr>
          <w:color w:val="221E1F"/>
        </w:rPr>
        <w:t>The macrolide</w:t>
      </w:r>
      <w:r>
        <w:rPr>
          <w:color w:val="221E1F"/>
          <w:spacing w:val="-1"/>
        </w:rPr>
        <w:t> </w:t>
      </w:r>
      <w:r>
        <w:rPr>
          <w:color w:val="221E1F"/>
        </w:rPr>
        <w:t>antibiotics are</w:t>
      </w:r>
      <w:r>
        <w:rPr>
          <w:color w:val="221E1F"/>
          <w:spacing w:val="-1"/>
        </w:rPr>
        <w:t> </w:t>
      </w:r>
      <w:r>
        <w:rPr>
          <w:color w:val="221E1F"/>
        </w:rPr>
        <w:t>characterized by possessingmolecular structures that contain large(12–16- membered) lactone rings linked throughglycosidic bonds with amino sugars.The most important members of this group are erythromycin, oleandomycin, triacetyloleandomycinand spiramycin. </w:t>
      </w:r>
      <w:r>
        <w:rPr/>
        <w:t>The antimicrobial spectrum of macrolides is slightly wider than that of penicillin, and, therefore, macrolides are a common substitute for patients with a penicillin allergy. Beta-hemolytic streptococci,</w:t>
      </w:r>
      <w:r>
        <w:rPr>
          <w:spacing w:val="40"/>
        </w:rPr>
        <w:t> </w:t>
      </w:r>
      <w:r>
        <w:rPr/>
        <w:t>pneumococci, staphylococci, enterococci, </w:t>
      </w:r>
      <w:r>
        <w:rPr>
          <w:i/>
          <w:color w:val="221E1F"/>
        </w:rPr>
        <w:t>Neisseria </w:t>
      </w:r>
      <w:r>
        <w:rPr>
          <w:color w:val="221E1F"/>
        </w:rPr>
        <w:t>and </w:t>
      </w:r>
      <w:r>
        <w:rPr>
          <w:i/>
          <w:color w:val="221E1F"/>
        </w:rPr>
        <w:t>H. influenzae </w:t>
      </w:r>
      <w:r>
        <w:rPr/>
        <w:t>are usually susceptible to macrolides. Unlike penicillin, macrolides have been shown to be effective against </w:t>
      </w:r>
      <w:r>
        <w:rPr>
          <w:i/>
        </w:rPr>
        <w:t>Legionella pneumophila</w:t>
      </w:r>
      <w:r>
        <w:rPr/>
        <w:t>, mycoplasma, mycobacteria, some rickettsia, and chlamydia. Macrolides are protein synthesis inhibitors. The mechanism of action of macrolides is inhibition of bacterial protein</w:t>
      </w:r>
      <w:r>
        <w:rPr>
          <w:spacing w:val="40"/>
        </w:rPr>
        <w:t> </w:t>
      </w:r>
      <w:r>
        <w:rPr/>
        <w:t>biosynthesis,</w:t>
      </w:r>
      <w:r>
        <w:rPr>
          <w:spacing w:val="-3"/>
        </w:rPr>
        <w:t> </w:t>
      </w:r>
      <w:r>
        <w:rPr/>
        <w:t>and</w:t>
      </w:r>
      <w:r>
        <w:rPr>
          <w:spacing w:val="-1"/>
        </w:rPr>
        <w:t> </w:t>
      </w:r>
      <w:r>
        <w:rPr/>
        <w:t>they</w:t>
      </w:r>
      <w:r>
        <w:rPr>
          <w:spacing w:val="-4"/>
        </w:rPr>
        <w:t> </w:t>
      </w:r>
      <w:r>
        <w:rPr/>
        <w:t>are</w:t>
      </w:r>
      <w:r>
        <w:rPr>
          <w:spacing w:val="-1"/>
        </w:rPr>
        <w:t> </w:t>
      </w:r>
      <w:r>
        <w:rPr/>
        <w:t>thought</w:t>
      </w:r>
      <w:r>
        <w:rPr>
          <w:spacing w:val="-2"/>
        </w:rPr>
        <w:t> </w:t>
      </w:r>
      <w:r>
        <w:rPr/>
        <w:t>to</w:t>
      </w:r>
      <w:r>
        <w:rPr>
          <w:spacing w:val="-2"/>
        </w:rPr>
        <w:t> </w:t>
      </w:r>
      <w:r>
        <w:rPr/>
        <w:t>do</w:t>
      </w:r>
      <w:r>
        <w:rPr>
          <w:spacing w:val="-2"/>
        </w:rPr>
        <w:t> </w:t>
      </w:r>
      <w:r>
        <w:rPr/>
        <w:t>this</w:t>
      </w:r>
      <w:r>
        <w:rPr>
          <w:spacing w:val="-1"/>
        </w:rPr>
        <w:t> </w:t>
      </w:r>
      <w:r>
        <w:rPr/>
        <w:t>by</w:t>
      </w:r>
      <w:r>
        <w:rPr>
          <w:spacing w:val="-4"/>
        </w:rPr>
        <w:t> </w:t>
      </w:r>
      <w:r>
        <w:rPr/>
        <w:t>preventing peptidyltransferase from adding the</w:t>
      </w:r>
      <w:r>
        <w:rPr>
          <w:spacing w:val="-1"/>
        </w:rPr>
        <w:t> </w:t>
      </w:r>
      <w:r>
        <w:rPr/>
        <w:t>peptidyl attached to tRNA to</w:t>
      </w:r>
      <w:r>
        <w:rPr>
          <w:spacing w:val="-1"/>
        </w:rPr>
        <w:t> </w:t>
      </w:r>
      <w:r>
        <w:rPr/>
        <w:t>the next</w:t>
      </w:r>
      <w:r>
        <w:rPr>
          <w:spacing w:val="-1"/>
        </w:rPr>
        <w:t> </w:t>
      </w:r>
      <w:r>
        <w:rPr/>
        <w:t>amino</w:t>
      </w:r>
      <w:r>
        <w:rPr>
          <w:spacing w:val="-1"/>
        </w:rPr>
        <w:t> </w:t>
      </w:r>
      <w:r>
        <w:rPr/>
        <w:t>acid as well as</w:t>
      </w:r>
      <w:r>
        <w:rPr>
          <w:spacing w:val="-4"/>
        </w:rPr>
        <w:t> </w:t>
      </w:r>
      <w:r>
        <w:rPr/>
        <w:t>inhibiting ribosomal translocation.</w:t>
      </w:r>
      <w:r>
        <w:rPr>
          <w:spacing w:val="40"/>
        </w:rPr>
        <w:t> </w:t>
      </w:r>
      <w:r>
        <w:rPr/>
        <w:t>Another potential mechanism is premature dissociation of the peptidyl-tRNA from the ribosome.Macrolide antibiotics do so by binding reversibly to the P site on the subunit 50S of the bacterial ribosome. This action is considered to be bacteriostatic. Macrolides tend to accumulate within leukocytes, and are, therefore, transported into the site of infection (Tenson </w:t>
      </w:r>
      <w:r>
        <w:rPr>
          <w:i/>
        </w:rPr>
        <w:t>et al</w:t>
      </w:r>
      <w:r>
        <w:rPr/>
        <w:t>., 2003).</w:t>
      </w:r>
    </w:p>
    <w:p>
      <w:pPr>
        <w:pStyle w:val="BodyText"/>
      </w:pPr>
    </w:p>
    <w:p>
      <w:pPr>
        <w:pStyle w:val="BodyText"/>
      </w:pPr>
    </w:p>
    <w:p>
      <w:pPr>
        <w:pStyle w:val="BodyText"/>
      </w:pPr>
    </w:p>
    <w:p>
      <w:pPr>
        <w:pStyle w:val="BodyText"/>
      </w:pPr>
    </w:p>
    <w:p>
      <w:pPr>
        <w:pStyle w:val="BodyText"/>
      </w:pPr>
    </w:p>
    <w:p>
      <w:pPr>
        <w:pStyle w:val="BodyText"/>
        <w:spacing w:before="181"/>
      </w:pPr>
    </w:p>
    <w:p>
      <w:pPr>
        <w:pStyle w:val="ListParagraph"/>
        <w:numPr>
          <w:ilvl w:val="0"/>
          <w:numId w:val="13"/>
        </w:numPr>
        <w:tabs>
          <w:tab w:pos="1135" w:val="left" w:leader="none"/>
        </w:tabs>
        <w:spacing w:line="240" w:lineRule="auto" w:before="0" w:after="0"/>
        <w:ind w:left="1135" w:right="0" w:hanging="215"/>
        <w:jc w:val="left"/>
        <w:rPr>
          <w:rFonts w:ascii="Calibri"/>
          <w:sz w:val="22"/>
        </w:rPr>
      </w:pPr>
      <w:r>
        <w:rPr>
          <w:rFonts w:ascii="Calibri"/>
          <w:spacing w:val="-2"/>
          <w:sz w:val="22"/>
        </w:rPr>
        <w:t>Fluoroquinolones</w:t>
      </w:r>
    </w:p>
    <w:p>
      <w:pPr>
        <w:pStyle w:val="BodyText"/>
      </w:pPr>
    </w:p>
    <w:p>
      <w:pPr>
        <w:pStyle w:val="BodyText"/>
        <w:spacing w:before="10"/>
      </w:pPr>
    </w:p>
    <w:p>
      <w:pPr>
        <w:spacing w:line="477" w:lineRule="auto" w:before="0"/>
        <w:ind w:left="920" w:right="1180" w:firstLine="0"/>
        <w:jc w:val="both"/>
        <w:rPr>
          <w:rFonts w:ascii="Times New Roman"/>
          <w:sz w:val="24"/>
        </w:rPr>
      </w:pPr>
      <w:r>
        <w:rPr>
          <w:rFonts w:ascii="Times New Roman"/>
          <w:sz w:val="24"/>
        </w:rPr>
        <w:t>Fluoroquinolones are broad-spectrum antibiotics that play an important role in treatment of serious bacterial</w:t>
      </w:r>
      <w:r>
        <w:rPr>
          <w:rFonts w:ascii="Times New Roman"/>
          <w:spacing w:val="-1"/>
          <w:sz w:val="24"/>
        </w:rPr>
        <w:t> </w:t>
      </w:r>
      <w:r>
        <w:rPr>
          <w:rFonts w:ascii="Times New Roman"/>
          <w:sz w:val="24"/>
        </w:rPr>
        <w:t>infections,</w:t>
      </w:r>
      <w:r>
        <w:rPr>
          <w:rFonts w:ascii="Times New Roman"/>
          <w:spacing w:val="-1"/>
          <w:sz w:val="24"/>
        </w:rPr>
        <w:t> </w:t>
      </w:r>
      <w:r>
        <w:rPr>
          <w:rFonts w:ascii="Times New Roman"/>
          <w:sz w:val="24"/>
        </w:rPr>
        <w:t>especially</w:t>
      </w:r>
      <w:r>
        <w:rPr>
          <w:rFonts w:ascii="Times New Roman"/>
          <w:spacing w:val="-2"/>
          <w:sz w:val="24"/>
        </w:rPr>
        <w:t> </w:t>
      </w:r>
      <w:r>
        <w:rPr>
          <w:rFonts w:ascii="Times New Roman"/>
          <w:sz w:val="24"/>
        </w:rPr>
        <w:t>hospital-acquired infections</w:t>
      </w:r>
      <w:r>
        <w:rPr>
          <w:rFonts w:ascii="Times New Roman"/>
          <w:spacing w:val="-4"/>
          <w:sz w:val="24"/>
        </w:rPr>
        <w:t> </w:t>
      </w:r>
      <w:r>
        <w:rPr>
          <w:rFonts w:ascii="Times New Roman"/>
          <w:sz w:val="24"/>
        </w:rPr>
        <w:t>and</w:t>
      </w:r>
      <w:r>
        <w:rPr>
          <w:rFonts w:ascii="Times New Roman"/>
          <w:spacing w:val="-2"/>
          <w:sz w:val="24"/>
        </w:rPr>
        <w:t> </w:t>
      </w:r>
      <w:r>
        <w:rPr>
          <w:rFonts w:ascii="Times New Roman"/>
          <w:sz w:val="24"/>
        </w:rPr>
        <w:t>others in</w:t>
      </w:r>
      <w:r>
        <w:rPr>
          <w:rFonts w:ascii="Times New Roman"/>
          <w:spacing w:val="-7"/>
          <w:sz w:val="24"/>
        </w:rPr>
        <w:t> </w:t>
      </w:r>
      <w:r>
        <w:rPr>
          <w:rFonts w:ascii="Times New Roman"/>
          <w:sz w:val="24"/>
        </w:rPr>
        <w:t>which</w:t>
      </w:r>
      <w:r>
        <w:rPr>
          <w:rFonts w:ascii="Times New Roman"/>
          <w:spacing w:val="-7"/>
          <w:sz w:val="24"/>
        </w:rPr>
        <w:t> </w:t>
      </w:r>
      <w:r>
        <w:rPr>
          <w:rFonts w:ascii="Times New Roman"/>
          <w:sz w:val="24"/>
        </w:rPr>
        <w:t>resistance to older</w:t>
      </w:r>
      <w:r>
        <w:rPr>
          <w:rFonts w:ascii="Times New Roman"/>
          <w:spacing w:val="21"/>
          <w:sz w:val="24"/>
        </w:rPr>
        <w:t> </w:t>
      </w:r>
      <w:r>
        <w:rPr>
          <w:rFonts w:ascii="Times New Roman"/>
          <w:sz w:val="24"/>
        </w:rPr>
        <w:t>antibacterial classes</w:t>
      </w:r>
      <w:r>
        <w:rPr>
          <w:rFonts w:ascii="Times New Roman"/>
          <w:spacing w:val="17"/>
          <w:sz w:val="24"/>
        </w:rPr>
        <w:t> </w:t>
      </w:r>
      <w:r>
        <w:rPr>
          <w:rFonts w:ascii="Times New Roman"/>
          <w:sz w:val="24"/>
        </w:rPr>
        <w:t>is</w:t>
      </w:r>
      <w:r>
        <w:rPr>
          <w:rFonts w:ascii="Times New Roman"/>
          <w:spacing w:val="17"/>
          <w:sz w:val="24"/>
        </w:rPr>
        <w:t> </w:t>
      </w:r>
      <w:r>
        <w:rPr>
          <w:rFonts w:ascii="Times New Roman"/>
          <w:sz w:val="24"/>
        </w:rPr>
        <w:t>suspected.</w:t>
      </w:r>
      <w:r>
        <w:rPr>
          <w:rFonts w:ascii="Times New Roman"/>
          <w:spacing w:val="20"/>
          <w:sz w:val="24"/>
        </w:rPr>
        <w:t> </w:t>
      </w:r>
      <w:r>
        <w:rPr>
          <w:rFonts w:ascii="Times New Roman"/>
          <w:sz w:val="24"/>
        </w:rPr>
        <w:t>There are the second generation quinolones</w:t>
      </w:r>
      <w:r>
        <w:rPr>
          <w:rFonts w:ascii="Times New Roman"/>
          <w:spacing w:val="17"/>
          <w:sz w:val="24"/>
        </w:rPr>
        <w:t> </w:t>
      </w:r>
      <w:r>
        <w:rPr>
          <w:rFonts w:ascii="Times New Roman"/>
          <w:sz w:val="24"/>
        </w:rPr>
        <w:t>in which</w:t>
      </w:r>
    </w:p>
    <w:p>
      <w:pPr>
        <w:spacing w:after="0" w:line="477" w:lineRule="auto"/>
        <w:jc w:val="both"/>
        <w:rPr>
          <w:rFonts w:ascii="Times New Roman"/>
          <w:sz w:val="24"/>
        </w:rPr>
        <w:sectPr>
          <w:pgSz w:w="12240" w:h="15840"/>
          <w:pgMar w:header="0" w:footer="1017" w:top="1360" w:bottom="1200" w:left="520" w:right="260"/>
        </w:sectPr>
      </w:pPr>
    </w:p>
    <w:p>
      <w:pPr>
        <w:spacing w:line="480" w:lineRule="auto" w:before="72"/>
        <w:ind w:left="920" w:right="1174" w:firstLine="0"/>
        <w:jc w:val="both"/>
        <w:rPr>
          <w:rFonts w:ascii="Times New Roman"/>
          <w:sz w:val="24"/>
        </w:rPr>
      </w:pPr>
      <w:r>
        <w:rPr>
          <w:rFonts w:ascii="Times New Roman"/>
          <w:sz w:val="24"/>
        </w:rPr>
        <w:t>their C-6 is substituted with fluorine resulting to increased potency and spectrum of activity compared with nalidixic acid.</w:t>
      </w:r>
      <w:r>
        <w:rPr>
          <w:rFonts w:ascii="Times New Roman"/>
          <w:spacing w:val="40"/>
          <w:sz w:val="24"/>
        </w:rPr>
        <w:t> </w:t>
      </w:r>
      <w:r>
        <w:rPr>
          <w:rFonts w:ascii="Times New Roman"/>
          <w:color w:val="221E1F"/>
          <w:sz w:val="24"/>
        </w:rPr>
        <w:t>Fluoroquinolones such as ofloxacin, ciprofloxacin, norfloxacin show superior activity against Enterobacteriaceae and </w:t>
      </w:r>
      <w:r>
        <w:rPr>
          <w:rFonts w:ascii="Times New Roman"/>
          <w:i/>
          <w:color w:val="221E1F"/>
          <w:sz w:val="24"/>
        </w:rPr>
        <w:t>Ps. aeruginosa</w:t>
      </w:r>
      <w:r>
        <w:rPr>
          <w:rFonts w:ascii="Times New Roman"/>
          <w:color w:val="221E1F"/>
          <w:sz w:val="24"/>
        </w:rPr>
        <w:t>, and their spectrum also includes staphylococci but not streptococci (Andersson and MacGowan, 2003).</w:t>
      </w:r>
      <w:r>
        <w:rPr>
          <w:rFonts w:ascii="Times New Roman"/>
          <w:sz w:val="24"/>
        </w:rPr>
        <w:t>It functions by inhibiting DNA gyrase, a type II topoisomerase, and topoisomerase IV, which is an enzyme necessary to separate replicated DNA, thereby inhibiting bacterial cell division.</w:t>
      </w:r>
      <w:r>
        <w:rPr>
          <w:rFonts w:ascii="Times New Roman"/>
          <w:spacing w:val="40"/>
          <w:sz w:val="24"/>
        </w:rPr>
        <w:t> </w:t>
      </w:r>
      <w:r>
        <w:rPr>
          <w:rFonts w:ascii="Times New Roman"/>
          <w:sz w:val="24"/>
        </w:rPr>
        <w:t>Fluoroquinolones interfere with DNA replication by inhibiting an enzyme complex called DNA gyrase. This can also affect mammalian cell replication. In particular, some congeners of this drug family display high activity not only against bacterial topoisomerases, but also against eukaryotic topoisomerases and are toxic to cultured mammalian cells and </w:t>
      </w:r>
      <w:r>
        <w:rPr>
          <w:rFonts w:ascii="Times New Roman"/>
          <w:i/>
          <w:sz w:val="24"/>
        </w:rPr>
        <w:t>in vivo </w:t>
      </w:r>
      <w:r>
        <w:rPr>
          <w:rFonts w:ascii="Times New Roman"/>
          <w:sz w:val="24"/>
        </w:rPr>
        <w:t>tumor models. Although fluoroquinolone is highly toxic to mammalian cells in culture, its mechanism of cytotoxic action is not known (Owens and Ambrose, 2005). Fluoroquinolones can enter cells easily via porins and, therefore, are often used to treat intracellularpathogens such as </w:t>
      </w:r>
      <w:r>
        <w:rPr>
          <w:rFonts w:ascii="Times New Roman"/>
          <w:i/>
          <w:sz w:val="24"/>
        </w:rPr>
        <w:t>Legionella pneumophila </w:t>
      </w:r>
      <w:r>
        <w:rPr>
          <w:rFonts w:ascii="Times New Roman"/>
          <w:sz w:val="24"/>
        </w:rPr>
        <w:t>and </w:t>
      </w:r>
      <w:r>
        <w:rPr>
          <w:rFonts w:ascii="Times New Roman"/>
          <w:i/>
          <w:sz w:val="24"/>
        </w:rPr>
        <w:t>Mycoplasma pneumoniae</w:t>
      </w:r>
      <w:r>
        <w:rPr>
          <w:rFonts w:ascii="Times New Roman"/>
          <w:sz w:val="24"/>
        </w:rPr>
        <w:t>. For many Gram-negative bacteria, DNA gyrase is the target, whereas topoisomerase IV is the target for many Gram-positive bacteria (Mittmann</w:t>
      </w:r>
      <w:r>
        <w:rPr>
          <w:rFonts w:ascii="Times New Roman"/>
          <w:i/>
          <w:sz w:val="24"/>
        </w:rPr>
        <w:t>et al</w:t>
      </w:r>
      <w:r>
        <w:rPr>
          <w:rFonts w:ascii="Times New Roman"/>
          <w:sz w:val="24"/>
        </w:rPr>
        <w:t>., 2002).</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45"/>
        <w:rPr>
          <w:rFonts w:ascii="Times New Roman"/>
          <w:sz w:val="24"/>
        </w:rPr>
      </w:pPr>
    </w:p>
    <w:p>
      <w:pPr>
        <w:pStyle w:val="ListParagraph"/>
        <w:numPr>
          <w:ilvl w:val="0"/>
          <w:numId w:val="13"/>
        </w:numPr>
        <w:tabs>
          <w:tab w:pos="1091" w:val="left" w:leader="none"/>
        </w:tabs>
        <w:spacing w:line="240" w:lineRule="auto" w:before="0" w:after="0"/>
        <w:ind w:left="1091" w:right="0" w:hanging="171"/>
        <w:jc w:val="left"/>
        <w:rPr>
          <w:rFonts w:ascii="Calibri"/>
          <w:sz w:val="22"/>
        </w:rPr>
      </w:pPr>
      <w:r>
        <w:rPr>
          <w:rFonts w:ascii="Calibri"/>
          <w:spacing w:val="-2"/>
          <w:sz w:val="22"/>
        </w:rPr>
        <w:t>Aminoglycosides</w:t>
      </w:r>
    </w:p>
    <w:p>
      <w:pPr>
        <w:pStyle w:val="BodyText"/>
      </w:pPr>
    </w:p>
    <w:p>
      <w:pPr>
        <w:pStyle w:val="BodyText"/>
        <w:spacing w:before="10"/>
      </w:pPr>
    </w:p>
    <w:p>
      <w:pPr>
        <w:spacing w:line="477" w:lineRule="auto" w:before="0"/>
        <w:ind w:left="920" w:right="1182" w:firstLine="0"/>
        <w:jc w:val="both"/>
        <w:rPr>
          <w:rFonts w:ascii="Times New Roman"/>
          <w:sz w:val="24"/>
        </w:rPr>
      </w:pPr>
      <w:r>
        <w:rPr>
          <w:rFonts w:ascii="Times New Roman"/>
          <w:color w:val="221E1F"/>
          <w:sz w:val="24"/>
        </w:rPr>
        <w:t>Aminoglycoside antibiotics contain amino sugars in their structure. Deoxystreptamine- containing members are neomycin, framycetin, gentamicin, kanamycin, tobramycin, amikacin, netilmicin</w:t>
      </w:r>
      <w:r>
        <w:rPr>
          <w:rFonts w:ascii="Times New Roman"/>
          <w:color w:val="221E1F"/>
          <w:spacing w:val="49"/>
          <w:sz w:val="24"/>
        </w:rPr>
        <w:t>  </w:t>
      </w:r>
      <w:r>
        <w:rPr>
          <w:rFonts w:ascii="Times New Roman"/>
          <w:color w:val="221E1F"/>
          <w:sz w:val="24"/>
        </w:rPr>
        <w:t>and</w:t>
      </w:r>
      <w:r>
        <w:rPr>
          <w:rFonts w:ascii="Times New Roman"/>
          <w:color w:val="221E1F"/>
          <w:spacing w:val="49"/>
          <w:sz w:val="24"/>
        </w:rPr>
        <w:t>  </w:t>
      </w:r>
      <w:r>
        <w:rPr>
          <w:rFonts w:ascii="Times New Roman"/>
          <w:color w:val="221E1F"/>
          <w:sz w:val="24"/>
        </w:rPr>
        <w:t>sisomicin.</w:t>
      </w:r>
      <w:r>
        <w:rPr>
          <w:rFonts w:ascii="Times New Roman"/>
          <w:color w:val="221E1F"/>
          <w:spacing w:val="53"/>
          <w:sz w:val="24"/>
        </w:rPr>
        <w:t>  </w:t>
      </w:r>
      <w:r>
        <w:rPr>
          <w:rFonts w:ascii="Times New Roman"/>
          <w:sz w:val="24"/>
        </w:rPr>
        <w:t>Aminoglycosides</w:t>
      </w:r>
      <w:r>
        <w:rPr>
          <w:rFonts w:ascii="Times New Roman"/>
          <w:spacing w:val="51"/>
          <w:sz w:val="24"/>
        </w:rPr>
        <w:t>  </w:t>
      </w:r>
      <w:r>
        <w:rPr>
          <w:rFonts w:ascii="Times New Roman"/>
          <w:sz w:val="24"/>
        </w:rPr>
        <w:t>that</w:t>
      </w:r>
      <w:r>
        <w:rPr>
          <w:rFonts w:ascii="Times New Roman"/>
          <w:spacing w:val="52"/>
          <w:sz w:val="24"/>
        </w:rPr>
        <w:t>  </w:t>
      </w:r>
      <w:r>
        <w:rPr>
          <w:rFonts w:ascii="Times New Roman"/>
          <w:sz w:val="24"/>
        </w:rPr>
        <w:t>are</w:t>
      </w:r>
      <w:r>
        <w:rPr>
          <w:rFonts w:ascii="Times New Roman"/>
          <w:spacing w:val="49"/>
          <w:sz w:val="24"/>
        </w:rPr>
        <w:t>  </w:t>
      </w:r>
      <w:r>
        <w:rPr>
          <w:rFonts w:ascii="Times New Roman"/>
          <w:sz w:val="24"/>
        </w:rPr>
        <w:t>derived</w:t>
      </w:r>
      <w:r>
        <w:rPr>
          <w:rFonts w:ascii="Times New Roman"/>
          <w:spacing w:val="52"/>
          <w:sz w:val="24"/>
        </w:rPr>
        <w:t>  </w:t>
      </w:r>
      <w:r>
        <w:rPr>
          <w:rFonts w:ascii="Times New Roman"/>
          <w:sz w:val="24"/>
        </w:rPr>
        <w:t>from</w:t>
      </w:r>
      <w:r>
        <w:rPr>
          <w:rFonts w:ascii="Times New Roman"/>
          <w:spacing w:val="47"/>
          <w:sz w:val="24"/>
        </w:rPr>
        <w:t>  </w:t>
      </w:r>
      <w:r>
        <w:rPr>
          <w:rFonts w:ascii="Times New Roman"/>
          <w:sz w:val="24"/>
        </w:rPr>
        <w:t>bacteria</w:t>
      </w:r>
      <w:r>
        <w:rPr>
          <w:rFonts w:ascii="Times New Roman"/>
          <w:spacing w:val="49"/>
          <w:sz w:val="24"/>
        </w:rPr>
        <w:t>  </w:t>
      </w:r>
      <w:r>
        <w:rPr>
          <w:rFonts w:ascii="Times New Roman"/>
          <w:sz w:val="24"/>
        </w:rPr>
        <w:t>of</w:t>
      </w:r>
      <w:r>
        <w:rPr>
          <w:rFonts w:ascii="Times New Roman"/>
          <w:spacing w:val="46"/>
          <w:sz w:val="24"/>
        </w:rPr>
        <w:t>  </w:t>
      </w:r>
      <w:r>
        <w:rPr>
          <w:rFonts w:ascii="Times New Roman"/>
          <w:spacing w:val="-5"/>
          <w:sz w:val="24"/>
        </w:rPr>
        <w:t>the</w:t>
      </w:r>
    </w:p>
    <w:p>
      <w:pPr>
        <w:spacing w:after="0" w:line="477" w:lineRule="auto"/>
        <w:jc w:val="both"/>
        <w:rPr>
          <w:rFonts w:ascii="Times New Roman"/>
          <w:sz w:val="24"/>
        </w:rPr>
        <w:sectPr>
          <w:pgSz w:w="12240" w:h="15840"/>
          <w:pgMar w:header="0" w:footer="1017" w:top="1360" w:bottom="1200" w:left="520" w:right="260"/>
        </w:sectPr>
      </w:pPr>
    </w:p>
    <w:p>
      <w:pPr>
        <w:spacing w:line="480" w:lineRule="auto" w:before="72"/>
        <w:ind w:left="920" w:right="1174" w:firstLine="0"/>
        <w:jc w:val="both"/>
        <w:rPr>
          <w:rFonts w:ascii="Times New Roman"/>
          <w:sz w:val="24"/>
        </w:rPr>
      </w:pPr>
      <w:r>
        <w:rPr>
          <w:rFonts w:ascii="Times New Roman"/>
          <w:i/>
          <w:sz w:val="24"/>
        </w:rPr>
        <w:t>Streptomyces</w:t>
      </w:r>
      <w:r>
        <w:rPr>
          <w:rFonts w:ascii="Times New Roman"/>
          <w:sz w:val="24"/>
        </w:rPr>
        <w:t>genus are named with the suffix </w:t>
      </w:r>
      <w:r>
        <w:rPr>
          <w:rFonts w:ascii="Times New Roman"/>
          <w:i/>
          <w:sz w:val="24"/>
        </w:rPr>
        <w:t>mycin</w:t>
      </w:r>
      <w:r>
        <w:rPr>
          <w:rFonts w:ascii="Times New Roman"/>
          <w:sz w:val="24"/>
        </w:rPr>
        <w:t>, whereas those that are derived from </w:t>
      </w:r>
      <w:r>
        <w:rPr>
          <w:rFonts w:ascii="Times New Roman"/>
          <w:i/>
          <w:sz w:val="24"/>
        </w:rPr>
        <w:t>Micromonospora</w:t>
      </w:r>
      <w:r>
        <w:rPr>
          <w:rFonts w:ascii="Times New Roman"/>
          <w:sz w:val="24"/>
        </w:rPr>
        <w:t>are named with the suffix </w:t>
      </w:r>
      <w:r>
        <w:rPr>
          <w:rFonts w:ascii="Times New Roman"/>
          <w:i/>
          <w:sz w:val="24"/>
        </w:rPr>
        <w:t>micin</w:t>
      </w:r>
      <w:r>
        <w:rPr>
          <w:rFonts w:ascii="Times New Roman"/>
          <w:sz w:val="24"/>
        </w:rPr>
        <w:t>(Kroppenstedt </w:t>
      </w:r>
      <w:r>
        <w:rPr>
          <w:rFonts w:ascii="Times New Roman"/>
          <w:i/>
          <w:sz w:val="24"/>
        </w:rPr>
        <w:t>et al</w:t>
      </w:r>
      <w:r>
        <w:rPr>
          <w:rFonts w:ascii="Times New Roman"/>
          <w:sz w:val="24"/>
        </w:rPr>
        <w:t>., 2005).Aminoglycosides have several</w:t>
      </w:r>
      <w:r>
        <w:rPr>
          <w:rFonts w:ascii="Times New Roman"/>
          <w:spacing w:val="-4"/>
          <w:sz w:val="24"/>
        </w:rPr>
        <w:t> </w:t>
      </w:r>
      <w:r>
        <w:rPr>
          <w:rFonts w:ascii="Times New Roman"/>
          <w:sz w:val="24"/>
        </w:rPr>
        <w:t>potential</w:t>
      </w:r>
      <w:r>
        <w:rPr>
          <w:rFonts w:ascii="Times New Roman"/>
          <w:spacing w:val="-4"/>
          <w:sz w:val="24"/>
        </w:rPr>
        <w:t> </w:t>
      </w:r>
      <w:r>
        <w:rPr>
          <w:rFonts w:ascii="Times New Roman"/>
          <w:sz w:val="24"/>
        </w:rPr>
        <w:t>antibiotic mechanisms, some</w:t>
      </w:r>
      <w:r>
        <w:rPr>
          <w:rFonts w:ascii="Times New Roman"/>
          <w:spacing w:val="-1"/>
          <w:sz w:val="24"/>
        </w:rPr>
        <w:t> </w:t>
      </w:r>
      <w:r>
        <w:rPr>
          <w:rFonts w:ascii="Times New Roman"/>
          <w:sz w:val="24"/>
        </w:rPr>
        <w:t>as protein synthesis inhibitors, although</w:t>
      </w:r>
      <w:r>
        <w:rPr>
          <w:rFonts w:ascii="Times New Roman"/>
          <w:spacing w:val="-5"/>
          <w:sz w:val="24"/>
        </w:rPr>
        <w:t> </w:t>
      </w:r>
      <w:r>
        <w:rPr>
          <w:rFonts w:ascii="Times New Roman"/>
          <w:sz w:val="24"/>
        </w:rPr>
        <w:t>their exact mechanism of action is not fully known. They interfere with the proofreading process, causing increased rate of</w:t>
      </w:r>
      <w:r>
        <w:rPr>
          <w:rFonts w:ascii="Times New Roman"/>
          <w:spacing w:val="-4"/>
          <w:sz w:val="24"/>
        </w:rPr>
        <w:t> </w:t>
      </w:r>
      <w:r>
        <w:rPr>
          <w:rFonts w:ascii="Times New Roman"/>
          <w:sz w:val="24"/>
        </w:rPr>
        <w:t>error in</w:t>
      </w:r>
      <w:r>
        <w:rPr>
          <w:rFonts w:ascii="Times New Roman"/>
          <w:spacing w:val="-1"/>
          <w:sz w:val="24"/>
        </w:rPr>
        <w:t> </w:t>
      </w:r>
      <w:r>
        <w:rPr>
          <w:rFonts w:ascii="Times New Roman"/>
          <w:sz w:val="24"/>
        </w:rPr>
        <w:t>synthesis with</w:t>
      </w:r>
      <w:r>
        <w:rPr>
          <w:rFonts w:ascii="Times New Roman"/>
          <w:spacing w:val="-1"/>
          <w:sz w:val="24"/>
        </w:rPr>
        <w:t> </w:t>
      </w:r>
      <w:r>
        <w:rPr>
          <w:rFonts w:ascii="Times New Roman"/>
          <w:sz w:val="24"/>
        </w:rPr>
        <w:t>premature termination.Also, there is evidence of inhibition of ribosomal translocation where the peptidyl-tRNA moves from the A-site to the P- site. They</w:t>
      </w:r>
      <w:r>
        <w:rPr>
          <w:rFonts w:ascii="Times New Roman"/>
          <w:spacing w:val="-5"/>
          <w:sz w:val="24"/>
        </w:rPr>
        <w:t> </w:t>
      </w:r>
      <w:r>
        <w:rPr>
          <w:rFonts w:ascii="Times New Roman"/>
          <w:sz w:val="24"/>
        </w:rPr>
        <w:t>can</w:t>
      </w:r>
      <w:r>
        <w:rPr>
          <w:rFonts w:ascii="Times New Roman"/>
          <w:spacing w:val="-5"/>
          <w:sz w:val="24"/>
        </w:rPr>
        <w:t> </w:t>
      </w:r>
      <w:r>
        <w:rPr>
          <w:rFonts w:ascii="Times New Roman"/>
          <w:sz w:val="24"/>
        </w:rPr>
        <w:t>also disrupt the integrity</w:t>
      </w:r>
      <w:r>
        <w:rPr>
          <w:rFonts w:ascii="Times New Roman"/>
          <w:spacing w:val="-10"/>
          <w:sz w:val="24"/>
        </w:rPr>
        <w:t> </w:t>
      </w:r>
      <w:r>
        <w:rPr>
          <w:rFonts w:ascii="Times New Roman"/>
          <w:sz w:val="24"/>
        </w:rPr>
        <w:t>of</w:t>
      </w:r>
      <w:r>
        <w:rPr>
          <w:rFonts w:ascii="Times New Roman"/>
          <w:spacing w:val="-8"/>
          <w:sz w:val="24"/>
        </w:rPr>
        <w:t> </w:t>
      </w:r>
      <w:r>
        <w:rPr>
          <w:rFonts w:ascii="Times New Roman"/>
          <w:sz w:val="24"/>
        </w:rPr>
        <w:t>bacterial cell membrane as</w:t>
      </w:r>
      <w:r>
        <w:rPr>
          <w:rFonts w:ascii="Times New Roman"/>
          <w:spacing w:val="-2"/>
          <w:sz w:val="24"/>
        </w:rPr>
        <w:t> </w:t>
      </w:r>
      <w:r>
        <w:rPr>
          <w:rFonts w:ascii="Times New Roman"/>
          <w:sz w:val="24"/>
        </w:rPr>
        <w:t>well</w:t>
      </w:r>
      <w:r>
        <w:rPr>
          <w:rFonts w:ascii="Times New Roman"/>
          <w:spacing w:val="-4"/>
          <w:sz w:val="24"/>
        </w:rPr>
        <w:t> </w:t>
      </w:r>
      <w:r>
        <w:rPr>
          <w:rFonts w:ascii="Times New Roman"/>
          <w:sz w:val="24"/>
        </w:rPr>
        <w:t>as bind to the</w:t>
      </w:r>
      <w:r>
        <w:rPr>
          <w:rFonts w:ascii="Times New Roman"/>
          <w:spacing w:val="-1"/>
          <w:sz w:val="24"/>
        </w:rPr>
        <w:t> </w:t>
      </w:r>
      <w:r>
        <w:rPr>
          <w:rFonts w:ascii="Times New Roman"/>
          <w:sz w:val="24"/>
        </w:rPr>
        <w:t>bacterial 30Sribosomal subunit (Shakil </w:t>
      </w:r>
      <w:r>
        <w:rPr>
          <w:rFonts w:ascii="Times New Roman"/>
          <w:i/>
          <w:sz w:val="24"/>
        </w:rPr>
        <w:t>et al</w:t>
      </w:r>
      <w:r>
        <w:rPr>
          <w:rFonts w:ascii="Times New Roman"/>
          <w:sz w:val="24"/>
        </w:rPr>
        <w:t>., 2007).</w:t>
      </w:r>
      <w:r>
        <w:rPr>
          <w:rFonts w:ascii="Times New Roman"/>
          <w:color w:val="221E1F"/>
          <w:sz w:val="24"/>
        </w:rPr>
        <w:t>Gentamicin is active against many strains of Gram- positive and Gram-negative bacteria, including some strains of </w:t>
      </w:r>
      <w:r>
        <w:rPr>
          <w:rFonts w:ascii="Times New Roman"/>
          <w:i/>
          <w:color w:val="221E1F"/>
          <w:sz w:val="24"/>
        </w:rPr>
        <w:t>Ps. Aeruginosa</w:t>
      </w:r>
      <w:r>
        <w:rPr>
          <w:rFonts w:ascii="Times New Roman"/>
          <w:color w:val="221E1F"/>
          <w:sz w:val="24"/>
        </w:rPr>
        <w:t>, </w:t>
      </w:r>
      <w:r>
        <w:rPr>
          <w:rFonts w:ascii="Times New Roman"/>
          <w:i/>
          <w:sz w:val="24"/>
        </w:rPr>
        <w:t>Acinetobacter</w:t>
      </w:r>
      <w:r>
        <w:rPr>
          <w:rFonts w:ascii="Times New Roman"/>
          <w:sz w:val="24"/>
        </w:rPr>
        <w:t>, and </w:t>
      </w:r>
      <w:r>
        <w:rPr>
          <w:rFonts w:ascii="Times New Roman"/>
          <w:i/>
          <w:sz w:val="24"/>
        </w:rPr>
        <w:t>Enterobacter</w:t>
      </w:r>
      <w:r>
        <w:rPr>
          <w:rFonts w:ascii="Times New Roman"/>
          <w:sz w:val="24"/>
        </w:rPr>
        <w:t>.Some species of </w:t>
      </w:r>
      <w:r>
        <w:rPr>
          <w:rFonts w:ascii="Times New Roman"/>
          <w:i/>
          <w:sz w:val="24"/>
        </w:rPr>
        <w:t>Mycobacteria</w:t>
      </w:r>
      <w:r>
        <w:rPr>
          <w:rFonts w:ascii="Times New Roman"/>
          <w:sz w:val="24"/>
        </w:rPr>
        <w:t>, including the causative agent of tuberculosis, are also susceptible to aminoglycosides.</w:t>
      </w:r>
    </w:p>
    <w:p>
      <w:pPr>
        <w:pStyle w:val="BodyText"/>
        <w:spacing w:before="7"/>
        <w:rPr>
          <w:rFonts w:ascii="Times New Roman"/>
          <w:sz w:val="24"/>
        </w:rPr>
      </w:pPr>
    </w:p>
    <w:p>
      <w:pPr>
        <w:spacing w:line="480" w:lineRule="auto" w:before="0"/>
        <w:ind w:left="920" w:right="1180" w:firstLine="0"/>
        <w:jc w:val="both"/>
        <w:rPr>
          <w:rFonts w:ascii="Times New Roman"/>
          <w:sz w:val="24"/>
        </w:rPr>
      </w:pPr>
      <w:r>
        <w:rPr>
          <w:rFonts w:ascii="Times New Roman"/>
          <w:color w:val="221E1F"/>
          <w:sz w:val="24"/>
        </w:rPr>
        <w:t>Its activity is greatly increased at pH values of about 8. It is often administered in conjunction with a beta-lactam to delay the development of resistance. Gentamicin is the most important aminoglycoside antibiotic; it is the aminoglycoside of choice in the UK and is widely used for treating serious infections. As with other members of this group, side-effects are dose-related, dosage must be given with care, plasma levels should be monitored and treatment should not normally exceed 7 days (Hugo and Russel, 2000).</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4"/>
        </w:rPr>
      </w:pPr>
    </w:p>
    <w:p>
      <w:pPr>
        <w:pStyle w:val="ListParagraph"/>
        <w:numPr>
          <w:ilvl w:val="0"/>
          <w:numId w:val="13"/>
        </w:numPr>
        <w:tabs>
          <w:tab w:pos="1163" w:val="left" w:leader="none"/>
        </w:tabs>
        <w:spacing w:line="240" w:lineRule="auto" w:before="1" w:after="0"/>
        <w:ind w:left="1163" w:right="0" w:hanging="243"/>
        <w:jc w:val="left"/>
        <w:rPr>
          <w:sz w:val="24"/>
        </w:rPr>
      </w:pPr>
      <w:r>
        <w:rPr>
          <w:spacing w:val="-2"/>
          <w:sz w:val="24"/>
        </w:rPr>
        <w:t>Chloramphenicol</w:t>
      </w:r>
    </w:p>
    <w:p>
      <w:pPr>
        <w:pStyle w:val="BodyText"/>
        <w:rPr>
          <w:rFonts w:ascii="Times New Roman"/>
          <w:sz w:val="24"/>
        </w:rPr>
      </w:pPr>
    </w:p>
    <w:p>
      <w:pPr>
        <w:pStyle w:val="BodyText"/>
        <w:spacing w:before="7"/>
        <w:rPr>
          <w:rFonts w:ascii="Times New Roman"/>
          <w:sz w:val="24"/>
        </w:rPr>
      </w:pPr>
    </w:p>
    <w:p>
      <w:pPr>
        <w:spacing w:before="0"/>
        <w:ind w:left="920" w:right="0" w:firstLine="0"/>
        <w:jc w:val="both"/>
        <w:rPr>
          <w:rFonts w:ascii="Times New Roman"/>
          <w:sz w:val="24"/>
        </w:rPr>
      </w:pPr>
      <w:r>
        <w:rPr>
          <w:rFonts w:ascii="Times New Roman"/>
          <w:sz w:val="24"/>
        </w:rPr>
        <w:t>Chloramphenicol</w:t>
      </w:r>
      <w:r>
        <w:rPr>
          <w:rFonts w:ascii="Times New Roman"/>
          <w:spacing w:val="3"/>
          <w:sz w:val="24"/>
        </w:rPr>
        <w:t> </w:t>
      </w:r>
      <w:r>
        <w:rPr>
          <w:rFonts w:ascii="Times New Roman"/>
          <w:sz w:val="24"/>
        </w:rPr>
        <w:t>is</w:t>
      </w:r>
      <w:r>
        <w:rPr>
          <w:rFonts w:ascii="Times New Roman"/>
          <w:spacing w:val="5"/>
          <w:sz w:val="24"/>
        </w:rPr>
        <w:t> </w:t>
      </w:r>
      <w:r>
        <w:rPr>
          <w:rFonts w:ascii="Times New Roman"/>
          <w:sz w:val="24"/>
        </w:rPr>
        <w:t>a</w:t>
      </w:r>
      <w:r>
        <w:rPr>
          <w:rFonts w:ascii="Times New Roman"/>
          <w:spacing w:val="12"/>
          <w:sz w:val="24"/>
        </w:rPr>
        <w:t> </w:t>
      </w:r>
      <w:r>
        <w:rPr>
          <w:rFonts w:ascii="Times New Roman"/>
          <w:sz w:val="24"/>
        </w:rPr>
        <w:t>bacteriostatic</w:t>
      </w:r>
      <w:r>
        <w:rPr>
          <w:rFonts w:ascii="Times New Roman"/>
          <w:spacing w:val="6"/>
          <w:sz w:val="24"/>
        </w:rPr>
        <w:t> </w:t>
      </w:r>
      <w:r>
        <w:rPr>
          <w:rFonts w:ascii="Times New Roman"/>
          <w:sz w:val="24"/>
        </w:rPr>
        <w:t>antibiotic</w:t>
      </w:r>
      <w:r>
        <w:rPr>
          <w:rFonts w:ascii="Times New Roman"/>
          <w:spacing w:val="7"/>
          <w:sz w:val="24"/>
        </w:rPr>
        <w:t> </w:t>
      </w:r>
      <w:r>
        <w:rPr>
          <w:rFonts w:ascii="Times New Roman"/>
          <w:sz w:val="24"/>
        </w:rPr>
        <w:t>that</w:t>
      </w:r>
      <w:r>
        <w:rPr>
          <w:rFonts w:ascii="Times New Roman"/>
          <w:spacing w:val="11"/>
          <w:sz w:val="24"/>
        </w:rPr>
        <w:t> </w:t>
      </w:r>
      <w:r>
        <w:rPr>
          <w:rFonts w:ascii="Times New Roman"/>
          <w:sz w:val="24"/>
        </w:rPr>
        <w:t>became</w:t>
      </w:r>
      <w:r>
        <w:rPr>
          <w:rFonts w:ascii="Times New Roman"/>
          <w:spacing w:val="10"/>
          <w:sz w:val="24"/>
        </w:rPr>
        <w:t> </w:t>
      </w:r>
      <w:r>
        <w:rPr>
          <w:rFonts w:ascii="Times New Roman"/>
          <w:sz w:val="24"/>
        </w:rPr>
        <w:t>available</w:t>
      </w:r>
      <w:r>
        <w:rPr>
          <w:rFonts w:ascii="Times New Roman"/>
          <w:spacing w:val="11"/>
          <w:sz w:val="24"/>
        </w:rPr>
        <w:t> </w:t>
      </w:r>
      <w:r>
        <w:rPr>
          <w:rFonts w:ascii="Times New Roman"/>
          <w:sz w:val="24"/>
        </w:rPr>
        <w:t>in</w:t>
      </w:r>
      <w:r>
        <w:rPr>
          <w:rFonts w:ascii="Times New Roman"/>
          <w:spacing w:val="3"/>
          <w:sz w:val="24"/>
        </w:rPr>
        <w:t> </w:t>
      </w:r>
      <w:r>
        <w:rPr>
          <w:rFonts w:ascii="Times New Roman"/>
          <w:sz w:val="24"/>
        </w:rPr>
        <w:t>1949</w:t>
      </w:r>
      <w:r>
        <w:rPr>
          <w:rFonts w:ascii="Times New Roman"/>
          <w:spacing w:val="12"/>
          <w:sz w:val="24"/>
        </w:rPr>
        <w:t> </w:t>
      </w:r>
      <w:r>
        <w:rPr>
          <w:rFonts w:ascii="Times New Roman"/>
          <w:sz w:val="24"/>
        </w:rPr>
        <w:t>from the</w:t>
      </w:r>
      <w:r>
        <w:rPr>
          <w:rFonts w:ascii="Times New Roman"/>
          <w:spacing w:val="6"/>
          <w:sz w:val="24"/>
        </w:rPr>
        <w:t> </w:t>
      </w:r>
      <w:r>
        <w:rPr>
          <w:rFonts w:ascii="Times New Roman"/>
          <w:sz w:val="24"/>
        </w:rPr>
        <w:t>culture</w:t>
      </w:r>
      <w:r>
        <w:rPr>
          <w:rFonts w:ascii="Times New Roman"/>
          <w:spacing w:val="6"/>
          <w:sz w:val="24"/>
        </w:rPr>
        <w:t> </w:t>
      </w:r>
      <w:r>
        <w:rPr>
          <w:rFonts w:ascii="Times New Roman"/>
          <w:spacing w:val="-5"/>
          <w:sz w:val="24"/>
        </w:rPr>
        <w:t>of</w:t>
      </w:r>
    </w:p>
    <w:p>
      <w:pPr>
        <w:spacing w:before="271"/>
        <w:ind w:left="920" w:right="0" w:firstLine="0"/>
        <w:jc w:val="both"/>
        <w:rPr>
          <w:rFonts w:ascii="Times New Roman"/>
          <w:sz w:val="24"/>
        </w:rPr>
      </w:pPr>
      <w:r>
        <w:rPr>
          <w:rFonts w:ascii="Times New Roman"/>
          <w:i/>
          <w:sz w:val="24"/>
        </w:rPr>
        <w:t>Streptomyces</w:t>
      </w:r>
      <w:r>
        <w:rPr>
          <w:rFonts w:ascii="Times New Roman"/>
          <w:i/>
          <w:spacing w:val="35"/>
          <w:sz w:val="24"/>
        </w:rPr>
        <w:t> </w:t>
      </w:r>
      <w:r>
        <w:rPr>
          <w:rFonts w:ascii="Times New Roman"/>
          <w:i/>
          <w:sz w:val="24"/>
        </w:rPr>
        <w:t>venezuella</w:t>
      </w:r>
      <w:r>
        <w:rPr>
          <w:rFonts w:ascii="Times New Roman"/>
          <w:sz w:val="24"/>
        </w:rPr>
        <w:t>.</w:t>
      </w:r>
      <w:r>
        <w:rPr>
          <w:rFonts w:ascii="Times New Roman"/>
          <w:spacing w:val="38"/>
          <w:sz w:val="24"/>
        </w:rPr>
        <w:t> </w:t>
      </w:r>
      <w:r>
        <w:rPr>
          <w:rFonts w:ascii="Times New Roman"/>
          <w:sz w:val="24"/>
        </w:rPr>
        <w:t>chloramphenicol</w:t>
      </w:r>
      <w:r>
        <w:rPr>
          <w:rFonts w:ascii="Times New Roman"/>
          <w:spacing w:val="34"/>
          <w:sz w:val="24"/>
        </w:rPr>
        <w:t> </w:t>
      </w:r>
      <w:r>
        <w:rPr>
          <w:rFonts w:ascii="Times New Roman"/>
          <w:sz w:val="24"/>
        </w:rPr>
        <w:t>has</w:t>
      </w:r>
      <w:r>
        <w:rPr>
          <w:rFonts w:ascii="Times New Roman"/>
          <w:spacing w:val="35"/>
          <w:sz w:val="24"/>
        </w:rPr>
        <w:t> </w:t>
      </w:r>
      <w:r>
        <w:rPr>
          <w:rFonts w:ascii="Times New Roman"/>
          <w:sz w:val="24"/>
        </w:rPr>
        <w:t>a</w:t>
      </w:r>
      <w:r>
        <w:rPr>
          <w:rFonts w:ascii="Times New Roman"/>
          <w:spacing w:val="40"/>
          <w:sz w:val="24"/>
        </w:rPr>
        <w:t> </w:t>
      </w:r>
      <w:r>
        <w:rPr>
          <w:rFonts w:ascii="Times New Roman"/>
          <w:sz w:val="24"/>
        </w:rPr>
        <w:t>very</w:t>
      </w:r>
      <w:r>
        <w:rPr>
          <w:rFonts w:ascii="Times New Roman"/>
          <w:spacing w:val="37"/>
          <w:sz w:val="24"/>
        </w:rPr>
        <w:t> </w:t>
      </w:r>
      <w:r>
        <w:rPr>
          <w:rFonts w:ascii="Times New Roman"/>
          <w:sz w:val="24"/>
        </w:rPr>
        <w:t>broad</w:t>
      </w:r>
      <w:r>
        <w:rPr>
          <w:rFonts w:ascii="Times New Roman"/>
          <w:spacing w:val="37"/>
          <w:sz w:val="24"/>
        </w:rPr>
        <w:t> </w:t>
      </w:r>
      <w:r>
        <w:rPr>
          <w:rFonts w:ascii="Times New Roman"/>
          <w:sz w:val="24"/>
        </w:rPr>
        <w:t>spectrum</w:t>
      </w:r>
      <w:r>
        <w:rPr>
          <w:rFonts w:ascii="Times New Roman"/>
          <w:spacing w:val="29"/>
          <w:sz w:val="24"/>
        </w:rPr>
        <w:t> </w:t>
      </w:r>
      <w:r>
        <w:rPr>
          <w:rFonts w:ascii="Times New Roman"/>
          <w:sz w:val="24"/>
        </w:rPr>
        <w:t>of</w:t>
      </w:r>
      <w:r>
        <w:rPr>
          <w:rFonts w:ascii="Times New Roman"/>
          <w:spacing w:val="29"/>
          <w:sz w:val="24"/>
        </w:rPr>
        <w:t> </w:t>
      </w:r>
      <w:r>
        <w:rPr>
          <w:rFonts w:ascii="Times New Roman"/>
          <w:sz w:val="24"/>
        </w:rPr>
        <w:t>activity;</w:t>
      </w:r>
      <w:r>
        <w:rPr>
          <w:rFonts w:ascii="Times New Roman"/>
          <w:spacing w:val="42"/>
          <w:sz w:val="24"/>
        </w:rPr>
        <w:t> </w:t>
      </w:r>
      <w:r>
        <w:rPr>
          <w:rFonts w:ascii="Times New Roman"/>
          <w:sz w:val="24"/>
        </w:rPr>
        <w:t>it</w:t>
      </w:r>
      <w:r>
        <w:rPr>
          <w:rFonts w:ascii="Times New Roman"/>
          <w:spacing w:val="46"/>
          <w:sz w:val="24"/>
        </w:rPr>
        <w:t> </w:t>
      </w:r>
      <w:r>
        <w:rPr>
          <w:rFonts w:ascii="Times New Roman"/>
          <w:sz w:val="24"/>
        </w:rPr>
        <w:t>is</w:t>
      </w:r>
      <w:r>
        <w:rPr>
          <w:rFonts w:ascii="Times New Roman"/>
          <w:spacing w:val="35"/>
          <w:sz w:val="24"/>
        </w:rPr>
        <w:t> </w:t>
      </w:r>
      <w:r>
        <w:rPr>
          <w:rFonts w:ascii="Times New Roman"/>
          <w:spacing w:val="-2"/>
          <w:sz w:val="24"/>
        </w:rPr>
        <w:t>active</w:t>
      </w:r>
    </w:p>
    <w:p>
      <w:pPr>
        <w:spacing w:after="0"/>
        <w:jc w:val="both"/>
        <w:rPr>
          <w:rFonts w:ascii="Times New Roman"/>
          <w:sz w:val="24"/>
        </w:rPr>
        <w:sectPr>
          <w:pgSz w:w="12240" w:h="15840"/>
          <w:pgMar w:header="0" w:footer="1017" w:top="1360" w:bottom="1200" w:left="520" w:right="260"/>
        </w:sectPr>
      </w:pPr>
    </w:p>
    <w:p>
      <w:pPr>
        <w:spacing w:line="480" w:lineRule="auto" w:before="72"/>
        <w:ind w:left="920" w:right="1174" w:firstLine="0"/>
        <w:jc w:val="both"/>
        <w:rPr>
          <w:rFonts w:ascii="Times New Roman"/>
          <w:sz w:val="24"/>
        </w:rPr>
      </w:pPr>
      <w:r>
        <w:rPr>
          <w:rFonts w:ascii="Times New Roman"/>
          <w:sz w:val="24"/>
        </w:rPr>
        <w:t>against Gram-positive bacteria (including most strains of MRSA), Gram-negative bacteria and anaerobes (Falagas </w:t>
      </w:r>
      <w:r>
        <w:rPr>
          <w:rFonts w:ascii="Times New Roman"/>
          <w:i/>
          <w:sz w:val="24"/>
        </w:rPr>
        <w:t>et al</w:t>
      </w:r>
      <w:r>
        <w:rPr>
          <w:rFonts w:ascii="Times New Roman"/>
          <w:sz w:val="24"/>
        </w:rPr>
        <w:t>., 2008). It is not active against </w:t>
      </w:r>
      <w:r>
        <w:rPr>
          <w:rFonts w:ascii="Times New Roman"/>
          <w:i/>
          <w:sz w:val="24"/>
        </w:rPr>
        <w:t>Pseudomonas aeruginosa</w:t>
      </w:r>
      <w:r>
        <w:rPr>
          <w:rFonts w:ascii="Times New Roman"/>
          <w:sz w:val="24"/>
        </w:rPr>
        <w:t>, Chlamydiae, or</w:t>
      </w:r>
      <w:r>
        <w:rPr>
          <w:rFonts w:ascii="Times New Roman"/>
          <w:spacing w:val="-5"/>
          <w:sz w:val="24"/>
        </w:rPr>
        <w:t> </w:t>
      </w:r>
      <w:r>
        <w:rPr>
          <w:rFonts w:ascii="Times New Roman"/>
          <w:i/>
          <w:sz w:val="24"/>
        </w:rPr>
        <w:t>Enterobacter</w:t>
      </w:r>
      <w:r>
        <w:rPr>
          <w:rFonts w:ascii="Times New Roman"/>
          <w:i/>
          <w:spacing w:val="-3"/>
          <w:sz w:val="24"/>
        </w:rPr>
        <w:t> </w:t>
      </w:r>
      <w:r>
        <w:rPr>
          <w:rFonts w:ascii="Times New Roman"/>
          <w:sz w:val="24"/>
        </w:rPr>
        <w:t>species. It has</w:t>
      </w:r>
      <w:r>
        <w:rPr>
          <w:rFonts w:ascii="Times New Roman"/>
          <w:spacing w:val="-4"/>
          <w:sz w:val="24"/>
        </w:rPr>
        <w:t> </w:t>
      </w:r>
      <w:r>
        <w:rPr>
          <w:rFonts w:ascii="Times New Roman"/>
          <w:sz w:val="24"/>
        </w:rPr>
        <w:t>some activity</w:t>
      </w:r>
      <w:r>
        <w:rPr>
          <w:rFonts w:ascii="Times New Roman"/>
          <w:spacing w:val="-7"/>
          <w:sz w:val="24"/>
        </w:rPr>
        <w:t> </w:t>
      </w:r>
      <w:r>
        <w:rPr>
          <w:rFonts w:ascii="Times New Roman"/>
          <w:sz w:val="24"/>
        </w:rPr>
        <w:t>against </w:t>
      </w:r>
      <w:r>
        <w:rPr>
          <w:rFonts w:ascii="Times New Roman"/>
          <w:i/>
          <w:sz w:val="24"/>
        </w:rPr>
        <w:t>Burkholderia</w:t>
      </w:r>
      <w:r>
        <w:rPr>
          <w:rFonts w:ascii="Times New Roman"/>
          <w:i/>
          <w:spacing w:val="-2"/>
          <w:sz w:val="24"/>
        </w:rPr>
        <w:t> </w:t>
      </w:r>
      <w:r>
        <w:rPr>
          <w:rFonts w:ascii="Times New Roman"/>
          <w:i/>
          <w:sz w:val="24"/>
        </w:rPr>
        <w:t>pseudomallei</w:t>
      </w:r>
      <w:r>
        <w:rPr>
          <w:rFonts w:ascii="Times New Roman"/>
          <w:sz w:val="24"/>
        </w:rPr>
        <w:t>, but is no longer routinely used to treat infections caused by</w:t>
      </w:r>
      <w:r>
        <w:rPr>
          <w:rFonts w:ascii="Times New Roman"/>
          <w:spacing w:val="-1"/>
          <w:sz w:val="24"/>
        </w:rPr>
        <w:t> </w:t>
      </w:r>
      <w:r>
        <w:rPr>
          <w:rFonts w:ascii="Times New Roman"/>
          <w:sz w:val="24"/>
        </w:rPr>
        <w:t>this organism (it has been superseded by ceftazidime and meropenem). In</w:t>
      </w:r>
      <w:r>
        <w:rPr>
          <w:rFonts w:ascii="Times New Roman"/>
          <w:spacing w:val="-5"/>
          <w:sz w:val="24"/>
        </w:rPr>
        <w:t> </w:t>
      </w:r>
      <w:r>
        <w:rPr>
          <w:rFonts w:ascii="Times New Roman"/>
          <w:sz w:val="24"/>
        </w:rPr>
        <w:t>the West, chloramphenicol</w:t>
      </w:r>
      <w:r>
        <w:rPr>
          <w:rFonts w:ascii="Times New Roman"/>
          <w:spacing w:val="-4"/>
          <w:sz w:val="24"/>
        </w:rPr>
        <w:t> </w:t>
      </w:r>
      <w:r>
        <w:rPr>
          <w:rFonts w:ascii="Times New Roman"/>
          <w:sz w:val="24"/>
        </w:rPr>
        <w:t>is mostly</w:t>
      </w:r>
      <w:r>
        <w:rPr>
          <w:rFonts w:ascii="Times New Roman"/>
          <w:spacing w:val="-5"/>
          <w:sz w:val="24"/>
        </w:rPr>
        <w:t> </w:t>
      </w:r>
      <w:r>
        <w:rPr>
          <w:rFonts w:ascii="Times New Roman"/>
          <w:sz w:val="24"/>
        </w:rPr>
        <w:t>restricted to topical</w:t>
      </w:r>
      <w:r>
        <w:rPr>
          <w:rFonts w:ascii="Times New Roman"/>
          <w:spacing w:val="-4"/>
          <w:sz w:val="24"/>
        </w:rPr>
        <w:t> </w:t>
      </w:r>
      <w:r>
        <w:rPr>
          <w:rFonts w:ascii="Times New Roman"/>
          <w:sz w:val="24"/>
        </w:rPr>
        <w:t>uses because</w:t>
      </w:r>
      <w:r>
        <w:rPr>
          <w:rFonts w:ascii="Times New Roman"/>
          <w:spacing w:val="-1"/>
          <w:sz w:val="24"/>
        </w:rPr>
        <w:t> </w:t>
      </w:r>
      <w:r>
        <w:rPr>
          <w:rFonts w:ascii="Times New Roman"/>
          <w:sz w:val="24"/>
        </w:rPr>
        <w:t>of</w:t>
      </w:r>
      <w:r>
        <w:rPr>
          <w:rFonts w:ascii="Times New Roman"/>
          <w:spacing w:val="-8"/>
          <w:sz w:val="24"/>
        </w:rPr>
        <w:t> </w:t>
      </w:r>
      <w:r>
        <w:rPr>
          <w:rFonts w:ascii="Times New Roman"/>
          <w:sz w:val="24"/>
        </w:rPr>
        <w:t>the worries about the risk of aplastic anaemia. Chloramphenicol is a bacteriostatic drug that stops bacterial growth by inhibiting protein synthesis. Chloramphenicol prevents protein chain elongation by inhibiting the peptidyl transferase activity of</w:t>
      </w:r>
      <w:r>
        <w:rPr>
          <w:rFonts w:ascii="Times New Roman"/>
          <w:spacing w:val="-3"/>
          <w:sz w:val="24"/>
        </w:rPr>
        <w:t> </w:t>
      </w:r>
      <w:r>
        <w:rPr>
          <w:rFonts w:ascii="Times New Roman"/>
          <w:sz w:val="24"/>
        </w:rPr>
        <w:t>the bacterial ribosome. It specifically binds to A2451 and A2452 residues in the 23S rRNA of the 50S ribosomal subunit, preventing peptide bond formation.While chloramphenicol and the macrolide class of antibiotics both interacts with</w:t>
      </w:r>
      <w:r>
        <w:rPr>
          <w:rFonts w:ascii="Times New Roman"/>
          <w:spacing w:val="-1"/>
          <w:sz w:val="24"/>
        </w:rPr>
        <w:t> </w:t>
      </w:r>
      <w:r>
        <w:rPr>
          <w:rFonts w:ascii="Times New Roman"/>
          <w:sz w:val="24"/>
        </w:rPr>
        <w:t>ribosomes, chloramphenicol is not a macrolide. It directly interferes with</w:t>
      </w:r>
      <w:r>
        <w:rPr>
          <w:rFonts w:ascii="Times New Roman"/>
          <w:spacing w:val="-1"/>
          <w:sz w:val="24"/>
        </w:rPr>
        <w:t> </w:t>
      </w:r>
      <w:r>
        <w:rPr>
          <w:rFonts w:ascii="Times New Roman"/>
          <w:sz w:val="24"/>
        </w:rPr>
        <w:t>substrate binding, whereas macrolides sterically block the progression of the growing peptide (Lewis </w:t>
      </w:r>
      <w:r>
        <w:rPr>
          <w:rFonts w:ascii="Times New Roman"/>
          <w:i/>
          <w:sz w:val="24"/>
        </w:rPr>
        <w:t>et</w:t>
      </w:r>
      <w:r>
        <w:rPr>
          <w:rFonts w:ascii="Times New Roman"/>
          <w:i/>
          <w:spacing w:val="40"/>
          <w:sz w:val="24"/>
        </w:rPr>
        <w:t> </w:t>
      </w:r>
      <w:r>
        <w:rPr>
          <w:rFonts w:ascii="Times New Roman"/>
          <w:i/>
          <w:sz w:val="24"/>
        </w:rPr>
        <w:t>al</w:t>
      </w:r>
      <w:r>
        <w:rPr>
          <w:rFonts w:ascii="Times New Roman"/>
          <w:sz w:val="24"/>
        </w:rPr>
        <w:t>., 1998).</w:t>
      </w:r>
    </w:p>
    <w:p>
      <w:pPr>
        <w:pStyle w:val="BodyText"/>
        <w:spacing w:before="7"/>
        <w:rPr>
          <w:rFonts w:ascii="Times New Roman"/>
          <w:sz w:val="24"/>
        </w:rPr>
      </w:pPr>
    </w:p>
    <w:p>
      <w:pPr>
        <w:spacing w:line="480" w:lineRule="auto" w:before="0"/>
        <w:ind w:left="920" w:right="1175" w:firstLine="0"/>
        <w:jc w:val="both"/>
        <w:rPr>
          <w:rFonts w:ascii="Times New Roman"/>
          <w:sz w:val="24"/>
        </w:rPr>
      </w:pPr>
      <w:r>
        <w:rPr>
          <w:rFonts w:ascii="Times New Roman"/>
          <w:sz w:val="24"/>
        </w:rPr>
        <w:t>The original indication of chloramphenicol was in the treatment of typhoid, but the now almost universal presence of multiple drug-resistant </w:t>
      </w:r>
      <w:r>
        <w:rPr>
          <w:rFonts w:ascii="Times New Roman"/>
          <w:i/>
          <w:sz w:val="24"/>
        </w:rPr>
        <w:t>Salmonella typhi </w:t>
      </w:r>
      <w:r>
        <w:rPr>
          <w:rFonts w:ascii="Times New Roman"/>
          <w:sz w:val="24"/>
        </w:rPr>
        <w:t>has meant it is seldom used for</w:t>
      </w:r>
      <w:r>
        <w:rPr>
          <w:rFonts w:ascii="Times New Roman"/>
          <w:spacing w:val="40"/>
          <w:sz w:val="24"/>
        </w:rPr>
        <w:t> </w:t>
      </w:r>
      <w:r>
        <w:rPr>
          <w:rFonts w:ascii="Times New Roman"/>
          <w:sz w:val="24"/>
        </w:rPr>
        <w:t>this indication</w:t>
      </w:r>
      <w:r>
        <w:rPr>
          <w:rFonts w:ascii="Times New Roman"/>
          <w:spacing w:val="-6"/>
          <w:sz w:val="24"/>
        </w:rPr>
        <w:t> </w:t>
      </w:r>
      <w:r>
        <w:rPr>
          <w:rFonts w:ascii="Times New Roman"/>
          <w:sz w:val="24"/>
        </w:rPr>
        <w:t>except when</w:t>
      </w:r>
      <w:r>
        <w:rPr>
          <w:rFonts w:ascii="Times New Roman"/>
          <w:spacing w:val="-6"/>
          <w:sz w:val="24"/>
        </w:rPr>
        <w:t> </w:t>
      </w:r>
      <w:r>
        <w:rPr>
          <w:rFonts w:ascii="Times New Roman"/>
          <w:sz w:val="24"/>
        </w:rPr>
        <w:t>the</w:t>
      </w:r>
      <w:r>
        <w:rPr>
          <w:rFonts w:ascii="Times New Roman"/>
          <w:spacing w:val="-2"/>
          <w:sz w:val="24"/>
        </w:rPr>
        <w:t> </w:t>
      </w:r>
      <w:r>
        <w:rPr>
          <w:rFonts w:ascii="Times New Roman"/>
          <w:sz w:val="24"/>
        </w:rPr>
        <w:t>organism</w:t>
      </w:r>
      <w:r>
        <w:rPr>
          <w:rFonts w:ascii="Times New Roman"/>
          <w:spacing w:val="-1"/>
          <w:sz w:val="24"/>
        </w:rPr>
        <w:t> </w:t>
      </w:r>
      <w:r>
        <w:rPr>
          <w:rFonts w:ascii="Times New Roman"/>
          <w:sz w:val="24"/>
        </w:rPr>
        <w:t>is</w:t>
      </w:r>
      <w:r>
        <w:rPr>
          <w:rFonts w:ascii="Times New Roman"/>
          <w:spacing w:val="-3"/>
          <w:sz w:val="24"/>
        </w:rPr>
        <w:t> </w:t>
      </w:r>
      <w:r>
        <w:rPr>
          <w:rFonts w:ascii="Times New Roman"/>
          <w:sz w:val="24"/>
        </w:rPr>
        <w:t>known</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be</w:t>
      </w:r>
      <w:r>
        <w:rPr>
          <w:rFonts w:ascii="Times New Roman"/>
          <w:spacing w:val="-2"/>
          <w:sz w:val="24"/>
        </w:rPr>
        <w:t> </w:t>
      </w:r>
      <w:r>
        <w:rPr>
          <w:rFonts w:ascii="Times New Roman"/>
          <w:sz w:val="24"/>
        </w:rPr>
        <w:t>sensitive. Chloramphenicol</w:t>
      </w:r>
      <w:r>
        <w:rPr>
          <w:rFonts w:ascii="Times New Roman"/>
          <w:spacing w:val="-5"/>
          <w:sz w:val="24"/>
        </w:rPr>
        <w:t> </w:t>
      </w:r>
      <w:r>
        <w:rPr>
          <w:rFonts w:ascii="Times New Roman"/>
          <w:sz w:val="24"/>
        </w:rPr>
        <w:t>may</w:t>
      </w:r>
      <w:r>
        <w:rPr>
          <w:rFonts w:ascii="Times New Roman"/>
          <w:spacing w:val="-6"/>
          <w:sz w:val="24"/>
        </w:rPr>
        <w:t> </w:t>
      </w:r>
      <w:r>
        <w:rPr>
          <w:rFonts w:ascii="Times New Roman"/>
          <w:sz w:val="24"/>
        </w:rPr>
        <w:t>be</w:t>
      </w:r>
      <w:r>
        <w:rPr>
          <w:rFonts w:ascii="Times New Roman"/>
          <w:spacing w:val="-2"/>
          <w:sz w:val="24"/>
        </w:rPr>
        <w:t> </w:t>
      </w:r>
      <w:r>
        <w:rPr>
          <w:rFonts w:ascii="Times New Roman"/>
          <w:sz w:val="24"/>
        </w:rPr>
        <w:t>used as a second-line agent in the treatment of tetracycline-resistant cholera.Because of its excellent blood brain barrier penetration (far superior to any of the cephalosporins), chloramphenicol remains the first choice treatment for staphylococcalbrain abscesses. It is also useful in the treatment of brain abscesses due to mixed organisms or when the causative organism is not known (Bhutta </w:t>
      </w:r>
      <w:r>
        <w:rPr>
          <w:rFonts w:ascii="Times New Roman"/>
          <w:i/>
          <w:sz w:val="24"/>
        </w:rPr>
        <w:t>et al</w:t>
      </w:r>
      <w:r>
        <w:rPr>
          <w:rFonts w:ascii="Times New Roman"/>
          <w:sz w:val="24"/>
        </w:rPr>
        <w:t>., 1992).</w:t>
      </w:r>
    </w:p>
    <w:p>
      <w:pPr>
        <w:spacing w:after="0" w:line="480" w:lineRule="auto"/>
        <w:jc w:val="both"/>
        <w:rPr>
          <w:rFonts w:ascii="Times New Roman"/>
          <w:sz w:val="24"/>
        </w:rPr>
        <w:sectPr>
          <w:pgSz w:w="12240" w:h="15840"/>
          <w:pgMar w:header="0" w:footer="1017" w:top="1360" w:bottom="1200" w:left="520" w:right="260"/>
        </w:sectPr>
      </w:pPr>
    </w:p>
    <w:p>
      <w:pPr>
        <w:spacing w:line="480" w:lineRule="auto" w:before="76"/>
        <w:ind w:left="920" w:right="1173" w:firstLine="0"/>
        <w:jc w:val="both"/>
        <w:rPr>
          <w:rFonts w:ascii="Times New Roman"/>
          <w:sz w:val="24"/>
        </w:rPr>
      </w:pPr>
      <w:r>
        <w:rPr>
          <w:rFonts w:ascii="Times New Roman"/>
          <w:sz w:val="24"/>
        </w:rPr>
        <w:t>Chloramphenicol is active against the three main bacterial causes of meningitis: </w:t>
      </w:r>
      <w:r>
        <w:rPr>
          <w:rFonts w:ascii="Times New Roman"/>
          <w:i/>
          <w:sz w:val="24"/>
        </w:rPr>
        <w:t>Neisseria meningitidis</w:t>
      </w:r>
      <w:r>
        <w:rPr>
          <w:rFonts w:ascii="Times New Roman"/>
          <w:sz w:val="24"/>
        </w:rPr>
        <w:t>, </w:t>
      </w:r>
      <w:r>
        <w:rPr>
          <w:rFonts w:ascii="Times New Roman"/>
          <w:i/>
          <w:sz w:val="24"/>
        </w:rPr>
        <w:t>Streptococcus pneumoniae </w:t>
      </w:r>
      <w:r>
        <w:rPr>
          <w:rFonts w:ascii="Times New Roman"/>
          <w:sz w:val="24"/>
        </w:rPr>
        <w:t>and </w:t>
      </w:r>
      <w:r>
        <w:rPr>
          <w:rFonts w:ascii="Times New Roman"/>
          <w:i/>
          <w:sz w:val="24"/>
        </w:rPr>
        <w:t>Haemophilus influenzae</w:t>
      </w:r>
      <w:r>
        <w:rPr>
          <w:rFonts w:ascii="Times New Roman"/>
          <w:sz w:val="24"/>
        </w:rPr>
        <w:t>. It remains the drug of choice in the treatment of meningitis in patients with severe penicillin or cephalosporin allergy and general</w:t>
      </w:r>
      <w:r>
        <w:rPr>
          <w:rFonts w:ascii="Times New Roman"/>
          <w:spacing w:val="-4"/>
          <w:sz w:val="24"/>
        </w:rPr>
        <w:t> </w:t>
      </w:r>
      <w:r>
        <w:rPr>
          <w:rFonts w:ascii="Times New Roman"/>
          <w:sz w:val="24"/>
        </w:rPr>
        <w:t>practitioners are recommended to carry intravenous chloramphenicol in their bag. In low income</w:t>
      </w:r>
      <w:r>
        <w:rPr>
          <w:rFonts w:ascii="Times New Roman"/>
          <w:spacing w:val="-3"/>
          <w:sz w:val="24"/>
        </w:rPr>
        <w:t> </w:t>
      </w:r>
      <w:r>
        <w:rPr>
          <w:rFonts w:ascii="Times New Roman"/>
          <w:sz w:val="24"/>
        </w:rPr>
        <w:t>countries, the WHO</w:t>
      </w:r>
      <w:r>
        <w:rPr>
          <w:rFonts w:ascii="Times New Roman"/>
          <w:spacing w:val="-2"/>
          <w:sz w:val="24"/>
        </w:rPr>
        <w:t> </w:t>
      </w:r>
      <w:r>
        <w:rPr>
          <w:rFonts w:ascii="Times New Roman"/>
          <w:sz w:val="24"/>
        </w:rPr>
        <w:t>recommends</w:t>
      </w:r>
      <w:r>
        <w:rPr>
          <w:rFonts w:ascii="Times New Roman"/>
          <w:spacing w:val="-4"/>
          <w:sz w:val="24"/>
        </w:rPr>
        <w:t> </w:t>
      </w:r>
      <w:r>
        <w:rPr>
          <w:rFonts w:ascii="Times New Roman"/>
          <w:sz w:val="24"/>
        </w:rPr>
        <w:t>that oily</w:t>
      </w:r>
      <w:r>
        <w:rPr>
          <w:rFonts w:ascii="Times New Roman"/>
          <w:spacing w:val="-6"/>
          <w:sz w:val="24"/>
        </w:rPr>
        <w:t> </w:t>
      </w:r>
      <w:r>
        <w:rPr>
          <w:rFonts w:ascii="Times New Roman"/>
          <w:sz w:val="24"/>
        </w:rPr>
        <w:t>chloramphenicol</w:t>
      </w:r>
      <w:r>
        <w:rPr>
          <w:rFonts w:ascii="Times New Roman"/>
          <w:spacing w:val="-5"/>
          <w:sz w:val="24"/>
        </w:rPr>
        <w:t> </w:t>
      </w:r>
      <w:r>
        <w:rPr>
          <w:rFonts w:ascii="Times New Roman"/>
          <w:sz w:val="24"/>
        </w:rPr>
        <w:t>be</w:t>
      </w:r>
      <w:r>
        <w:rPr>
          <w:rFonts w:ascii="Times New Roman"/>
          <w:spacing w:val="-3"/>
          <w:sz w:val="24"/>
        </w:rPr>
        <w:t> </w:t>
      </w:r>
      <w:r>
        <w:rPr>
          <w:rFonts w:ascii="Times New Roman"/>
          <w:sz w:val="24"/>
        </w:rPr>
        <w:t>used first-line to</w:t>
      </w:r>
      <w:r>
        <w:rPr>
          <w:rFonts w:ascii="Times New Roman"/>
          <w:spacing w:val="-2"/>
          <w:sz w:val="24"/>
        </w:rPr>
        <w:t> </w:t>
      </w:r>
      <w:r>
        <w:rPr>
          <w:rFonts w:ascii="Times New Roman"/>
          <w:sz w:val="24"/>
        </w:rPr>
        <w:t>treat meningitis (Lewis </w:t>
      </w:r>
      <w:r>
        <w:rPr>
          <w:rFonts w:ascii="Times New Roman"/>
          <w:i/>
          <w:sz w:val="24"/>
        </w:rPr>
        <w:t>et al</w:t>
      </w:r>
      <w:r>
        <w:rPr>
          <w:rFonts w:ascii="Times New Roman"/>
          <w:sz w:val="24"/>
        </w:rPr>
        <w:t>., 1998).</w:t>
      </w:r>
    </w:p>
    <w:p>
      <w:pPr>
        <w:pStyle w:val="BodyText"/>
        <w:spacing w:before="8"/>
        <w:rPr>
          <w:rFonts w:ascii="Times New Roman"/>
          <w:sz w:val="24"/>
        </w:rPr>
      </w:pPr>
    </w:p>
    <w:p>
      <w:pPr>
        <w:pStyle w:val="Heading3"/>
        <w:numPr>
          <w:ilvl w:val="2"/>
          <w:numId w:val="10"/>
        </w:numPr>
        <w:tabs>
          <w:tab w:pos="1403" w:val="left" w:leader="none"/>
        </w:tabs>
        <w:spacing w:line="240" w:lineRule="auto" w:before="0" w:after="0"/>
        <w:ind w:left="1403" w:right="0" w:hanging="483"/>
        <w:jc w:val="both"/>
        <w:rPr>
          <w:sz w:val="22"/>
        </w:rPr>
      </w:pPr>
      <w:bookmarkStart w:name="_TOC_250050" w:id="41"/>
      <w:r>
        <w:rPr/>
        <w:t>Determinants</w:t>
      </w:r>
      <w:r>
        <w:rPr>
          <w:spacing w:val="-11"/>
        </w:rPr>
        <w:t> </w:t>
      </w:r>
      <w:r>
        <w:rPr/>
        <w:t>of</w:t>
      </w:r>
      <w:r>
        <w:rPr>
          <w:spacing w:val="-11"/>
        </w:rPr>
        <w:t> </w:t>
      </w:r>
      <w:r>
        <w:rPr/>
        <w:t>Resistance</w:t>
      </w:r>
      <w:r>
        <w:rPr>
          <w:spacing w:val="-8"/>
        </w:rPr>
        <w:t> </w:t>
      </w:r>
      <w:r>
        <w:rPr/>
        <w:t>in</w:t>
      </w:r>
      <w:r>
        <w:rPr>
          <w:spacing w:val="-7"/>
        </w:rPr>
        <w:t> </w:t>
      </w:r>
      <w:bookmarkEnd w:id="41"/>
      <w:r>
        <w:rPr>
          <w:spacing w:val="-2"/>
        </w:rPr>
        <w:t>Bacteria</w:t>
      </w:r>
    </w:p>
    <w:p>
      <w:pPr>
        <w:pStyle w:val="BodyText"/>
        <w:spacing w:before="230"/>
        <w:rPr>
          <w:rFonts w:ascii="Times New Roman"/>
          <w:b/>
          <w:sz w:val="24"/>
        </w:rPr>
      </w:pPr>
    </w:p>
    <w:p>
      <w:pPr>
        <w:spacing w:line="480" w:lineRule="auto" w:before="0"/>
        <w:ind w:left="920" w:right="1180" w:firstLine="0"/>
        <w:jc w:val="both"/>
        <w:rPr>
          <w:rFonts w:ascii="Times New Roman"/>
          <w:sz w:val="24"/>
        </w:rPr>
      </w:pPr>
      <w:r>
        <w:rPr>
          <w:rFonts w:ascii="Times New Roman"/>
          <w:sz w:val="24"/>
        </w:rPr>
        <w:t>Antibiotic resistance can be classified as either natural resistance or acquired resistance (Todar, 2002). The natural</w:t>
      </w:r>
      <w:r>
        <w:rPr>
          <w:rFonts w:ascii="Times New Roman"/>
          <w:spacing w:val="-5"/>
          <w:sz w:val="24"/>
        </w:rPr>
        <w:t> </w:t>
      </w:r>
      <w:r>
        <w:rPr>
          <w:rFonts w:ascii="Times New Roman"/>
          <w:sz w:val="24"/>
        </w:rPr>
        <w:t>resistance refers to an</w:t>
      </w:r>
      <w:r>
        <w:rPr>
          <w:rFonts w:ascii="Times New Roman"/>
          <w:spacing w:val="-1"/>
          <w:sz w:val="24"/>
        </w:rPr>
        <w:t> </w:t>
      </w:r>
      <w:r>
        <w:rPr>
          <w:rFonts w:ascii="Times New Roman"/>
          <w:sz w:val="24"/>
        </w:rPr>
        <w:t>organism which</w:t>
      </w:r>
      <w:r>
        <w:rPr>
          <w:rFonts w:ascii="Times New Roman"/>
          <w:spacing w:val="-1"/>
          <w:sz w:val="24"/>
        </w:rPr>
        <w:t> </w:t>
      </w:r>
      <w:r>
        <w:rPr>
          <w:rFonts w:ascii="Times New Roman"/>
          <w:sz w:val="24"/>
        </w:rPr>
        <w:t>has the inherent ability</w:t>
      </w:r>
      <w:r>
        <w:rPr>
          <w:rFonts w:ascii="Times New Roman"/>
          <w:spacing w:val="-1"/>
          <w:sz w:val="24"/>
        </w:rPr>
        <w:t> </w:t>
      </w:r>
      <w:r>
        <w:rPr>
          <w:rFonts w:ascii="Times New Roman"/>
          <w:sz w:val="24"/>
        </w:rPr>
        <w:t>for resisting an antibiotic. An example for this is the inherent resistance of a Gram-negative bacterium like </w:t>
      </w:r>
      <w:r>
        <w:rPr>
          <w:rFonts w:ascii="Times New Roman"/>
          <w:i/>
          <w:sz w:val="24"/>
        </w:rPr>
        <w:t>E. coli </w:t>
      </w:r>
      <w:r>
        <w:rPr>
          <w:rFonts w:ascii="Times New Roman"/>
          <w:sz w:val="24"/>
        </w:rPr>
        <w:t>to Penicillin G because there is no reaction site of penicillin G in its structure (Je and Kim, 2005). The acquired resistance refers to a qualitative alteration of the genetic material of the organism</w:t>
      </w:r>
      <w:r>
        <w:rPr>
          <w:rFonts w:ascii="Times New Roman"/>
          <w:spacing w:val="-4"/>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result of</w:t>
      </w:r>
      <w:r>
        <w:rPr>
          <w:rFonts w:ascii="Times New Roman"/>
          <w:spacing w:val="-3"/>
          <w:sz w:val="24"/>
        </w:rPr>
        <w:t> </w:t>
      </w:r>
      <w:r>
        <w:rPr>
          <w:rFonts w:ascii="Times New Roman"/>
          <w:sz w:val="24"/>
        </w:rPr>
        <w:t>microbes</w:t>
      </w:r>
      <w:r>
        <w:rPr>
          <w:rFonts w:ascii="Times New Roman"/>
          <w:spacing w:val="-2"/>
          <w:sz w:val="24"/>
        </w:rPr>
        <w:t> </w:t>
      </w:r>
      <w:r>
        <w:rPr>
          <w:rFonts w:ascii="Times New Roman"/>
          <w:sz w:val="24"/>
        </w:rPr>
        <w:t>changing in some</w:t>
      </w:r>
      <w:r>
        <w:rPr>
          <w:rFonts w:ascii="Times New Roman"/>
          <w:spacing w:val="-1"/>
          <w:sz w:val="24"/>
        </w:rPr>
        <w:t> </w:t>
      </w:r>
      <w:r>
        <w:rPr>
          <w:rFonts w:ascii="Times New Roman"/>
          <w:sz w:val="24"/>
        </w:rPr>
        <w:t>ways to eliminate</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effectiveness</w:t>
      </w:r>
      <w:r>
        <w:rPr>
          <w:rFonts w:ascii="Times New Roman"/>
          <w:spacing w:val="-2"/>
          <w:sz w:val="24"/>
        </w:rPr>
        <w:t> </w:t>
      </w:r>
      <w:r>
        <w:rPr>
          <w:rFonts w:ascii="Times New Roman"/>
          <w:sz w:val="24"/>
        </w:rPr>
        <w:t>of</w:t>
      </w:r>
      <w:r>
        <w:rPr>
          <w:rFonts w:ascii="Times New Roman"/>
          <w:spacing w:val="-8"/>
          <w:sz w:val="24"/>
        </w:rPr>
        <w:t> </w:t>
      </w:r>
      <w:r>
        <w:rPr>
          <w:rFonts w:ascii="Times New Roman"/>
          <w:sz w:val="24"/>
        </w:rPr>
        <w:t>drugs through mutation (Rodriguez </w:t>
      </w:r>
      <w:r>
        <w:rPr>
          <w:rFonts w:ascii="Times New Roman"/>
          <w:i/>
          <w:sz w:val="24"/>
        </w:rPr>
        <w:t>et al., </w:t>
      </w:r>
      <w:r>
        <w:rPr>
          <w:rFonts w:ascii="Times New Roman"/>
          <w:sz w:val="24"/>
        </w:rPr>
        <w:t>2005).</w:t>
      </w:r>
    </w:p>
    <w:p>
      <w:pPr>
        <w:pStyle w:val="ListParagraph"/>
        <w:numPr>
          <w:ilvl w:val="3"/>
          <w:numId w:val="10"/>
        </w:numPr>
        <w:tabs>
          <w:tab w:pos="1641" w:val="left" w:leader="none"/>
        </w:tabs>
        <w:spacing w:line="240" w:lineRule="auto" w:before="241" w:after="0"/>
        <w:ind w:left="1641" w:right="0" w:hanging="721"/>
        <w:jc w:val="both"/>
        <w:rPr>
          <w:i/>
          <w:sz w:val="24"/>
        </w:rPr>
      </w:pPr>
      <w:bookmarkStart w:name="_TOC_250049" w:id="42"/>
      <w:bookmarkEnd w:id="42"/>
      <w:r>
        <w:rPr>
          <w:i/>
          <w:spacing w:val="-2"/>
          <w:sz w:val="24"/>
        </w:rPr>
        <w:t>Mutation</w:t>
      </w:r>
    </w:p>
    <w:p>
      <w:pPr>
        <w:pStyle w:val="BodyText"/>
        <w:spacing w:before="240"/>
        <w:rPr>
          <w:rFonts w:ascii="Times New Roman"/>
          <w:i/>
          <w:sz w:val="24"/>
        </w:rPr>
      </w:pPr>
    </w:p>
    <w:p>
      <w:pPr>
        <w:spacing w:line="480" w:lineRule="auto" w:before="0"/>
        <w:ind w:left="920" w:right="1178" w:firstLine="0"/>
        <w:jc w:val="both"/>
        <w:rPr>
          <w:rFonts w:ascii="Times New Roman"/>
          <w:sz w:val="24"/>
        </w:rPr>
      </w:pPr>
      <w:r>
        <w:rPr>
          <w:rFonts w:ascii="Times New Roman"/>
          <w:sz w:val="24"/>
        </w:rPr>
        <w:t>Exposure of bacteria to sublethal concentrations of antibiotics results in the selection of</w:t>
      </w:r>
      <w:r>
        <w:rPr>
          <w:rFonts w:ascii="Times New Roman"/>
          <w:spacing w:val="-2"/>
          <w:sz w:val="24"/>
        </w:rPr>
        <w:t> </w:t>
      </w:r>
      <w:r>
        <w:rPr>
          <w:rFonts w:ascii="Times New Roman"/>
          <w:sz w:val="24"/>
        </w:rPr>
        <w:t>resistant strains by the process of natural selection. Under continuous antibiotic pressure, the survivor bacteria, which have initial intrinsic resistance to antibiotics, reproduce, spread, rapidly</w:t>
      </w:r>
      <w:r>
        <w:rPr>
          <w:rFonts w:ascii="Times New Roman"/>
          <w:spacing w:val="40"/>
          <w:sz w:val="24"/>
        </w:rPr>
        <w:t> </w:t>
      </w:r>
      <w:r>
        <w:rPr>
          <w:rFonts w:ascii="Times New Roman"/>
          <w:sz w:val="24"/>
        </w:rPr>
        <w:t>dominate, or can even displace the antibiotic- susceptible population (</w:t>
      </w:r>
      <w:r>
        <w:rPr>
          <w:rFonts w:ascii="Times New Roman"/>
          <w:sz w:val="23"/>
        </w:rPr>
        <w:t>Silbergeld </w:t>
      </w:r>
      <w:r>
        <w:rPr>
          <w:rFonts w:ascii="Times New Roman"/>
          <w:i/>
          <w:sz w:val="23"/>
        </w:rPr>
        <w:t>et al</w:t>
      </w:r>
      <w:r>
        <w:rPr>
          <w:rFonts w:ascii="Times New Roman"/>
          <w:sz w:val="23"/>
        </w:rPr>
        <w:t>., 2008</w:t>
      </w:r>
      <w:r>
        <w:rPr>
          <w:rFonts w:ascii="Times New Roman"/>
          <w:sz w:val="24"/>
        </w:rPr>
        <w:t>).</w:t>
      </w:r>
    </w:p>
    <w:p>
      <w:pPr>
        <w:spacing w:line="480" w:lineRule="auto" w:before="240"/>
        <w:ind w:left="920" w:right="1187" w:firstLine="0"/>
        <w:jc w:val="both"/>
        <w:rPr>
          <w:rFonts w:ascii="Times New Roman"/>
          <w:sz w:val="24"/>
        </w:rPr>
      </w:pPr>
      <w:r>
        <w:rPr>
          <w:rFonts w:ascii="Times New Roman"/>
          <w:sz w:val="24"/>
        </w:rPr>
        <w:t>Over</w:t>
      </w:r>
      <w:r>
        <w:rPr>
          <w:rFonts w:ascii="Times New Roman"/>
          <w:spacing w:val="-2"/>
          <w:sz w:val="24"/>
        </w:rPr>
        <w:t> </w:t>
      </w:r>
      <w:r>
        <w:rPr>
          <w:rFonts w:ascii="Times New Roman"/>
          <w:sz w:val="24"/>
        </w:rPr>
        <w:t>time,</w:t>
      </w:r>
      <w:r>
        <w:rPr>
          <w:rFonts w:ascii="Times New Roman"/>
          <w:spacing w:val="-1"/>
          <w:sz w:val="24"/>
        </w:rPr>
        <w:t> </w:t>
      </w:r>
      <w:r>
        <w:rPr>
          <w:rFonts w:ascii="Times New Roman"/>
          <w:sz w:val="24"/>
        </w:rPr>
        <w:t>the</w:t>
      </w:r>
      <w:r>
        <w:rPr>
          <w:rFonts w:ascii="Times New Roman"/>
          <w:spacing w:val="-4"/>
          <w:sz w:val="24"/>
        </w:rPr>
        <w:t> </w:t>
      </w:r>
      <w:r>
        <w:rPr>
          <w:rFonts w:ascii="Times New Roman"/>
          <w:sz w:val="24"/>
        </w:rPr>
        <w:t>survivor</w:t>
      </w:r>
      <w:r>
        <w:rPr>
          <w:rFonts w:ascii="Times New Roman"/>
          <w:spacing w:val="-2"/>
          <w:sz w:val="24"/>
        </w:rPr>
        <w:t> </w:t>
      </w:r>
      <w:r>
        <w:rPr>
          <w:rFonts w:ascii="Times New Roman"/>
          <w:sz w:val="24"/>
        </w:rPr>
        <w:t>bacteria</w:t>
      </w:r>
      <w:r>
        <w:rPr>
          <w:rFonts w:ascii="Times New Roman"/>
          <w:spacing w:val="-4"/>
          <w:sz w:val="24"/>
        </w:rPr>
        <w:t> </w:t>
      </w:r>
      <w:r>
        <w:rPr>
          <w:rFonts w:ascii="Times New Roman"/>
          <w:sz w:val="24"/>
        </w:rPr>
        <w:t>undergo mutations</w:t>
      </w:r>
      <w:r>
        <w:rPr>
          <w:rFonts w:ascii="Times New Roman"/>
          <w:spacing w:val="-5"/>
          <w:sz w:val="24"/>
        </w:rPr>
        <w:t> </w:t>
      </w:r>
      <w:r>
        <w:rPr>
          <w:rFonts w:ascii="Times New Roman"/>
          <w:sz w:val="24"/>
        </w:rPr>
        <w:t>which</w:t>
      </w:r>
      <w:r>
        <w:rPr>
          <w:rFonts w:ascii="Times New Roman"/>
          <w:spacing w:val="-3"/>
          <w:sz w:val="24"/>
        </w:rPr>
        <w:t> </w:t>
      </w:r>
      <w:r>
        <w:rPr>
          <w:rFonts w:ascii="Times New Roman"/>
          <w:sz w:val="24"/>
        </w:rPr>
        <w:t>may</w:t>
      </w:r>
      <w:r>
        <w:rPr>
          <w:rFonts w:ascii="Times New Roman"/>
          <w:spacing w:val="-3"/>
          <w:sz w:val="24"/>
        </w:rPr>
        <w:t> </w:t>
      </w:r>
      <w:r>
        <w:rPr>
          <w:rFonts w:ascii="Times New Roman"/>
          <w:sz w:val="24"/>
        </w:rPr>
        <w:t>further</w:t>
      </w:r>
      <w:r>
        <w:rPr>
          <w:rFonts w:ascii="Times New Roman"/>
          <w:spacing w:val="-2"/>
          <w:sz w:val="24"/>
        </w:rPr>
        <w:t> </w:t>
      </w:r>
      <w:r>
        <w:rPr>
          <w:rFonts w:ascii="Times New Roman"/>
          <w:sz w:val="24"/>
        </w:rPr>
        <w:t>enhance</w:t>
      </w:r>
      <w:r>
        <w:rPr>
          <w:rFonts w:ascii="Times New Roman"/>
          <w:spacing w:val="-4"/>
          <w:sz w:val="24"/>
        </w:rPr>
        <w:t> </w:t>
      </w:r>
      <w:r>
        <w:rPr>
          <w:rFonts w:ascii="Times New Roman"/>
          <w:sz w:val="24"/>
        </w:rPr>
        <w:t>their</w:t>
      </w:r>
      <w:r>
        <w:rPr>
          <w:rFonts w:ascii="Times New Roman"/>
          <w:spacing w:val="-2"/>
          <w:sz w:val="24"/>
        </w:rPr>
        <w:t> </w:t>
      </w:r>
      <w:r>
        <w:rPr>
          <w:rFonts w:ascii="Times New Roman"/>
          <w:sz w:val="24"/>
        </w:rPr>
        <w:t>resistance</w:t>
      </w:r>
      <w:r>
        <w:rPr>
          <w:rFonts w:ascii="Times New Roman"/>
          <w:spacing w:val="-4"/>
          <w:sz w:val="24"/>
        </w:rPr>
        <w:t> </w:t>
      </w:r>
      <w:r>
        <w:rPr>
          <w:rFonts w:ascii="Times New Roman"/>
          <w:sz w:val="24"/>
        </w:rPr>
        <w:t>to antibiotics.</w:t>
      </w:r>
      <w:r>
        <w:rPr>
          <w:rFonts w:ascii="Times New Roman"/>
          <w:spacing w:val="62"/>
          <w:sz w:val="24"/>
        </w:rPr>
        <w:t> </w:t>
      </w:r>
      <w:r>
        <w:rPr>
          <w:rFonts w:ascii="Times New Roman"/>
          <w:sz w:val="24"/>
        </w:rPr>
        <w:t>Spontaneous</w:t>
      </w:r>
      <w:r>
        <w:rPr>
          <w:rFonts w:ascii="Times New Roman"/>
          <w:spacing w:val="63"/>
          <w:sz w:val="24"/>
        </w:rPr>
        <w:t> </w:t>
      </w:r>
      <w:r>
        <w:rPr>
          <w:rFonts w:ascii="Times New Roman"/>
          <w:sz w:val="24"/>
        </w:rPr>
        <w:t>mutation</w:t>
      </w:r>
      <w:r>
        <w:rPr>
          <w:rFonts w:ascii="Times New Roman"/>
          <w:spacing w:val="60"/>
          <w:sz w:val="24"/>
        </w:rPr>
        <w:t> </w:t>
      </w:r>
      <w:r>
        <w:rPr>
          <w:rFonts w:ascii="Times New Roman"/>
          <w:sz w:val="24"/>
        </w:rPr>
        <w:t>may</w:t>
      </w:r>
      <w:r>
        <w:rPr>
          <w:rFonts w:ascii="Times New Roman"/>
          <w:spacing w:val="65"/>
          <w:sz w:val="24"/>
        </w:rPr>
        <w:t> </w:t>
      </w:r>
      <w:r>
        <w:rPr>
          <w:rFonts w:ascii="Times New Roman"/>
          <w:sz w:val="24"/>
        </w:rPr>
        <w:t>lead</w:t>
      </w:r>
      <w:r>
        <w:rPr>
          <w:rFonts w:ascii="Times New Roman"/>
          <w:spacing w:val="60"/>
          <w:sz w:val="24"/>
        </w:rPr>
        <w:t> </w:t>
      </w:r>
      <w:r>
        <w:rPr>
          <w:rFonts w:ascii="Times New Roman"/>
          <w:sz w:val="24"/>
        </w:rPr>
        <w:t>to</w:t>
      </w:r>
      <w:r>
        <w:rPr>
          <w:rFonts w:ascii="Times New Roman"/>
          <w:spacing w:val="60"/>
          <w:sz w:val="24"/>
        </w:rPr>
        <w:t> </w:t>
      </w:r>
      <w:r>
        <w:rPr>
          <w:rFonts w:ascii="Times New Roman"/>
          <w:sz w:val="24"/>
        </w:rPr>
        <w:t>the</w:t>
      </w:r>
      <w:r>
        <w:rPr>
          <w:rFonts w:ascii="Times New Roman"/>
          <w:spacing w:val="59"/>
          <w:sz w:val="24"/>
        </w:rPr>
        <w:t> </w:t>
      </w:r>
      <w:r>
        <w:rPr>
          <w:rFonts w:ascii="Times New Roman"/>
          <w:sz w:val="24"/>
        </w:rPr>
        <w:t>development</w:t>
      </w:r>
      <w:r>
        <w:rPr>
          <w:rFonts w:ascii="Times New Roman"/>
          <w:spacing w:val="65"/>
          <w:sz w:val="24"/>
        </w:rPr>
        <w:t> </w:t>
      </w:r>
      <w:r>
        <w:rPr>
          <w:rFonts w:ascii="Times New Roman"/>
          <w:sz w:val="24"/>
        </w:rPr>
        <w:t>of</w:t>
      </w:r>
      <w:r>
        <w:rPr>
          <w:rFonts w:ascii="Times New Roman"/>
          <w:spacing w:val="57"/>
          <w:sz w:val="24"/>
        </w:rPr>
        <w:t> </w:t>
      </w:r>
      <w:r>
        <w:rPr>
          <w:rFonts w:ascii="Times New Roman"/>
          <w:sz w:val="24"/>
        </w:rPr>
        <w:t>antibiotic</w:t>
      </w:r>
      <w:r>
        <w:rPr>
          <w:rFonts w:ascii="Times New Roman"/>
          <w:spacing w:val="64"/>
          <w:sz w:val="24"/>
        </w:rPr>
        <w:t> </w:t>
      </w:r>
      <w:r>
        <w:rPr>
          <w:rFonts w:ascii="Times New Roman"/>
          <w:sz w:val="24"/>
        </w:rPr>
        <w:t>resistance</w:t>
      </w:r>
      <w:r>
        <w:rPr>
          <w:rFonts w:ascii="Times New Roman"/>
          <w:spacing w:val="64"/>
          <w:sz w:val="24"/>
        </w:rPr>
        <w:t> </w:t>
      </w:r>
      <w:r>
        <w:rPr>
          <w:rFonts w:ascii="Times New Roman"/>
          <w:spacing w:val="-5"/>
          <w:sz w:val="24"/>
        </w:rPr>
        <w:t>in</w:t>
      </w:r>
    </w:p>
    <w:p>
      <w:pPr>
        <w:spacing w:after="0" w:line="480" w:lineRule="auto"/>
        <w:jc w:val="both"/>
        <w:rPr>
          <w:rFonts w:ascii="Times New Roman"/>
          <w:sz w:val="24"/>
        </w:rPr>
        <w:sectPr>
          <w:pgSz w:w="12240" w:h="15840"/>
          <w:pgMar w:header="0" w:footer="1017" w:top="1360" w:bottom="1200" w:left="520" w:right="260"/>
        </w:sectPr>
      </w:pPr>
    </w:p>
    <w:p>
      <w:pPr>
        <w:spacing w:line="480" w:lineRule="auto" w:before="72"/>
        <w:ind w:left="920" w:right="1179" w:firstLine="0"/>
        <w:jc w:val="both"/>
        <w:rPr>
          <w:rFonts w:ascii="Times New Roman"/>
          <w:sz w:val="24"/>
        </w:rPr>
      </w:pPr>
      <w:r>
        <w:rPr>
          <w:rFonts w:ascii="Times New Roman"/>
          <w:sz w:val="24"/>
        </w:rPr>
        <w:t>bacteria and favour survival under antibiotic pressure (</w:t>
      </w:r>
      <w:r>
        <w:rPr>
          <w:rFonts w:ascii="Times New Roman"/>
          <w:sz w:val="23"/>
        </w:rPr>
        <w:t>Conter </w:t>
      </w:r>
      <w:r>
        <w:rPr>
          <w:rFonts w:ascii="Times New Roman"/>
          <w:i/>
          <w:sz w:val="23"/>
        </w:rPr>
        <w:t>et al</w:t>
      </w:r>
      <w:r>
        <w:rPr>
          <w:rFonts w:ascii="Times New Roman"/>
          <w:sz w:val="23"/>
        </w:rPr>
        <w:t>., 2009</w:t>
      </w:r>
      <w:r>
        <w:rPr>
          <w:rFonts w:ascii="Times New Roman"/>
          <w:sz w:val="24"/>
        </w:rPr>
        <w:t>;</w:t>
      </w:r>
      <w:r>
        <w:rPr>
          <w:rFonts w:ascii="Times New Roman"/>
          <w:spacing w:val="-5"/>
          <w:sz w:val="24"/>
        </w:rPr>
        <w:t> </w:t>
      </w:r>
      <w:r>
        <w:rPr>
          <w:rFonts w:ascii="Times New Roman"/>
          <w:sz w:val="23"/>
        </w:rPr>
        <w:t>Silbergeld </w:t>
      </w:r>
      <w:r>
        <w:rPr>
          <w:rFonts w:ascii="Times New Roman"/>
          <w:i/>
          <w:sz w:val="23"/>
        </w:rPr>
        <w:t>et al</w:t>
      </w:r>
      <w:r>
        <w:rPr>
          <w:rFonts w:ascii="Times New Roman"/>
          <w:sz w:val="23"/>
        </w:rPr>
        <w:t>., 2008</w:t>
      </w:r>
      <w:r>
        <w:rPr>
          <w:rFonts w:ascii="Times New Roman"/>
          <w:sz w:val="24"/>
        </w:rPr>
        <w:t>). For example, resistance to fluoroquinolones (FQ) in some bacterial species has been reported to occur</w:t>
      </w:r>
      <w:r>
        <w:rPr>
          <w:rFonts w:ascii="Times New Roman"/>
          <w:spacing w:val="-2"/>
          <w:sz w:val="24"/>
        </w:rPr>
        <w:t> </w:t>
      </w:r>
      <w:r>
        <w:rPr>
          <w:rFonts w:ascii="Times New Roman"/>
          <w:sz w:val="24"/>
        </w:rPr>
        <w:t>spontaneously</w:t>
      </w:r>
      <w:r>
        <w:rPr>
          <w:rFonts w:ascii="Times New Roman"/>
          <w:spacing w:val="-12"/>
          <w:sz w:val="24"/>
        </w:rPr>
        <w:t> </w:t>
      </w:r>
      <w:r>
        <w:rPr>
          <w:rFonts w:ascii="Times New Roman"/>
          <w:sz w:val="24"/>
        </w:rPr>
        <w:t>due</w:t>
      </w:r>
      <w:r>
        <w:rPr>
          <w:rFonts w:ascii="Times New Roman"/>
          <w:spacing w:val="-4"/>
          <w:sz w:val="24"/>
        </w:rPr>
        <w:t> </w:t>
      </w:r>
      <w:r>
        <w:rPr>
          <w:rFonts w:ascii="Times New Roman"/>
          <w:sz w:val="24"/>
        </w:rPr>
        <w:t>to</w:t>
      </w:r>
      <w:r>
        <w:rPr>
          <w:rFonts w:ascii="Times New Roman"/>
          <w:spacing w:val="-3"/>
          <w:sz w:val="24"/>
        </w:rPr>
        <w:t> </w:t>
      </w:r>
      <w:r>
        <w:rPr>
          <w:rFonts w:ascii="Times New Roman"/>
          <w:sz w:val="24"/>
        </w:rPr>
        <w:t>mutations,</w:t>
      </w:r>
      <w:r>
        <w:rPr>
          <w:rFonts w:ascii="Times New Roman"/>
          <w:spacing w:val="-1"/>
          <w:sz w:val="24"/>
        </w:rPr>
        <w:t> </w:t>
      </w:r>
      <w:r>
        <w:rPr>
          <w:rFonts w:ascii="Times New Roman"/>
          <w:sz w:val="24"/>
        </w:rPr>
        <w:t>particularly</w:t>
      </w:r>
      <w:r>
        <w:rPr>
          <w:rFonts w:ascii="Times New Roman"/>
          <w:spacing w:val="-7"/>
          <w:sz w:val="24"/>
        </w:rPr>
        <w:t> </w:t>
      </w:r>
      <w:r>
        <w:rPr>
          <w:rFonts w:ascii="Times New Roman"/>
          <w:sz w:val="24"/>
        </w:rPr>
        <w:t>point mutations, in</w:t>
      </w:r>
      <w:r>
        <w:rPr>
          <w:rFonts w:ascii="Times New Roman"/>
          <w:spacing w:val="-7"/>
          <w:sz w:val="24"/>
        </w:rPr>
        <w:t> </w:t>
      </w:r>
      <w:r>
        <w:rPr>
          <w:rFonts w:ascii="Times New Roman"/>
          <w:sz w:val="24"/>
        </w:rPr>
        <w:t>drug</w:t>
      </w:r>
      <w:r>
        <w:rPr>
          <w:rFonts w:ascii="Times New Roman"/>
          <w:spacing w:val="-3"/>
          <w:sz w:val="24"/>
        </w:rPr>
        <w:t> </w:t>
      </w:r>
      <w:r>
        <w:rPr>
          <w:rFonts w:ascii="Times New Roman"/>
          <w:sz w:val="24"/>
        </w:rPr>
        <w:t>target</w:t>
      </w:r>
      <w:r>
        <w:rPr>
          <w:rFonts w:ascii="Times New Roman"/>
          <w:spacing w:val="-3"/>
          <w:sz w:val="24"/>
        </w:rPr>
        <w:t> </w:t>
      </w:r>
      <w:r>
        <w:rPr>
          <w:rFonts w:ascii="Times New Roman"/>
          <w:sz w:val="24"/>
        </w:rPr>
        <w:t>genes.</w:t>
      </w:r>
      <w:r>
        <w:rPr>
          <w:rFonts w:ascii="Times New Roman"/>
          <w:spacing w:val="-1"/>
          <w:sz w:val="24"/>
        </w:rPr>
        <w:t> </w:t>
      </w:r>
      <w:r>
        <w:rPr>
          <w:rFonts w:ascii="Times New Roman"/>
          <w:sz w:val="24"/>
        </w:rPr>
        <w:t>A</w:t>
      </w:r>
      <w:r>
        <w:rPr>
          <w:rFonts w:ascii="Times New Roman"/>
          <w:spacing w:val="-7"/>
          <w:sz w:val="24"/>
        </w:rPr>
        <w:t> </w:t>
      </w:r>
      <w:r>
        <w:rPr>
          <w:rFonts w:ascii="Times New Roman"/>
          <w:sz w:val="24"/>
        </w:rPr>
        <w:t>single point mutation which occurs in the quinolone resistance-determining region (QRDR) of DNA gyrase A (GyrA), substantially develops resistance towards fluoroquinolones in Campylobacter, while in other enteric organisms (e.g. </w:t>
      </w:r>
      <w:r>
        <w:rPr>
          <w:rFonts w:ascii="Times New Roman"/>
          <w:i/>
          <w:sz w:val="24"/>
        </w:rPr>
        <w:t>Salmonella </w:t>
      </w:r>
      <w:r>
        <w:rPr>
          <w:rFonts w:ascii="Times New Roman"/>
          <w:sz w:val="24"/>
        </w:rPr>
        <w:t>and </w:t>
      </w:r>
      <w:r>
        <w:rPr>
          <w:rFonts w:ascii="Times New Roman"/>
          <w:i/>
          <w:sz w:val="24"/>
        </w:rPr>
        <w:t>E.coli</w:t>
      </w:r>
      <w:r>
        <w:rPr>
          <w:rFonts w:ascii="Times New Roman"/>
          <w:sz w:val="24"/>
        </w:rPr>
        <w:t>), stepwise accumulation of point mutations has been reported to acquire high-level fluoroquinolone resistance (</w:t>
      </w:r>
      <w:r>
        <w:rPr>
          <w:rFonts w:ascii="Times New Roman"/>
          <w:sz w:val="23"/>
        </w:rPr>
        <w:t>Luangtongkum </w:t>
      </w:r>
      <w:r>
        <w:rPr>
          <w:rFonts w:ascii="Times New Roman"/>
          <w:i/>
          <w:sz w:val="23"/>
        </w:rPr>
        <w:t>et al</w:t>
      </w:r>
      <w:r>
        <w:rPr>
          <w:rFonts w:ascii="Times New Roman"/>
          <w:sz w:val="23"/>
        </w:rPr>
        <w:t>., 2009; </w:t>
      </w:r>
      <w:r>
        <w:rPr>
          <w:rFonts w:ascii="Times New Roman"/>
          <w:sz w:val="24"/>
        </w:rPr>
        <w:t>Han </w:t>
      </w:r>
      <w:r>
        <w:rPr>
          <w:rFonts w:ascii="Times New Roman"/>
          <w:i/>
          <w:sz w:val="24"/>
        </w:rPr>
        <w:t>et al</w:t>
      </w:r>
      <w:r>
        <w:rPr>
          <w:rFonts w:ascii="Times New Roman"/>
          <w:sz w:val="24"/>
        </w:rPr>
        <w:t>., 2008).</w:t>
      </w:r>
    </w:p>
    <w:p>
      <w:pPr>
        <w:pStyle w:val="ListParagraph"/>
        <w:numPr>
          <w:ilvl w:val="3"/>
          <w:numId w:val="10"/>
        </w:numPr>
        <w:tabs>
          <w:tab w:pos="1641" w:val="left" w:leader="none"/>
        </w:tabs>
        <w:spacing w:line="240" w:lineRule="auto" w:before="240" w:after="0"/>
        <w:ind w:left="1641" w:right="0" w:hanging="721"/>
        <w:jc w:val="both"/>
        <w:rPr>
          <w:i/>
          <w:sz w:val="24"/>
        </w:rPr>
      </w:pPr>
      <w:bookmarkStart w:name="_TOC_250048" w:id="43"/>
      <w:r>
        <w:rPr>
          <w:i/>
          <w:sz w:val="24"/>
        </w:rPr>
        <w:t>Gene</w:t>
      </w:r>
      <w:r>
        <w:rPr>
          <w:i/>
          <w:spacing w:val="-6"/>
          <w:sz w:val="24"/>
        </w:rPr>
        <w:t> </w:t>
      </w:r>
      <w:bookmarkEnd w:id="43"/>
      <w:r>
        <w:rPr>
          <w:i/>
          <w:spacing w:val="-2"/>
          <w:sz w:val="24"/>
        </w:rPr>
        <w:t>Transfer</w:t>
      </w:r>
    </w:p>
    <w:p>
      <w:pPr>
        <w:pStyle w:val="BodyText"/>
        <w:spacing w:before="240"/>
        <w:rPr>
          <w:rFonts w:ascii="Times New Roman"/>
          <w:i/>
          <w:sz w:val="24"/>
        </w:rPr>
      </w:pPr>
    </w:p>
    <w:p>
      <w:pPr>
        <w:spacing w:line="480" w:lineRule="auto" w:before="0"/>
        <w:ind w:left="920" w:right="1176" w:firstLine="0"/>
        <w:jc w:val="both"/>
        <w:rPr>
          <w:rFonts w:ascii="Times New Roman"/>
          <w:sz w:val="24"/>
        </w:rPr>
      </w:pPr>
      <w:r>
        <w:rPr>
          <w:rFonts w:ascii="Times New Roman"/>
          <w:sz w:val="24"/>
        </w:rPr>
        <w:t>The resistance genes may be acquired by horizontal</w:t>
      </w:r>
      <w:r>
        <w:rPr>
          <w:rFonts w:ascii="Times New Roman"/>
          <w:spacing w:val="-4"/>
          <w:sz w:val="24"/>
        </w:rPr>
        <w:t> </w:t>
      </w:r>
      <w:r>
        <w:rPr>
          <w:rFonts w:ascii="Times New Roman"/>
          <w:sz w:val="24"/>
        </w:rPr>
        <w:t>gene transfer (HGT) which requires a donor of the resistance genes (</w:t>
      </w:r>
      <w:r>
        <w:rPr>
          <w:rFonts w:ascii="Times New Roman"/>
          <w:sz w:val="23"/>
        </w:rPr>
        <w:t>Martinez, 2009</w:t>
      </w:r>
      <w:r>
        <w:rPr>
          <w:rFonts w:ascii="Times New Roman"/>
          <w:sz w:val="24"/>
        </w:rPr>
        <w:t>). In bacteria, horizontal gene transfer has been reported mediated by three mechanisms (</w:t>
      </w:r>
      <w:r>
        <w:rPr>
          <w:rFonts w:ascii="Times New Roman"/>
          <w:sz w:val="23"/>
        </w:rPr>
        <w:t>Matthew, 2007; Luangtongkum </w:t>
      </w:r>
      <w:r>
        <w:rPr>
          <w:rFonts w:ascii="Times New Roman"/>
          <w:i/>
          <w:sz w:val="23"/>
        </w:rPr>
        <w:t>et al</w:t>
      </w:r>
      <w:r>
        <w:rPr>
          <w:rFonts w:ascii="Times New Roman"/>
          <w:sz w:val="23"/>
        </w:rPr>
        <w:t>., 2009</w:t>
      </w:r>
      <w:r>
        <w:rPr>
          <w:rFonts w:ascii="Times New Roman"/>
          <w:sz w:val="24"/>
        </w:rPr>
        <w:t>) namely:</w:t>
      </w:r>
    </w:p>
    <w:p>
      <w:pPr>
        <w:pStyle w:val="ListParagraph"/>
        <w:numPr>
          <w:ilvl w:val="0"/>
          <w:numId w:val="14"/>
        </w:numPr>
        <w:tabs>
          <w:tab w:pos="1087" w:val="left" w:leader="none"/>
        </w:tabs>
        <w:spacing w:line="480" w:lineRule="auto" w:before="240" w:after="0"/>
        <w:ind w:left="920" w:right="1180" w:firstLine="0"/>
        <w:jc w:val="both"/>
        <w:rPr>
          <w:sz w:val="22"/>
        </w:rPr>
      </w:pPr>
      <w:r>
        <w:rPr>
          <w:sz w:val="24"/>
        </w:rPr>
        <w:t>Transformation: This is the incorporation of foreign (exogenous) DNA from the surroundings into the genome of a bacterial cell. Transformation may be a main mechanism for acquiring chromosomally encoded resistance (e.g. fluoroquinolone and macrolide resistance in Campylobacter) (</w:t>
      </w:r>
      <w:r>
        <w:rPr>
          <w:sz w:val="23"/>
        </w:rPr>
        <w:t>Matthew, 2007; Luangtongkum </w:t>
      </w:r>
      <w:r>
        <w:rPr>
          <w:i/>
          <w:sz w:val="23"/>
        </w:rPr>
        <w:t>et al</w:t>
      </w:r>
      <w:r>
        <w:rPr>
          <w:sz w:val="23"/>
        </w:rPr>
        <w:t>., 2009</w:t>
      </w:r>
      <w:r>
        <w:rPr>
          <w:sz w:val="24"/>
        </w:rPr>
        <w:t>). It is a critically important method</w:t>
      </w:r>
      <w:r>
        <w:rPr>
          <w:spacing w:val="40"/>
          <w:sz w:val="24"/>
        </w:rPr>
        <w:t> </w:t>
      </w:r>
      <w:r>
        <w:rPr>
          <w:sz w:val="24"/>
        </w:rPr>
        <w:t>of gene transfer (Prescott, 2000) </w:t>
      </w:r>
      <w:r>
        <w:rPr>
          <w:i/>
          <w:sz w:val="24"/>
        </w:rPr>
        <w:t>in vitro </w:t>
      </w:r>
      <w:r>
        <w:rPr>
          <w:sz w:val="24"/>
        </w:rPr>
        <w:t>but less important </w:t>
      </w:r>
      <w:r>
        <w:rPr>
          <w:i/>
          <w:sz w:val="24"/>
        </w:rPr>
        <w:t>in vivo </w:t>
      </w:r>
      <w:r>
        <w:rPr>
          <w:sz w:val="24"/>
        </w:rPr>
        <w:t>(Schwarz </w:t>
      </w:r>
      <w:r>
        <w:rPr>
          <w:i/>
          <w:sz w:val="24"/>
        </w:rPr>
        <w:t>et al</w:t>
      </w:r>
      <w:r>
        <w:rPr>
          <w:sz w:val="24"/>
        </w:rPr>
        <w:t>., 2006).</w:t>
      </w:r>
    </w:p>
    <w:p>
      <w:pPr>
        <w:pStyle w:val="BodyText"/>
        <w:rPr>
          <w:rFonts w:ascii="Times New Roman"/>
          <w:sz w:val="24"/>
        </w:rPr>
      </w:pPr>
    </w:p>
    <w:p>
      <w:pPr>
        <w:pStyle w:val="BodyText"/>
        <w:rPr>
          <w:rFonts w:ascii="Times New Roman"/>
          <w:sz w:val="24"/>
        </w:rPr>
      </w:pPr>
    </w:p>
    <w:p>
      <w:pPr>
        <w:pStyle w:val="BodyText"/>
        <w:spacing w:before="204"/>
        <w:rPr>
          <w:rFonts w:ascii="Times New Roman"/>
          <w:sz w:val="24"/>
        </w:rPr>
      </w:pPr>
    </w:p>
    <w:p>
      <w:pPr>
        <w:pStyle w:val="ListParagraph"/>
        <w:numPr>
          <w:ilvl w:val="0"/>
          <w:numId w:val="14"/>
        </w:numPr>
        <w:tabs>
          <w:tab w:pos="1158" w:val="left" w:leader="none"/>
        </w:tabs>
        <w:spacing w:line="480" w:lineRule="auto" w:before="1" w:after="0"/>
        <w:ind w:left="920" w:right="1180" w:firstLine="0"/>
        <w:jc w:val="both"/>
        <w:rPr>
          <w:sz w:val="24"/>
        </w:rPr>
      </w:pPr>
      <w:r>
        <w:rPr>
          <w:sz w:val="24"/>
        </w:rPr>
        <w:t>Transduction:This is</w:t>
      </w:r>
      <w:r>
        <w:rPr>
          <w:spacing w:val="-2"/>
          <w:sz w:val="24"/>
        </w:rPr>
        <w:t> </w:t>
      </w:r>
      <w:r>
        <w:rPr>
          <w:sz w:val="24"/>
        </w:rPr>
        <w:t>the transfer of</w:t>
      </w:r>
      <w:r>
        <w:rPr>
          <w:spacing w:val="-8"/>
          <w:sz w:val="24"/>
        </w:rPr>
        <w:t> </w:t>
      </w:r>
      <w:r>
        <w:rPr>
          <w:sz w:val="24"/>
        </w:rPr>
        <w:t>resistant genes via</w:t>
      </w:r>
      <w:r>
        <w:rPr>
          <w:spacing w:val="-1"/>
          <w:sz w:val="24"/>
        </w:rPr>
        <w:t> </w:t>
      </w:r>
      <w:r>
        <w:rPr>
          <w:sz w:val="24"/>
        </w:rPr>
        <w:t>a bacterial virus</w:t>
      </w:r>
      <w:r>
        <w:rPr>
          <w:spacing w:val="-2"/>
          <w:sz w:val="24"/>
        </w:rPr>
        <w:t> </w:t>
      </w:r>
      <w:r>
        <w:rPr>
          <w:sz w:val="24"/>
        </w:rPr>
        <w:t>or phage</w:t>
      </w:r>
      <w:r>
        <w:rPr>
          <w:spacing w:val="-1"/>
          <w:sz w:val="24"/>
        </w:rPr>
        <w:t> </w:t>
      </w:r>
      <w:r>
        <w:rPr>
          <w:sz w:val="24"/>
        </w:rPr>
        <w:t>(Schwarz</w:t>
      </w:r>
      <w:r>
        <w:rPr>
          <w:spacing w:val="-1"/>
          <w:sz w:val="24"/>
        </w:rPr>
        <w:t> </w:t>
      </w:r>
      <w:r>
        <w:rPr>
          <w:sz w:val="24"/>
        </w:rPr>
        <w:t>and Chaslus-Dancla, 2001; </w:t>
      </w:r>
      <w:r>
        <w:rPr>
          <w:sz w:val="23"/>
        </w:rPr>
        <w:t>Matthew, 2007</w:t>
      </w:r>
      <w:r>
        <w:rPr>
          <w:sz w:val="24"/>
        </w:rPr>
        <w:t>). It is thought to be a relatively unimportant method of resistance</w:t>
      </w:r>
      <w:r>
        <w:rPr>
          <w:spacing w:val="18"/>
          <w:sz w:val="24"/>
        </w:rPr>
        <w:t> </w:t>
      </w:r>
      <w:r>
        <w:rPr>
          <w:sz w:val="24"/>
        </w:rPr>
        <w:t>transfer</w:t>
      </w:r>
      <w:r>
        <w:rPr>
          <w:spacing w:val="25"/>
          <w:sz w:val="24"/>
        </w:rPr>
        <w:t> </w:t>
      </w:r>
      <w:r>
        <w:rPr>
          <w:sz w:val="24"/>
        </w:rPr>
        <w:t>because</w:t>
      </w:r>
      <w:r>
        <w:rPr>
          <w:spacing w:val="18"/>
          <w:sz w:val="24"/>
        </w:rPr>
        <w:t> </w:t>
      </w:r>
      <w:r>
        <w:rPr>
          <w:sz w:val="24"/>
        </w:rPr>
        <w:t>of the</w:t>
      </w:r>
      <w:r>
        <w:rPr>
          <w:spacing w:val="23"/>
          <w:sz w:val="24"/>
        </w:rPr>
        <w:t> </w:t>
      </w:r>
      <w:r>
        <w:rPr>
          <w:sz w:val="24"/>
        </w:rPr>
        <w:t>specificity of</w:t>
      </w:r>
      <w:r>
        <w:rPr>
          <w:spacing w:val="21"/>
          <w:sz w:val="24"/>
        </w:rPr>
        <w:t> </w:t>
      </w:r>
      <w:r>
        <w:rPr>
          <w:sz w:val="24"/>
        </w:rPr>
        <w:t>bacteriophages</w:t>
      </w:r>
      <w:r>
        <w:rPr>
          <w:spacing w:val="17"/>
          <w:sz w:val="24"/>
        </w:rPr>
        <w:t> </w:t>
      </w:r>
      <w:r>
        <w:rPr>
          <w:sz w:val="24"/>
        </w:rPr>
        <w:t>(Prescott,</w:t>
      </w:r>
      <w:r>
        <w:rPr>
          <w:spacing w:val="21"/>
          <w:sz w:val="24"/>
        </w:rPr>
        <w:t> </w:t>
      </w:r>
      <w:r>
        <w:rPr>
          <w:sz w:val="24"/>
        </w:rPr>
        <w:t>2000)</w:t>
      </w:r>
      <w:r>
        <w:rPr>
          <w:spacing w:val="21"/>
          <w:sz w:val="24"/>
        </w:rPr>
        <w:t> </w:t>
      </w:r>
      <w:r>
        <w:rPr>
          <w:sz w:val="24"/>
        </w:rPr>
        <w:t>and</w:t>
      </w:r>
      <w:r>
        <w:rPr>
          <w:spacing w:val="19"/>
          <w:sz w:val="24"/>
        </w:rPr>
        <w:t> </w:t>
      </w:r>
      <w:r>
        <w:rPr>
          <w:sz w:val="24"/>
        </w:rPr>
        <w:t>the</w:t>
      </w:r>
      <w:r>
        <w:rPr>
          <w:spacing w:val="23"/>
          <w:sz w:val="24"/>
        </w:rPr>
        <w:t> </w:t>
      </w:r>
      <w:r>
        <w:rPr>
          <w:sz w:val="24"/>
        </w:rPr>
        <w:t>limited</w:t>
      </w:r>
    </w:p>
    <w:p>
      <w:pPr>
        <w:spacing w:after="0" w:line="480" w:lineRule="auto"/>
        <w:jc w:val="both"/>
        <w:rPr>
          <w:sz w:val="24"/>
        </w:rPr>
        <w:sectPr>
          <w:pgSz w:w="12240" w:h="15840"/>
          <w:pgMar w:header="0" w:footer="1017" w:top="1360" w:bottom="1200" w:left="520" w:right="260"/>
        </w:sectPr>
      </w:pPr>
    </w:p>
    <w:p>
      <w:pPr>
        <w:spacing w:line="480" w:lineRule="auto" w:before="72"/>
        <w:ind w:left="920" w:right="1185" w:firstLine="0"/>
        <w:jc w:val="both"/>
        <w:rPr>
          <w:rFonts w:ascii="Times New Roman"/>
          <w:sz w:val="24"/>
        </w:rPr>
      </w:pPr>
      <w:r>
        <w:rPr>
          <w:rFonts w:ascii="Times New Roman"/>
          <w:sz w:val="24"/>
        </w:rPr>
        <w:t>amount of space for DNA to be packaged into the phage (Schwarz </w:t>
      </w:r>
      <w:r>
        <w:rPr>
          <w:rFonts w:ascii="Times New Roman"/>
          <w:i/>
          <w:sz w:val="24"/>
        </w:rPr>
        <w:t>et al</w:t>
      </w:r>
      <w:r>
        <w:rPr>
          <w:rFonts w:ascii="Times New Roman"/>
          <w:sz w:val="24"/>
        </w:rPr>
        <w:t>., 2006). Occasionally, resistance plasmids can be accidentally packed up into phage heads during phage assembly and subsequently be able to infect new cells by injecting plasmid DNA into a</w:t>
      </w:r>
      <w:r>
        <w:rPr>
          <w:rFonts w:ascii="Times New Roman"/>
          <w:spacing w:val="-4"/>
          <w:sz w:val="24"/>
        </w:rPr>
        <w:t> </w:t>
      </w:r>
      <w:r>
        <w:rPr>
          <w:rFonts w:ascii="Times New Roman"/>
          <w:sz w:val="24"/>
        </w:rPr>
        <w:t>recipient cell</w:t>
      </w:r>
      <w:r>
        <w:rPr>
          <w:rFonts w:ascii="Times New Roman"/>
          <w:spacing w:val="-7"/>
          <w:sz w:val="24"/>
        </w:rPr>
        <w:t> </w:t>
      </w:r>
      <w:r>
        <w:rPr>
          <w:rFonts w:ascii="Times New Roman"/>
          <w:sz w:val="24"/>
        </w:rPr>
        <w:t>(Schwarz </w:t>
      </w:r>
      <w:r>
        <w:rPr>
          <w:rFonts w:ascii="Times New Roman"/>
          <w:i/>
          <w:sz w:val="24"/>
        </w:rPr>
        <w:t>et al</w:t>
      </w:r>
      <w:r>
        <w:rPr>
          <w:rFonts w:ascii="Times New Roman"/>
          <w:sz w:val="24"/>
        </w:rPr>
        <w:t>., 2006). Neither transformation nor transduction requires a viable donor cell or a link between donor and recipient (Guardabassi and Courvalin, 2006).</w:t>
      </w:r>
    </w:p>
    <w:p>
      <w:pPr>
        <w:pStyle w:val="ListParagraph"/>
        <w:numPr>
          <w:ilvl w:val="0"/>
          <w:numId w:val="14"/>
        </w:numPr>
        <w:tabs>
          <w:tab w:pos="1140" w:val="left" w:leader="none"/>
        </w:tabs>
        <w:spacing w:line="480" w:lineRule="auto" w:before="245" w:after="0"/>
        <w:ind w:left="920" w:right="1173" w:firstLine="0"/>
        <w:jc w:val="both"/>
        <w:rPr>
          <w:rFonts w:ascii="Calibri"/>
          <w:sz w:val="22"/>
        </w:rPr>
      </w:pPr>
      <w:r>
        <w:rPr>
          <w:rFonts w:ascii="Calibri"/>
          <w:sz w:val="22"/>
        </w:rPr>
        <w:t>Conjugation:Conjugation is the transfer of resistance genes from a resistant organism to a sensitive organism through a protein channel (Bennett, 1995; Prescott, 2000; Schwarz and Chaslus-Dancla,</w:t>
      </w:r>
      <w:r>
        <w:rPr>
          <w:rFonts w:ascii="Calibri"/>
          <w:spacing w:val="-1"/>
          <w:sz w:val="22"/>
        </w:rPr>
        <w:t> </w:t>
      </w:r>
      <w:r>
        <w:rPr>
          <w:rFonts w:ascii="Calibri"/>
          <w:sz w:val="22"/>
        </w:rPr>
        <w:t>2001). Gene transfer in conjugation allows the spread of mobile genetic elements such as plasmids, transposons, or integron/gene cassettes (Hall and Collins, 1995; Bennett, 1995; Schwarz and Chaslus- Dancla, 2001). These elements can possess multiple antibiotic resistant genes and may be responsible</w:t>
      </w:r>
      <w:r>
        <w:rPr>
          <w:rFonts w:ascii="Calibri"/>
          <w:spacing w:val="40"/>
          <w:sz w:val="22"/>
        </w:rPr>
        <w:t> </w:t>
      </w:r>
      <w:r>
        <w:rPr>
          <w:rFonts w:ascii="Calibri"/>
          <w:sz w:val="22"/>
        </w:rPr>
        <w:t>for the rapid dissemination of genes among different bacteria (Kruse and Sorun, 1994; Salyers and Amiable-Cuevas, 1997; Sandvang </w:t>
      </w:r>
      <w:r>
        <w:rPr>
          <w:rFonts w:ascii="Calibri"/>
          <w:i/>
          <w:sz w:val="22"/>
        </w:rPr>
        <w:t>et al</w:t>
      </w:r>
      <w:r>
        <w:rPr>
          <w:rFonts w:ascii="Calibri"/>
          <w:sz w:val="22"/>
        </w:rPr>
        <w:t>., 1997). For example, the antibiotic resistant pattern of </w:t>
      </w:r>
      <w:r>
        <w:rPr>
          <w:rFonts w:ascii="Calibri"/>
          <w:i/>
          <w:sz w:val="22"/>
        </w:rPr>
        <w:t>S. typhimurium </w:t>
      </w:r>
      <w:r>
        <w:rPr>
          <w:rFonts w:ascii="Calibri"/>
          <w:sz w:val="22"/>
        </w:rPr>
        <w:t>DT104 constitutes an integron coding for resistance to sulfonamides, ampicillin and streptomycin (Conter </w:t>
      </w:r>
      <w:r>
        <w:rPr>
          <w:rFonts w:ascii="Calibri"/>
          <w:i/>
          <w:sz w:val="22"/>
        </w:rPr>
        <w:t>et al</w:t>
      </w:r>
      <w:r>
        <w:rPr>
          <w:rFonts w:ascii="Calibri"/>
          <w:sz w:val="22"/>
        </w:rPr>
        <w:t>., 2009). Linked clusters of antibiotic resistance on a single mobile element</w:t>
      </w:r>
      <w:r>
        <w:rPr>
          <w:rFonts w:ascii="Calibri"/>
          <w:spacing w:val="80"/>
          <w:sz w:val="22"/>
        </w:rPr>
        <w:t> </w:t>
      </w:r>
      <w:r>
        <w:rPr>
          <w:rFonts w:ascii="Calibri"/>
          <w:sz w:val="22"/>
        </w:rPr>
        <w:t>can also</w:t>
      </w:r>
      <w:r>
        <w:rPr>
          <w:rFonts w:ascii="Calibri"/>
          <w:spacing w:val="-1"/>
          <w:sz w:val="22"/>
        </w:rPr>
        <w:t> </w:t>
      </w:r>
      <w:r>
        <w:rPr>
          <w:rFonts w:ascii="Calibri"/>
          <w:sz w:val="22"/>
        </w:rPr>
        <w:t>aggregate</w:t>
      </w:r>
      <w:r>
        <w:rPr>
          <w:rFonts w:ascii="Calibri"/>
          <w:spacing w:val="-4"/>
          <w:sz w:val="22"/>
        </w:rPr>
        <w:t> </w:t>
      </w:r>
      <w:r>
        <w:rPr>
          <w:rFonts w:ascii="Calibri"/>
          <w:sz w:val="22"/>
        </w:rPr>
        <w:t>in such a</w:t>
      </w:r>
      <w:r>
        <w:rPr>
          <w:rFonts w:ascii="Calibri"/>
          <w:spacing w:val="-4"/>
          <w:sz w:val="22"/>
        </w:rPr>
        <w:t> </w:t>
      </w:r>
      <w:r>
        <w:rPr>
          <w:rFonts w:ascii="Calibri"/>
          <w:sz w:val="22"/>
        </w:rPr>
        <w:t>way that antibiotics of</w:t>
      </w:r>
      <w:r>
        <w:rPr>
          <w:rFonts w:ascii="Calibri"/>
          <w:spacing w:val="-4"/>
          <w:sz w:val="22"/>
        </w:rPr>
        <w:t> </w:t>
      </w:r>
      <w:r>
        <w:rPr>
          <w:rFonts w:ascii="Calibri"/>
          <w:sz w:val="22"/>
        </w:rPr>
        <w:t>a different</w:t>
      </w:r>
      <w:r>
        <w:rPr>
          <w:rFonts w:ascii="Calibri"/>
          <w:spacing w:val="-1"/>
          <w:sz w:val="22"/>
        </w:rPr>
        <w:t> </w:t>
      </w:r>
      <w:r>
        <w:rPr>
          <w:rFonts w:ascii="Calibri"/>
          <w:sz w:val="22"/>
        </w:rPr>
        <w:t>class or</w:t>
      </w:r>
      <w:r>
        <w:rPr>
          <w:rFonts w:ascii="Calibri"/>
          <w:spacing w:val="-4"/>
          <w:sz w:val="22"/>
        </w:rPr>
        <w:t> </w:t>
      </w:r>
      <w:r>
        <w:rPr>
          <w:rFonts w:ascii="Calibri"/>
          <w:sz w:val="22"/>
        </w:rPr>
        <w:t>even</w:t>
      </w:r>
      <w:r>
        <w:rPr>
          <w:rFonts w:ascii="Calibri"/>
          <w:spacing w:val="-5"/>
          <w:sz w:val="22"/>
        </w:rPr>
        <w:t> </w:t>
      </w:r>
      <w:r>
        <w:rPr>
          <w:rFonts w:ascii="Calibri"/>
          <w:sz w:val="22"/>
        </w:rPr>
        <w:t>nonantimicrobial substances like heavy metals or disinfectants can select for antibiotic resistant bacteria (Recchia and Hall, 1997, Salyers </w:t>
      </w:r>
      <w:r>
        <w:rPr>
          <w:rFonts w:ascii="Calibri"/>
          <w:i/>
          <w:sz w:val="22"/>
        </w:rPr>
        <w:t>et al</w:t>
      </w:r>
      <w:r>
        <w:rPr>
          <w:rFonts w:ascii="Calibri"/>
          <w:sz w:val="22"/>
        </w:rPr>
        <w:t>., 2004). Exchange of resistance genes between pathogens and non-pathogens or between gram-positive and negative bacteria has</w:t>
      </w:r>
      <w:r>
        <w:rPr>
          <w:rFonts w:ascii="Calibri"/>
          <w:spacing w:val="-4"/>
          <w:sz w:val="22"/>
        </w:rPr>
        <w:t> </w:t>
      </w:r>
      <w:r>
        <w:rPr>
          <w:rFonts w:ascii="Calibri"/>
          <w:sz w:val="22"/>
        </w:rPr>
        <w:t>also</w:t>
      </w:r>
      <w:r>
        <w:rPr>
          <w:rFonts w:ascii="Calibri"/>
          <w:spacing w:val="-1"/>
          <w:sz w:val="22"/>
        </w:rPr>
        <w:t> </w:t>
      </w:r>
      <w:r>
        <w:rPr>
          <w:rFonts w:ascii="Calibri"/>
          <w:sz w:val="22"/>
        </w:rPr>
        <w:t>been documented (Prescott,</w:t>
      </w:r>
      <w:r>
        <w:rPr>
          <w:rFonts w:ascii="Calibri"/>
          <w:spacing w:val="-2"/>
          <w:sz w:val="22"/>
        </w:rPr>
        <w:t> </w:t>
      </w:r>
      <w:r>
        <w:rPr>
          <w:rFonts w:ascii="Calibri"/>
          <w:sz w:val="22"/>
        </w:rPr>
        <w:t>2000; </w:t>
      </w:r>
      <w:r>
        <w:rPr>
          <w:rFonts w:ascii="Calibri"/>
          <w:sz w:val="23"/>
        </w:rPr>
        <w:t>McDermott</w:t>
      </w:r>
      <w:r>
        <w:rPr>
          <w:rFonts w:ascii="Calibri"/>
          <w:i/>
          <w:sz w:val="22"/>
        </w:rPr>
        <w:t>et</w:t>
      </w:r>
      <w:r>
        <w:rPr>
          <w:rFonts w:ascii="Calibri"/>
          <w:i/>
          <w:spacing w:val="-1"/>
          <w:sz w:val="22"/>
        </w:rPr>
        <w:t> </w:t>
      </w:r>
      <w:r>
        <w:rPr>
          <w:rFonts w:ascii="Calibri"/>
          <w:i/>
          <w:sz w:val="22"/>
        </w:rPr>
        <w:t>al</w:t>
      </w:r>
      <w:r>
        <w:rPr>
          <w:rFonts w:ascii="Calibri"/>
          <w:sz w:val="22"/>
        </w:rPr>
        <w:t>.,</w:t>
      </w:r>
      <w:r>
        <w:rPr>
          <w:rFonts w:ascii="Calibri"/>
          <w:spacing w:val="-2"/>
          <w:sz w:val="22"/>
        </w:rPr>
        <w:t> </w:t>
      </w:r>
      <w:r>
        <w:rPr>
          <w:rFonts w:ascii="Calibri"/>
          <w:sz w:val="22"/>
        </w:rPr>
        <w:t>2002; Salyers </w:t>
      </w:r>
      <w:r>
        <w:rPr>
          <w:rFonts w:ascii="Calibri"/>
          <w:i/>
          <w:sz w:val="22"/>
        </w:rPr>
        <w:t>et al</w:t>
      </w:r>
      <w:r>
        <w:rPr>
          <w:rFonts w:ascii="Calibri"/>
          <w:sz w:val="22"/>
        </w:rPr>
        <w:t>., 2004).</w:t>
      </w:r>
    </w:p>
    <w:p>
      <w:pPr>
        <w:pStyle w:val="Heading3"/>
        <w:numPr>
          <w:ilvl w:val="2"/>
          <w:numId w:val="10"/>
        </w:numPr>
        <w:tabs>
          <w:tab w:pos="1460" w:val="left" w:leader="none"/>
        </w:tabs>
        <w:spacing w:line="240" w:lineRule="auto" w:before="241" w:after="0"/>
        <w:ind w:left="1460" w:right="0" w:hanging="540"/>
        <w:jc w:val="both"/>
      </w:pPr>
      <w:bookmarkStart w:name="_TOC_250047" w:id="44"/>
      <w:r>
        <w:rPr/>
        <w:t>Mobile</w:t>
      </w:r>
      <w:r>
        <w:rPr>
          <w:spacing w:val="-10"/>
        </w:rPr>
        <w:t> </w:t>
      </w:r>
      <w:r>
        <w:rPr/>
        <w:t>Genetic</w:t>
      </w:r>
      <w:r>
        <w:rPr>
          <w:spacing w:val="-9"/>
        </w:rPr>
        <w:t> </w:t>
      </w:r>
      <w:bookmarkEnd w:id="44"/>
      <w:r>
        <w:rPr>
          <w:spacing w:val="-2"/>
        </w:rPr>
        <w:t>Elements</w:t>
      </w:r>
    </w:p>
    <w:p>
      <w:pPr>
        <w:pStyle w:val="BodyText"/>
        <w:spacing w:before="195"/>
        <w:rPr>
          <w:rFonts w:ascii="Times New Roman"/>
          <w:b/>
          <w:sz w:val="24"/>
        </w:rPr>
      </w:pPr>
    </w:p>
    <w:p>
      <w:pPr>
        <w:spacing w:line="480" w:lineRule="auto" w:before="1"/>
        <w:ind w:left="920" w:right="1176" w:firstLine="0"/>
        <w:jc w:val="both"/>
        <w:rPr>
          <w:rFonts w:ascii="Times New Roman"/>
          <w:sz w:val="24"/>
        </w:rPr>
      </w:pPr>
      <w:r>
        <w:rPr>
          <w:rFonts w:ascii="Times New Roman"/>
          <w:sz w:val="24"/>
        </w:rPr>
        <w:t>The acquisition of genetic elements such as plasmids, transposons, or integrons/gene cassettes has been reported as a critical part of horizontal transfer of antibiotic resistance. These elements vary considerably</w:t>
      </w:r>
      <w:r>
        <w:rPr>
          <w:rFonts w:ascii="Times New Roman"/>
          <w:spacing w:val="16"/>
          <w:sz w:val="24"/>
        </w:rPr>
        <w:t> </w:t>
      </w:r>
      <w:r>
        <w:rPr>
          <w:rFonts w:ascii="Times New Roman"/>
          <w:sz w:val="24"/>
        </w:rPr>
        <w:t>from each other</w:t>
      </w:r>
      <w:r>
        <w:rPr>
          <w:rFonts w:ascii="Times New Roman"/>
          <w:spacing w:val="23"/>
          <w:sz w:val="24"/>
        </w:rPr>
        <w:t> </w:t>
      </w:r>
      <w:r>
        <w:rPr>
          <w:rFonts w:ascii="Times New Roman"/>
          <w:sz w:val="24"/>
        </w:rPr>
        <w:t>in regard</w:t>
      </w:r>
      <w:r>
        <w:rPr>
          <w:rFonts w:ascii="Times New Roman"/>
          <w:spacing w:val="16"/>
          <w:sz w:val="24"/>
        </w:rPr>
        <w:t> </w:t>
      </w:r>
      <w:r>
        <w:rPr>
          <w:rFonts w:ascii="Times New Roman"/>
          <w:sz w:val="24"/>
        </w:rPr>
        <w:t>to</w:t>
      </w:r>
      <w:r>
        <w:rPr>
          <w:rFonts w:ascii="Times New Roman"/>
          <w:spacing w:val="16"/>
          <w:sz w:val="24"/>
        </w:rPr>
        <w:t> </w:t>
      </w:r>
      <w:r>
        <w:rPr>
          <w:rFonts w:ascii="Times New Roman"/>
          <w:sz w:val="24"/>
        </w:rPr>
        <w:t>their</w:t>
      </w:r>
      <w:r>
        <w:rPr>
          <w:rFonts w:ascii="Times New Roman"/>
          <w:spacing w:val="18"/>
          <w:sz w:val="24"/>
        </w:rPr>
        <w:t> </w:t>
      </w:r>
      <w:r>
        <w:rPr>
          <w:rFonts w:ascii="Times New Roman"/>
          <w:sz w:val="24"/>
        </w:rPr>
        <w:t>carriage of resistance,</w:t>
      </w:r>
      <w:r>
        <w:rPr>
          <w:rFonts w:ascii="Times New Roman"/>
          <w:spacing w:val="19"/>
          <w:sz w:val="24"/>
        </w:rPr>
        <w:t> </w:t>
      </w:r>
      <w:r>
        <w:rPr>
          <w:rFonts w:ascii="Times New Roman"/>
          <w:sz w:val="24"/>
        </w:rPr>
        <w:t>their</w:t>
      </w:r>
      <w:r>
        <w:rPr>
          <w:rFonts w:ascii="Times New Roman"/>
          <w:spacing w:val="23"/>
          <w:sz w:val="24"/>
        </w:rPr>
        <w:t> </w:t>
      </w:r>
      <w:r>
        <w:rPr>
          <w:rFonts w:ascii="Times New Roman"/>
          <w:sz w:val="24"/>
        </w:rPr>
        <w:t>replication</w:t>
      </w:r>
      <w:r>
        <w:rPr>
          <w:rFonts w:ascii="Times New Roman"/>
          <w:spacing w:val="16"/>
          <w:sz w:val="24"/>
        </w:rPr>
        <w:t> </w:t>
      </w:r>
      <w:r>
        <w:rPr>
          <w:rFonts w:ascii="Times New Roman"/>
          <w:sz w:val="24"/>
        </w:rPr>
        <w:t>and</w:t>
      </w:r>
    </w:p>
    <w:p>
      <w:pPr>
        <w:spacing w:after="0" w:line="480" w:lineRule="auto"/>
        <w:jc w:val="both"/>
        <w:rPr>
          <w:rFonts w:ascii="Times New Roman"/>
          <w:sz w:val="24"/>
        </w:rPr>
        <w:sectPr>
          <w:pgSz w:w="12240" w:h="15840"/>
          <w:pgMar w:header="0" w:footer="1017" w:top="1360" w:bottom="1200" w:left="520" w:right="260"/>
        </w:sectPr>
      </w:pPr>
    </w:p>
    <w:p>
      <w:pPr>
        <w:spacing w:line="480" w:lineRule="auto" w:before="72"/>
        <w:ind w:left="920" w:right="1178" w:firstLine="0"/>
        <w:jc w:val="both"/>
        <w:rPr>
          <w:rFonts w:ascii="Times New Roman"/>
          <w:sz w:val="24"/>
        </w:rPr>
      </w:pPr>
      <w:r>
        <w:rPr>
          <w:rFonts w:ascii="Times New Roman"/>
          <w:sz w:val="24"/>
        </w:rPr>
        <w:t>transmission. It is estimated that mobile genetic elements accounts for more than 95 percent of antibiotic resistance acquired by gene transfer (Silbergeld </w:t>
      </w:r>
      <w:r>
        <w:rPr>
          <w:rFonts w:ascii="Times New Roman"/>
          <w:i/>
          <w:sz w:val="24"/>
        </w:rPr>
        <w:t>et al</w:t>
      </w:r>
      <w:r>
        <w:rPr>
          <w:rFonts w:ascii="Times New Roman"/>
          <w:sz w:val="24"/>
        </w:rPr>
        <w:t>., 2008). They transmit genetic resistance determinants for several different antibiotic resistant mechanisms and may result in rapid dissemination of resistance genes among different bacteria (McDermott </w:t>
      </w:r>
      <w:r>
        <w:rPr>
          <w:rFonts w:ascii="Times New Roman"/>
          <w:i/>
          <w:sz w:val="24"/>
        </w:rPr>
        <w:t>et al</w:t>
      </w:r>
      <w:r>
        <w:rPr>
          <w:rFonts w:ascii="Times New Roman"/>
          <w:sz w:val="24"/>
        </w:rPr>
        <w:t>., 2002).</w:t>
      </w:r>
    </w:p>
    <w:p>
      <w:pPr>
        <w:pStyle w:val="ListParagraph"/>
        <w:numPr>
          <w:ilvl w:val="3"/>
          <w:numId w:val="10"/>
        </w:numPr>
        <w:tabs>
          <w:tab w:pos="1577" w:val="left" w:leader="none"/>
        </w:tabs>
        <w:spacing w:line="240" w:lineRule="auto" w:before="245" w:after="0"/>
        <w:ind w:left="1577" w:right="0" w:hanging="657"/>
        <w:jc w:val="both"/>
        <w:rPr>
          <w:rFonts w:ascii="Calibri"/>
          <w:i/>
          <w:sz w:val="22"/>
        </w:rPr>
      </w:pPr>
      <w:r>
        <w:rPr>
          <w:rFonts w:ascii="Calibri"/>
          <w:i/>
          <w:spacing w:val="-2"/>
          <w:sz w:val="22"/>
        </w:rPr>
        <w:t>Plasmids</w:t>
      </w:r>
    </w:p>
    <w:p>
      <w:pPr>
        <w:pStyle w:val="BodyText"/>
        <w:spacing w:before="240"/>
        <w:rPr>
          <w:i/>
        </w:rPr>
      </w:pPr>
    </w:p>
    <w:p>
      <w:pPr>
        <w:pStyle w:val="BodyText"/>
        <w:spacing w:line="480" w:lineRule="auto"/>
        <w:ind w:left="920" w:right="1177"/>
        <w:jc w:val="both"/>
      </w:pPr>
      <w:r>
        <w:rPr/>
        <w:t>These are extra-chromosomal circular DNA which can replicate independently, but synchronously with chromosomal DNA (Schwarz </w:t>
      </w:r>
      <w:r>
        <w:rPr>
          <w:i/>
        </w:rPr>
        <w:t>et al</w:t>
      </w:r>
      <w:r>
        <w:rPr/>
        <w:t>., 2006). When resistance is transferred as a result of plasmids, a copy of the plasmid is always retained by the parent (Cohen, 1993). It has been reported that most plasmids carry the gene required for conjugation, but some plasmids can be mobilized by using the conjugal apparatus for self-transmissible of plasmids within the cell (Marcelo </w:t>
      </w:r>
      <w:r>
        <w:rPr>
          <w:i/>
        </w:rPr>
        <w:t>et al</w:t>
      </w:r>
      <w:r>
        <w:rPr/>
        <w:t>., 1998).</w:t>
      </w:r>
    </w:p>
    <w:p>
      <w:pPr>
        <w:pStyle w:val="BodyText"/>
        <w:spacing w:line="480" w:lineRule="auto" w:before="238"/>
        <w:ind w:left="920" w:right="1175"/>
        <w:jc w:val="both"/>
      </w:pPr>
      <w:r>
        <w:rPr/>
        <w:t>Plasmids have been</w:t>
      </w:r>
      <w:r>
        <w:rPr>
          <w:spacing w:val="-6"/>
        </w:rPr>
        <w:t> </w:t>
      </w:r>
      <w:r>
        <w:rPr/>
        <w:t>reported</w:t>
      </w:r>
      <w:r>
        <w:rPr>
          <w:spacing w:val="-1"/>
        </w:rPr>
        <w:t> </w:t>
      </w:r>
      <w:r>
        <w:rPr/>
        <w:t>to</w:t>
      </w:r>
      <w:r>
        <w:rPr>
          <w:spacing w:val="-2"/>
        </w:rPr>
        <w:t> </w:t>
      </w:r>
      <w:r>
        <w:rPr/>
        <w:t>code for resistance to</w:t>
      </w:r>
      <w:r>
        <w:rPr>
          <w:spacing w:val="-6"/>
        </w:rPr>
        <w:t> </w:t>
      </w:r>
      <w:r>
        <w:rPr/>
        <w:t>one or up</w:t>
      </w:r>
      <w:r>
        <w:rPr>
          <w:spacing w:val="-1"/>
        </w:rPr>
        <w:t> </w:t>
      </w:r>
      <w:r>
        <w:rPr/>
        <w:t>to</w:t>
      </w:r>
      <w:r>
        <w:rPr>
          <w:spacing w:val="-2"/>
        </w:rPr>
        <w:t> </w:t>
      </w:r>
      <w:r>
        <w:rPr/>
        <w:t>ten</w:t>
      </w:r>
      <w:r>
        <w:rPr>
          <w:spacing w:val="-1"/>
        </w:rPr>
        <w:t> </w:t>
      </w:r>
      <w:r>
        <w:rPr/>
        <w:t>different</w:t>
      </w:r>
      <w:r>
        <w:rPr>
          <w:spacing w:val="-2"/>
        </w:rPr>
        <w:t> </w:t>
      </w:r>
      <w:r>
        <w:rPr/>
        <w:t>antimicrobials</w:t>
      </w:r>
      <w:r>
        <w:rPr>
          <w:spacing w:val="-5"/>
        </w:rPr>
        <w:t> </w:t>
      </w:r>
      <w:r>
        <w:rPr/>
        <w:t>(multiple antibiotic resistance) (Prescott, 2000). Multi-resistant plasmids have been reported as a result of interplasmidic recombination, integration of transposons, or insertion of gene cassettes (Schwarz </w:t>
      </w:r>
      <w:r>
        <w:rPr>
          <w:i/>
        </w:rPr>
        <w:t>et al</w:t>
      </w:r>
      <w:r>
        <w:rPr/>
        <w:t>., 2006). All resistance genes on a</w:t>
      </w:r>
      <w:r>
        <w:rPr>
          <w:spacing w:val="-1"/>
        </w:rPr>
        <w:t> </w:t>
      </w:r>
      <w:r>
        <w:rPr/>
        <w:t>multi-resistant plasmid are transferred</w:t>
      </w:r>
      <w:r>
        <w:rPr>
          <w:spacing w:val="-1"/>
        </w:rPr>
        <w:t> </w:t>
      </w:r>
      <w:r>
        <w:rPr/>
        <w:t>when the plasmid is transferred, whether there is selective pressure for all of the resistance genes on the plasmid or for just one of the resistance genes (Schwarz </w:t>
      </w:r>
      <w:r>
        <w:rPr>
          <w:i/>
        </w:rPr>
        <w:t>et al</w:t>
      </w:r>
      <w:r>
        <w:rPr/>
        <w:t>., 2006). Plasmids have also been reported to act as vectors for transposons and integrons/gene cassettes (Bennett, 1995).</w:t>
      </w:r>
    </w:p>
    <w:p>
      <w:pPr>
        <w:pStyle w:val="ListParagraph"/>
        <w:numPr>
          <w:ilvl w:val="3"/>
          <w:numId w:val="10"/>
        </w:numPr>
        <w:tabs>
          <w:tab w:pos="1577" w:val="left" w:leader="none"/>
        </w:tabs>
        <w:spacing w:line="240" w:lineRule="auto" w:before="243" w:after="0"/>
        <w:ind w:left="1577" w:right="0" w:hanging="657"/>
        <w:jc w:val="both"/>
        <w:rPr>
          <w:rFonts w:ascii="Calibri"/>
          <w:i/>
          <w:sz w:val="22"/>
        </w:rPr>
      </w:pPr>
      <w:r>
        <w:rPr>
          <w:rFonts w:ascii="Calibri"/>
          <w:i/>
          <w:sz w:val="22"/>
        </w:rPr>
        <w:t>Transposons</w:t>
      </w:r>
      <w:r>
        <w:rPr>
          <w:rFonts w:ascii="Calibri"/>
          <w:i/>
          <w:spacing w:val="-8"/>
          <w:sz w:val="22"/>
        </w:rPr>
        <w:t> </w:t>
      </w:r>
      <w:r>
        <w:rPr>
          <w:rFonts w:ascii="Calibri"/>
          <w:i/>
          <w:sz w:val="22"/>
        </w:rPr>
        <w:t>(jumping</w:t>
      </w:r>
      <w:r>
        <w:rPr>
          <w:rFonts w:ascii="Calibri"/>
          <w:i/>
          <w:spacing w:val="-5"/>
          <w:sz w:val="22"/>
        </w:rPr>
        <w:t> </w:t>
      </w:r>
      <w:r>
        <w:rPr>
          <w:rFonts w:ascii="Calibri"/>
          <w:i/>
          <w:spacing w:val="-2"/>
          <w:sz w:val="22"/>
        </w:rPr>
        <w:t>genes)</w:t>
      </w:r>
    </w:p>
    <w:p>
      <w:pPr>
        <w:pStyle w:val="BodyText"/>
        <w:spacing w:before="241"/>
        <w:rPr>
          <w:i/>
        </w:rPr>
      </w:pPr>
    </w:p>
    <w:p>
      <w:pPr>
        <w:pStyle w:val="BodyText"/>
        <w:spacing w:line="480" w:lineRule="auto"/>
        <w:ind w:left="920" w:right="1182" w:firstLine="48"/>
        <w:jc w:val="both"/>
      </w:pPr>
      <w:r>
        <w:rPr/>
        <w:t>These are short sequences of DNA that has been reported to move from plasmid to plasmid, or from plasmid to chromosome and vice versa (Kidwell, 2005). Transposons do not possess replication systems and</w:t>
      </w:r>
      <w:r>
        <w:rPr>
          <w:spacing w:val="-3"/>
        </w:rPr>
        <w:t> </w:t>
      </w:r>
      <w:r>
        <w:rPr/>
        <w:t>must</w:t>
      </w:r>
      <w:r>
        <w:rPr>
          <w:spacing w:val="-4"/>
        </w:rPr>
        <w:t> </w:t>
      </w:r>
      <w:r>
        <w:rPr/>
        <w:t>be</w:t>
      </w:r>
      <w:r>
        <w:rPr>
          <w:spacing w:val="-2"/>
        </w:rPr>
        <w:t> </w:t>
      </w:r>
      <w:r>
        <w:rPr/>
        <w:t>incorporated</w:t>
      </w:r>
      <w:r>
        <w:rPr>
          <w:spacing w:val="-3"/>
        </w:rPr>
        <w:t> </w:t>
      </w:r>
      <w:r>
        <w:rPr/>
        <w:t>into</w:t>
      </w:r>
      <w:r>
        <w:rPr>
          <w:spacing w:val="-3"/>
        </w:rPr>
        <w:t> </w:t>
      </w:r>
      <w:r>
        <w:rPr/>
        <w:t>chromosomal DNA or</w:t>
      </w:r>
      <w:r>
        <w:rPr>
          <w:spacing w:val="-2"/>
        </w:rPr>
        <w:t> </w:t>
      </w:r>
      <w:r>
        <w:rPr/>
        <w:t>plasmids</w:t>
      </w:r>
      <w:r>
        <w:rPr>
          <w:spacing w:val="-2"/>
        </w:rPr>
        <w:t> </w:t>
      </w:r>
      <w:r>
        <w:rPr/>
        <w:t>(Schwarz</w:t>
      </w:r>
      <w:r>
        <w:rPr>
          <w:spacing w:val="-2"/>
        </w:rPr>
        <w:t> </w:t>
      </w:r>
      <w:r>
        <w:rPr>
          <w:i/>
        </w:rPr>
        <w:t>et</w:t>
      </w:r>
      <w:r>
        <w:rPr>
          <w:i/>
          <w:spacing w:val="-4"/>
        </w:rPr>
        <w:t> </w:t>
      </w:r>
      <w:r>
        <w:rPr>
          <w:i/>
        </w:rPr>
        <w:t>al</w:t>
      </w:r>
      <w:r>
        <w:rPr/>
        <w:t>.,</w:t>
      </w:r>
      <w:r>
        <w:rPr>
          <w:spacing w:val="-4"/>
        </w:rPr>
        <w:t> </w:t>
      </w:r>
      <w:r>
        <w:rPr/>
        <w:t>2006). Unlike</w:t>
      </w:r>
      <w:r>
        <w:rPr>
          <w:spacing w:val="-2"/>
        </w:rPr>
        <w:t> </w:t>
      </w:r>
      <w:r>
        <w:rPr/>
        <w:t>plasmids,</w:t>
      </w:r>
      <w:r>
        <w:rPr>
          <w:spacing w:val="-4"/>
        </w:rPr>
        <w:t> </w:t>
      </w:r>
      <w:r>
        <w:rPr/>
        <w:t>no copy</w:t>
      </w:r>
      <w:r>
        <w:rPr>
          <w:spacing w:val="-2"/>
        </w:rPr>
        <w:t> </w:t>
      </w:r>
      <w:r>
        <w:rPr/>
        <w:t>of</w:t>
      </w:r>
      <w:r>
        <w:rPr>
          <w:spacing w:val="-1"/>
        </w:rPr>
        <w:t> </w:t>
      </w:r>
      <w:r>
        <w:rPr/>
        <w:t>the transposon</w:t>
      </w:r>
      <w:r>
        <w:rPr>
          <w:spacing w:val="-1"/>
        </w:rPr>
        <w:t> </w:t>
      </w:r>
      <w:r>
        <w:rPr/>
        <w:t>remains within</w:t>
      </w:r>
      <w:r>
        <w:rPr>
          <w:spacing w:val="-1"/>
        </w:rPr>
        <w:t> </w:t>
      </w:r>
      <w:r>
        <w:rPr/>
        <w:t>the original</w:t>
      </w:r>
      <w:r>
        <w:rPr>
          <w:spacing w:val="2"/>
        </w:rPr>
        <w:t> </w:t>
      </w:r>
      <w:r>
        <w:rPr/>
        <w:t>cell</w:t>
      </w:r>
      <w:r>
        <w:rPr>
          <w:spacing w:val="-2"/>
        </w:rPr>
        <w:t> </w:t>
      </w:r>
      <w:r>
        <w:rPr/>
        <w:t>as the transposon</w:t>
      </w:r>
      <w:r>
        <w:rPr>
          <w:spacing w:val="-1"/>
        </w:rPr>
        <w:t> </w:t>
      </w:r>
      <w:r>
        <w:rPr/>
        <w:t>moves between</w:t>
      </w:r>
      <w:r>
        <w:rPr>
          <w:spacing w:val="-1"/>
        </w:rPr>
        <w:t> </w:t>
      </w:r>
      <w:r>
        <w:rPr/>
        <w:t>the donor</w:t>
      </w:r>
      <w:r>
        <w:rPr>
          <w:spacing w:val="1"/>
        </w:rPr>
        <w:t> </w:t>
      </w:r>
      <w:r>
        <w:rPr>
          <w:spacing w:val="-5"/>
        </w:rPr>
        <w:t>and</w:t>
      </w:r>
    </w:p>
    <w:p>
      <w:pPr>
        <w:spacing w:after="0" w:line="480" w:lineRule="auto"/>
        <w:jc w:val="both"/>
        <w:sectPr>
          <w:pgSz w:w="12240" w:h="15840"/>
          <w:pgMar w:header="0" w:footer="1017" w:top="1360" w:bottom="1200" w:left="520" w:right="260"/>
        </w:sectPr>
      </w:pPr>
    </w:p>
    <w:p>
      <w:pPr>
        <w:pStyle w:val="BodyText"/>
        <w:spacing w:line="480" w:lineRule="auto" w:before="37"/>
        <w:ind w:left="920" w:right="1178"/>
        <w:jc w:val="both"/>
      </w:pPr>
      <w:r>
        <w:rPr/>
        <w:t>recipient</w:t>
      </w:r>
      <w:r>
        <w:rPr>
          <w:spacing w:val="-1"/>
        </w:rPr>
        <w:t> </w:t>
      </w:r>
      <w:r>
        <w:rPr/>
        <w:t>(Slotkin and Martienssen,</w:t>
      </w:r>
      <w:r>
        <w:rPr>
          <w:spacing w:val="-2"/>
        </w:rPr>
        <w:t> </w:t>
      </w:r>
      <w:r>
        <w:rPr/>
        <w:t>2007). All transposons has been reported to</w:t>
      </w:r>
      <w:r>
        <w:rPr>
          <w:spacing w:val="-1"/>
        </w:rPr>
        <w:t> </w:t>
      </w:r>
      <w:r>
        <w:rPr/>
        <w:t>move and integrate into foreign DNA by nonhomologous recombination, which permits the same transposon to be found in the genome or plasmids of highly unrelated organisms (Kazazian, 2004).</w:t>
      </w:r>
    </w:p>
    <w:p>
      <w:pPr>
        <w:pStyle w:val="ListParagraph"/>
        <w:numPr>
          <w:ilvl w:val="3"/>
          <w:numId w:val="10"/>
        </w:numPr>
        <w:tabs>
          <w:tab w:pos="1577" w:val="left" w:leader="none"/>
        </w:tabs>
        <w:spacing w:line="240" w:lineRule="auto" w:before="241" w:after="0"/>
        <w:ind w:left="1577" w:right="0" w:hanging="657"/>
        <w:jc w:val="both"/>
        <w:rPr>
          <w:rFonts w:ascii="Calibri"/>
          <w:i/>
          <w:sz w:val="22"/>
        </w:rPr>
      </w:pPr>
      <w:r>
        <w:rPr>
          <w:rFonts w:ascii="Calibri"/>
          <w:i/>
          <w:spacing w:val="-2"/>
          <w:sz w:val="22"/>
        </w:rPr>
        <w:t>Integrons</w:t>
      </w:r>
    </w:p>
    <w:p>
      <w:pPr>
        <w:pStyle w:val="BodyText"/>
        <w:spacing w:before="240"/>
        <w:rPr>
          <w:i/>
        </w:rPr>
      </w:pPr>
    </w:p>
    <w:p>
      <w:pPr>
        <w:pStyle w:val="BodyText"/>
        <w:spacing w:line="480" w:lineRule="auto" w:before="1"/>
        <w:ind w:left="920" w:right="1173" w:firstLine="48"/>
        <w:jc w:val="both"/>
      </w:pPr>
      <w:r>
        <w:rPr/>
        <w:t>These have been described as mobile element often found on plasmids and are distinct from transposons (Roy, 1995). They are a site specific recombination system that contains an integrase enzyme, a gene-capture site, and a captured gene or genes (Hall and Collins, 1995). The genes are present as mobile gene cassettes that represent small mobile elements that contain only a single resistance gene and a specific recombination site (Recchia and Hall, 1995, Nandi </w:t>
      </w:r>
      <w:r>
        <w:rPr>
          <w:i/>
        </w:rPr>
        <w:t>et al</w:t>
      </w:r>
      <w:r>
        <w:rPr/>
        <w:t>., 2004). The recombination site allows mobility when they are recognized by site-specific integrases, which catalyze integration of the cassettes at specific sites within the integron thereby permitting integrons containing multiple resistance gene cassettes (Cambray, 2010). Gene expression of an integron is dependent on various factors including promoter strength, gene copy number, the relative distance of the gene cassette from the promoter, and the presence of additional internal promotors (Martinez-Freijo </w:t>
      </w:r>
      <w:r>
        <w:rPr>
          <w:i/>
        </w:rPr>
        <w:t>et al</w:t>
      </w:r>
      <w:r>
        <w:rPr/>
        <w:t>., 1998, Martinez-Freijo </w:t>
      </w:r>
      <w:r>
        <w:rPr>
          <w:i/>
        </w:rPr>
        <w:t>et al</w:t>
      </w:r>
      <w:r>
        <w:rPr/>
        <w:t>., 1999). Expression has been reported to be usually mediated via a common promoter situated upstream (5’-end) of the gene cassettes, rather than through individual promoter copies (Matinez-Freijo </w:t>
      </w:r>
      <w:r>
        <w:rPr>
          <w:i/>
        </w:rPr>
        <w:t>et al</w:t>
      </w:r>
      <w:r>
        <w:rPr/>
        <w:t>., 1998). Higher levels of gene expression have been reported achieved if a second promoter is included adjacent to the first, or if the gene in question is included as multiple</w:t>
      </w:r>
      <w:r>
        <w:rPr>
          <w:spacing w:val="80"/>
        </w:rPr>
        <w:t> </w:t>
      </w:r>
      <w:r>
        <w:rPr/>
        <w:t>copies (Matinez-Freijo </w:t>
      </w:r>
      <w:r>
        <w:rPr>
          <w:i/>
        </w:rPr>
        <w:t>et al</w:t>
      </w:r>
      <w:r>
        <w:rPr/>
        <w:t>., 1998).</w:t>
      </w:r>
    </w:p>
    <w:p>
      <w:pPr>
        <w:pStyle w:val="ListParagraph"/>
        <w:numPr>
          <w:ilvl w:val="2"/>
          <w:numId w:val="10"/>
        </w:numPr>
        <w:tabs>
          <w:tab w:pos="1415" w:val="left" w:leader="none"/>
        </w:tabs>
        <w:spacing w:line="240" w:lineRule="auto" w:before="237" w:after="0"/>
        <w:ind w:left="1415" w:right="0" w:hanging="495"/>
        <w:jc w:val="both"/>
        <w:rPr>
          <w:rFonts w:ascii="Calibri"/>
          <w:b/>
          <w:sz w:val="22"/>
        </w:rPr>
      </w:pPr>
      <w:bookmarkStart w:name="_TOC_250046" w:id="45"/>
      <w:r>
        <w:rPr>
          <w:rFonts w:ascii="Calibri"/>
          <w:b/>
          <w:sz w:val="22"/>
        </w:rPr>
        <w:t>Drivers</w:t>
      </w:r>
      <w:r>
        <w:rPr>
          <w:rFonts w:ascii="Calibri"/>
          <w:b/>
          <w:spacing w:val="-2"/>
          <w:sz w:val="22"/>
        </w:rPr>
        <w:t> </w:t>
      </w:r>
      <w:r>
        <w:rPr>
          <w:rFonts w:ascii="Calibri"/>
          <w:b/>
          <w:sz w:val="22"/>
        </w:rPr>
        <w:t>of</w:t>
      </w:r>
      <w:r>
        <w:rPr>
          <w:rFonts w:ascii="Calibri"/>
          <w:b/>
          <w:spacing w:val="-3"/>
          <w:sz w:val="22"/>
        </w:rPr>
        <w:t> </w:t>
      </w:r>
      <w:r>
        <w:rPr>
          <w:rFonts w:ascii="Calibri"/>
          <w:b/>
          <w:sz w:val="22"/>
        </w:rPr>
        <w:t>Antibiotic</w:t>
      </w:r>
      <w:r>
        <w:rPr>
          <w:rFonts w:ascii="Calibri"/>
          <w:b/>
          <w:spacing w:val="-5"/>
          <w:sz w:val="22"/>
        </w:rPr>
        <w:t> </w:t>
      </w:r>
      <w:bookmarkEnd w:id="45"/>
      <w:r>
        <w:rPr>
          <w:rFonts w:ascii="Calibri"/>
          <w:b/>
          <w:spacing w:val="-2"/>
          <w:sz w:val="22"/>
        </w:rPr>
        <w:t>Resistance</w:t>
      </w:r>
    </w:p>
    <w:p>
      <w:pPr>
        <w:pStyle w:val="BodyText"/>
        <w:spacing w:before="236"/>
        <w:rPr>
          <w:b/>
        </w:rPr>
      </w:pPr>
    </w:p>
    <w:p>
      <w:pPr>
        <w:spacing w:before="0"/>
        <w:ind w:left="920" w:right="0" w:firstLine="0"/>
        <w:jc w:val="both"/>
        <w:rPr>
          <w:rFonts w:ascii="Times New Roman"/>
          <w:sz w:val="24"/>
        </w:rPr>
      </w:pPr>
      <w:r>
        <w:rPr>
          <w:rFonts w:ascii="Times New Roman"/>
          <w:sz w:val="24"/>
        </w:rPr>
        <w:t>There</w:t>
      </w:r>
      <w:r>
        <w:rPr>
          <w:rFonts w:ascii="Times New Roman"/>
          <w:spacing w:val="-8"/>
          <w:sz w:val="24"/>
        </w:rPr>
        <w:t> </w:t>
      </w:r>
      <w:r>
        <w:rPr>
          <w:rFonts w:ascii="Times New Roman"/>
          <w:sz w:val="24"/>
        </w:rPr>
        <w:t>are</w:t>
      </w:r>
      <w:r>
        <w:rPr>
          <w:rFonts w:ascii="Times New Roman"/>
          <w:spacing w:val="-8"/>
          <w:sz w:val="24"/>
        </w:rPr>
        <w:t> </w:t>
      </w:r>
      <w:r>
        <w:rPr>
          <w:rFonts w:ascii="Times New Roman"/>
          <w:sz w:val="24"/>
        </w:rPr>
        <w:t>several</w:t>
      </w:r>
      <w:r>
        <w:rPr>
          <w:rFonts w:ascii="Times New Roman"/>
          <w:spacing w:val="-11"/>
          <w:sz w:val="24"/>
        </w:rPr>
        <w:t> </w:t>
      </w:r>
      <w:r>
        <w:rPr>
          <w:rFonts w:ascii="Times New Roman"/>
          <w:sz w:val="24"/>
        </w:rPr>
        <w:t>reported</w:t>
      </w:r>
      <w:r>
        <w:rPr>
          <w:rFonts w:ascii="Times New Roman"/>
          <w:spacing w:val="-7"/>
          <w:sz w:val="24"/>
        </w:rPr>
        <w:t> </w:t>
      </w:r>
      <w:r>
        <w:rPr>
          <w:rFonts w:ascii="Times New Roman"/>
          <w:sz w:val="24"/>
        </w:rPr>
        <w:t>factors</w:t>
      </w:r>
      <w:r>
        <w:rPr>
          <w:rFonts w:ascii="Times New Roman"/>
          <w:spacing w:val="-8"/>
          <w:sz w:val="24"/>
        </w:rPr>
        <w:t> </w:t>
      </w:r>
      <w:r>
        <w:rPr>
          <w:rFonts w:ascii="Times New Roman"/>
          <w:sz w:val="24"/>
        </w:rPr>
        <w:t>which</w:t>
      </w:r>
      <w:r>
        <w:rPr>
          <w:rFonts w:ascii="Times New Roman"/>
          <w:spacing w:val="-12"/>
          <w:sz w:val="24"/>
        </w:rPr>
        <w:t> </w:t>
      </w:r>
      <w:r>
        <w:rPr>
          <w:rFonts w:ascii="Times New Roman"/>
          <w:sz w:val="24"/>
        </w:rPr>
        <w:t>accelerate</w:t>
      </w:r>
      <w:r>
        <w:rPr>
          <w:rFonts w:ascii="Times New Roman"/>
          <w:spacing w:val="-8"/>
          <w:sz w:val="24"/>
        </w:rPr>
        <w:t> </w:t>
      </w:r>
      <w:r>
        <w:rPr>
          <w:rFonts w:ascii="Times New Roman"/>
          <w:sz w:val="24"/>
        </w:rPr>
        <w:t>bacterial</w:t>
      </w:r>
      <w:r>
        <w:rPr>
          <w:rFonts w:ascii="Times New Roman"/>
          <w:spacing w:val="-14"/>
          <w:sz w:val="24"/>
        </w:rPr>
        <w:t> </w:t>
      </w:r>
      <w:r>
        <w:rPr>
          <w:rFonts w:ascii="Times New Roman"/>
          <w:sz w:val="24"/>
        </w:rPr>
        <w:t>antibiotic</w:t>
      </w:r>
      <w:r>
        <w:rPr>
          <w:rFonts w:ascii="Times New Roman"/>
          <w:spacing w:val="-8"/>
          <w:sz w:val="24"/>
        </w:rPr>
        <w:t> </w:t>
      </w:r>
      <w:r>
        <w:rPr>
          <w:rFonts w:ascii="Times New Roman"/>
          <w:spacing w:val="-2"/>
          <w:sz w:val="24"/>
        </w:rPr>
        <w:t>resistance.</w:t>
      </w:r>
    </w:p>
    <w:p>
      <w:pPr>
        <w:pStyle w:val="BodyText"/>
        <w:spacing w:before="240"/>
        <w:rPr>
          <w:rFonts w:ascii="Times New Roman"/>
          <w:sz w:val="24"/>
        </w:rPr>
      </w:pPr>
    </w:p>
    <w:p>
      <w:pPr>
        <w:pStyle w:val="ListParagraph"/>
        <w:numPr>
          <w:ilvl w:val="3"/>
          <w:numId w:val="10"/>
        </w:numPr>
        <w:tabs>
          <w:tab w:pos="1642" w:val="left" w:leader="none"/>
        </w:tabs>
        <w:spacing w:line="240" w:lineRule="auto" w:before="0" w:after="0"/>
        <w:ind w:left="1642" w:right="0" w:hanging="722"/>
        <w:jc w:val="left"/>
        <w:rPr>
          <w:i/>
          <w:sz w:val="24"/>
        </w:rPr>
      </w:pPr>
      <w:bookmarkStart w:name="_TOC_250045" w:id="46"/>
      <w:r>
        <w:rPr>
          <w:i/>
          <w:sz w:val="24"/>
        </w:rPr>
        <w:t>Use</w:t>
      </w:r>
      <w:r>
        <w:rPr>
          <w:i/>
          <w:spacing w:val="-5"/>
          <w:sz w:val="24"/>
        </w:rPr>
        <w:t> </w:t>
      </w:r>
      <w:r>
        <w:rPr>
          <w:i/>
          <w:sz w:val="24"/>
        </w:rPr>
        <w:t>and</w:t>
      </w:r>
      <w:r>
        <w:rPr>
          <w:i/>
          <w:spacing w:val="-9"/>
          <w:sz w:val="24"/>
        </w:rPr>
        <w:t> </w:t>
      </w:r>
      <w:r>
        <w:rPr>
          <w:i/>
          <w:sz w:val="24"/>
        </w:rPr>
        <w:t>Misuse</w:t>
      </w:r>
      <w:r>
        <w:rPr>
          <w:i/>
          <w:spacing w:val="-5"/>
          <w:sz w:val="24"/>
        </w:rPr>
        <w:t> </w:t>
      </w:r>
      <w:r>
        <w:rPr>
          <w:i/>
          <w:sz w:val="24"/>
        </w:rPr>
        <w:t>of</w:t>
      </w:r>
      <w:r>
        <w:rPr>
          <w:i/>
          <w:spacing w:val="-3"/>
          <w:sz w:val="24"/>
        </w:rPr>
        <w:t> </w:t>
      </w:r>
      <w:bookmarkEnd w:id="46"/>
      <w:r>
        <w:rPr>
          <w:i/>
          <w:spacing w:val="-2"/>
          <w:sz w:val="24"/>
        </w:rPr>
        <w:t>Antibiotics</w:t>
      </w:r>
    </w:p>
    <w:p>
      <w:pPr>
        <w:spacing w:after="0" w:line="240" w:lineRule="auto"/>
        <w:jc w:val="left"/>
        <w:rPr>
          <w:sz w:val="24"/>
        </w:rPr>
        <w:sectPr>
          <w:pgSz w:w="12240" w:h="15840"/>
          <w:pgMar w:header="0" w:footer="1017" w:top="1400" w:bottom="1200" w:left="520" w:right="260"/>
        </w:sectPr>
      </w:pPr>
    </w:p>
    <w:p>
      <w:pPr>
        <w:spacing w:line="480" w:lineRule="auto" w:before="72"/>
        <w:ind w:left="920" w:right="1496" w:firstLine="62"/>
        <w:jc w:val="both"/>
        <w:rPr>
          <w:rFonts w:ascii="Times New Roman"/>
          <w:sz w:val="24"/>
        </w:rPr>
      </w:pPr>
      <w:r>
        <w:rPr>
          <w:rFonts w:ascii="Times New Roman"/>
          <w:sz w:val="24"/>
        </w:rPr>
        <w:t>Antibiotics</w:t>
      </w:r>
      <w:r>
        <w:rPr>
          <w:rFonts w:ascii="Times New Roman"/>
          <w:spacing w:val="-4"/>
          <w:sz w:val="24"/>
        </w:rPr>
        <w:t> </w:t>
      </w:r>
      <w:r>
        <w:rPr>
          <w:rFonts w:ascii="Times New Roman"/>
          <w:sz w:val="24"/>
        </w:rPr>
        <w:t>are</w:t>
      </w:r>
      <w:r>
        <w:rPr>
          <w:rFonts w:ascii="Times New Roman"/>
          <w:spacing w:val="-3"/>
          <w:sz w:val="24"/>
        </w:rPr>
        <w:t> </w:t>
      </w:r>
      <w:r>
        <w:rPr>
          <w:rFonts w:ascii="Times New Roman"/>
          <w:sz w:val="24"/>
        </w:rPr>
        <w:t>commonly</w:t>
      </w:r>
      <w:r>
        <w:rPr>
          <w:rFonts w:ascii="Times New Roman"/>
          <w:spacing w:val="-7"/>
          <w:sz w:val="24"/>
        </w:rPr>
        <w:t> </w:t>
      </w:r>
      <w:r>
        <w:rPr>
          <w:rFonts w:ascii="Times New Roman"/>
          <w:sz w:val="24"/>
        </w:rPr>
        <w:t>used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treat infections in humans and</w:t>
      </w:r>
      <w:r>
        <w:rPr>
          <w:rFonts w:ascii="Times New Roman"/>
          <w:spacing w:val="-2"/>
          <w:sz w:val="24"/>
        </w:rPr>
        <w:t> </w:t>
      </w:r>
      <w:r>
        <w:rPr>
          <w:rFonts w:ascii="Times New Roman"/>
          <w:sz w:val="24"/>
        </w:rPr>
        <w:t>animals. However, their</w:t>
      </w:r>
      <w:r>
        <w:rPr>
          <w:rFonts w:ascii="Times New Roman"/>
          <w:spacing w:val="-1"/>
          <w:sz w:val="24"/>
        </w:rPr>
        <w:t> </w:t>
      </w:r>
      <w:r>
        <w:rPr>
          <w:rFonts w:ascii="Times New Roman"/>
          <w:sz w:val="24"/>
        </w:rPr>
        <w:t>use and misuse have been</w:t>
      </w:r>
      <w:r>
        <w:rPr>
          <w:rFonts w:ascii="Times New Roman"/>
          <w:spacing w:val="-1"/>
          <w:sz w:val="24"/>
        </w:rPr>
        <w:t> </w:t>
      </w:r>
      <w:r>
        <w:rPr>
          <w:rFonts w:ascii="Times New Roman"/>
          <w:sz w:val="24"/>
        </w:rPr>
        <w:t>reported</w:t>
      </w:r>
      <w:r>
        <w:rPr>
          <w:rFonts w:ascii="Times New Roman"/>
          <w:spacing w:val="-6"/>
          <w:sz w:val="24"/>
        </w:rPr>
        <w:t> </w:t>
      </w:r>
      <w:r>
        <w:rPr>
          <w:rFonts w:ascii="Times New Roman"/>
          <w:sz w:val="24"/>
        </w:rPr>
        <w:t>to exert selection</w:t>
      </w:r>
      <w:r>
        <w:rPr>
          <w:rFonts w:ascii="Times New Roman"/>
          <w:spacing w:val="-1"/>
          <w:sz w:val="24"/>
        </w:rPr>
        <w:t> </w:t>
      </w:r>
      <w:r>
        <w:rPr>
          <w:rFonts w:ascii="Times New Roman"/>
          <w:sz w:val="24"/>
        </w:rPr>
        <w:t>pressure and accelerate selection</w:t>
      </w:r>
      <w:r>
        <w:rPr>
          <w:rFonts w:ascii="Times New Roman"/>
          <w:spacing w:val="-1"/>
          <w:sz w:val="24"/>
        </w:rPr>
        <w:t> </w:t>
      </w:r>
      <w:r>
        <w:rPr>
          <w:rFonts w:ascii="Times New Roman"/>
          <w:sz w:val="24"/>
        </w:rPr>
        <w:t>of</w:t>
      </w:r>
      <w:r>
        <w:rPr>
          <w:rFonts w:ascii="Times New Roman"/>
          <w:spacing w:val="-4"/>
          <w:sz w:val="24"/>
        </w:rPr>
        <w:t> </w:t>
      </w:r>
      <w:r>
        <w:rPr>
          <w:rFonts w:ascii="Times New Roman"/>
          <w:sz w:val="24"/>
        </w:rPr>
        <w:t>resistant bacterial populations. The use and misuse of antibiotics in animal production and human medicine are summarized below.</w:t>
      </w:r>
    </w:p>
    <w:p>
      <w:pPr>
        <w:pStyle w:val="ListParagraph"/>
        <w:numPr>
          <w:ilvl w:val="0"/>
          <w:numId w:val="15"/>
        </w:numPr>
        <w:tabs>
          <w:tab w:pos="1173" w:val="left" w:leader="none"/>
        </w:tabs>
        <w:spacing w:line="480" w:lineRule="auto" w:before="240" w:after="0"/>
        <w:ind w:left="920" w:right="1175" w:firstLine="0"/>
        <w:jc w:val="both"/>
        <w:rPr>
          <w:sz w:val="24"/>
        </w:rPr>
      </w:pPr>
      <w:r>
        <w:rPr>
          <w:sz w:val="24"/>
        </w:rPr>
        <w:t>Antibiotics in Animal Production: Antibiotics have been reported used in animal production systems to treat and control bacterial infections as well as for growth promotion (McDermott </w:t>
      </w:r>
      <w:r>
        <w:rPr>
          <w:i/>
          <w:sz w:val="24"/>
        </w:rPr>
        <w:t>et al</w:t>
      </w:r>
      <w:r>
        <w:rPr>
          <w:sz w:val="24"/>
        </w:rPr>
        <w:t>., 2002; Conter </w:t>
      </w:r>
      <w:r>
        <w:rPr>
          <w:i/>
          <w:sz w:val="24"/>
        </w:rPr>
        <w:t>et al</w:t>
      </w:r>
      <w:r>
        <w:rPr>
          <w:sz w:val="24"/>
        </w:rPr>
        <w:t>., 2009). The prolonged use of antibiotics, particularly at low levels, promotes the selection</w:t>
      </w:r>
      <w:r>
        <w:rPr>
          <w:spacing w:val="-1"/>
          <w:sz w:val="24"/>
        </w:rPr>
        <w:t> </w:t>
      </w:r>
      <w:r>
        <w:rPr>
          <w:sz w:val="24"/>
        </w:rPr>
        <w:t>of</w:t>
      </w:r>
      <w:r>
        <w:rPr>
          <w:spacing w:val="-4"/>
          <w:sz w:val="24"/>
        </w:rPr>
        <w:t> </w:t>
      </w:r>
      <w:r>
        <w:rPr>
          <w:sz w:val="24"/>
        </w:rPr>
        <w:t>antibiotics resistance among commensal bacteria in</w:t>
      </w:r>
      <w:r>
        <w:rPr>
          <w:spacing w:val="-1"/>
          <w:sz w:val="24"/>
        </w:rPr>
        <w:t> </w:t>
      </w:r>
      <w:r>
        <w:rPr>
          <w:sz w:val="24"/>
        </w:rPr>
        <w:t>the gastrointestinal tract of</w:t>
      </w:r>
      <w:r>
        <w:rPr>
          <w:spacing w:val="-1"/>
          <w:sz w:val="24"/>
        </w:rPr>
        <w:t> </w:t>
      </w:r>
      <w:r>
        <w:rPr>
          <w:sz w:val="24"/>
        </w:rPr>
        <w:t>food animals. For example, Fluoroquinolone-resistant </w:t>
      </w:r>
      <w:r>
        <w:rPr>
          <w:i/>
          <w:sz w:val="24"/>
        </w:rPr>
        <w:t>Campylobacter </w:t>
      </w:r>
      <w:r>
        <w:rPr>
          <w:sz w:val="24"/>
        </w:rPr>
        <w:t>have emerged as a result of Fluoroquinolone use in poultry (Asai </w:t>
      </w:r>
      <w:r>
        <w:rPr>
          <w:i/>
          <w:sz w:val="24"/>
        </w:rPr>
        <w:t>et al</w:t>
      </w:r>
      <w:r>
        <w:rPr>
          <w:sz w:val="24"/>
        </w:rPr>
        <w:t>., 2007). The increasing resistance to quinolones observed in humans has been</w:t>
      </w:r>
      <w:r>
        <w:rPr>
          <w:spacing w:val="-4"/>
          <w:sz w:val="24"/>
        </w:rPr>
        <w:t> </w:t>
      </w:r>
      <w:r>
        <w:rPr>
          <w:sz w:val="24"/>
        </w:rPr>
        <w:t>reported</w:t>
      </w:r>
      <w:r>
        <w:rPr>
          <w:spacing w:val="-4"/>
          <w:sz w:val="24"/>
        </w:rPr>
        <w:t> </w:t>
      </w:r>
      <w:r>
        <w:rPr>
          <w:sz w:val="24"/>
        </w:rPr>
        <w:t>to be</w:t>
      </w:r>
      <w:r>
        <w:rPr>
          <w:spacing w:val="-1"/>
          <w:sz w:val="24"/>
        </w:rPr>
        <w:t> </w:t>
      </w:r>
      <w:r>
        <w:rPr>
          <w:sz w:val="24"/>
        </w:rPr>
        <w:t>as a</w:t>
      </w:r>
      <w:r>
        <w:rPr>
          <w:spacing w:val="-1"/>
          <w:sz w:val="24"/>
        </w:rPr>
        <w:t> </w:t>
      </w:r>
      <w:r>
        <w:rPr>
          <w:sz w:val="24"/>
        </w:rPr>
        <w:t>result of</w:t>
      </w:r>
      <w:r>
        <w:rPr>
          <w:spacing w:val="-2"/>
          <w:sz w:val="24"/>
        </w:rPr>
        <w:t> </w:t>
      </w:r>
      <w:r>
        <w:rPr>
          <w:sz w:val="24"/>
        </w:rPr>
        <w:t>the</w:t>
      </w:r>
      <w:r>
        <w:rPr>
          <w:spacing w:val="-1"/>
          <w:sz w:val="24"/>
        </w:rPr>
        <w:t> </w:t>
      </w:r>
      <w:r>
        <w:rPr>
          <w:sz w:val="24"/>
        </w:rPr>
        <w:t>use</w:t>
      </w:r>
      <w:r>
        <w:rPr>
          <w:spacing w:val="-1"/>
          <w:sz w:val="24"/>
        </w:rPr>
        <w:t> </w:t>
      </w:r>
      <w:r>
        <w:rPr>
          <w:sz w:val="24"/>
        </w:rPr>
        <w:t>of</w:t>
      </w:r>
      <w:r>
        <w:rPr>
          <w:spacing w:val="-7"/>
          <w:sz w:val="24"/>
        </w:rPr>
        <w:t> </w:t>
      </w:r>
      <w:r>
        <w:rPr>
          <w:sz w:val="24"/>
        </w:rPr>
        <w:t>the same class</w:t>
      </w:r>
      <w:r>
        <w:rPr>
          <w:spacing w:val="-2"/>
          <w:sz w:val="24"/>
        </w:rPr>
        <w:t> </w:t>
      </w:r>
      <w:r>
        <w:rPr>
          <w:sz w:val="24"/>
        </w:rPr>
        <w:t>of antibiotics in animals (Neely and Holder, 1999). When contaminated food is consumed, the resistance gene from commensal bacteria has been reported transferred to other bacteria, including foodborne pathogens, in the intestinal tract of humans. Several studies conducted by</w:t>
      </w:r>
      <w:r>
        <w:rPr>
          <w:spacing w:val="40"/>
          <w:sz w:val="24"/>
        </w:rPr>
        <w:t> </w:t>
      </w:r>
      <w:r>
        <w:rPr>
          <w:sz w:val="24"/>
        </w:rPr>
        <w:t>the</w:t>
      </w:r>
      <w:r>
        <w:rPr>
          <w:spacing w:val="-1"/>
          <w:sz w:val="24"/>
        </w:rPr>
        <w:t> </w:t>
      </w:r>
      <w:r>
        <w:rPr>
          <w:sz w:val="24"/>
        </w:rPr>
        <w:t>Centers for Disease Control</w:t>
      </w:r>
      <w:r>
        <w:rPr>
          <w:spacing w:val="-9"/>
          <w:sz w:val="24"/>
        </w:rPr>
        <w:t> </w:t>
      </w:r>
      <w:r>
        <w:rPr>
          <w:sz w:val="24"/>
        </w:rPr>
        <w:t>and Prevention</w:t>
      </w:r>
      <w:r>
        <w:rPr>
          <w:spacing w:val="-5"/>
          <w:sz w:val="24"/>
        </w:rPr>
        <w:t> </w:t>
      </w:r>
      <w:r>
        <w:rPr>
          <w:sz w:val="24"/>
        </w:rPr>
        <w:t>(CDC) on</w:t>
      </w:r>
      <w:r>
        <w:rPr>
          <w:spacing w:val="-5"/>
          <w:sz w:val="24"/>
        </w:rPr>
        <w:t> </w:t>
      </w:r>
      <w:r>
        <w:rPr>
          <w:sz w:val="24"/>
        </w:rPr>
        <w:t>antibiotic-resistant </w:t>
      </w:r>
      <w:r>
        <w:rPr>
          <w:i/>
          <w:sz w:val="24"/>
        </w:rPr>
        <w:t>Salmonella </w:t>
      </w:r>
      <w:r>
        <w:rPr>
          <w:sz w:val="24"/>
        </w:rPr>
        <w:t>showed that increased resistance in </w:t>
      </w:r>
      <w:r>
        <w:rPr>
          <w:i/>
          <w:sz w:val="24"/>
        </w:rPr>
        <w:t>Salmonella </w:t>
      </w:r>
      <w:r>
        <w:rPr>
          <w:sz w:val="24"/>
        </w:rPr>
        <w:t>strains was most likely due to the antibiotic use in food animals, and that most infections caused by resistant strains are acquired from the consumption</w:t>
      </w:r>
      <w:r>
        <w:rPr>
          <w:spacing w:val="40"/>
          <w:sz w:val="24"/>
        </w:rPr>
        <w:t> </w:t>
      </w:r>
      <w:r>
        <w:rPr>
          <w:sz w:val="24"/>
        </w:rPr>
        <w:t>of contaminated food such as milk and meat products (McDermott </w:t>
      </w:r>
      <w:r>
        <w:rPr>
          <w:i/>
          <w:sz w:val="24"/>
        </w:rPr>
        <w:t>et al</w:t>
      </w:r>
      <w:r>
        <w:rPr>
          <w:sz w:val="24"/>
        </w:rPr>
        <w:t>., 2002; Gilchrist </w:t>
      </w:r>
      <w:r>
        <w:rPr>
          <w:i/>
          <w:sz w:val="24"/>
        </w:rPr>
        <w:t>et al</w:t>
      </w:r>
      <w:r>
        <w:rPr>
          <w:sz w:val="24"/>
        </w:rPr>
        <w:t>., 2007). This increase was due to sequential acquisition of plasmids and transposons coding for drug resistance to a wide range of antibiotics such as ampicillin, chloramphenicol, gentamicin, kanamycin, sulphonamides, tetracycline and trimethoprim (giving rise to R-type</w:t>
      </w:r>
      <w:r>
        <w:rPr>
          <w:spacing w:val="40"/>
          <w:sz w:val="24"/>
        </w:rPr>
        <w:t> </w:t>
      </w:r>
      <w:r>
        <w:rPr>
          <w:sz w:val="24"/>
        </w:rPr>
        <w:t>ACGKSSuTTm) (Threlfall, 2002). It has been postulated that the higher the prevalence of bacterial</w:t>
      </w:r>
      <w:r>
        <w:rPr>
          <w:spacing w:val="73"/>
          <w:sz w:val="24"/>
        </w:rPr>
        <w:t> </w:t>
      </w:r>
      <w:r>
        <w:rPr>
          <w:sz w:val="24"/>
        </w:rPr>
        <w:t>resistance</w:t>
      </w:r>
      <w:r>
        <w:rPr>
          <w:spacing w:val="80"/>
          <w:sz w:val="24"/>
        </w:rPr>
        <w:t> </w:t>
      </w:r>
      <w:r>
        <w:rPr>
          <w:sz w:val="24"/>
        </w:rPr>
        <w:t>in</w:t>
      </w:r>
      <w:r>
        <w:rPr>
          <w:spacing w:val="80"/>
          <w:sz w:val="24"/>
        </w:rPr>
        <w:t> </w:t>
      </w:r>
      <w:r>
        <w:rPr>
          <w:sz w:val="24"/>
        </w:rPr>
        <w:t>animal</w:t>
      </w:r>
      <w:r>
        <w:rPr>
          <w:spacing w:val="73"/>
          <w:sz w:val="24"/>
        </w:rPr>
        <w:t> </w:t>
      </w:r>
      <w:r>
        <w:rPr>
          <w:sz w:val="24"/>
        </w:rPr>
        <w:t>production,</w:t>
      </w:r>
      <w:r>
        <w:rPr>
          <w:spacing w:val="79"/>
          <w:sz w:val="24"/>
        </w:rPr>
        <w:t> </w:t>
      </w:r>
      <w:r>
        <w:rPr>
          <w:sz w:val="24"/>
        </w:rPr>
        <w:t>the</w:t>
      </w:r>
      <w:r>
        <w:rPr>
          <w:spacing w:val="80"/>
          <w:sz w:val="24"/>
        </w:rPr>
        <w:t> </w:t>
      </w:r>
      <w:r>
        <w:rPr>
          <w:sz w:val="24"/>
        </w:rPr>
        <w:t>greater</w:t>
      </w:r>
      <w:r>
        <w:rPr>
          <w:spacing w:val="74"/>
          <w:sz w:val="24"/>
        </w:rPr>
        <w:t> </w:t>
      </w:r>
      <w:r>
        <w:rPr>
          <w:sz w:val="24"/>
        </w:rPr>
        <w:t>the</w:t>
      </w:r>
      <w:r>
        <w:rPr>
          <w:spacing w:val="76"/>
          <w:sz w:val="24"/>
        </w:rPr>
        <w:t> </w:t>
      </w:r>
      <w:r>
        <w:rPr>
          <w:sz w:val="24"/>
        </w:rPr>
        <w:t>extent</w:t>
      </w:r>
      <w:r>
        <w:rPr>
          <w:spacing w:val="80"/>
          <w:sz w:val="24"/>
        </w:rPr>
        <w:t> </w:t>
      </w:r>
      <w:r>
        <w:rPr>
          <w:sz w:val="24"/>
        </w:rPr>
        <w:t>of</w:t>
      </w:r>
      <w:r>
        <w:rPr>
          <w:spacing w:val="69"/>
          <w:sz w:val="24"/>
        </w:rPr>
        <w:t> </w:t>
      </w:r>
      <w:r>
        <w:rPr>
          <w:sz w:val="24"/>
        </w:rPr>
        <w:t>transfer</w:t>
      </w:r>
      <w:r>
        <w:rPr>
          <w:spacing w:val="78"/>
          <w:sz w:val="24"/>
        </w:rPr>
        <w:t> </w:t>
      </w:r>
      <w:r>
        <w:rPr>
          <w:sz w:val="24"/>
        </w:rPr>
        <w:t>of</w:t>
      </w:r>
      <w:r>
        <w:rPr>
          <w:spacing w:val="74"/>
          <w:sz w:val="24"/>
        </w:rPr>
        <w:t> </w:t>
      </w:r>
      <w:r>
        <w:rPr>
          <w:sz w:val="24"/>
        </w:rPr>
        <w:t>antibiotics</w:t>
      </w:r>
    </w:p>
    <w:p>
      <w:pPr>
        <w:spacing w:after="0" w:line="480" w:lineRule="auto"/>
        <w:jc w:val="both"/>
        <w:rPr>
          <w:sz w:val="24"/>
        </w:rPr>
        <w:sectPr>
          <w:pgSz w:w="12240" w:h="15840"/>
          <w:pgMar w:header="0" w:footer="1017" w:top="1360" w:bottom="1200" w:left="520" w:right="260"/>
        </w:sectPr>
      </w:pPr>
    </w:p>
    <w:p>
      <w:pPr>
        <w:spacing w:line="480" w:lineRule="auto" w:before="72"/>
        <w:ind w:left="920" w:right="1181" w:firstLine="0"/>
        <w:jc w:val="both"/>
        <w:rPr>
          <w:rFonts w:ascii="Times New Roman"/>
          <w:sz w:val="24"/>
        </w:rPr>
      </w:pPr>
      <w:r>
        <w:rPr>
          <w:rFonts w:ascii="Times New Roman"/>
          <w:sz w:val="24"/>
        </w:rPr>
        <w:t>resistance from animals to humans (Van den Bogaard and Stobberingh, 2000; Nel, 2002). In</w:t>
      </w:r>
      <w:r>
        <w:rPr>
          <w:rFonts w:ascii="Times New Roman"/>
          <w:spacing w:val="40"/>
          <w:sz w:val="24"/>
        </w:rPr>
        <w:t> </w:t>
      </w:r>
      <w:r>
        <w:rPr>
          <w:rFonts w:ascii="Times New Roman"/>
          <w:sz w:val="24"/>
        </w:rPr>
        <w:t>view of</w:t>
      </w:r>
      <w:r>
        <w:rPr>
          <w:rFonts w:ascii="Times New Roman"/>
          <w:spacing w:val="-8"/>
          <w:sz w:val="24"/>
        </w:rPr>
        <w:t> </w:t>
      </w:r>
      <w:r>
        <w:rPr>
          <w:rFonts w:ascii="Times New Roman"/>
          <w:sz w:val="24"/>
        </w:rPr>
        <w:t>this, even in the</w:t>
      </w:r>
      <w:r>
        <w:rPr>
          <w:rFonts w:ascii="Times New Roman"/>
          <w:spacing w:val="-1"/>
          <w:sz w:val="24"/>
        </w:rPr>
        <w:t> </w:t>
      </w:r>
      <w:r>
        <w:rPr>
          <w:rFonts w:ascii="Times New Roman"/>
          <w:sz w:val="24"/>
        </w:rPr>
        <w:t>presence</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specific</w:t>
      </w:r>
      <w:r>
        <w:rPr>
          <w:rFonts w:ascii="Times New Roman"/>
          <w:spacing w:val="-1"/>
          <w:sz w:val="24"/>
        </w:rPr>
        <w:t> </w:t>
      </w:r>
      <w:r>
        <w:rPr>
          <w:rFonts w:ascii="Times New Roman"/>
          <w:sz w:val="24"/>
        </w:rPr>
        <w:t>pressure</w:t>
      </w:r>
      <w:r>
        <w:rPr>
          <w:rFonts w:ascii="Times New Roman"/>
          <w:spacing w:val="-1"/>
          <w:sz w:val="24"/>
        </w:rPr>
        <w:t> </w:t>
      </w:r>
      <w:r>
        <w:rPr>
          <w:rFonts w:ascii="Times New Roman"/>
          <w:sz w:val="24"/>
        </w:rPr>
        <w:t>amongst humans, development of</w:t>
      </w:r>
      <w:r>
        <w:rPr>
          <w:rFonts w:ascii="Times New Roman"/>
          <w:spacing w:val="-3"/>
          <w:sz w:val="24"/>
        </w:rPr>
        <w:t> </w:t>
      </w:r>
      <w:r>
        <w:rPr>
          <w:rFonts w:ascii="Times New Roman"/>
          <w:sz w:val="24"/>
        </w:rPr>
        <w:t>bacterial resistance among human bacterial isolates has been reported due to transfer of resistance via members of say, enterobacteriaceae (Nel, 2002). This could possibly explain why persons exposed</w:t>
      </w:r>
      <w:r>
        <w:rPr>
          <w:rFonts w:ascii="Times New Roman"/>
          <w:spacing w:val="-2"/>
          <w:sz w:val="24"/>
        </w:rPr>
        <w:t> </w:t>
      </w:r>
      <w:r>
        <w:rPr>
          <w:rFonts w:ascii="Times New Roman"/>
          <w:sz w:val="24"/>
        </w:rPr>
        <w:t>to farm</w:t>
      </w:r>
      <w:r>
        <w:rPr>
          <w:rFonts w:ascii="Times New Roman"/>
          <w:spacing w:val="-10"/>
          <w:sz w:val="24"/>
        </w:rPr>
        <w:t> </w:t>
      </w:r>
      <w:r>
        <w:rPr>
          <w:rFonts w:ascii="Times New Roman"/>
          <w:sz w:val="24"/>
        </w:rPr>
        <w:t>animals</w:t>
      </w:r>
      <w:r>
        <w:rPr>
          <w:rFonts w:ascii="Times New Roman"/>
          <w:spacing w:val="-4"/>
          <w:sz w:val="24"/>
        </w:rPr>
        <w:t> </w:t>
      </w:r>
      <w:r>
        <w:rPr>
          <w:rFonts w:ascii="Times New Roman"/>
          <w:sz w:val="24"/>
        </w:rPr>
        <w:t>and</w:t>
      </w:r>
      <w:r>
        <w:rPr>
          <w:rFonts w:ascii="Times New Roman"/>
          <w:spacing w:val="-2"/>
          <w:sz w:val="24"/>
        </w:rPr>
        <w:t> </w:t>
      </w:r>
      <w:r>
        <w:rPr>
          <w:rFonts w:ascii="Times New Roman"/>
          <w:sz w:val="24"/>
        </w:rPr>
        <w:t>abattoir</w:t>
      </w:r>
      <w:r>
        <w:rPr>
          <w:rFonts w:ascii="Times New Roman"/>
          <w:spacing w:val="-1"/>
          <w:sz w:val="24"/>
        </w:rPr>
        <w:t> </w:t>
      </w:r>
      <w:r>
        <w:rPr>
          <w:rFonts w:ascii="Times New Roman"/>
          <w:sz w:val="24"/>
        </w:rPr>
        <w:t>workers</w:t>
      </w:r>
      <w:r>
        <w:rPr>
          <w:rFonts w:ascii="Times New Roman"/>
          <w:spacing w:val="-4"/>
          <w:sz w:val="24"/>
        </w:rPr>
        <w:t> </w:t>
      </w:r>
      <w:r>
        <w:rPr>
          <w:rFonts w:ascii="Times New Roman"/>
          <w:sz w:val="24"/>
        </w:rPr>
        <w:t>have a</w:t>
      </w:r>
      <w:r>
        <w:rPr>
          <w:rFonts w:ascii="Times New Roman"/>
          <w:spacing w:val="-3"/>
          <w:sz w:val="24"/>
        </w:rPr>
        <w:t> </w:t>
      </w:r>
      <w:r>
        <w:rPr>
          <w:rFonts w:ascii="Times New Roman"/>
          <w:sz w:val="24"/>
        </w:rPr>
        <w:t>considerably</w:t>
      </w:r>
      <w:r>
        <w:rPr>
          <w:rFonts w:ascii="Times New Roman"/>
          <w:spacing w:val="-2"/>
          <w:sz w:val="24"/>
        </w:rPr>
        <w:t> </w:t>
      </w:r>
      <w:r>
        <w:rPr>
          <w:rFonts w:ascii="Times New Roman"/>
          <w:sz w:val="24"/>
        </w:rPr>
        <w:t>higher</w:t>
      </w:r>
      <w:r>
        <w:rPr>
          <w:rFonts w:ascii="Times New Roman"/>
          <w:spacing w:val="-1"/>
          <w:sz w:val="24"/>
        </w:rPr>
        <w:t> </w:t>
      </w:r>
      <w:r>
        <w:rPr>
          <w:rFonts w:ascii="Times New Roman"/>
          <w:sz w:val="24"/>
        </w:rPr>
        <w:t>percentage</w:t>
      </w:r>
      <w:r>
        <w:rPr>
          <w:rFonts w:ascii="Times New Roman"/>
          <w:spacing w:val="-3"/>
          <w:sz w:val="24"/>
        </w:rPr>
        <w:t> </w:t>
      </w:r>
      <w:r>
        <w:rPr>
          <w:rFonts w:ascii="Times New Roman"/>
          <w:sz w:val="24"/>
        </w:rPr>
        <w:t>of</w:t>
      </w:r>
      <w:r>
        <w:rPr>
          <w:rFonts w:ascii="Times New Roman"/>
          <w:spacing w:val="-10"/>
          <w:sz w:val="24"/>
        </w:rPr>
        <w:t> </w:t>
      </w:r>
      <w:r>
        <w:rPr>
          <w:rFonts w:ascii="Times New Roman"/>
          <w:sz w:val="24"/>
        </w:rPr>
        <w:t>antibiotic resistant </w:t>
      </w:r>
      <w:r>
        <w:rPr>
          <w:rFonts w:ascii="Times New Roman"/>
          <w:i/>
          <w:sz w:val="24"/>
        </w:rPr>
        <w:t>E. coli </w:t>
      </w:r>
      <w:r>
        <w:rPr>
          <w:rFonts w:ascii="Times New Roman"/>
          <w:sz w:val="24"/>
        </w:rPr>
        <w:t>in their intestinal flora (Ishihara </w:t>
      </w:r>
      <w:r>
        <w:rPr>
          <w:rFonts w:ascii="Times New Roman"/>
          <w:i/>
          <w:sz w:val="24"/>
        </w:rPr>
        <w:t>et al</w:t>
      </w:r>
      <w:r>
        <w:rPr>
          <w:rFonts w:ascii="Times New Roman"/>
          <w:sz w:val="24"/>
        </w:rPr>
        <w:t>., 2001; Nel, 2002; Van den Bogaard and Stobberingh, 2000).</w:t>
      </w:r>
    </w:p>
    <w:p>
      <w:pPr>
        <w:pStyle w:val="ListParagraph"/>
        <w:numPr>
          <w:ilvl w:val="0"/>
          <w:numId w:val="15"/>
        </w:numPr>
        <w:tabs>
          <w:tab w:pos="1187" w:val="left" w:leader="none"/>
        </w:tabs>
        <w:spacing w:line="480" w:lineRule="auto" w:before="240" w:after="0"/>
        <w:ind w:left="920" w:right="1177" w:firstLine="0"/>
        <w:jc w:val="both"/>
        <w:rPr>
          <w:sz w:val="24"/>
        </w:rPr>
      </w:pPr>
      <w:r>
        <w:rPr>
          <w:sz w:val="24"/>
        </w:rPr>
        <w:t>Antibiotics in Human Medicine:</w:t>
      </w:r>
      <w:r>
        <w:rPr>
          <w:spacing w:val="40"/>
          <w:sz w:val="24"/>
        </w:rPr>
        <w:t> </w:t>
      </w:r>
      <w:r>
        <w:rPr>
          <w:sz w:val="24"/>
        </w:rPr>
        <w:t>Antibiotics have been reported commonly used in human medicine to treat bacterial infections. They are not meant to be used against viral infections like common cold, most sore throats, and flu (FDA, 2010; CDC, 2011). Both overuse, such as over- prescribing of antibiotics for critically ill patients, and underuse, such as taking inadequate dose for inappropriate length of time, have been reported as the main cause of selection of antimicrobial-resistant bacteria populations (WHO, 2011; CDC, 2011). The role played by the spread of resistant bacteria from farm animals to humans has been reported as a major factor in the development of resistance among human bacteria isolates (Bonten </w:t>
      </w:r>
      <w:r>
        <w:rPr>
          <w:i/>
          <w:sz w:val="24"/>
        </w:rPr>
        <w:t>et al</w:t>
      </w:r>
      <w:r>
        <w:rPr>
          <w:sz w:val="24"/>
        </w:rPr>
        <w:t>., 2001, White </w:t>
      </w:r>
      <w:r>
        <w:rPr>
          <w:i/>
          <w:sz w:val="24"/>
        </w:rPr>
        <w:t>et al</w:t>
      </w:r>
      <w:r>
        <w:rPr>
          <w:sz w:val="24"/>
        </w:rPr>
        <w:t>., 2002, Threlfall, 2002, Ungemach </w:t>
      </w:r>
      <w:r>
        <w:rPr>
          <w:i/>
          <w:sz w:val="24"/>
        </w:rPr>
        <w:t>et al</w:t>
      </w:r>
      <w:r>
        <w:rPr>
          <w:sz w:val="24"/>
        </w:rPr>
        <w:t>., 2006). The inappropriate use of antibiotics in the hospitals and close contact among sick patients creates an environment for the dissemination of antibiotic-resistant bacteria (Neely and Holder, 1999; NIAID, 2009). For example, methicillin- resistant </w:t>
      </w:r>
      <w:r>
        <w:rPr>
          <w:i/>
          <w:sz w:val="24"/>
        </w:rPr>
        <w:t>Staphylococccus aureus </w:t>
      </w:r>
      <w:r>
        <w:rPr>
          <w:sz w:val="24"/>
        </w:rPr>
        <w:t>(MRSA) and vancomycin-resistant enterococci (VRE) are mainly associated with hospital environments or those who have had prolonged stays in the hospital (Hawkey, 2008; Goodyear, 2002).</w:t>
      </w:r>
    </w:p>
    <w:p>
      <w:pPr>
        <w:spacing w:after="0" w:line="480" w:lineRule="auto"/>
        <w:jc w:val="both"/>
        <w:rPr>
          <w:sz w:val="24"/>
        </w:rPr>
        <w:sectPr>
          <w:pgSz w:w="12240" w:h="15840"/>
          <w:pgMar w:header="0" w:footer="1017" w:top="1360" w:bottom="1200" w:left="520" w:right="260"/>
        </w:sectPr>
      </w:pPr>
    </w:p>
    <w:p>
      <w:pPr>
        <w:pStyle w:val="ListParagraph"/>
        <w:numPr>
          <w:ilvl w:val="3"/>
          <w:numId w:val="10"/>
        </w:numPr>
        <w:tabs>
          <w:tab w:pos="1642" w:val="left" w:leader="none"/>
        </w:tabs>
        <w:spacing w:line="240" w:lineRule="auto" w:before="72" w:after="0"/>
        <w:ind w:left="1642" w:right="0" w:hanging="722"/>
        <w:jc w:val="both"/>
        <w:rPr>
          <w:i/>
          <w:sz w:val="24"/>
        </w:rPr>
      </w:pPr>
      <w:bookmarkStart w:name="_TOC_250044" w:id="47"/>
      <w:r>
        <w:rPr>
          <w:i/>
          <w:sz w:val="24"/>
        </w:rPr>
        <w:t>Environmental</w:t>
      </w:r>
      <w:r>
        <w:rPr>
          <w:i/>
          <w:spacing w:val="-15"/>
          <w:sz w:val="24"/>
        </w:rPr>
        <w:t> </w:t>
      </w:r>
      <w:bookmarkEnd w:id="47"/>
      <w:r>
        <w:rPr>
          <w:i/>
          <w:spacing w:val="-2"/>
          <w:sz w:val="24"/>
        </w:rPr>
        <w:t>Stresses</w:t>
      </w:r>
    </w:p>
    <w:p>
      <w:pPr>
        <w:pStyle w:val="BodyText"/>
        <w:spacing w:before="239"/>
        <w:rPr>
          <w:rFonts w:ascii="Times New Roman"/>
          <w:i/>
          <w:sz w:val="24"/>
        </w:rPr>
      </w:pPr>
    </w:p>
    <w:p>
      <w:pPr>
        <w:spacing w:line="480" w:lineRule="auto" w:before="1"/>
        <w:ind w:left="920" w:right="1175" w:firstLine="0"/>
        <w:jc w:val="both"/>
        <w:rPr>
          <w:rFonts w:ascii="Times New Roman"/>
          <w:sz w:val="24"/>
        </w:rPr>
      </w:pPr>
      <w:r>
        <w:rPr>
          <w:rFonts w:ascii="Times New Roman"/>
          <w:sz w:val="24"/>
        </w:rPr>
        <w:t>Several environmental stresses, which are frequently applied in food preservation processes,</w:t>
      </w:r>
      <w:r>
        <w:rPr>
          <w:rFonts w:ascii="Times New Roman"/>
          <w:spacing w:val="40"/>
          <w:sz w:val="24"/>
        </w:rPr>
        <w:t> </w:t>
      </w:r>
      <w:r>
        <w:rPr>
          <w:rFonts w:ascii="Times New Roman"/>
          <w:sz w:val="24"/>
        </w:rPr>
        <w:t>have been linked to the increase in bacterial resistance towards antibiotics. For example, a study reported</w:t>
      </w:r>
      <w:r>
        <w:rPr>
          <w:rFonts w:ascii="Times New Roman"/>
          <w:spacing w:val="-4"/>
          <w:sz w:val="24"/>
        </w:rPr>
        <w:t> </w:t>
      </w:r>
      <w:r>
        <w:rPr>
          <w:rFonts w:ascii="Times New Roman"/>
          <w:sz w:val="24"/>
        </w:rPr>
        <w:t>an</w:t>
      </w:r>
      <w:r>
        <w:rPr>
          <w:rFonts w:ascii="Times New Roman"/>
          <w:spacing w:val="-4"/>
          <w:sz w:val="24"/>
        </w:rPr>
        <w:t> </w:t>
      </w:r>
      <w:r>
        <w:rPr>
          <w:rFonts w:ascii="Times New Roman"/>
          <w:sz w:val="24"/>
        </w:rPr>
        <w:t>increase in</w:t>
      </w:r>
      <w:r>
        <w:rPr>
          <w:rFonts w:ascii="Times New Roman"/>
          <w:spacing w:val="-9"/>
          <w:sz w:val="24"/>
        </w:rPr>
        <w:t> </w:t>
      </w:r>
      <w:r>
        <w:rPr>
          <w:rFonts w:ascii="Times New Roman"/>
          <w:sz w:val="24"/>
        </w:rPr>
        <w:t>antibiotics</w:t>
      </w:r>
      <w:r>
        <w:rPr>
          <w:rFonts w:ascii="Times New Roman"/>
          <w:spacing w:val="-6"/>
          <w:sz w:val="24"/>
        </w:rPr>
        <w:t> </w:t>
      </w:r>
      <w:r>
        <w:rPr>
          <w:rFonts w:ascii="Times New Roman"/>
          <w:sz w:val="24"/>
        </w:rPr>
        <w:t>resistance in</w:t>
      </w:r>
      <w:r>
        <w:rPr>
          <w:rFonts w:ascii="Times New Roman"/>
          <w:spacing w:val="-4"/>
          <w:sz w:val="24"/>
        </w:rPr>
        <w:t> </w:t>
      </w:r>
      <w:r>
        <w:rPr>
          <w:rFonts w:ascii="Times New Roman"/>
          <w:sz w:val="24"/>
        </w:rPr>
        <w:t>foodborne</w:t>
      </w:r>
      <w:r>
        <w:rPr>
          <w:rFonts w:ascii="Times New Roman"/>
          <w:spacing w:val="-5"/>
          <w:sz w:val="24"/>
        </w:rPr>
        <w:t> </w:t>
      </w:r>
      <w:r>
        <w:rPr>
          <w:rFonts w:ascii="Times New Roman"/>
          <w:sz w:val="24"/>
        </w:rPr>
        <w:t>pathogens, including </w:t>
      </w:r>
      <w:r>
        <w:rPr>
          <w:rFonts w:ascii="Times New Roman"/>
          <w:i/>
          <w:sz w:val="24"/>
        </w:rPr>
        <w:t>S.</w:t>
      </w:r>
      <w:r>
        <w:rPr>
          <w:rFonts w:ascii="Times New Roman"/>
          <w:i/>
          <w:spacing w:val="-2"/>
          <w:sz w:val="24"/>
        </w:rPr>
        <w:t> </w:t>
      </w:r>
      <w:r>
        <w:rPr>
          <w:rFonts w:ascii="Times New Roman"/>
          <w:i/>
          <w:sz w:val="24"/>
        </w:rPr>
        <w:t>aureus</w:t>
      </w:r>
      <w:r>
        <w:rPr>
          <w:rFonts w:ascii="Times New Roman"/>
          <w:sz w:val="24"/>
        </w:rPr>
        <w:t>,</w:t>
      </w:r>
      <w:r>
        <w:rPr>
          <w:rFonts w:ascii="Times New Roman"/>
          <w:spacing w:val="-2"/>
          <w:sz w:val="24"/>
        </w:rPr>
        <w:t> </w:t>
      </w:r>
      <w:r>
        <w:rPr>
          <w:rFonts w:ascii="Times New Roman"/>
          <w:i/>
          <w:sz w:val="24"/>
        </w:rPr>
        <w:t>E.</w:t>
      </w:r>
      <w:r>
        <w:rPr>
          <w:rFonts w:ascii="Times New Roman"/>
          <w:i/>
          <w:spacing w:val="-6"/>
          <w:sz w:val="24"/>
        </w:rPr>
        <w:t> </w:t>
      </w:r>
      <w:r>
        <w:rPr>
          <w:rFonts w:ascii="Times New Roman"/>
          <w:i/>
          <w:sz w:val="24"/>
        </w:rPr>
        <w:t>coli</w:t>
      </w:r>
      <w:r>
        <w:rPr>
          <w:rFonts w:ascii="Times New Roman"/>
          <w:sz w:val="24"/>
        </w:rPr>
        <w:t>, and </w:t>
      </w:r>
      <w:r>
        <w:rPr>
          <w:rFonts w:ascii="Times New Roman"/>
          <w:i/>
          <w:sz w:val="24"/>
        </w:rPr>
        <w:t>S. enterica </w:t>
      </w:r>
      <w:r>
        <w:rPr>
          <w:rFonts w:ascii="Times New Roman"/>
          <w:sz w:val="24"/>
        </w:rPr>
        <w:t>serovar Typhimurium, under sublethal low pH or high sodium chloride stress. Another study showed that high osmolarity and starvation regulates the expression of bacterial lipocalin, a protein which helps bacterial adaptation to environmental stress and is responsible</w:t>
      </w:r>
      <w:r>
        <w:rPr>
          <w:rFonts w:ascii="Times New Roman"/>
          <w:spacing w:val="40"/>
          <w:sz w:val="24"/>
        </w:rPr>
        <w:t> </w:t>
      </w:r>
      <w:r>
        <w:rPr>
          <w:rFonts w:ascii="Times New Roman"/>
          <w:sz w:val="24"/>
        </w:rPr>
        <w:t>for the dissemination of antibiotic resistance genes. Environmental stress can enhance plasmid transfer and plasmid numbers, thereby increasing resistance (McMahon </w:t>
      </w:r>
      <w:r>
        <w:rPr>
          <w:rFonts w:ascii="Times New Roman"/>
          <w:i/>
          <w:sz w:val="24"/>
        </w:rPr>
        <w:t>et al</w:t>
      </w:r>
      <w:r>
        <w:rPr>
          <w:rFonts w:ascii="Times New Roman"/>
          <w:sz w:val="24"/>
        </w:rPr>
        <w:t>., 2007).</w:t>
      </w:r>
    </w:p>
    <w:p>
      <w:pPr>
        <w:pStyle w:val="ListParagraph"/>
        <w:numPr>
          <w:ilvl w:val="3"/>
          <w:numId w:val="10"/>
        </w:numPr>
        <w:tabs>
          <w:tab w:pos="1641" w:val="left" w:leader="none"/>
        </w:tabs>
        <w:spacing w:line="240" w:lineRule="auto" w:before="240" w:after="0"/>
        <w:ind w:left="1641" w:right="0" w:hanging="721"/>
        <w:jc w:val="both"/>
        <w:rPr>
          <w:i/>
          <w:sz w:val="24"/>
        </w:rPr>
      </w:pPr>
      <w:bookmarkStart w:name="_TOC_250043" w:id="48"/>
      <w:r>
        <w:rPr>
          <w:i/>
          <w:spacing w:val="-2"/>
          <w:sz w:val="24"/>
        </w:rPr>
        <w:t>Socio-economic</w:t>
      </w:r>
      <w:r>
        <w:rPr>
          <w:i/>
          <w:spacing w:val="8"/>
          <w:sz w:val="24"/>
        </w:rPr>
        <w:t> </w:t>
      </w:r>
      <w:bookmarkEnd w:id="48"/>
      <w:r>
        <w:rPr>
          <w:i/>
          <w:spacing w:val="-2"/>
          <w:sz w:val="24"/>
        </w:rPr>
        <w:t>factors</w:t>
      </w:r>
    </w:p>
    <w:p>
      <w:pPr>
        <w:pStyle w:val="BodyText"/>
        <w:spacing w:before="240"/>
        <w:rPr>
          <w:rFonts w:ascii="Times New Roman"/>
          <w:i/>
          <w:sz w:val="24"/>
        </w:rPr>
      </w:pPr>
    </w:p>
    <w:p>
      <w:pPr>
        <w:spacing w:line="480" w:lineRule="auto" w:before="0"/>
        <w:ind w:left="920" w:right="1174" w:firstLine="0"/>
        <w:jc w:val="both"/>
        <w:rPr>
          <w:rFonts w:ascii="Times New Roman"/>
          <w:sz w:val="24"/>
        </w:rPr>
      </w:pPr>
      <w:r>
        <w:rPr>
          <w:rFonts w:ascii="Times New Roman"/>
          <w:sz w:val="24"/>
        </w:rPr>
        <w:t>Socio-economic factors have been reported as drivers of bacterial resistance among human bacterial isolates both in developed and developing countries (Byarugaba, 2004). In the latter, antibiotics are available over the counter and hence easily accessible, leading to overuse (Okeke and Adebayo, 2003; Nys </w:t>
      </w:r>
      <w:r>
        <w:rPr>
          <w:rFonts w:ascii="Times New Roman"/>
          <w:i/>
          <w:sz w:val="24"/>
        </w:rPr>
        <w:t>et al</w:t>
      </w:r>
      <w:r>
        <w:rPr>
          <w:rFonts w:ascii="Times New Roman"/>
          <w:sz w:val="24"/>
        </w:rPr>
        <w:t>., 2004). This has been reported believed to account for resistance rates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90% among human bacterial isolates to tetracycline in West Africa where misuse of</w:t>
      </w:r>
      <w:r>
        <w:rPr>
          <w:rFonts w:ascii="Times New Roman"/>
          <w:spacing w:val="-3"/>
          <w:sz w:val="24"/>
        </w:rPr>
        <w:t> </w:t>
      </w:r>
      <w:r>
        <w:rPr>
          <w:rFonts w:ascii="Times New Roman"/>
          <w:sz w:val="24"/>
        </w:rPr>
        <w:t>this group of antibiotics has been practiced for many years (Okeke and Adebayo, 2003). In developing</w:t>
      </w:r>
      <w:r>
        <w:rPr>
          <w:rFonts w:ascii="Times New Roman"/>
          <w:spacing w:val="-1"/>
          <w:sz w:val="24"/>
        </w:rPr>
        <w:t> </w:t>
      </w:r>
      <w:r>
        <w:rPr>
          <w:rFonts w:ascii="Times New Roman"/>
          <w:sz w:val="24"/>
        </w:rPr>
        <w:t>countries, under use has</w:t>
      </w:r>
      <w:r>
        <w:rPr>
          <w:rFonts w:ascii="Times New Roman"/>
          <w:spacing w:val="-3"/>
          <w:sz w:val="24"/>
        </w:rPr>
        <w:t> </w:t>
      </w:r>
      <w:r>
        <w:rPr>
          <w:rFonts w:ascii="Times New Roman"/>
          <w:sz w:val="24"/>
        </w:rPr>
        <w:t>also been</w:t>
      </w:r>
      <w:r>
        <w:rPr>
          <w:rFonts w:ascii="Times New Roman"/>
          <w:spacing w:val="-1"/>
          <w:sz w:val="24"/>
        </w:rPr>
        <w:t> </w:t>
      </w:r>
      <w:r>
        <w:rPr>
          <w:rFonts w:ascii="Times New Roman"/>
          <w:sz w:val="24"/>
        </w:rPr>
        <w:t>identified</w:t>
      </w:r>
      <w:r>
        <w:rPr>
          <w:rFonts w:ascii="Times New Roman"/>
          <w:spacing w:val="-1"/>
          <w:sz w:val="24"/>
        </w:rPr>
        <w:t> </w:t>
      </w:r>
      <w:r>
        <w:rPr>
          <w:rFonts w:ascii="Times New Roman"/>
          <w:sz w:val="24"/>
        </w:rPr>
        <w:t>as</w:t>
      </w:r>
      <w:r>
        <w:rPr>
          <w:rFonts w:ascii="Times New Roman"/>
          <w:spacing w:val="-3"/>
          <w:sz w:val="24"/>
        </w:rPr>
        <w:t> </w:t>
      </w:r>
      <w:r>
        <w:rPr>
          <w:rFonts w:ascii="Times New Roman"/>
          <w:sz w:val="24"/>
        </w:rPr>
        <w:t>an</w:t>
      </w:r>
      <w:r>
        <w:rPr>
          <w:rFonts w:ascii="Times New Roman"/>
          <w:spacing w:val="-1"/>
          <w:sz w:val="24"/>
        </w:rPr>
        <w:t> </w:t>
      </w:r>
      <w:r>
        <w:rPr>
          <w:rFonts w:ascii="Times New Roman"/>
          <w:sz w:val="24"/>
        </w:rPr>
        <w:t>important cause</w:t>
      </w:r>
      <w:r>
        <w:rPr>
          <w:rFonts w:ascii="Times New Roman"/>
          <w:spacing w:val="-2"/>
          <w:sz w:val="24"/>
        </w:rPr>
        <w:t> </w:t>
      </w:r>
      <w:r>
        <w:rPr>
          <w:rFonts w:ascii="Times New Roman"/>
          <w:sz w:val="24"/>
        </w:rPr>
        <w:t>of</w:t>
      </w:r>
      <w:r>
        <w:rPr>
          <w:rFonts w:ascii="Times New Roman"/>
          <w:spacing w:val="-9"/>
          <w:sz w:val="24"/>
        </w:rPr>
        <w:t> </w:t>
      </w:r>
      <w:r>
        <w:rPr>
          <w:rFonts w:ascii="Times New Roman"/>
          <w:sz w:val="24"/>
        </w:rPr>
        <w:t>development of resistance (Byarugaba, 2004, Neely and Holder, 1999). This is because in poorer countries, patients are either unable to afford the full course of the medicines to be cured of their illness,</w:t>
      </w:r>
      <w:r>
        <w:rPr>
          <w:rFonts w:ascii="Times New Roman"/>
          <w:spacing w:val="40"/>
          <w:sz w:val="24"/>
        </w:rPr>
        <w:t> </w:t>
      </w:r>
      <w:r>
        <w:rPr>
          <w:rFonts w:ascii="Times New Roman"/>
          <w:sz w:val="24"/>
        </w:rPr>
        <w:t>can only purchase counterfeit drugs on black market, or receive sub-optimal doses. In view of this, bacterial resistance would therefore most likely be a problem in Africa where antibacterial use</w:t>
      </w:r>
      <w:r>
        <w:rPr>
          <w:rFonts w:ascii="Times New Roman"/>
          <w:spacing w:val="28"/>
          <w:sz w:val="24"/>
        </w:rPr>
        <w:t> </w:t>
      </w:r>
      <w:r>
        <w:rPr>
          <w:rFonts w:ascii="Times New Roman"/>
          <w:sz w:val="24"/>
        </w:rPr>
        <w:t>are</w:t>
      </w:r>
      <w:r>
        <w:rPr>
          <w:rFonts w:ascii="Times New Roman"/>
          <w:spacing w:val="29"/>
          <w:sz w:val="24"/>
        </w:rPr>
        <w:t> </w:t>
      </w:r>
      <w:r>
        <w:rPr>
          <w:rFonts w:ascii="Times New Roman"/>
          <w:sz w:val="24"/>
        </w:rPr>
        <w:t>unregulated</w:t>
      </w:r>
      <w:r>
        <w:rPr>
          <w:rFonts w:ascii="Times New Roman"/>
          <w:spacing w:val="29"/>
          <w:sz w:val="24"/>
        </w:rPr>
        <w:t> </w:t>
      </w:r>
      <w:r>
        <w:rPr>
          <w:rFonts w:ascii="Times New Roman"/>
          <w:sz w:val="24"/>
        </w:rPr>
        <w:t>and</w:t>
      </w:r>
      <w:r>
        <w:rPr>
          <w:rFonts w:ascii="Times New Roman"/>
          <w:spacing w:val="33"/>
          <w:sz w:val="24"/>
        </w:rPr>
        <w:t> </w:t>
      </w:r>
      <w:r>
        <w:rPr>
          <w:rFonts w:ascii="Times New Roman"/>
          <w:sz w:val="24"/>
        </w:rPr>
        <w:t>antibiotics</w:t>
      </w:r>
      <w:r>
        <w:rPr>
          <w:rFonts w:ascii="Times New Roman"/>
          <w:spacing w:val="27"/>
          <w:sz w:val="24"/>
        </w:rPr>
        <w:t> </w:t>
      </w:r>
      <w:r>
        <w:rPr>
          <w:rFonts w:ascii="Times New Roman"/>
          <w:sz w:val="24"/>
        </w:rPr>
        <w:t>are</w:t>
      </w:r>
      <w:r>
        <w:rPr>
          <w:rFonts w:ascii="Times New Roman"/>
          <w:spacing w:val="29"/>
          <w:sz w:val="24"/>
        </w:rPr>
        <w:t> </w:t>
      </w:r>
      <w:r>
        <w:rPr>
          <w:rFonts w:ascii="Times New Roman"/>
          <w:sz w:val="24"/>
        </w:rPr>
        <w:t>sold</w:t>
      </w:r>
      <w:r>
        <w:rPr>
          <w:rFonts w:ascii="Times New Roman"/>
          <w:spacing w:val="29"/>
          <w:sz w:val="24"/>
        </w:rPr>
        <w:t> </w:t>
      </w:r>
      <w:r>
        <w:rPr>
          <w:rFonts w:ascii="Times New Roman"/>
          <w:sz w:val="24"/>
        </w:rPr>
        <w:t>often</w:t>
      </w:r>
      <w:r>
        <w:rPr>
          <w:rFonts w:ascii="Times New Roman"/>
          <w:spacing w:val="25"/>
          <w:sz w:val="24"/>
        </w:rPr>
        <w:t> </w:t>
      </w:r>
      <w:r>
        <w:rPr>
          <w:rFonts w:ascii="Times New Roman"/>
          <w:sz w:val="24"/>
        </w:rPr>
        <w:t>of</w:t>
      </w:r>
      <w:r>
        <w:rPr>
          <w:rFonts w:ascii="Times New Roman"/>
          <w:spacing w:val="22"/>
          <w:sz w:val="24"/>
        </w:rPr>
        <w:t> </w:t>
      </w:r>
      <w:r>
        <w:rPr>
          <w:rFonts w:ascii="Times New Roman"/>
          <w:sz w:val="24"/>
        </w:rPr>
        <w:t>substandard</w:t>
      </w:r>
      <w:r>
        <w:rPr>
          <w:rFonts w:ascii="Times New Roman"/>
          <w:spacing w:val="29"/>
          <w:sz w:val="24"/>
        </w:rPr>
        <w:t> </w:t>
      </w:r>
      <w:r>
        <w:rPr>
          <w:rFonts w:ascii="Times New Roman"/>
          <w:sz w:val="24"/>
        </w:rPr>
        <w:t>quality</w:t>
      </w:r>
      <w:r>
        <w:rPr>
          <w:rFonts w:ascii="Times New Roman"/>
          <w:spacing w:val="25"/>
          <w:sz w:val="24"/>
        </w:rPr>
        <w:t> </w:t>
      </w:r>
      <w:r>
        <w:rPr>
          <w:rFonts w:ascii="Times New Roman"/>
          <w:sz w:val="24"/>
        </w:rPr>
        <w:t>(Richet</w:t>
      </w:r>
      <w:r>
        <w:rPr>
          <w:rFonts w:ascii="Times New Roman"/>
          <w:spacing w:val="39"/>
          <w:sz w:val="24"/>
        </w:rPr>
        <w:t> </w:t>
      </w:r>
      <w:r>
        <w:rPr>
          <w:rFonts w:ascii="Times New Roman"/>
          <w:i/>
          <w:sz w:val="24"/>
        </w:rPr>
        <w:t>et</w:t>
      </w:r>
      <w:r>
        <w:rPr>
          <w:rFonts w:ascii="Times New Roman"/>
          <w:i/>
          <w:spacing w:val="30"/>
          <w:sz w:val="24"/>
        </w:rPr>
        <w:t> </w:t>
      </w:r>
      <w:r>
        <w:rPr>
          <w:rFonts w:ascii="Times New Roman"/>
          <w:i/>
          <w:sz w:val="24"/>
        </w:rPr>
        <w:t>al</w:t>
      </w:r>
      <w:r>
        <w:rPr>
          <w:rFonts w:ascii="Times New Roman"/>
          <w:sz w:val="24"/>
        </w:rPr>
        <w:t>.,</w:t>
      </w:r>
      <w:r>
        <w:rPr>
          <w:rFonts w:ascii="Times New Roman"/>
          <w:spacing w:val="32"/>
          <w:sz w:val="24"/>
        </w:rPr>
        <w:t> </w:t>
      </w:r>
      <w:r>
        <w:rPr>
          <w:rFonts w:ascii="Times New Roman"/>
          <w:spacing w:val="-2"/>
          <w:sz w:val="24"/>
        </w:rPr>
        <w:t>2001;</w:t>
      </w:r>
    </w:p>
    <w:p>
      <w:pPr>
        <w:spacing w:after="0" w:line="480" w:lineRule="auto"/>
        <w:jc w:val="both"/>
        <w:rPr>
          <w:rFonts w:ascii="Times New Roman"/>
          <w:sz w:val="24"/>
        </w:rPr>
        <w:sectPr>
          <w:pgSz w:w="12240" w:h="15840"/>
          <w:pgMar w:header="0" w:footer="1017" w:top="1360" w:bottom="1200" w:left="520" w:right="260"/>
        </w:sectPr>
      </w:pPr>
    </w:p>
    <w:p>
      <w:pPr>
        <w:spacing w:line="480" w:lineRule="auto" w:before="72"/>
        <w:ind w:left="920" w:right="1178" w:firstLine="0"/>
        <w:jc w:val="both"/>
        <w:rPr>
          <w:rFonts w:ascii="Times New Roman"/>
          <w:sz w:val="24"/>
        </w:rPr>
      </w:pPr>
      <w:r>
        <w:rPr>
          <w:rFonts w:ascii="Times New Roman"/>
          <w:sz w:val="24"/>
        </w:rPr>
        <w:t>Okeke and Adebayo, 2003; Nys </w:t>
      </w:r>
      <w:r>
        <w:rPr>
          <w:rFonts w:ascii="Times New Roman"/>
          <w:i/>
          <w:sz w:val="24"/>
        </w:rPr>
        <w:t>et al</w:t>
      </w:r>
      <w:r>
        <w:rPr>
          <w:rFonts w:ascii="Times New Roman"/>
          <w:sz w:val="24"/>
        </w:rPr>
        <w:t>., 2004). The use of substandard antibiotics has been reported</w:t>
      </w:r>
      <w:r>
        <w:rPr>
          <w:rFonts w:ascii="Times New Roman"/>
          <w:spacing w:val="-8"/>
          <w:sz w:val="24"/>
        </w:rPr>
        <w:t> </w:t>
      </w:r>
      <w:r>
        <w:rPr>
          <w:rFonts w:ascii="Times New Roman"/>
          <w:sz w:val="24"/>
        </w:rPr>
        <w:t>to select resistant pathogens</w:t>
      </w:r>
      <w:r>
        <w:rPr>
          <w:rFonts w:ascii="Times New Roman"/>
          <w:spacing w:val="-5"/>
          <w:sz w:val="24"/>
        </w:rPr>
        <w:t> </w:t>
      </w:r>
      <w:r>
        <w:rPr>
          <w:rFonts w:ascii="Times New Roman"/>
          <w:sz w:val="24"/>
        </w:rPr>
        <w:t>during</w:t>
      </w:r>
      <w:r>
        <w:rPr>
          <w:rFonts w:ascii="Times New Roman"/>
          <w:spacing w:val="-4"/>
          <w:sz w:val="24"/>
        </w:rPr>
        <w:t> </w:t>
      </w:r>
      <w:r>
        <w:rPr>
          <w:rFonts w:ascii="Times New Roman"/>
          <w:sz w:val="24"/>
        </w:rPr>
        <w:t>treatment even</w:t>
      </w:r>
      <w:r>
        <w:rPr>
          <w:rFonts w:ascii="Times New Roman"/>
          <w:spacing w:val="-4"/>
          <w:sz w:val="24"/>
        </w:rPr>
        <w:t> </w:t>
      </w:r>
      <w:r>
        <w:rPr>
          <w:rFonts w:ascii="Times New Roman"/>
          <w:sz w:val="24"/>
        </w:rPr>
        <w:t>if</w:t>
      </w:r>
      <w:r>
        <w:rPr>
          <w:rFonts w:ascii="Times New Roman"/>
          <w:spacing w:val="-6"/>
          <w:sz w:val="24"/>
        </w:rPr>
        <w:t> </w:t>
      </w:r>
      <w:r>
        <w:rPr>
          <w:rFonts w:ascii="Times New Roman"/>
          <w:sz w:val="24"/>
        </w:rPr>
        <w:t>the</w:t>
      </w:r>
      <w:r>
        <w:rPr>
          <w:rFonts w:ascii="Times New Roman"/>
          <w:spacing w:val="-5"/>
          <w:sz w:val="24"/>
        </w:rPr>
        <w:t> </w:t>
      </w:r>
      <w:r>
        <w:rPr>
          <w:rFonts w:ascii="Times New Roman"/>
          <w:sz w:val="24"/>
        </w:rPr>
        <w:t>diagnosis</w:t>
      </w:r>
      <w:r>
        <w:rPr>
          <w:rFonts w:ascii="Times New Roman"/>
          <w:spacing w:val="-1"/>
          <w:sz w:val="24"/>
        </w:rPr>
        <w:t> </w:t>
      </w:r>
      <w:r>
        <w:rPr>
          <w:rFonts w:ascii="Times New Roman"/>
          <w:sz w:val="24"/>
        </w:rPr>
        <w:t>is</w:t>
      </w:r>
      <w:r>
        <w:rPr>
          <w:rFonts w:ascii="Times New Roman"/>
          <w:spacing w:val="-5"/>
          <w:sz w:val="24"/>
        </w:rPr>
        <w:t> </w:t>
      </w:r>
      <w:r>
        <w:rPr>
          <w:rFonts w:ascii="Times New Roman"/>
          <w:sz w:val="24"/>
        </w:rPr>
        <w:t>correct</w:t>
      </w:r>
      <w:r>
        <w:rPr>
          <w:rFonts w:ascii="Times New Roman"/>
          <w:spacing w:val="-3"/>
          <w:sz w:val="24"/>
        </w:rPr>
        <w:t> </w:t>
      </w:r>
      <w:r>
        <w:rPr>
          <w:rFonts w:ascii="Times New Roman"/>
          <w:sz w:val="24"/>
        </w:rPr>
        <w:t>(Okeke</w:t>
      </w:r>
      <w:r>
        <w:rPr>
          <w:rFonts w:ascii="Times New Roman"/>
          <w:spacing w:val="-5"/>
          <w:sz w:val="24"/>
        </w:rPr>
        <w:t> </w:t>
      </w:r>
      <w:r>
        <w:rPr>
          <w:rFonts w:ascii="Times New Roman"/>
          <w:sz w:val="24"/>
        </w:rPr>
        <w:t>and Adebayo, 2003; WHO, 2000).</w:t>
      </w:r>
    </w:p>
    <w:p>
      <w:pPr>
        <w:spacing w:line="480" w:lineRule="auto" w:before="240"/>
        <w:ind w:left="920" w:right="1178" w:firstLine="0"/>
        <w:jc w:val="both"/>
        <w:rPr>
          <w:rFonts w:ascii="Times New Roman"/>
          <w:sz w:val="24"/>
        </w:rPr>
      </w:pPr>
      <w:r>
        <w:rPr>
          <w:rFonts w:ascii="Times New Roman"/>
          <w:sz w:val="24"/>
        </w:rPr>
        <w:t>In</w:t>
      </w:r>
      <w:r>
        <w:rPr>
          <w:rFonts w:ascii="Times New Roman"/>
          <w:spacing w:val="-6"/>
          <w:sz w:val="24"/>
        </w:rPr>
        <w:t> </w:t>
      </w:r>
      <w:r>
        <w:rPr>
          <w:rFonts w:ascii="Times New Roman"/>
          <w:sz w:val="24"/>
        </w:rPr>
        <w:t>developed countries, overuse has been identified</w:t>
      </w:r>
      <w:r>
        <w:rPr>
          <w:rFonts w:ascii="Times New Roman"/>
          <w:spacing w:val="-1"/>
          <w:sz w:val="24"/>
        </w:rPr>
        <w:t> </w:t>
      </w:r>
      <w:r>
        <w:rPr>
          <w:rFonts w:ascii="Times New Roman"/>
          <w:sz w:val="24"/>
        </w:rPr>
        <w:t>as</w:t>
      </w:r>
      <w:r>
        <w:rPr>
          <w:rFonts w:ascii="Times New Roman"/>
          <w:spacing w:val="-3"/>
          <w:sz w:val="24"/>
        </w:rPr>
        <w:t> </w:t>
      </w:r>
      <w:r>
        <w:rPr>
          <w:rFonts w:ascii="Times New Roman"/>
          <w:sz w:val="24"/>
        </w:rPr>
        <w:t>the main</w:t>
      </w:r>
      <w:r>
        <w:rPr>
          <w:rFonts w:ascii="Times New Roman"/>
          <w:spacing w:val="-1"/>
          <w:sz w:val="24"/>
        </w:rPr>
        <w:t> </w:t>
      </w:r>
      <w:r>
        <w:rPr>
          <w:rFonts w:ascii="Times New Roman"/>
          <w:sz w:val="24"/>
        </w:rPr>
        <w:t>concern</w:t>
      </w:r>
      <w:r>
        <w:rPr>
          <w:rFonts w:ascii="Times New Roman"/>
          <w:spacing w:val="-1"/>
          <w:sz w:val="24"/>
        </w:rPr>
        <w:t> </w:t>
      </w:r>
      <w:r>
        <w:rPr>
          <w:rFonts w:ascii="Times New Roman"/>
          <w:sz w:val="24"/>
        </w:rPr>
        <w:t>as far as</w:t>
      </w:r>
      <w:r>
        <w:rPr>
          <w:rFonts w:ascii="Times New Roman"/>
          <w:spacing w:val="-3"/>
          <w:sz w:val="24"/>
        </w:rPr>
        <w:t> </w:t>
      </w:r>
      <w:r>
        <w:rPr>
          <w:rFonts w:ascii="Times New Roman"/>
          <w:sz w:val="24"/>
        </w:rPr>
        <w:t>development of bacterial resistance is concerned. This includes subtler ways like prescribing broad spectrum antibiotics when bacteriological evidence indicates that a narrower spectrum drug would be sufficient, and</w:t>
      </w:r>
      <w:r>
        <w:rPr>
          <w:rFonts w:ascii="Times New Roman"/>
          <w:spacing w:val="-1"/>
          <w:sz w:val="24"/>
        </w:rPr>
        <w:t> </w:t>
      </w:r>
      <w:r>
        <w:rPr>
          <w:rFonts w:ascii="Times New Roman"/>
          <w:sz w:val="24"/>
        </w:rPr>
        <w:t>prescribing</w:t>
      </w:r>
      <w:r>
        <w:rPr>
          <w:rFonts w:ascii="Times New Roman"/>
          <w:spacing w:val="-2"/>
          <w:sz w:val="24"/>
        </w:rPr>
        <w:t> </w:t>
      </w:r>
      <w:r>
        <w:rPr>
          <w:rFonts w:ascii="Times New Roman"/>
          <w:sz w:val="24"/>
        </w:rPr>
        <w:t>antibiotics</w:t>
      </w:r>
      <w:r>
        <w:rPr>
          <w:rFonts w:ascii="Times New Roman"/>
          <w:spacing w:val="-4"/>
          <w:sz w:val="24"/>
        </w:rPr>
        <w:t> </w:t>
      </w:r>
      <w:r>
        <w:rPr>
          <w:rFonts w:ascii="Times New Roman"/>
          <w:sz w:val="24"/>
        </w:rPr>
        <w:t>due</w:t>
      </w:r>
      <w:r>
        <w:rPr>
          <w:rFonts w:ascii="Times New Roman"/>
          <w:spacing w:val="-3"/>
          <w:sz w:val="24"/>
        </w:rPr>
        <w:t> </w:t>
      </w:r>
      <w:r>
        <w:rPr>
          <w:rFonts w:ascii="Times New Roman"/>
          <w:sz w:val="24"/>
        </w:rPr>
        <w:t>to patient pressure, when</w:t>
      </w:r>
      <w:r>
        <w:rPr>
          <w:rFonts w:ascii="Times New Roman"/>
          <w:spacing w:val="-7"/>
          <w:sz w:val="24"/>
        </w:rPr>
        <w:t> </w:t>
      </w:r>
      <w:r>
        <w:rPr>
          <w:rFonts w:ascii="Times New Roman"/>
          <w:sz w:val="24"/>
        </w:rPr>
        <w:t>the</w:t>
      </w:r>
      <w:r>
        <w:rPr>
          <w:rFonts w:ascii="Times New Roman"/>
          <w:spacing w:val="-3"/>
          <w:sz w:val="24"/>
        </w:rPr>
        <w:t> </w:t>
      </w:r>
      <w:r>
        <w:rPr>
          <w:rFonts w:ascii="Times New Roman"/>
          <w:sz w:val="24"/>
        </w:rPr>
        <w:t>odds</w:t>
      </w:r>
      <w:r>
        <w:rPr>
          <w:rFonts w:ascii="Times New Roman"/>
          <w:spacing w:val="-4"/>
          <w:sz w:val="24"/>
        </w:rPr>
        <w:t> </w:t>
      </w:r>
      <w:r>
        <w:rPr>
          <w:rFonts w:ascii="Times New Roman"/>
          <w:sz w:val="24"/>
        </w:rPr>
        <w:t>are</w:t>
      </w:r>
      <w:r>
        <w:rPr>
          <w:rFonts w:ascii="Times New Roman"/>
          <w:spacing w:val="-7"/>
          <w:sz w:val="24"/>
        </w:rPr>
        <w:t> </w:t>
      </w:r>
      <w:r>
        <w:rPr>
          <w:rFonts w:ascii="Times New Roman"/>
          <w:sz w:val="24"/>
        </w:rPr>
        <w:t>that</w:t>
      </w:r>
      <w:r>
        <w:rPr>
          <w:rFonts w:ascii="Times New Roman"/>
          <w:spacing w:val="-1"/>
          <w:sz w:val="24"/>
        </w:rPr>
        <w:t> </w:t>
      </w:r>
      <w:r>
        <w:rPr>
          <w:rFonts w:ascii="Times New Roman"/>
          <w:sz w:val="24"/>
        </w:rPr>
        <w:t>the infection is viral, rather than bacterial (Fidler, 1998; WHO, 2002; Okeke, 2005).</w:t>
      </w:r>
    </w:p>
    <w:p>
      <w:pPr>
        <w:pStyle w:val="ListParagraph"/>
        <w:numPr>
          <w:ilvl w:val="3"/>
          <w:numId w:val="10"/>
        </w:numPr>
        <w:tabs>
          <w:tab w:pos="1641" w:val="left" w:leader="none"/>
        </w:tabs>
        <w:spacing w:line="240" w:lineRule="auto" w:before="240" w:after="0"/>
        <w:ind w:left="1641" w:right="0" w:hanging="721"/>
        <w:jc w:val="both"/>
        <w:rPr>
          <w:i/>
          <w:sz w:val="24"/>
        </w:rPr>
      </w:pPr>
      <w:bookmarkStart w:name="_TOC_250042" w:id="49"/>
      <w:r>
        <w:rPr>
          <w:i/>
          <w:sz w:val="24"/>
        </w:rPr>
        <w:t>Role</w:t>
      </w:r>
      <w:r>
        <w:rPr>
          <w:i/>
          <w:spacing w:val="-7"/>
          <w:sz w:val="24"/>
        </w:rPr>
        <w:t> </w:t>
      </w:r>
      <w:r>
        <w:rPr>
          <w:i/>
          <w:sz w:val="24"/>
        </w:rPr>
        <w:t>of</w:t>
      </w:r>
      <w:r>
        <w:rPr>
          <w:i/>
          <w:spacing w:val="-6"/>
          <w:sz w:val="24"/>
        </w:rPr>
        <w:t> </w:t>
      </w:r>
      <w:r>
        <w:rPr>
          <w:i/>
          <w:sz w:val="24"/>
        </w:rPr>
        <w:t>Antibiotic</w:t>
      </w:r>
      <w:r>
        <w:rPr>
          <w:i/>
          <w:spacing w:val="-6"/>
          <w:sz w:val="24"/>
        </w:rPr>
        <w:t> </w:t>
      </w:r>
      <w:r>
        <w:rPr>
          <w:i/>
          <w:sz w:val="24"/>
        </w:rPr>
        <w:t>Residues</w:t>
      </w:r>
      <w:r>
        <w:rPr>
          <w:i/>
          <w:spacing w:val="-8"/>
          <w:sz w:val="24"/>
        </w:rPr>
        <w:t> </w:t>
      </w:r>
      <w:r>
        <w:rPr>
          <w:i/>
          <w:sz w:val="24"/>
        </w:rPr>
        <w:t>in</w:t>
      </w:r>
      <w:r>
        <w:rPr>
          <w:i/>
          <w:spacing w:val="-5"/>
          <w:sz w:val="24"/>
        </w:rPr>
        <w:t> </w:t>
      </w:r>
      <w:r>
        <w:rPr>
          <w:i/>
          <w:sz w:val="24"/>
        </w:rPr>
        <w:t>Foods</w:t>
      </w:r>
      <w:r>
        <w:rPr>
          <w:i/>
          <w:spacing w:val="-8"/>
          <w:sz w:val="24"/>
        </w:rPr>
        <w:t> </w:t>
      </w:r>
      <w:r>
        <w:rPr>
          <w:i/>
          <w:sz w:val="24"/>
        </w:rPr>
        <w:t>of</w:t>
      </w:r>
      <w:r>
        <w:rPr>
          <w:i/>
          <w:spacing w:val="-5"/>
          <w:sz w:val="24"/>
        </w:rPr>
        <w:t> </w:t>
      </w:r>
      <w:r>
        <w:rPr>
          <w:i/>
          <w:sz w:val="24"/>
        </w:rPr>
        <w:t>Animal</w:t>
      </w:r>
      <w:r>
        <w:rPr>
          <w:i/>
          <w:spacing w:val="-5"/>
          <w:sz w:val="24"/>
        </w:rPr>
        <w:t> </w:t>
      </w:r>
      <w:bookmarkEnd w:id="49"/>
      <w:r>
        <w:rPr>
          <w:i/>
          <w:spacing w:val="-2"/>
          <w:sz w:val="24"/>
        </w:rPr>
        <w:t>Origin</w:t>
      </w:r>
    </w:p>
    <w:p>
      <w:pPr>
        <w:pStyle w:val="BodyText"/>
        <w:spacing w:before="240"/>
        <w:rPr>
          <w:rFonts w:ascii="Times New Roman"/>
          <w:i/>
          <w:sz w:val="24"/>
        </w:rPr>
      </w:pPr>
    </w:p>
    <w:p>
      <w:pPr>
        <w:spacing w:line="480" w:lineRule="auto" w:before="0"/>
        <w:ind w:left="920" w:right="1180" w:firstLine="0"/>
        <w:jc w:val="both"/>
        <w:rPr>
          <w:rFonts w:ascii="Times New Roman"/>
          <w:sz w:val="24"/>
        </w:rPr>
      </w:pPr>
      <w:r>
        <w:rPr>
          <w:rFonts w:ascii="Times New Roman"/>
          <w:sz w:val="24"/>
        </w:rPr>
        <w:t>Humans have been reported to acquire bacterial resistance enteric organisms by ingesting antibiotics treated animal products (Nel, 2002). Antibiotics resistance is a complex problem involving myriad interactions between humans, animals, drug and the environment (Byarugaba, 2004;</w:t>
      </w:r>
      <w:r>
        <w:rPr>
          <w:rFonts w:ascii="Times New Roman"/>
          <w:spacing w:val="-1"/>
          <w:sz w:val="24"/>
        </w:rPr>
        <w:t> </w:t>
      </w:r>
      <w:r>
        <w:rPr>
          <w:rFonts w:ascii="Times New Roman"/>
          <w:sz w:val="24"/>
        </w:rPr>
        <w:t>Williams, 2005). However, out</w:t>
      </w:r>
      <w:r>
        <w:rPr>
          <w:rFonts w:ascii="Times New Roman"/>
          <w:spacing w:val="-6"/>
          <w:sz w:val="24"/>
        </w:rPr>
        <w:t> </w:t>
      </w:r>
      <w:r>
        <w:rPr>
          <w:rFonts w:ascii="Times New Roman"/>
          <w:sz w:val="24"/>
        </w:rPr>
        <w:t>of</w:t>
      </w:r>
      <w:r>
        <w:rPr>
          <w:rFonts w:ascii="Times New Roman"/>
          <w:spacing w:val="-10"/>
          <w:sz w:val="24"/>
        </w:rPr>
        <w:t> </w:t>
      </w:r>
      <w:r>
        <w:rPr>
          <w:rFonts w:ascii="Times New Roman"/>
          <w:sz w:val="24"/>
        </w:rPr>
        <w:t>this</w:t>
      </w:r>
      <w:r>
        <w:rPr>
          <w:rFonts w:ascii="Times New Roman"/>
          <w:spacing w:val="-4"/>
          <w:sz w:val="24"/>
        </w:rPr>
        <w:t> </w:t>
      </w:r>
      <w:r>
        <w:rPr>
          <w:rFonts w:ascii="Times New Roman"/>
          <w:sz w:val="24"/>
        </w:rPr>
        <w:t>complexity</w:t>
      </w:r>
      <w:r>
        <w:rPr>
          <w:rFonts w:ascii="Times New Roman"/>
          <w:spacing w:val="-7"/>
          <w:sz w:val="24"/>
        </w:rPr>
        <w:t> </w:t>
      </w:r>
      <w:r>
        <w:rPr>
          <w:rFonts w:ascii="Times New Roman"/>
          <w:sz w:val="24"/>
        </w:rPr>
        <w:t>a</w:t>
      </w:r>
      <w:r>
        <w:rPr>
          <w:rFonts w:ascii="Times New Roman"/>
          <w:spacing w:val="-3"/>
          <w:sz w:val="24"/>
        </w:rPr>
        <w:t> </w:t>
      </w:r>
      <w:r>
        <w:rPr>
          <w:rFonts w:ascii="Times New Roman"/>
          <w:sz w:val="24"/>
        </w:rPr>
        <w:t>simple</w:t>
      </w:r>
      <w:r>
        <w:rPr>
          <w:rFonts w:ascii="Times New Roman"/>
          <w:spacing w:val="-3"/>
          <w:sz w:val="24"/>
        </w:rPr>
        <w:t> </w:t>
      </w:r>
      <w:r>
        <w:rPr>
          <w:rFonts w:ascii="Times New Roman"/>
          <w:sz w:val="24"/>
        </w:rPr>
        <w:t>truth</w:t>
      </w:r>
      <w:r>
        <w:rPr>
          <w:rFonts w:ascii="Times New Roman"/>
          <w:spacing w:val="-7"/>
          <w:sz w:val="24"/>
        </w:rPr>
        <w:t> </w:t>
      </w:r>
      <w:r>
        <w:rPr>
          <w:rFonts w:ascii="Times New Roman"/>
          <w:sz w:val="24"/>
        </w:rPr>
        <w:t>emerges:</w:t>
      </w:r>
      <w:r>
        <w:rPr>
          <w:rFonts w:ascii="Times New Roman"/>
          <w:spacing w:val="-2"/>
          <w:sz w:val="24"/>
        </w:rPr>
        <w:t> </w:t>
      </w:r>
      <w:r>
        <w:rPr>
          <w:rFonts w:ascii="Times New Roman"/>
          <w:sz w:val="24"/>
        </w:rPr>
        <w:t>antibiotics breed bacterial resistance, no matter the access routes.</w:t>
      </w:r>
    </w:p>
    <w:p>
      <w:pPr>
        <w:pStyle w:val="BodyText"/>
        <w:rPr>
          <w:rFonts w:ascii="Times New Roman"/>
          <w:sz w:val="24"/>
        </w:rPr>
      </w:pPr>
    </w:p>
    <w:p>
      <w:pPr>
        <w:pStyle w:val="BodyText"/>
        <w:spacing w:before="207"/>
        <w:rPr>
          <w:rFonts w:ascii="Times New Roman"/>
          <w:sz w:val="24"/>
        </w:rPr>
      </w:pPr>
    </w:p>
    <w:p>
      <w:pPr>
        <w:pStyle w:val="Heading2"/>
        <w:numPr>
          <w:ilvl w:val="1"/>
          <w:numId w:val="10"/>
        </w:numPr>
        <w:tabs>
          <w:tab w:pos="1283" w:val="left" w:leader="none"/>
        </w:tabs>
        <w:spacing w:line="242" w:lineRule="auto" w:before="0" w:after="0"/>
        <w:ind w:left="920" w:right="1431" w:firstLine="0"/>
        <w:jc w:val="both"/>
      </w:pPr>
      <w:r>
        <w:rPr/>
        <w:t>PRIMARY</w:t>
      </w:r>
      <w:r>
        <w:rPr>
          <w:spacing w:val="-10"/>
        </w:rPr>
        <w:t> </w:t>
      </w:r>
      <w:r>
        <w:rPr/>
        <w:t>MECHANISMS</w:t>
      </w:r>
      <w:r>
        <w:rPr>
          <w:spacing w:val="-9"/>
        </w:rPr>
        <w:t> </w:t>
      </w:r>
      <w:r>
        <w:rPr/>
        <w:t>OF</w:t>
      </w:r>
      <w:r>
        <w:rPr>
          <w:spacing w:val="-7"/>
        </w:rPr>
        <w:t> </w:t>
      </w:r>
      <w:r>
        <w:rPr/>
        <w:t>ANTIBIOTIC</w:t>
      </w:r>
      <w:r>
        <w:rPr>
          <w:spacing w:val="-6"/>
        </w:rPr>
        <w:t> </w:t>
      </w:r>
      <w:r>
        <w:rPr/>
        <w:t>RESISTANCE</w:t>
      </w:r>
      <w:r>
        <w:rPr>
          <w:spacing w:val="-6"/>
        </w:rPr>
        <w:t> </w:t>
      </w:r>
      <w:r>
        <w:rPr/>
        <w:t>DEVELOPMENT</w:t>
      </w:r>
      <w:r>
        <w:rPr>
          <w:spacing w:val="-6"/>
        </w:rPr>
        <w:t> </w:t>
      </w:r>
      <w:r>
        <w:rPr/>
        <w:t>OF COMMONLY PRESCRIBED ANTIBIOTICS</w:t>
      </w:r>
    </w:p>
    <w:p>
      <w:pPr>
        <w:pStyle w:val="Heading6"/>
        <w:numPr>
          <w:ilvl w:val="2"/>
          <w:numId w:val="10"/>
        </w:numPr>
        <w:tabs>
          <w:tab w:pos="1415" w:val="left" w:leader="none"/>
        </w:tabs>
        <w:spacing w:line="240" w:lineRule="auto" w:before="239" w:after="0"/>
        <w:ind w:left="1415" w:right="0" w:hanging="495"/>
        <w:jc w:val="both"/>
      </w:pPr>
      <w:bookmarkStart w:name="_TOC_250041" w:id="50"/>
      <w:r>
        <w:rPr/>
        <w:t>Beta-</w:t>
      </w:r>
      <w:bookmarkEnd w:id="50"/>
      <w:r>
        <w:rPr>
          <w:spacing w:val="-2"/>
        </w:rPr>
        <w:t>lactams</w:t>
      </w:r>
    </w:p>
    <w:p>
      <w:pPr>
        <w:pStyle w:val="BodyText"/>
        <w:spacing w:before="10"/>
        <w:rPr>
          <w:b/>
        </w:rPr>
      </w:pPr>
    </w:p>
    <w:p>
      <w:pPr>
        <w:pStyle w:val="BodyText"/>
        <w:spacing w:line="480" w:lineRule="auto"/>
        <w:ind w:left="920" w:right="1175"/>
        <w:jc w:val="both"/>
      </w:pPr>
      <w:r>
        <w:rPr/>
        <w:t>Resistance to beta-lactam antibiotics has been reported to be mainly due to inactivation by beta lactamases (Livermore, 1995) and decreased ability to bind to penicillin-binding proteins (Georgeopapadakou, 1993). However, beta-lactam resistance may also be a result of decreased uptake of</w:t>
      </w:r>
      <w:r>
        <w:rPr>
          <w:spacing w:val="20"/>
        </w:rPr>
        <w:t> </w:t>
      </w:r>
      <w:r>
        <w:rPr/>
        <w:t>the</w:t>
      </w:r>
      <w:r>
        <w:rPr>
          <w:spacing w:val="20"/>
        </w:rPr>
        <w:t> </w:t>
      </w:r>
      <w:r>
        <w:rPr/>
        <w:t>drug</w:t>
      </w:r>
      <w:r>
        <w:rPr>
          <w:spacing w:val="21"/>
        </w:rPr>
        <w:t> </w:t>
      </w:r>
      <w:r>
        <w:rPr/>
        <w:t>due</w:t>
      </w:r>
      <w:r>
        <w:rPr>
          <w:spacing w:val="20"/>
        </w:rPr>
        <w:t> </w:t>
      </w:r>
      <w:r>
        <w:rPr/>
        <w:t>to</w:t>
      </w:r>
      <w:r>
        <w:rPr>
          <w:spacing w:val="19"/>
        </w:rPr>
        <w:t> </w:t>
      </w:r>
      <w:r>
        <w:rPr/>
        <w:t>permeability</w:t>
      </w:r>
      <w:r>
        <w:rPr>
          <w:spacing w:val="21"/>
        </w:rPr>
        <w:t> </w:t>
      </w:r>
      <w:r>
        <w:rPr/>
        <w:t>barriers</w:t>
      </w:r>
      <w:r>
        <w:rPr>
          <w:spacing w:val="20"/>
        </w:rPr>
        <w:t> </w:t>
      </w:r>
      <w:r>
        <w:rPr/>
        <w:t>or</w:t>
      </w:r>
      <w:r>
        <w:rPr>
          <w:spacing w:val="20"/>
        </w:rPr>
        <w:t> </w:t>
      </w:r>
      <w:r>
        <w:rPr/>
        <w:t>increased</w:t>
      </w:r>
      <w:r>
        <w:rPr>
          <w:spacing w:val="14"/>
        </w:rPr>
        <w:t> </w:t>
      </w:r>
      <w:r>
        <w:rPr/>
        <w:t>efflux</w:t>
      </w:r>
      <w:r>
        <w:rPr>
          <w:spacing w:val="20"/>
        </w:rPr>
        <w:t> </w:t>
      </w:r>
      <w:r>
        <w:rPr/>
        <w:t>via</w:t>
      </w:r>
      <w:r>
        <w:rPr>
          <w:spacing w:val="15"/>
        </w:rPr>
        <w:t> </w:t>
      </w:r>
      <w:r>
        <w:rPr/>
        <w:t>multidrug</w:t>
      </w:r>
      <w:r>
        <w:rPr>
          <w:spacing w:val="21"/>
        </w:rPr>
        <w:t> </w:t>
      </w:r>
      <w:r>
        <w:rPr/>
        <w:t>transporters</w:t>
      </w:r>
      <w:r>
        <w:rPr>
          <w:spacing w:val="20"/>
        </w:rPr>
        <w:t> </w:t>
      </w:r>
      <w:r>
        <w:rPr/>
        <w:t>(Paulsen</w:t>
      </w:r>
      <w:r>
        <w:rPr>
          <w:spacing w:val="24"/>
        </w:rPr>
        <w:t> </w:t>
      </w:r>
      <w:r>
        <w:rPr>
          <w:i/>
        </w:rPr>
        <w:t>et</w:t>
      </w:r>
      <w:r>
        <w:rPr>
          <w:i/>
          <w:spacing w:val="18"/>
        </w:rPr>
        <w:t> </w:t>
      </w:r>
      <w:r>
        <w:rPr>
          <w:i/>
        </w:rPr>
        <w:t>al</w:t>
      </w:r>
      <w:r>
        <w:rPr/>
        <w:t>.,</w:t>
      </w:r>
    </w:p>
    <w:p>
      <w:pPr>
        <w:spacing w:after="0" w:line="480" w:lineRule="auto"/>
        <w:jc w:val="both"/>
        <w:sectPr>
          <w:pgSz w:w="12240" w:h="15840"/>
          <w:pgMar w:header="0" w:footer="1017" w:top="1360" w:bottom="1200" w:left="520" w:right="260"/>
        </w:sectPr>
      </w:pPr>
    </w:p>
    <w:p>
      <w:pPr>
        <w:pStyle w:val="BodyText"/>
        <w:spacing w:line="480" w:lineRule="auto" w:before="37"/>
        <w:ind w:left="920" w:right="1175"/>
        <w:jc w:val="both"/>
      </w:pPr>
      <w:r>
        <w:rPr/>
        <w:t>1996; Quintiliani </w:t>
      </w:r>
      <w:r>
        <w:rPr>
          <w:i/>
        </w:rPr>
        <w:t>et al</w:t>
      </w:r>
      <w:r>
        <w:rPr/>
        <w:t>., 1999). The inactivation of beta-lactams has been ascribed to cleavage of the amino bond in the beta-lactam ring by a beta lactamase enzyme (Bush </w:t>
      </w:r>
      <w:r>
        <w:rPr>
          <w:i/>
        </w:rPr>
        <w:t>et al</w:t>
      </w:r>
      <w:r>
        <w:rPr/>
        <w:t>., 1995; Livermore, 1995; Bush, 2001; Wiegand, 2003). Genes encoding beta-lactamases has been located on either plasmids or the bacterial chromosome (Aarts </w:t>
      </w:r>
      <w:r>
        <w:rPr>
          <w:i/>
        </w:rPr>
        <w:t>et al</w:t>
      </w:r>
      <w:r>
        <w:rPr/>
        <w:t>.,</w:t>
      </w:r>
      <w:r>
        <w:rPr>
          <w:spacing w:val="-1"/>
        </w:rPr>
        <w:t> </w:t>
      </w:r>
      <w:r>
        <w:rPr/>
        <w:t>2006). Examples of specific</w:t>
      </w:r>
      <w:r>
        <w:rPr>
          <w:spacing w:val="-1"/>
        </w:rPr>
        <w:t> </w:t>
      </w:r>
      <w:r>
        <w:rPr/>
        <w:t>gene variants for the beta-lactamase family in gram negative bacteria include ampC, tem, shv, oxa and ctx-M (Aarts </w:t>
      </w:r>
      <w:r>
        <w:rPr>
          <w:i/>
        </w:rPr>
        <w:t>et al</w:t>
      </w:r>
      <w:r>
        <w:rPr/>
        <w:t>., 2006). Extended spectrum beta-lactamases that play an important role in human medicine have also been described (Bradford, 2001), and the AMR genes for methicillin resistant </w:t>
      </w:r>
      <w:r>
        <w:rPr>
          <w:i/>
        </w:rPr>
        <w:t>Staphylococcus aureus </w:t>
      </w:r>
      <w:r>
        <w:rPr/>
        <w:t>(Aarts </w:t>
      </w:r>
      <w:r>
        <w:rPr>
          <w:i/>
        </w:rPr>
        <w:t>et al</w:t>
      </w:r>
      <w:r>
        <w:rPr/>
        <w:t>., 2006).</w:t>
      </w:r>
    </w:p>
    <w:p>
      <w:pPr>
        <w:pStyle w:val="Heading6"/>
        <w:numPr>
          <w:ilvl w:val="2"/>
          <w:numId w:val="10"/>
        </w:numPr>
        <w:tabs>
          <w:tab w:pos="1415" w:val="left" w:leader="none"/>
        </w:tabs>
        <w:spacing w:line="240" w:lineRule="auto" w:before="238" w:after="0"/>
        <w:ind w:left="1415" w:right="0" w:hanging="495"/>
        <w:jc w:val="both"/>
      </w:pPr>
      <w:bookmarkStart w:name="_TOC_250040" w:id="51"/>
      <w:bookmarkEnd w:id="51"/>
      <w:r>
        <w:rPr>
          <w:spacing w:val="-2"/>
        </w:rPr>
        <w:t>Tetracyclines</w:t>
      </w:r>
    </w:p>
    <w:p>
      <w:pPr>
        <w:pStyle w:val="BodyText"/>
        <w:spacing w:before="241"/>
        <w:rPr>
          <w:b/>
        </w:rPr>
      </w:pPr>
    </w:p>
    <w:p>
      <w:pPr>
        <w:pStyle w:val="BodyText"/>
        <w:spacing w:line="480" w:lineRule="auto"/>
        <w:ind w:left="920" w:right="1176"/>
        <w:jc w:val="both"/>
      </w:pPr>
      <w:r>
        <w:rPr/>
        <w:t>Bacterial resistance to tetracycline has been reported to be as a result of the uptake of new genes (Chopra and Roberts, 2001). There are 23 efflux genes reported to code for energy dependent efflux of tetracyclines,</w:t>
      </w:r>
      <w:r>
        <w:rPr>
          <w:spacing w:val="-1"/>
        </w:rPr>
        <w:t> </w:t>
      </w:r>
      <w:r>
        <w:rPr/>
        <w:t>11 ribosomal protection genes which code for protein that protects bacterial ribosomes,</w:t>
      </w:r>
      <w:r>
        <w:rPr>
          <w:spacing w:val="-1"/>
        </w:rPr>
        <w:t> </w:t>
      </w:r>
      <w:r>
        <w:rPr/>
        <w:t>3 genes that code for enzymes that modify and inactivate tetracycline, and 1 gene that have an unknown mechanism (Schwarz </w:t>
      </w:r>
      <w:r>
        <w:rPr>
          <w:i/>
        </w:rPr>
        <w:t>et al</w:t>
      </w:r>
      <w:r>
        <w:rPr/>
        <w:t>., 2006).</w:t>
      </w:r>
    </w:p>
    <w:p>
      <w:pPr>
        <w:pStyle w:val="BodyText"/>
        <w:spacing w:line="480" w:lineRule="auto" w:before="242"/>
        <w:ind w:left="920" w:right="1175"/>
        <w:jc w:val="both"/>
      </w:pPr>
      <w:r>
        <w:rPr/>
        <w:t>The efflux resistance genes </w:t>
      </w:r>
      <w:r>
        <w:rPr>
          <w:i/>
        </w:rPr>
        <w:t>tet</w:t>
      </w:r>
      <w:r>
        <w:rPr/>
        <w:t>A, </w:t>
      </w:r>
      <w:r>
        <w:rPr>
          <w:i/>
        </w:rPr>
        <w:t>tet</w:t>
      </w:r>
      <w:r>
        <w:rPr/>
        <w:t>B, </w:t>
      </w:r>
      <w:r>
        <w:rPr>
          <w:i/>
        </w:rPr>
        <w:t>tet</w:t>
      </w:r>
      <w:r>
        <w:rPr/>
        <w:t>C, </w:t>
      </w:r>
      <w:r>
        <w:rPr>
          <w:i/>
        </w:rPr>
        <w:t>tet</w:t>
      </w:r>
      <w:r>
        <w:rPr/>
        <w:t>D and </w:t>
      </w:r>
      <w:r>
        <w:rPr>
          <w:i/>
        </w:rPr>
        <w:t>tet</w:t>
      </w:r>
      <w:r>
        <w:rPr/>
        <w:t>H are most wide spread reported for gram negative bacteria and are claimed located on transposons (Allmeier </w:t>
      </w:r>
      <w:r>
        <w:rPr>
          <w:i/>
        </w:rPr>
        <w:t>et al</w:t>
      </w:r>
      <w:r>
        <w:rPr/>
        <w:t>., 1992; Chalmers </w:t>
      </w:r>
      <w:r>
        <w:rPr>
          <w:i/>
        </w:rPr>
        <w:t>et al</w:t>
      </w:r>
      <w:r>
        <w:rPr/>
        <w:t>., 2000) and plasmids (Schwarz </w:t>
      </w:r>
      <w:r>
        <w:rPr>
          <w:i/>
        </w:rPr>
        <w:t>et al</w:t>
      </w:r>
      <w:r>
        <w:rPr/>
        <w:t>., 2006). The </w:t>
      </w:r>
      <w:r>
        <w:rPr>
          <w:i/>
        </w:rPr>
        <w:t>tet</w:t>
      </w:r>
      <w:r>
        <w:rPr/>
        <w:t>B gene confers resistance to both tetracycline and minocylcine, but not to the new glycyclines, while the other efflux proteins confer resistance only to tetracycline</w:t>
      </w:r>
      <w:r>
        <w:rPr>
          <w:spacing w:val="-3"/>
        </w:rPr>
        <w:t> </w:t>
      </w:r>
      <w:r>
        <w:rPr/>
        <w:t>(Chalmers</w:t>
      </w:r>
      <w:r>
        <w:rPr>
          <w:spacing w:val="-2"/>
        </w:rPr>
        <w:t> </w:t>
      </w:r>
      <w:r>
        <w:rPr>
          <w:i/>
        </w:rPr>
        <w:t>et</w:t>
      </w:r>
      <w:r>
        <w:rPr>
          <w:i/>
          <w:spacing w:val="-5"/>
        </w:rPr>
        <w:t> </w:t>
      </w:r>
      <w:r>
        <w:rPr>
          <w:i/>
        </w:rPr>
        <w:t>al</w:t>
      </w:r>
      <w:r>
        <w:rPr/>
        <w:t>.,</w:t>
      </w:r>
      <w:r>
        <w:rPr>
          <w:spacing w:val="-5"/>
        </w:rPr>
        <w:t> </w:t>
      </w:r>
      <w:r>
        <w:rPr/>
        <w:t>2000,</w:t>
      </w:r>
      <w:r>
        <w:rPr>
          <w:spacing w:val="-5"/>
        </w:rPr>
        <w:t> </w:t>
      </w:r>
      <w:r>
        <w:rPr/>
        <w:t>Chopra</w:t>
      </w:r>
      <w:r>
        <w:rPr>
          <w:spacing w:val="-3"/>
        </w:rPr>
        <w:t> </w:t>
      </w:r>
      <w:r>
        <w:rPr/>
        <w:t>and Roberts,</w:t>
      </w:r>
      <w:r>
        <w:rPr>
          <w:spacing w:val="-5"/>
        </w:rPr>
        <w:t> </w:t>
      </w:r>
      <w:r>
        <w:rPr/>
        <w:t>2001).</w:t>
      </w:r>
      <w:r>
        <w:rPr>
          <w:spacing w:val="-1"/>
        </w:rPr>
        <w:t> </w:t>
      </w:r>
      <w:r>
        <w:rPr/>
        <w:t>Resistance</w:t>
      </w:r>
      <w:r>
        <w:rPr>
          <w:spacing w:val="-3"/>
        </w:rPr>
        <w:t> </w:t>
      </w:r>
      <w:r>
        <w:rPr/>
        <w:t>to minocycline</w:t>
      </w:r>
      <w:r>
        <w:rPr>
          <w:spacing w:val="-3"/>
        </w:rPr>
        <w:t> </w:t>
      </w:r>
      <w:r>
        <w:rPr/>
        <w:t>and</w:t>
      </w:r>
      <w:r>
        <w:rPr>
          <w:spacing w:val="-4"/>
        </w:rPr>
        <w:t> </w:t>
      </w:r>
      <w:r>
        <w:rPr/>
        <w:t>glycyclines are relevant as they are newer drugs that play a role in human medicine. The methodologies utilized to identify these different </w:t>
      </w:r>
      <w:r>
        <w:rPr>
          <w:i/>
        </w:rPr>
        <w:t>tet </w:t>
      </w:r>
      <w:r>
        <w:rPr/>
        <w:t>resistance genes have been described (Fech and Scjwarz, 2000; Kehrenberg</w:t>
      </w:r>
      <w:r>
        <w:rPr>
          <w:spacing w:val="40"/>
        </w:rPr>
        <w:t> </w:t>
      </w:r>
      <w:r>
        <w:rPr>
          <w:i/>
        </w:rPr>
        <w:t>et al</w:t>
      </w:r>
      <w:r>
        <w:rPr/>
        <w:t>., 2001; Aminov </w:t>
      </w:r>
      <w:r>
        <w:rPr>
          <w:i/>
        </w:rPr>
        <w:t>et al</w:t>
      </w:r>
      <w:r>
        <w:rPr/>
        <w:t>., 2001; Ng </w:t>
      </w:r>
      <w:r>
        <w:rPr>
          <w:i/>
        </w:rPr>
        <w:t>et al</w:t>
      </w:r>
      <w:r>
        <w:rPr/>
        <w:t>., 2001; Guerra </w:t>
      </w:r>
      <w:r>
        <w:rPr>
          <w:i/>
        </w:rPr>
        <w:t>et al</w:t>
      </w:r>
      <w:r>
        <w:rPr/>
        <w:t>., 2004).</w:t>
      </w:r>
    </w:p>
    <w:p>
      <w:pPr>
        <w:spacing w:after="0" w:line="480" w:lineRule="auto"/>
        <w:jc w:val="both"/>
        <w:sectPr>
          <w:pgSz w:w="12240" w:h="15840"/>
          <w:pgMar w:header="0" w:footer="1017" w:top="1400" w:bottom="1200" w:left="520" w:right="260"/>
        </w:sectPr>
      </w:pPr>
    </w:p>
    <w:p>
      <w:pPr>
        <w:pStyle w:val="BodyText"/>
        <w:spacing w:line="480" w:lineRule="auto" w:before="37"/>
        <w:ind w:left="920" w:right="1176"/>
        <w:jc w:val="both"/>
      </w:pPr>
      <w:r>
        <w:rPr/>
        <w:t>Ribosomal protection genes are a second important way for bacterial resistance to tetracycline development. They have been reported to be of gram positive origin but can also be found in gram negative genera (Schwarz </w:t>
      </w:r>
      <w:r>
        <w:rPr>
          <w:i/>
        </w:rPr>
        <w:t>et al</w:t>
      </w:r>
      <w:r>
        <w:rPr/>
        <w:t>., 2006). An example of a ribosomal protection gene is the </w:t>
      </w:r>
      <w:r>
        <w:rPr>
          <w:i/>
        </w:rPr>
        <w:t>tet</w:t>
      </w:r>
      <w:r>
        <w:rPr/>
        <w:t>M gene which has a wide range of hosts and is located on a conjugative transposon (Flannagan </w:t>
      </w:r>
      <w:r>
        <w:rPr>
          <w:i/>
        </w:rPr>
        <w:t>et al</w:t>
      </w:r>
      <w:r>
        <w:rPr/>
        <w:t>., 1994; Chopra and Roberts, 2001; Salyers </w:t>
      </w:r>
      <w:r>
        <w:rPr>
          <w:i/>
        </w:rPr>
        <w:t>et al</w:t>
      </w:r>
      <w:r>
        <w:rPr/>
        <w:t>., 1995). Other less well described mechanisms of tetracycline resistance include enzymatic inactivation, 16S rRNA mutation, other mutations, and multidrug transporters (Schwarz </w:t>
      </w:r>
      <w:r>
        <w:rPr>
          <w:i/>
        </w:rPr>
        <w:t>et al</w:t>
      </w:r>
      <w:r>
        <w:rPr/>
        <w:t>, 2006).</w:t>
      </w:r>
    </w:p>
    <w:p>
      <w:pPr>
        <w:pStyle w:val="Heading6"/>
        <w:numPr>
          <w:ilvl w:val="2"/>
          <w:numId w:val="10"/>
        </w:numPr>
        <w:tabs>
          <w:tab w:pos="1415" w:val="left" w:leader="none"/>
        </w:tabs>
        <w:spacing w:line="240" w:lineRule="auto" w:before="238" w:after="0"/>
        <w:ind w:left="1415" w:right="0" w:hanging="495"/>
        <w:jc w:val="both"/>
      </w:pPr>
      <w:r>
        <w:rPr/>
        <w:t>Quinolones</w:t>
      </w:r>
      <w:r>
        <w:rPr>
          <w:spacing w:val="-3"/>
        </w:rPr>
        <w:t> </w:t>
      </w:r>
      <w:r>
        <w:rPr/>
        <w:t>and</w:t>
      </w:r>
      <w:r>
        <w:rPr>
          <w:spacing w:val="-1"/>
        </w:rPr>
        <w:t> </w:t>
      </w:r>
      <w:r>
        <w:rPr>
          <w:spacing w:val="-2"/>
        </w:rPr>
        <w:t>Fluoroquinolones</w:t>
      </w:r>
    </w:p>
    <w:p>
      <w:pPr>
        <w:pStyle w:val="BodyText"/>
        <w:spacing w:before="241"/>
        <w:rPr>
          <w:b/>
        </w:rPr>
      </w:pPr>
    </w:p>
    <w:p>
      <w:pPr>
        <w:pStyle w:val="BodyText"/>
        <w:spacing w:line="480" w:lineRule="auto"/>
        <w:ind w:left="920" w:right="1171"/>
        <w:jc w:val="both"/>
      </w:pPr>
      <w:r>
        <w:rPr/>
        <w:t>Quinolones and fluoroquinolones are potent inhibitors of bacterial DNA replication (Schwarz </w:t>
      </w:r>
      <w:r>
        <w:rPr>
          <w:i/>
        </w:rPr>
        <w:t>et al</w:t>
      </w:r>
      <w:r>
        <w:rPr/>
        <w:t>., 2006). The two major mechanisms of bacterial resistance development to fluorquinolone antibiotics have been reported to be by point mutations and decreased intracellular accumulation (Schwarz </w:t>
      </w:r>
      <w:r>
        <w:rPr>
          <w:i/>
        </w:rPr>
        <w:t>et al</w:t>
      </w:r>
      <w:r>
        <w:rPr/>
        <w:t>., 2006).</w:t>
      </w:r>
      <w:r>
        <w:rPr>
          <w:spacing w:val="-1"/>
        </w:rPr>
        <w:t> </w:t>
      </w:r>
      <w:r>
        <w:rPr/>
        <w:t>Several</w:t>
      </w:r>
      <w:r>
        <w:rPr>
          <w:spacing w:val="3"/>
        </w:rPr>
        <w:t> </w:t>
      </w:r>
      <w:r>
        <w:rPr/>
        <w:t>recent</w:t>
      </w:r>
      <w:r>
        <w:rPr>
          <w:spacing w:val="-1"/>
        </w:rPr>
        <w:t> </w:t>
      </w:r>
      <w:r>
        <w:rPr/>
        <w:t>reviews deal</w:t>
      </w:r>
      <w:r>
        <w:rPr>
          <w:spacing w:val="3"/>
        </w:rPr>
        <w:t> </w:t>
      </w:r>
      <w:r>
        <w:rPr/>
        <w:t>with the molecular</w:t>
      </w:r>
      <w:r>
        <w:rPr>
          <w:spacing w:val="-4"/>
        </w:rPr>
        <w:t> </w:t>
      </w:r>
      <w:r>
        <w:rPr/>
        <w:t>basis</w:t>
      </w:r>
      <w:r>
        <w:rPr>
          <w:spacing w:val="1"/>
        </w:rPr>
        <w:t> </w:t>
      </w:r>
      <w:r>
        <w:rPr/>
        <w:t>and epidemiology</w:t>
      </w:r>
      <w:r>
        <w:rPr>
          <w:spacing w:val="1"/>
        </w:rPr>
        <w:t> </w:t>
      </w:r>
      <w:r>
        <w:rPr/>
        <w:t>of</w:t>
      </w:r>
      <w:r>
        <w:rPr>
          <w:spacing w:val="-1"/>
        </w:rPr>
        <w:t> </w:t>
      </w:r>
      <w:r>
        <w:rPr/>
        <w:t>quinolone</w:t>
      </w:r>
      <w:r>
        <w:rPr>
          <w:spacing w:val="1"/>
        </w:rPr>
        <w:t> </w:t>
      </w:r>
      <w:r>
        <w:rPr/>
        <w:t>resistance</w:t>
      </w:r>
      <w:r>
        <w:rPr>
          <w:spacing w:val="6"/>
        </w:rPr>
        <w:t> </w:t>
      </w:r>
      <w:r>
        <w:rPr>
          <w:spacing w:val="-5"/>
        </w:rPr>
        <w:t>in</w:t>
      </w:r>
    </w:p>
    <w:p>
      <w:pPr>
        <w:pStyle w:val="BodyText"/>
        <w:spacing w:line="480" w:lineRule="auto" w:before="2"/>
        <w:ind w:left="920" w:right="1181"/>
        <w:jc w:val="both"/>
      </w:pPr>
      <w:r>
        <w:rPr>
          <w:i/>
        </w:rPr>
        <w:t>E. coli </w:t>
      </w:r>
      <w:r>
        <w:rPr/>
        <w:t>and </w:t>
      </w:r>
      <w:r>
        <w:rPr>
          <w:i/>
        </w:rPr>
        <w:t>Salmonella species </w:t>
      </w:r>
      <w:r>
        <w:rPr/>
        <w:t>of animal origin (Drlica and Zhao, 1997; Everett and Piddock, 1998; Hooper, 1999; Bager and Helmuth, 2001; Cloeckaert and Chaslus-Dancla, 2001; Webber and Piddock, 2001; Ruiz, 2003).</w:t>
      </w:r>
    </w:p>
    <w:p>
      <w:pPr>
        <w:pStyle w:val="BodyText"/>
        <w:spacing w:line="480" w:lineRule="auto" w:before="236"/>
        <w:ind w:left="920" w:right="1172"/>
        <w:jc w:val="both"/>
      </w:pPr>
      <w:r>
        <w:rPr/>
        <w:t>Briefly, point mutations in the target genes </w:t>
      </w:r>
      <w:r>
        <w:rPr>
          <w:i/>
        </w:rPr>
        <w:t>gyr</w:t>
      </w:r>
      <w:r>
        <w:rPr/>
        <w:t>A and </w:t>
      </w:r>
      <w:r>
        <w:rPr>
          <w:i/>
        </w:rPr>
        <w:t>gyr</w:t>
      </w:r>
      <w:r>
        <w:rPr/>
        <w:t>B coding for DNA gyrase and or for </w:t>
      </w:r>
      <w:r>
        <w:rPr>
          <w:i/>
        </w:rPr>
        <w:t>par</w:t>
      </w:r>
      <w:r>
        <w:rPr/>
        <w:t>C and </w:t>
      </w:r>
      <w:r>
        <w:rPr>
          <w:i/>
        </w:rPr>
        <w:t>par</w:t>
      </w:r>
      <w:r>
        <w:rPr/>
        <w:t>E</w:t>
      </w:r>
      <w:r>
        <w:rPr>
          <w:spacing w:val="-4"/>
        </w:rPr>
        <w:t> </w:t>
      </w:r>
      <w:r>
        <w:rPr/>
        <w:t>coding for</w:t>
      </w:r>
      <w:r>
        <w:rPr>
          <w:spacing w:val="-2"/>
        </w:rPr>
        <w:t> </w:t>
      </w:r>
      <w:r>
        <w:rPr/>
        <w:t>DNA topoismerase</w:t>
      </w:r>
      <w:r>
        <w:rPr>
          <w:spacing w:val="-2"/>
        </w:rPr>
        <w:t> </w:t>
      </w:r>
      <w:r>
        <w:rPr/>
        <w:t>IV</w:t>
      </w:r>
      <w:r>
        <w:rPr>
          <w:spacing w:val="-2"/>
        </w:rPr>
        <w:t> </w:t>
      </w:r>
      <w:r>
        <w:rPr/>
        <w:t>are</w:t>
      </w:r>
      <w:r>
        <w:rPr>
          <w:spacing w:val="-2"/>
        </w:rPr>
        <w:t> </w:t>
      </w:r>
      <w:r>
        <w:rPr/>
        <w:t>frequent</w:t>
      </w:r>
      <w:r>
        <w:rPr>
          <w:spacing w:val="-4"/>
        </w:rPr>
        <w:t> </w:t>
      </w:r>
      <w:r>
        <w:rPr/>
        <w:t>in</w:t>
      </w:r>
      <w:r>
        <w:rPr>
          <w:spacing w:val="-3"/>
        </w:rPr>
        <w:t> </w:t>
      </w:r>
      <w:r>
        <w:rPr/>
        <w:t>quinolone</w:t>
      </w:r>
      <w:r>
        <w:rPr>
          <w:spacing w:val="-2"/>
        </w:rPr>
        <w:t> </w:t>
      </w:r>
      <w:r>
        <w:rPr/>
        <w:t>and</w:t>
      </w:r>
      <w:r>
        <w:rPr>
          <w:spacing w:val="-3"/>
        </w:rPr>
        <w:t> </w:t>
      </w:r>
      <w:r>
        <w:rPr/>
        <w:t>fluoroquinolone</w:t>
      </w:r>
      <w:r>
        <w:rPr>
          <w:spacing w:val="-2"/>
        </w:rPr>
        <w:t> </w:t>
      </w:r>
      <w:r>
        <w:rPr/>
        <w:t>resistance</w:t>
      </w:r>
      <w:r>
        <w:rPr>
          <w:spacing w:val="-2"/>
        </w:rPr>
        <w:t> </w:t>
      </w:r>
      <w:r>
        <w:rPr/>
        <w:t>(Schwarz </w:t>
      </w:r>
      <w:r>
        <w:rPr>
          <w:i/>
        </w:rPr>
        <w:t>et al</w:t>
      </w:r>
      <w:r>
        <w:rPr/>
        <w:t>., 2006). Detection of these point</w:t>
      </w:r>
      <w:r>
        <w:rPr>
          <w:spacing w:val="-1"/>
        </w:rPr>
        <w:t> </w:t>
      </w:r>
      <w:r>
        <w:rPr/>
        <w:t>mutations in the region of the </w:t>
      </w:r>
      <w:r>
        <w:rPr>
          <w:i/>
        </w:rPr>
        <w:t>gyr</w:t>
      </w:r>
      <w:r>
        <w:rPr/>
        <w:t>A,</w:t>
      </w:r>
      <w:r>
        <w:rPr>
          <w:spacing w:val="-2"/>
        </w:rPr>
        <w:t> </w:t>
      </w:r>
      <w:r>
        <w:rPr>
          <w:i/>
        </w:rPr>
        <w:t>gyr</w:t>
      </w:r>
      <w:r>
        <w:rPr/>
        <w:t>B, or </w:t>
      </w:r>
      <w:r>
        <w:rPr>
          <w:i/>
        </w:rPr>
        <w:t>par</w:t>
      </w:r>
      <w:r>
        <w:rPr/>
        <w:t>C and </w:t>
      </w:r>
      <w:r>
        <w:rPr>
          <w:i/>
        </w:rPr>
        <w:t>par</w:t>
      </w:r>
      <w:r>
        <w:rPr/>
        <w:t>E genes can be accomplished through PCR (Aarts </w:t>
      </w:r>
      <w:r>
        <w:rPr>
          <w:i/>
        </w:rPr>
        <w:t>et al</w:t>
      </w:r>
      <w:r>
        <w:rPr/>
        <w:t>., 2006) while microarrays have been used to assess multidrug efflux systems. Resistance genes associated with multidrug efflux pumps vary depending on the organism</w:t>
      </w:r>
      <w:r>
        <w:rPr>
          <w:spacing w:val="-3"/>
        </w:rPr>
        <w:t> </w:t>
      </w:r>
      <w:r>
        <w:rPr/>
        <w:t>involved</w:t>
      </w:r>
      <w:r>
        <w:rPr>
          <w:spacing w:val="-5"/>
        </w:rPr>
        <w:t> </w:t>
      </w:r>
      <w:r>
        <w:rPr/>
        <w:t>(Schwarz </w:t>
      </w:r>
      <w:r>
        <w:rPr>
          <w:i/>
        </w:rPr>
        <w:t>et</w:t>
      </w:r>
      <w:r>
        <w:rPr>
          <w:i/>
          <w:spacing w:val="-6"/>
        </w:rPr>
        <w:t> </w:t>
      </w:r>
      <w:r>
        <w:rPr>
          <w:i/>
        </w:rPr>
        <w:t>al</w:t>
      </w:r>
      <w:r>
        <w:rPr/>
        <w:t>.,</w:t>
      </w:r>
      <w:r>
        <w:rPr>
          <w:spacing w:val="-2"/>
        </w:rPr>
        <w:t> </w:t>
      </w:r>
      <w:r>
        <w:rPr/>
        <w:t>2006) and they</w:t>
      </w:r>
      <w:r>
        <w:rPr>
          <w:spacing w:val="-3"/>
        </w:rPr>
        <w:t> </w:t>
      </w:r>
      <w:r>
        <w:rPr/>
        <w:t>may</w:t>
      </w:r>
      <w:r>
        <w:rPr>
          <w:spacing w:val="-3"/>
        </w:rPr>
        <w:t> </w:t>
      </w:r>
      <w:r>
        <w:rPr/>
        <w:t>lead to</w:t>
      </w:r>
      <w:r>
        <w:rPr>
          <w:spacing w:val="-1"/>
        </w:rPr>
        <w:t> </w:t>
      </w:r>
      <w:r>
        <w:rPr/>
        <w:t>high</w:t>
      </w:r>
      <w:r>
        <w:rPr>
          <w:spacing w:val="-5"/>
        </w:rPr>
        <w:t> </w:t>
      </w:r>
      <w:r>
        <w:rPr/>
        <w:t>levels</w:t>
      </w:r>
      <w:r>
        <w:rPr>
          <w:spacing w:val="-4"/>
        </w:rPr>
        <w:t> </w:t>
      </w:r>
      <w:r>
        <w:rPr/>
        <w:t>of resistance to</w:t>
      </w:r>
      <w:r>
        <w:rPr>
          <w:spacing w:val="-1"/>
        </w:rPr>
        <w:t> </w:t>
      </w:r>
      <w:r>
        <w:rPr/>
        <w:t>quinolones and</w:t>
      </w:r>
      <w:r>
        <w:rPr>
          <w:spacing w:val="-1"/>
        </w:rPr>
        <w:t> </w:t>
      </w:r>
      <w:r>
        <w:rPr/>
        <w:t>other antibiotics where</w:t>
      </w:r>
      <w:r>
        <w:rPr>
          <w:spacing w:val="-4"/>
        </w:rPr>
        <w:t> </w:t>
      </w:r>
      <w:r>
        <w:rPr/>
        <w:t>multidrug</w:t>
      </w:r>
      <w:r>
        <w:rPr>
          <w:spacing w:val="-2"/>
        </w:rPr>
        <w:t> </w:t>
      </w:r>
      <w:r>
        <w:rPr/>
        <w:t>efflux</w:t>
      </w:r>
      <w:r>
        <w:rPr>
          <w:spacing w:val="-4"/>
        </w:rPr>
        <w:t> </w:t>
      </w:r>
      <w:r>
        <w:rPr/>
        <w:t>pumps and</w:t>
      </w:r>
      <w:r>
        <w:rPr>
          <w:spacing w:val="-1"/>
        </w:rPr>
        <w:t> </w:t>
      </w:r>
      <w:r>
        <w:rPr/>
        <w:t>decreased</w:t>
      </w:r>
      <w:r>
        <w:rPr>
          <w:spacing w:val="-1"/>
        </w:rPr>
        <w:t> </w:t>
      </w:r>
      <w:r>
        <w:rPr/>
        <w:t>membrane permeability are</w:t>
      </w:r>
      <w:r>
        <w:rPr>
          <w:spacing w:val="-3"/>
        </w:rPr>
        <w:t> </w:t>
      </w:r>
      <w:r>
        <w:rPr/>
        <w:t>involved (Lee</w:t>
      </w:r>
      <w:r>
        <w:rPr>
          <w:spacing w:val="40"/>
        </w:rPr>
        <w:t> </w:t>
      </w:r>
      <w:r>
        <w:rPr>
          <w:i/>
        </w:rPr>
        <w:t>et</w:t>
      </w:r>
      <w:r>
        <w:rPr>
          <w:i/>
          <w:spacing w:val="40"/>
        </w:rPr>
        <w:t> </w:t>
      </w:r>
      <w:r>
        <w:rPr>
          <w:i/>
        </w:rPr>
        <w:t>al</w:t>
      </w:r>
      <w:r>
        <w:rPr/>
        <w:t>.,</w:t>
      </w:r>
      <w:r>
        <w:rPr>
          <w:spacing w:val="40"/>
        </w:rPr>
        <w:t> </w:t>
      </w:r>
      <w:r>
        <w:rPr/>
        <w:t>2000).</w:t>
      </w:r>
      <w:r>
        <w:rPr>
          <w:spacing w:val="40"/>
        </w:rPr>
        <w:t> </w:t>
      </w:r>
      <w:r>
        <w:rPr/>
        <w:t>Quinolone</w:t>
      </w:r>
      <w:r>
        <w:rPr>
          <w:spacing w:val="40"/>
        </w:rPr>
        <w:t> </w:t>
      </w:r>
      <w:r>
        <w:rPr/>
        <w:t>and</w:t>
      </w:r>
      <w:r>
        <w:rPr>
          <w:spacing w:val="40"/>
        </w:rPr>
        <w:t> </w:t>
      </w:r>
      <w:r>
        <w:rPr/>
        <w:t>fluorquinolone</w:t>
      </w:r>
      <w:r>
        <w:rPr>
          <w:spacing w:val="40"/>
        </w:rPr>
        <w:t> </w:t>
      </w:r>
      <w:r>
        <w:rPr/>
        <w:t>resistance</w:t>
      </w:r>
      <w:r>
        <w:rPr>
          <w:spacing w:val="40"/>
        </w:rPr>
        <w:t> </w:t>
      </w:r>
      <w:r>
        <w:rPr/>
        <w:t>has</w:t>
      </w:r>
      <w:r>
        <w:rPr>
          <w:spacing w:val="40"/>
        </w:rPr>
        <w:t> </w:t>
      </w:r>
      <w:r>
        <w:rPr/>
        <w:t>also</w:t>
      </w:r>
      <w:r>
        <w:rPr>
          <w:spacing w:val="40"/>
        </w:rPr>
        <w:t> </w:t>
      </w:r>
      <w:r>
        <w:rPr/>
        <w:t>been</w:t>
      </w:r>
      <w:r>
        <w:rPr>
          <w:spacing w:val="40"/>
        </w:rPr>
        <w:t> </w:t>
      </w:r>
      <w:r>
        <w:rPr/>
        <w:t>reported</w:t>
      </w:r>
      <w:r>
        <w:rPr>
          <w:spacing w:val="40"/>
        </w:rPr>
        <w:t> </w:t>
      </w:r>
      <w:r>
        <w:rPr/>
        <w:t>to</w:t>
      </w:r>
      <w:r>
        <w:rPr>
          <w:spacing w:val="40"/>
        </w:rPr>
        <w:t> </w:t>
      </w:r>
      <w:r>
        <w:rPr/>
        <w:t>result</w:t>
      </w:r>
      <w:r>
        <w:rPr>
          <w:spacing w:val="40"/>
        </w:rPr>
        <w:t> </w:t>
      </w:r>
      <w:r>
        <w:rPr/>
        <w:t>from</w:t>
      </w:r>
    </w:p>
    <w:p>
      <w:pPr>
        <w:spacing w:after="0" w:line="480" w:lineRule="auto"/>
        <w:jc w:val="both"/>
        <w:sectPr>
          <w:pgSz w:w="12240" w:h="15840"/>
          <w:pgMar w:header="0" w:footer="1017" w:top="1400" w:bottom="1200" w:left="520" w:right="260"/>
        </w:sectPr>
      </w:pPr>
    </w:p>
    <w:p>
      <w:pPr>
        <w:pStyle w:val="BodyText"/>
        <w:spacing w:line="480" w:lineRule="auto" w:before="37"/>
        <w:ind w:left="920" w:right="1177"/>
        <w:jc w:val="both"/>
      </w:pPr>
      <w:r>
        <w:rPr/>
        <w:t>interaction between different resistance mechanisms, decreased drug uptake and DNA gyrase</w:t>
      </w:r>
      <w:r>
        <w:rPr>
          <w:spacing w:val="40"/>
        </w:rPr>
        <w:t> </w:t>
      </w:r>
      <w:r>
        <w:rPr/>
        <w:t>protection (Schwarz </w:t>
      </w:r>
      <w:r>
        <w:rPr>
          <w:i/>
        </w:rPr>
        <w:t>et al</w:t>
      </w:r>
      <w:r>
        <w:rPr/>
        <w:t>., 2006)</w:t>
      </w:r>
    </w:p>
    <w:p>
      <w:pPr>
        <w:pStyle w:val="Heading6"/>
        <w:numPr>
          <w:ilvl w:val="2"/>
          <w:numId w:val="10"/>
        </w:numPr>
        <w:tabs>
          <w:tab w:pos="1415" w:val="left" w:leader="none"/>
        </w:tabs>
        <w:spacing w:line="240" w:lineRule="auto" w:before="241" w:after="0"/>
        <w:ind w:left="1415" w:right="0" w:hanging="495"/>
        <w:jc w:val="both"/>
      </w:pPr>
      <w:bookmarkStart w:name="_TOC_250039" w:id="52"/>
      <w:r>
        <w:rPr/>
        <w:t>Aminoglycosides</w:t>
      </w:r>
      <w:r>
        <w:rPr>
          <w:spacing w:val="-5"/>
        </w:rPr>
        <w:t> </w:t>
      </w:r>
      <w:r>
        <w:rPr/>
        <w:t>and</w:t>
      </w:r>
      <w:r>
        <w:rPr>
          <w:spacing w:val="-3"/>
        </w:rPr>
        <w:t> </w:t>
      </w:r>
      <w:bookmarkEnd w:id="52"/>
      <w:r>
        <w:rPr>
          <w:spacing w:val="-2"/>
        </w:rPr>
        <w:t>Aminocyclitols</w:t>
      </w:r>
    </w:p>
    <w:p>
      <w:pPr>
        <w:pStyle w:val="BodyText"/>
        <w:spacing w:before="240"/>
        <w:rPr>
          <w:b/>
        </w:rPr>
      </w:pPr>
    </w:p>
    <w:p>
      <w:pPr>
        <w:pStyle w:val="BodyText"/>
        <w:spacing w:line="480" w:lineRule="auto"/>
        <w:ind w:left="920" w:right="1174"/>
        <w:jc w:val="both"/>
      </w:pPr>
      <w:r>
        <w:rPr/>
        <w:t>The main mechanism for aminoglycoside resistance has been reported to be by enzymatic inactivation (Shaw </w:t>
      </w:r>
      <w:r>
        <w:rPr>
          <w:i/>
        </w:rPr>
        <w:t>et al</w:t>
      </w:r>
      <w:r>
        <w:rPr/>
        <w:t>., 1993; Mingeot-Leclercq </w:t>
      </w:r>
      <w:r>
        <w:rPr>
          <w:i/>
        </w:rPr>
        <w:t>et al</w:t>
      </w:r>
      <w:r>
        <w:rPr/>
        <w:t>., 1999), but reduced uptake and chromosomal mutations conferring high levels of resistance to streptomycin have also been described (Quintiliani </w:t>
      </w:r>
      <w:r>
        <w:rPr>
          <w:i/>
        </w:rPr>
        <w:t>et al</w:t>
      </w:r>
      <w:r>
        <w:rPr/>
        <w:t>., 1999). Aminoglycoside resistance has been reported mediated by more than 50 aminoglycoside modifying enzymes that are classified as either aminoglycosiden acetyltransferases (</w:t>
      </w:r>
      <w:r>
        <w:rPr>
          <w:i/>
        </w:rPr>
        <w:t>aac</w:t>
      </w:r>
      <w:r>
        <w:rPr/>
        <w:t>), aminoglycoside adenyltransferases (</w:t>
      </w:r>
      <w:r>
        <w:rPr>
          <w:i/>
        </w:rPr>
        <w:t>aad </w:t>
      </w:r>
      <w:r>
        <w:rPr/>
        <w:t>or </w:t>
      </w:r>
      <w:r>
        <w:rPr>
          <w:i/>
        </w:rPr>
        <w:t>ant</w:t>
      </w:r>
      <w:r>
        <w:rPr/>
        <w:t>), and aminoglycoside phosphotransferases (</w:t>
      </w:r>
      <w:r>
        <w:rPr>
          <w:i/>
        </w:rPr>
        <w:t>aph</w:t>
      </w:r>
      <w:r>
        <w:rPr/>
        <w:t>) (Shaw </w:t>
      </w:r>
      <w:r>
        <w:rPr>
          <w:i/>
        </w:rPr>
        <w:t>et al</w:t>
      </w:r>
      <w:r>
        <w:rPr/>
        <w:t>., 1993, Mingeot-Leclercq </w:t>
      </w:r>
      <w:r>
        <w:rPr>
          <w:i/>
        </w:rPr>
        <w:t>et al</w:t>
      </w:r>
      <w:r>
        <w:rPr/>
        <w:t>., 1999, Aarts </w:t>
      </w:r>
      <w:r>
        <w:rPr>
          <w:i/>
        </w:rPr>
        <w:t>et al</w:t>
      </w:r>
      <w:r>
        <w:rPr/>
        <w:t>., 2006). Most </w:t>
      </w:r>
      <w:r>
        <w:rPr>
          <w:i/>
        </w:rPr>
        <w:t>aac, </w:t>
      </w:r>
      <w:r>
        <w:rPr/>
        <w:t>ant and </w:t>
      </w:r>
      <w:r>
        <w:rPr>
          <w:i/>
        </w:rPr>
        <w:t>aph </w:t>
      </w:r>
      <w:r>
        <w:rPr/>
        <w:t>genes are located on mobile genetic elements such as plasmids, transposons, or gene cassettes (Shaw </w:t>
      </w:r>
      <w:r>
        <w:rPr>
          <w:i/>
        </w:rPr>
        <w:t>et al</w:t>
      </w:r>
      <w:r>
        <w:rPr/>
        <w:t>., 1993; Recchia and Hall, 1995; Davies and Wright, 1997; Mingeot-Leclercq </w:t>
      </w:r>
      <w:r>
        <w:rPr>
          <w:i/>
        </w:rPr>
        <w:t>et al</w:t>
      </w:r>
      <w:r>
        <w:rPr/>
        <w:t>., 1999; Sandvang and Aarestrup, 1997). The modifications of aminoglycosides and aminocyclitols by inactivating enzymes have been described in detail in various reviews (Shaw </w:t>
      </w:r>
      <w:r>
        <w:rPr>
          <w:i/>
        </w:rPr>
        <w:t>et al</w:t>
      </w:r>
      <w:r>
        <w:rPr/>
        <w:t>., 1993, Davies and Wright, 1997).</w:t>
      </w:r>
    </w:p>
    <w:p>
      <w:pPr>
        <w:pStyle w:val="Heading6"/>
        <w:numPr>
          <w:ilvl w:val="2"/>
          <w:numId w:val="10"/>
        </w:numPr>
        <w:tabs>
          <w:tab w:pos="1415" w:val="left" w:leader="none"/>
        </w:tabs>
        <w:spacing w:line="240" w:lineRule="auto" w:before="241" w:after="0"/>
        <w:ind w:left="1415" w:right="0" w:hanging="495"/>
        <w:jc w:val="both"/>
      </w:pPr>
      <w:bookmarkStart w:name="_TOC_250038" w:id="53"/>
      <w:r>
        <w:rPr/>
        <w:t>Chloramphenicol</w:t>
      </w:r>
      <w:r>
        <w:rPr>
          <w:spacing w:val="-5"/>
        </w:rPr>
        <w:t> </w:t>
      </w:r>
      <w:r>
        <w:rPr/>
        <w:t>and</w:t>
      </w:r>
      <w:bookmarkEnd w:id="53"/>
      <w:r>
        <w:rPr>
          <w:spacing w:val="-2"/>
        </w:rPr>
        <w:t> Florfenicol</w:t>
      </w:r>
    </w:p>
    <w:p>
      <w:pPr>
        <w:pStyle w:val="BodyText"/>
        <w:spacing w:before="235"/>
        <w:rPr>
          <w:b/>
        </w:rPr>
      </w:pPr>
    </w:p>
    <w:p>
      <w:pPr>
        <w:pStyle w:val="BodyText"/>
        <w:spacing w:line="480" w:lineRule="auto"/>
        <w:ind w:left="920" w:right="1176"/>
        <w:jc w:val="both"/>
      </w:pPr>
      <w:r>
        <w:rPr/>
        <w:t>Both enzymatic and non-enzymatic chloramphenicol and florfenicol resistance genes have been described (Aarts </w:t>
      </w:r>
      <w:r>
        <w:rPr>
          <w:i/>
        </w:rPr>
        <w:t>et al</w:t>
      </w:r>
      <w:r>
        <w:rPr/>
        <w:t>., 2006), but enzymatic inactivation has been reported to be the predominant method (Murray and Shaw,</w:t>
      </w:r>
      <w:r>
        <w:rPr>
          <w:spacing w:val="-1"/>
        </w:rPr>
        <w:t> </w:t>
      </w:r>
      <w:r>
        <w:rPr/>
        <w:t>1997; Schwarz </w:t>
      </w:r>
      <w:r>
        <w:rPr>
          <w:i/>
        </w:rPr>
        <w:t>et al</w:t>
      </w:r>
      <w:r>
        <w:rPr/>
        <w:t>.,</w:t>
      </w:r>
      <w:r>
        <w:rPr>
          <w:spacing w:val="-1"/>
        </w:rPr>
        <w:t> </w:t>
      </w:r>
      <w:r>
        <w:rPr/>
        <w:t>2004) of resistance development. Enzymatic</w:t>
      </w:r>
      <w:r>
        <w:rPr>
          <w:spacing w:val="-1"/>
        </w:rPr>
        <w:t> </w:t>
      </w:r>
      <w:r>
        <w:rPr/>
        <w:t>resistance genes primarily encoding acetyltranfereases are reported to be the </w:t>
      </w:r>
      <w:r>
        <w:rPr>
          <w:i/>
        </w:rPr>
        <w:t>cat </w:t>
      </w:r>
      <w:r>
        <w:rPr/>
        <w:t>genes (Aarts </w:t>
      </w:r>
      <w:r>
        <w:rPr>
          <w:i/>
        </w:rPr>
        <w:t>et al</w:t>
      </w:r>
      <w:r>
        <w:rPr/>
        <w:t>., 2006). Non- enzymatic gene coding for bacterial resistance against chloramphenicol and florfenicol include the </w:t>
      </w:r>
      <w:r>
        <w:rPr>
          <w:i/>
        </w:rPr>
        <w:t>cml </w:t>
      </w:r>
      <w:r>
        <w:rPr/>
        <w:t>genes on transposon TN1696 and the </w:t>
      </w:r>
      <w:r>
        <w:rPr>
          <w:i/>
        </w:rPr>
        <w:t>flo</w:t>
      </w:r>
      <w:r>
        <w:rPr/>
        <w:t>R gene (Aarts </w:t>
      </w:r>
      <w:r>
        <w:rPr>
          <w:i/>
        </w:rPr>
        <w:t>et al</w:t>
      </w:r>
      <w:r>
        <w:rPr/>
        <w:t>., 2006). Efflux systems conferring resistance to</w:t>
      </w:r>
      <w:r>
        <w:rPr>
          <w:spacing w:val="-5"/>
        </w:rPr>
        <w:t> </w:t>
      </w:r>
      <w:r>
        <w:rPr/>
        <w:t>chloramphenicol</w:t>
      </w:r>
      <w:r>
        <w:rPr>
          <w:spacing w:val="2"/>
        </w:rPr>
        <w:t> </w:t>
      </w:r>
      <w:r>
        <w:rPr/>
        <w:t>alone or</w:t>
      </w:r>
      <w:r>
        <w:rPr>
          <w:spacing w:val="-5"/>
        </w:rPr>
        <w:t> </w:t>
      </w:r>
      <w:r>
        <w:rPr/>
        <w:t>in</w:t>
      </w:r>
      <w:r>
        <w:rPr>
          <w:spacing w:val="-2"/>
        </w:rPr>
        <w:t> </w:t>
      </w:r>
      <w:r>
        <w:rPr/>
        <w:t>combination</w:t>
      </w:r>
      <w:r>
        <w:rPr>
          <w:spacing w:val="-1"/>
        </w:rPr>
        <w:t> </w:t>
      </w:r>
      <w:r>
        <w:rPr/>
        <w:t>with</w:t>
      </w:r>
      <w:r>
        <w:rPr>
          <w:spacing w:val="-1"/>
        </w:rPr>
        <w:t> </w:t>
      </w:r>
      <w:r>
        <w:rPr/>
        <w:t>florfenicol</w:t>
      </w:r>
      <w:r>
        <w:rPr>
          <w:spacing w:val="2"/>
        </w:rPr>
        <w:t> </w:t>
      </w:r>
      <w:r>
        <w:rPr/>
        <w:t>(Schwarz </w:t>
      </w:r>
      <w:r>
        <w:rPr>
          <w:i/>
        </w:rPr>
        <w:t>et</w:t>
      </w:r>
      <w:r>
        <w:rPr>
          <w:i/>
          <w:spacing w:val="-2"/>
        </w:rPr>
        <w:t> </w:t>
      </w:r>
      <w:r>
        <w:rPr>
          <w:i/>
        </w:rPr>
        <w:t>al</w:t>
      </w:r>
      <w:r>
        <w:rPr/>
        <w:t>.,</w:t>
      </w:r>
      <w:r>
        <w:rPr>
          <w:spacing w:val="-3"/>
        </w:rPr>
        <w:t> </w:t>
      </w:r>
      <w:r>
        <w:rPr/>
        <w:t>2004),</w:t>
      </w:r>
      <w:r>
        <w:rPr>
          <w:spacing w:val="-3"/>
        </w:rPr>
        <w:t> </w:t>
      </w:r>
      <w:r>
        <w:rPr/>
        <w:t>permeability </w:t>
      </w:r>
      <w:r>
        <w:rPr>
          <w:spacing w:val="-2"/>
        </w:rPr>
        <w:t>barriers,</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and multidrug transporters (Paulsen </w:t>
      </w:r>
      <w:r>
        <w:rPr>
          <w:i/>
        </w:rPr>
        <w:t>et al</w:t>
      </w:r>
      <w:r>
        <w:rPr/>
        <w:t>., 1996, Schwarz </w:t>
      </w:r>
      <w:r>
        <w:rPr>
          <w:i/>
        </w:rPr>
        <w:t>et al</w:t>
      </w:r>
      <w:r>
        <w:rPr/>
        <w:t>., 2004) as well as other minor mechanisms of resistance have also been identified for this class of antibiotics (Schwarz </w:t>
      </w:r>
      <w:r>
        <w:rPr>
          <w:i/>
        </w:rPr>
        <w:t>et al</w:t>
      </w:r>
      <w:r>
        <w:rPr/>
        <w:t>., 2006). Details on different genes and mechanisms for chloramphenicol resistance are available (Schwarz </w:t>
      </w:r>
      <w:r>
        <w:rPr>
          <w:i/>
        </w:rPr>
        <w:t>et al</w:t>
      </w:r>
      <w:r>
        <w:rPr/>
        <w:t>., </w:t>
      </w:r>
      <w:r>
        <w:rPr>
          <w:spacing w:val="-2"/>
        </w:rPr>
        <w:t>2004)</w:t>
      </w:r>
    </w:p>
    <w:p>
      <w:pPr>
        <w:pStyle w:val="Heading6"/>
        <w:numPr>
          <w:ilvl w:val="2"/>
          <w:numId w:val="10"/>
        </w:numPr>
        <w:tabs>
          <w:tab w:pos="1415" w:val="left" w:leader="none"/>
        </w:tabs>
        <w:spacing w:line="240" w:lineRule="auto" w:before="242" w:after="0"/>
        <w:ind w:left="1415" w:right="0" w:hanging="495"/>
        <w:jc w:val="both"/>
      </w:pPr>
      <w:bookmarkStart w:name="_TOC_250037" w:id="54"/>
      <w:r>
        <w:rPr/>
        <w:t>Sulphonamides</w:t>
      </w:r>
      <w:r>
        <w:rPr>
          <w:spacing w:val="-4"/>
        </w:rPr>
        <w:t> </w:t>
      </w:r>
      <w:r>
        <w:rPr/>
        <w:t>and</w:t>
      </w:r>
      <w:bookmarkEnd w:id="54"/>
      <w:r>
        <w:rPr>
          <w:spacing w:val="-2"/>
        </w:rPr>
        <w:t> Trimethoprim</w:t>
      </w:r>
    </w:p>
    <w:p>
      <w:pPr>
        <w:pStyle w:val="BodyText"/>
        <w:spacing w:before="235"/>
        <w:rPr>
          <w:b/>
        </w:rPr>
      </w:pPr>
    </w:p>
    <w:p>
      <w:pPr>
        <w:pStyle w:val="BodyText"/>
        <w:spacing w:line="480" w:lineRule="auto"/>
        <w:ind w:left="920" w:right="1174"/>
        <w:jc w:val="both"/>
      </w:pPr>
      <w:r>
        <w:rPr/>
        <w:t>Sulphonamides and trimethoprim are competitive inhibitors of different enzymatic steps in folate metabolism (Schwarz </w:t>
      </w:r>
      <w:r>
        <w:rPr>
          <w:i/>
        </w:rPr>
        <w:t>et al</w:t>
      </w:r>
      <w:r>
        <w:rPr/>
        <w:t>., 2006). Sulphonamide resistance has been reported due to chromosomal mutations in the dihydropteroate synthase (</w:t>
      </w:r>
      <w:r>
        <w:rPr>
          <w:i/>
        </w:rPr>
        <w:t>fol</w:t>
      </w:r>
      <w:r>
        <w:rPr/>
        <w:t>P) gene or by acquisition of resistant dihydropteroate synthase genes (</w:t>
      </w:r>
      <w:r>
        <w:rPr>
          <w:i/>
        </w:rPr>
        <w:t>sul </w:t>
      </w:r>
      <w:r>
        <w:rPr/>
        <w:t>genes) (Aarts </w:t>
      </w:r>
      <w:r>
        <w:rPr>
          <w:i/>
        </w:rPr>
        <w:t>et al</w:t>
      </w:r>
      <w:r>
        <w:rPr/>
        <w:t>., 2006; Schwarz </w:t>
      </w:r>
      <w:r>
        <w:rPr>
          <w:i/>
        </w:rPr>
        <w:t>et al</w:t>
      </w:r>
      <w:r>
        <w:rPr/>
        <w:t>., 2006). Three </w:t>
      </w:r>
      <w:r>
        <w:rPr>
          <w:i/>
        </w:rPr>
        <w:t>sul </w:t>
      </w:r>
      <w:r>
        <w:rPr/>
        <w:t>genes have been</w:t>
      </w:r>
      <w:r>
        <w:rPr>
          <w:spacing w:val="80"/>
        </w:rPr>
        <w:t> </w:t>
      </w:r>
      <w:r>
        <w:rPr/>
        <w:t>described in</w:t>
      </w:r>
      <w:r>
        <w:rPr>
          <w:spacing w:val="-5"/>
        </w:rPr>
        <w:t> </w:t>
      </w:r>
      <w:r>
        <w:rPr/>
        <w:t>gram negative</w:t>
      </w:r>
      <w:r>
        <w:rPr>
          <w:spacing w:val="-3"/>
        </w:rPr>
        <w:t> </w:t>
      </w:r>
      <w:r>
        <w:rPr/>
        <w:t>bacteria (Swedberg and Skold,</w:t>
      </w:r>
      <w:r>
        <w:rPr>
          <w:spacing w:val="-2"/>
        </w:rPr>
        <w:t> </w:t>
      </w:r>
      <w:r>
        <w:rPr/>
        <w:t>1980;</w:t>
      </w:r>
      <w:r>
        <w:rPr>
          <w:spacing w:val="-1"/>
        </w:rPr>
        <w:t> </w:t>
      </w:r>
      <w:r>
        <w:rPr/>
        <w:t>Radstrom and Swedberg,</w:t>
      </w:r>
      <w:r>
        <w:rPr>
          <w:spacing w:val="-2"/>
        </w:rPr>
        <w:t> </w:t>
      </w:r>
      <w:r>
        <w:rPr/>
        <w:t>1988;</w:t>
      </w:r>
      <w:r>
        <w:rPr>
          <w:spacing w:val="-1"/>
        </w:rPr>
        <w:t> </w:t>
      </w:r>
      <w:r>
        <w:rPr/>
        <w:t>Aarts </w:t>
      </w:r>
      <w:r>
        <w:rPr>
          <w:i/>
        </w:rPr>
        <w:t>et al</w:t>
      </w:r>
      <w:r>
        <w:rPr/>
        <w:t>., 2006). The </w:t>
      </w:r>
      <w:r>
        <w:rPr>
          <w:i/>
        </w:rPr>
        <w:t>sul</w:t>
      </w:r>
      <w:r>
        <w:rPr/>
        <w:t>I gene is associated with class 1 integrons and, therefore, often linked to other</w:t>
      </w:r>
      <w:r>
        <w:rPr>
          <w:spacing w:val="40"/>
        </w:rPr>
        <w:t> </w:t>
      </w:r>
      <w:r>
        <w:rPr/>
        <w:t>bacterial resistance genes. It</w:t>
      </w:r>
      <w:r>
        <w:rPr>
          <w:spacing w:val="-2"/>
        </w:rPr>
        <w:t> </w:t>
      </w:r>
      <w:r>
        <w:rPr/>
        <w:t>has</w:t>
      </w:r>
      <w:r>
        <w:rPr>
          <w:spacing w:val="-5"/>
        </w:rPr>
        <w:t> </w:t>
      </w:r>
      <w:r>
        <w:rPr/>
        <w:t>been</w:t>
      </w:r>
      <w:r>
        <w:rPr>
          <w:spacing w:val="-1"/>
        </w:rPr>
        <w:t> </w:t>
      </w:r>
      <w:r>
        <w:rPr/>
        <w:t>reported</w:t>
      </w:r>
      <w:r>
        <w:rPr>
          <w:spacing w:val="-1"/>
        </w:rPr>
        <w:t> </w:t>
      </w:r>
      <w:r>
        <w:rPr/>
        <w:t>to</w:t>
      </w:r>
      <w:r>
        <w:rPr>
          <w:spacing w:val="-2"/>
        </w:rPr>
        <w:t> </w:t>
      </w:r>
      <w:r>
        <w:rPr/>
        <w:t>be</w:t>
      </w:r>
      <w:r>
        <w:rPr>
          <w:spacing w:val="-5"/>
        </w:rPr>
        <w:t> </w:t>
      </w:r>
      <w:r>
        <w:rPr/>
        <w:t>common</w:t>
      </w:r>
      <w:r>
        <w:rPr>
          <w:spacing w:val="-1"/>
        </w:rPr>
        <w:t> </w:t>
      </w:r>
      <w:r>
        <w:rPr/>
        <w:t>in</w:t>
      </w:r>
      <w:r>
        <w:rPr>
          <w:spacing w:val="-1"/>
        </w:rPr>
        <w:t> </w:t>
      </w:r>
      <w:r>
        <w:rPr/>
        <w:t>gram negative</w:t>
      </w:r>
      <w:r>
        <w:rPr>
          <w:spacing w:val="-4"/>
        </w:rPr>
        <w:t> </w:t>
      </w:r>
      <w:r>
        <w:rPr/>
        <w:t>bacterial</w:t>
      </w:r>
      <w:r>
        <w:rPr>
          <w:spacing w:val="-3"/>
        </w:rPr>
        <w:t> </w:t>
      </w:r>
      <w:r>
        <w:rPr/>
        <w:t>species</w:t>
      </w:r>
      <w:r>
        <w:rPr>
          <w:spacing w:val="-5"/>
        </w:rPr>
        <w:t> </w:t>
      </w:r>
      <w:r>
        <w:rPr/>
        <w:t>as part of transposons or as conjugative plasmids (Sundstrom </w:t>
      </w:r>
      <w:r>
        <w:rPr>
          <w:i/>
        </w:rPr>
        <w:t>et al</w:t>
      </w:r>
      <w:r>
        <w:rPr/>
        <w:t>., 1988). The </w:t>
      </w:r>
      <w:r>
        <w:rPr>
          <w:i/>
        </w:rPr>
        <w:t>sul</w:t>
      </w:r>
      <w:r>
        <w:rPr/>
        <w:t>II gene often occurs with streptomycin resistance genes </w:t>
      </w:r>
      <w:r>
        <w:rPr>
          <w:i/>
        </w:rPr>
        <w:t>str</w:t>
      </w:r>
      <w:r>
        <w:rPr/>
        <w:t>A and </w:t>
      </w:r>
      <w:r>
        <w:rPr>
          <w:i/>
        </w:rPr>
        <w:t>str</w:t>
      </w:r>
      <w:r>
        <w:rPr/>
        <w:t>B on conjugative or nonconjugative plasmids (Radstrom and Swedberg, 1988; Kehrenberg and Schwarz, 2004), while the </w:t>
      </w:r>
      <w:r>
        <w:rPr>
          <w:i/>
        </w:rPr>
        <w:t>sul</w:t>
      </w:r>
      <w:r>
        <w:rPr/>
        <w:t>III gene has been found on conjugative plasmids (Perreten and Boerlin, 2003)</w:t>
      </w:r>
    </w:p>
    <w:p>
      <w:pPr>
        <w:pStyle w:val="BodyText"/>
        <w:spacing w:line="480" w:lineRule="auto" w:before="241"/>
        <w:ind w:left="920" w:right="1177"/>
        <w:jc w:val="both"/>
      </w:pPr>
      <w:r>
        <w:rPr/>
        <w:t>Trimethoprim resistance is primarily mediated by acquisition of </w:t>
      </w:r>
      <w:r>
        <w:rPr>
          <w:i/>
        </w:rPr>
        <w:t>dfr </w:t>
      </w:r>
      <w:r>
        <w:rPr/>
        <w:t>gene encoding resistant dihydrofolate reductase (Aarts </w:t>
      </w:r>
      <w:r>
        <w:rPr>
          <w:i/>
        </w:rPr>
        <w:t>et al</w:t>
      </w:r>
      <w:r>
        <w:rPr/>
        <w:t>., 2006; Schwarz </w:t>
      </w:r>
      <w:r>
        <w:rPr>
          <w:i/>
        </w:rPr>
        <w:t>et al</w:t>
      </w:r>
      <w:r>
        <w:rPr/>
        <w:t>., 2006). Transferable trimethoprim resistance has been identified in a variety of gram negative bacteria and several of these genes are part of</w:t>
      </w:r>
      <w:r>
        <w:rPr>
          <w:spacing w:val="40"/>
        </w:rPr>
        <w:t> </w:t>
      </w:r>
      <w:r>
        <w:rPr/>
        <w:t>plasmids, transposons, or gene cassettes (Recchia and Hall, 1995; Ito </w:t>
      </w:r>
      <w:r>
        <w:rPr>
          <w:i/>
        </w:rPr>
        <w:t>et al</w:t>
      </w:r>
      <w:r>
        <w:rPr/>
        <w:t>., 2004). Other potential mechanisms of trimethoprim resistance for some bacteria include permeability barriers and efflux pumps (Kohler </w:t>
      </w:r>
      <w:r>
        <w:rPr>
          <w:i/>
        </w:rPr>
        <w:t>et al</w:t>
      </w:r>
      <w:r>
        <w:rPr/>
        <w:t>., 1996; Huovinen, 2001) and </w:t>
      </w:r>
      <w:r>
        <w:rPr>
          <w:i/>
        </w:rPr>
        <w:t>dhfr </w:t>
      </w:r>
      <w:r>
        <w:rPr/>
        <w:t>and folate auxotrophy (Quintiliani </w:t>
      </w:r>
      <w:r>
        <w:rPr>
          <w:i/>
        </w:rPr>
        <w:t>et al</w:t>
      </w:r>
      <w:r>
        <w:rPr/>
        <w:t>., 1999). Mutations in chromosomal genes have also been observed (Huovinen, 2001).</w:t>
      </w:r>
    </w:p>
    <w:p>
      <w:pPr>
        <w:spacing w:after="0" w:line="480" w:lineRule="auto"/>
        <w:jc w:val="both"/>
        <w:sectPr>
          <w:pgSz w:w="12240" w:h="15840"/>
          <w:pgMar w:header="0" w:footer="1017" w:top="1400" w:bottom="1200" w:left="520" w:right="260"/>
        </w:sectPr>
      </w:pPr>
    </w:p>
    <w:p>
      <w:pPr>
        <w:pStyle w:val="BodyText"/>
        <w:spacing w:line="480" w:lineRule="auto" w:before="37"/>
        <w:ind w:left="920" w:right="1176"/>
        <w:jc w:val="both"/>
      </w:pPr>
      <w:r>
        <w:rPr/>
        <w:t>These myriad methods of resistance genes transfer in bacterial pathogens has made microbiological quality of food such as milk a critical issue to guarantee the good health of the milk consumers. The study of milk bioburden in Zaria was designed to highlight the milk consumer microbiological challenges in this locality, that is, Zaria, Nigeria.</w:t>
      </w:r>
    </w:p>
    <w:p>
      <w:pPr>
        <w:spacing w:after="0" w:line="480" w:lineRule="auto"/>
        <w:jc w:val="both"/>
        <w:sectPr>
          <w:pgSz w:w="12240" w:h="15840"/>
          <w:pgMar w:header="0" w:footer="1017" w:top="1400" w:bottom="1200" w:left="520" w:right="260"/>
        </w:sectPr>
      </w:pPr>
    </w:p>
    <w:p>
      <w:pPr>
        <w:pStyle w:val="Heading5"/>
        <w:spacing w:line="660" w:lineRule="auto"/>
        <w:ind w:left="4342" w:right="4608" w:hanging="2"/>
        <w:jc w:val="center"/>
      </w:pPr>
      <w:r>
        <w:rPr/>
        <w:t>CHAPTER THREE MATERIALS</w:t>
      </w:r>
      <w:r>
        <w:rPr>
          <w:spacing w:val="-13"/>
        </w:rPr>
        <w:t> </w:t>
      </w:r>
      <w:r>
        <w:rPr/>
        <w:t>AND</w:t>
      </w:r>
      <w:r>
        <w:rPr>
          <w:spacing w:val="-12"/>
        </w:rPr>
        <w:t> </w:t>
      </w:r>
      <w:r>
        <w:rPr/>
        <w:t>METHODS</w:t>
      </w:r>
    </w:p>
    <w:p>
      <w:pPr>
        <w:pStyle w:val="BodyText"/>
        <w:spacing w:before="236"/>
        <w:rPr>
          <w:b/>
        </w:rPr>
      </w:pPr>
    </w:p>
    <w:p>
      <w:pPr>
        <w:pStyle w:val="ListParagraph"/>
        <w:numPr>
          <w:ilvl w:val="1"/>
          <w:numId w:val="16"/>
        </w:numPr>
        <w:tabs>
          <w:tab w:pos="1196" w:val="left" w:leader="none"/>
        </w:tabs>
        <w:spacing w:line="240" w:lineRule="auto" w:before="0" w:after="0"/>
        <w:ind w:left="1196" w:right="0" w:hanging="276"/>
        <w:jc w:val="left"/>
        <w:rPr>
          <w:rFonts w:ascii="Calibri"/>
          <w:b/>
          <w:sz w:val="22"/>
        </w:rPr>
      </w:pPr>
      <w:r>
        <w:rPr>
          <w:rFonts w:ascii="Calibri"/>
          <w:b/>
          <w:spacing w:val="-2"/>
          <w:sz w:val="22"/>
        </w:rPr>
        <w:t>MATERIALS</w:t>
      </w:r>
    </w:p>
    <w:p>
      <w:pPr>
        <w:pStyle w:val="BodyText"/>
        <w:spacing w:before="202"/>
        <w:rPr>
          <w:b/>
        </w:rPr>
      </w:pPr>
    </w:p>
    <w:p>
      <w:pPr>
        <w:pStyle w:val="ListParagraph"/>
        <w:numPr>
          <w:ilvl w:val="2"/>
          <w:numId w:val="16"/>
        </w:numPr>
        <w:tabs>
          <w:tab w:pos="1415" w:val="left" w:leader="none"/>
        </w:tabs>
        <w:spacing w:line="240" w:lineRule="auto" w:before="1" w:after="0"/>
        <w:ind w:left="1415" w:right="0" w:hanging="495"/>
        <w:jc w:val="left"/>
        <w:rPr>
          <w:rFonts w:ascii="Calibri"/>
          <w:b/>
          <w:sz w:val="22"/>
        </w:rPr>
      </w:pPr>
      <w:r>
        <w:rPr>
          <w:rFonts w:ascii="Calibri"/>
          <w:b/>
          <w:spacing w:val="-2"/>
          <w:sz w:val="22"/>
        </w:rPr>
        <w:t>Equipments</w:t>
      </w:r>
    </w:p>
    <w:p>
      <w:pPr>
        <w:pStyle w:val="BodyText"/>
        <w:spacing w:before="192"/>
        <w:rPr>
          <w:b/>
        </w:rPr>
      </w:pPr>
    </w:p>
    <w:p>
      <w:pPr>
        <w:spacing w:before="0"/>
        <w:ind w:left="920" w:right="0" w:firstLine="0"/>
        <w:jc w:val="both"/>
        <w:rPr>
          <w:rFonts w:ascii="Times New Roman"/>
          <w:sz w:val="24"/>
        </w:rPr>
      </w:pPr>
      <w:r>
        <w:rPr>
          <w:rFonts w:ascii="Times New Roman"/>
          <w:sz w:val="24"/>
        </w:rPr>
        <w:t>The</w:t>
      </w:r>
      <w:r>
        <w:rPr>
          <w:rFonts w:ascii="Times New Roman"/>
          <w:spacing w:val="-5"/>
          <w:sz w:val="24"/>
        </w:rPr>
        <w:t> </w:t>
      </w:r>
      <w:r>
        <w:rPr>
          <w:rFonts w:ascii="Times New Roman"/>
          <w:sz w:val="24"/>
        </w:rPr>
        <w:t>following</w:t>
      </w:r>
      <w:r>
        <w:rPr>
          <w:rFonts w:ascii="Times New Roman"/>
          <w:spacing w:val="-7"/>
          <w:sz w:val="24"/>
        </w:rPr>
        <w:t> </w:t>
      </w:r>
      <w:r>
        <w:rPr>
          <w:rFonts w:ascii="Times New Roman"/>
          <w:sz w:val="24"/>
        </w:rPr>
        <w:t>equipments</w:t>
      </w:r>
      <w:r>
        <w:rPr>
          <w:rFonts w:ascii="Times New Roman"/>
          <w:spacing w:val="-10"/>
          <w:sz w:val="24"/>
        </w:rPr>
        <w:t> </w:t>
      </w:r>
      <w:r>
        <w:rPr>
          <w:rFonts w:ascii="Times New Roman"/>
          <w:sz w:val="24"/>
        </w:rPr>
        <w:t>were</w:t>
      </w:r>
      <w:r>
        <w:rPr>
          <w:rFonts w:ascii="Times New Roman"/>
          <w:spacing w:val="-8"/>
          <w:sz w:val="24"/>
        </w:rPr>
        <w:t> </w:t>
      </w:r>
      <w:r>
        <w:rPr>
          <w:rFonts w:ascii="Times New Roman"/>
          <w:sz w:val="24"/>
        </w:rPr>
        <w:t>used</w:t>
      </w:r>
      <w:r>
        <w:rPr>
          <w:rFonts w:ascii="Times New Roman"/>
          <w:spacing w:val="-4"/>
          <w:sz w:val="24"/>
        </w:rPr>
        <w:t> </w:t>
      </w:r>
      <w:r>
        <w:rPr>
          <w:rFonts w:ascii="Times New Roman"/>
          <w:sz w:val="24"/>
        </w:rPr>
        <w:t>in</w:t>
      </w:r>
      <w:r>
        <w:rPr>
          <w:rFonts w:ascii="Times New Roman"/>
          <w:spacing w:val="-12"/>
          <w:sz w:val="24"/>
        </w:rPr>
        <w:t> </w:t>
      </w:r>
      <w:r>
        <w:rPr>
          <w:rFonts w:ascii="Times New Roman"/>
          <w:sz w:val="24"/>
        </w:rPr>
        <w:t>this</w:t>
      </w:r>
      <w:r>
        <w:rPr>
          <w:rFonts w:ascii="Times New Roman"/>
          <w:spacing w:val="-9"/>
          <w:sz w:val="24"/>
        </w:rPr>
        <w:t> </w:t>
      </w:r>
      <w:r>
        <w:rPr>
          <w:rFonts w:ascii="Times New Roman"/>
          <w:spacing w:val="-2"/>
          <w:sz w:val="24"/>
        </w:rPr>
        <w:t>study:</w:t>
      </w:r>
    </w:p>
    <w:p>
      <w:pPr>
        <w:pStyle w:val="BodyText"/>
        <w:spacing w:before="2"/>
        <w:rPr>
          <w:rFonts w:ascii="Times New Roman"/>
          <w:sz w:val="24"/>
        </w:rPr>
      </w:pPr>
    </w:p>
    <w:p>
      <w:pPr>
        <w:pStyle w:val="ListParagraph"/>
        <w:numPr>
          <w:ilvl w:val="3"/>
          <w:numId w:val="16"/>
        </w:numPr>
        <w:tabs>
          <w:tab w:pos="1639" w:val="left" w:leader="none"/>
        </w:tabs>
        <w:spacing w:line="240" w:lineRule="auto" w:before="0" w:after="0"/>
        <w:ind w:left="1639" w:right="0" w:hanging="359"/>
        <w:jc w:val="left"/>
        <w:rPr>
          <w:sz w:val="24"/>
        </w:rPr>
      </w:pPr>
      <w:r>
        <w:rPr>
          <w:sz w:val="24"/>
        </w:rPr>
        <w:t>Incubator</w:t>
      </w:r>
      <w:r>
        <w:rPr>
          <w:spacing w:val="-10"/>
          <w:sz w:val="24"/>
        </w:rPr>
        <w:t> </w:t>
      </w:r>
      <w:r>
        <w:rPr>
          <w:sz w:val="24"/>
        </w:rPr>
        <w:t>(NAPCO</w:t>
      </w:r>
      <w:r>
        <w:rPr>
          <w:spacing w:val="-8"/>
          <w:sz w:val="24"/>
        </w:rPr>
        <w:t> </w:t>
      </w:r>
      <w:r>
        <w:rPr>
          <w:sz w:val="24"/>
        </w:rPr>
        <w:t>Model</w:t>
      </w:r>
      <w:r>
        <w:rPr>
          <w:spacing w:val="-15"/>
          <w:sz w:val="24"/>
        </w:rPr>
        <w:t> </w:t>
      </w:r>
      <w:r>
        <w:rPr>
          <w:sz w:val="24"/>
        </w:rPr>
        <w:t>630</w:t>
      </w:r>
      <w:r>
        <w:rPr>
          <w:spacing w:val="-8"/>
          <w:sz w:val="24"/>
        </w:rPr>
        <w:t> </w:t>
      </w:r>
      <w:r>
        <w:rPr>
          <w:sz w:val="24"/>
        </w:rPr>
        <w:t>Portland,</w:t>
      </w:r>
      <w:r>
        <w:rPr>
          <w:spacing w:val="-6"/>
          <w:sz w:val="24"/>
        </w:rPr>
        <w:t> </w:t>
      </w:r>
      <w:r>
        <w:rPr>
          <w:sz w:val="24"/>
        </w:rPr>
        <w:t>Oregon,</w:t>
      </w:r>
      <w:r>
        <w:rPr>
          <w:spacing w:val="-10"/>
          <w:sz w:val="24"/>
        </w:rPr>
        <w:t> </w:t>
      </w:r>
      <w:r>
        <w:rPr>
          <w:spacing w:val="-4"/>
          <w:sz w:val="24"/>
        </w:rPr>
        <w:t>USA)</w:t>
      </w:r>
    </w:p>
    <w:p>
      <w:pPr>
        <w:pStyle w:val="BodyText"/>
        <w:spacing w:before="1"/>
        <w:rPr>
          <w:rFonts w:ascii="Times New Roman"/>
          <w:sz w:val="24"/>
        </w:rPr>
      </w:pPr>
    </w:p>
    <w:p>
      <w:pPr>
        <w:pStyle w:val="ListParagraph"/>
        <w:numPr>
          <w:ilvl w:val="3"/>
          <w:numId w:val="16"/>
        </w:numPr>
        <w:tabs>
          <w:tab w:pos="1639" w:val="left" w:leader="none"/>
        </w:tabs>
        <w:spacing w:line="240" w:lineRule="auto" w:before="0" w:after="0"/>
        <w:ind w:left="1639" w:right="0" w:hanging="359"/>
        <w:jc w:val="left"/>
        <w:rPr>
          <w:sz w:val="24"/>
        </w:rPr>
      </w:pPr>
      <w:r>
        <w:rPr>
          <w:sz w:val="24"/>
        </w:rPr>
        <w:t>Hot</w:t>
      </w:r>
      <w:r>
        <w:rPr>
          <w:spacing w:val="-9"/>
          <w:sz w:val="24"/>
        </w:rPr>
        <w:t> </w:t>
      </w:r>
      <w:r>
        <w:rPr>
          <w:sz w:val="24"/>
        </w:rPr>
        <w:t>air</w:t>
      </w:r>
      <w:r>
        <w:rPr>
          <w:spacing w:val="-8"/>
          <w:sz w:val="24"/>
        </w:rPr>
        <w:t> </w:t>
      </w:r>
      <w:r>
        <w:rPr>
          <w:sz w:val="24"/>
        </w:rPr>
        <w:t>oven</w:t>
      </w:r>
      <w:r>
        <w:rPr>
          <w:spacing w:val="-12"/>
          <w:sz w:val="24"/>
        </w:rPr>
        <w:t> </w:t>
      </w:r>
      <w:r>
        <w:rPr>
          <w:sz w:val="24"/>
        </w:rPr>
        <w:t>(Townson/Mercer</w:t>
      </w:r>
      <w:r>
        <w:rPr>
          <w:spacing w:val="-8"/>
          <w:sz w:val="24"/>
        </w:rPr>
        <w:t> </w:t>
      </w:r>
      <w:r>
        <w:rPr>
          <w:sz w:val="24"/>
        </w:rPr>
        <w:t>Ltd.</w:t>
      </w:r>
      <w:r>
        <w:rPr>
          <w:spacing w:val="-10"/>
          <w:sz w:val="24"/>
        </w:rPr>
        <w:t> </w:t>
      </w:r>
      <w:r>
        <w:rPr>
          <w:sz w:val="24"/>
        </w:rPr>
        <w:t>Croydon,</w:t>
      </w:r>
      <w:r>
        <w:rPr>
          <w:spacing w:val="-8"/>
          <w:sz w:val="24"/>
        </w:rPr>
        <w:t> </w:t>
      </w:r>
      <w:r>
        <w:rPr>
          <w:spacing w:val="-2"/>
          <w:sz w:val="24"/>
        </w:rPr>
        <w:t>England)</w:t>
      </w:r>
    </w:p>
    <w:p>
      <w:pPr>
        <w:pStyle w:val="ListParagraph"/>
        <w:numPr>
          <w:ilvl w:val="3"/>
          <w:numId w:val="16"/>
        </w:numPr>
        <w:tabs>
          <w:tab w:pos="1702" w:val="left" w:leader="none"/>
        </w:tabs>
        <w:spacing w:line="240" w:lineRule="auto" w:before="272" w:after="0"/>
        <w:ind w:left="1702" w:right="0" w:hanging="422"/>
        <w:jc w:val="left"/>
        <w:rPr>
          <w:sz w:val="24"/>
        </w:rPr>
      </w:pPr>
      <w:r>
        <w:rPr>
          <w:sz w:val="24"/>
        </w:rPr>
        <w:t>Refrigerator</w:t>
      </w:r>
      <w:r>
        <w:rPr>
          <w:spacing w:val="-15"/>
          <w:sz w:val="24"/>
        </w:rPr>
        <w:t> </w:t>
      </w:r>
      <w:r>
        <w:rPr>
          <w:sz w:val="24"/>
        </w:rPr>
        <w:t>(Haier</w:t>
      </w:r>
      <w:r>
        <w:rPr>
          <w:spacing w:val="-12"/>
          <w:sz w:val="24"/>
        </w:rPr>
        <w:t> </w:t>
      </w:r>
      <w:r>
        <w:rPr>
          <w:spacing w:val="-2"/>
          <w:sz w:val="24"/>
        </w:rPr>
        <w:t>thermocool)</w:t>
      </w:r>
    </w:p>
    <w:p>
      <w:pPr>
        <w:pStyle w:val="BodyText"/>
        <w:spacing w:before="1"/>
        <w:rPr>
          <w:rFonts w:ascii="Times New Roman"/>
          <w:sz w:val="24"/>
        </w:rPr>
      </w:pPr>
    </w:p>
    <w:p>
      <w:pPr>
        <w:pStyle w:val="ListParagraph"/>
        <w:numPr>
          <w:ilvl w:val="3"/>
          <w:numId w:val="16"/>
        </w:numPr>
        <w:tabs>
          <w:tab w:pos="1639" w:val="left" w:leader="none"/>
        </w:tabs>
        <w:spacing w:line="240" w:lineRule="auto" w:before="1" w:after="0"/>
        <w:ind w:left="1639" w:right="0" w:hanging="359"/>
        <w:jc w:val="left"/>
        <w:rPr>
          <w:sz w:val="24"/>
        </w:rPr>
      </w:pPr>
      <w:r>
        <w:rPr>
          <w:sz w:val="24"/>
        </w:rPr>
        <w:t>Autoclave</w:t>
      </w:r>
      <w:r>
        <w:rPr>
          <w:spacing w:val="-10"/>
          <w:sz w:val="24"/>
        </w:rPr>
        <w:t> </w:t>
      </w:r>
      <w:r>
        <w:rPr>
          <w:sz w:val="24"/>
        </w:rPr>
        <w:t>(Yamato,</w:t>
      </w:r>
      <w:r>
        <w:rPr>
          <w:spacing w:val="-7"/>
          <w:sz w:val="24"/>
        </w:rPr>
        <w:t> </w:t>
      </w:r>
      <w:r>
        <w:rPr>
          <w:spacing w:val="-4"/>
          <w:sz w:val="24"/>
        </w:rPr>
        <w:t>USA)</w:t>
      </w:r>
    </w:p>
    <w:p>
      <w:pPr>
        <w:pStyle w:val="BodyText"/>
        <w:spacing w:before="1"/>
        <w:rPr>
          <w:rFonts w:ascii="Times New Roman"/>
          <w:sz w:val="24"/>
        </w:rPr>
      </w:pPr>
    </w:p>
    <w:p>
      <w:pPr>
        <w:pStyle w:val="ListParagraph"/>
        <w:numPr>
          <w:ilvl w:val="3"/>
          <w:numId w:val="16"/>
        </w:numPr>
        <w:tabs>
          <w:tab w:pos="1639" w:val="left" w:leader="none"/>
        </w:tabs>
        <w:spacing w:line="240" w:lineRule="auto" w:before="0" w:after="0"/>
        <w:ind w:left="1639" w:right="0" w:hanging="359"/>
        <w:jc w:val="left"/>
        <w:rPr>
          <w:sz w:val="24"/>
        </w:rPr>
      </w:pPr>
      <w:r>
        <w:rPr>
          <w:sz w:val="24"/>
        </w:rPr>
        <w:t>Colony</w:t>
      </w:r>
      <w:r>
        <w:rPr>
          <w:spacing w:val="-11"/>
          <w:sz w:val="24"/>
        </w:rPr>
        <w:t> </w:t>
      </w:r>
      <w:r>
        <w:rPr>
          <w:sz w:val="24"/>
        </w:rPr>
        <w:t>counter</w:t>
      </w:r>
      <w:r>
        <w:rPr>
          <w:spacing w:val="-4"/>
          <w:sz w:val="24"/>
        </w:rPr>
        <w:t> </w:t>
      </w:r>
      <w:r>
        <w:rPr>
          <w:sz w:val="24"/>
        </w:rPr>
        <w:t>(Stuart,</w:t>
      </w:r>
      <w:r>
        <w:rPr>
          <w:spacing w:val="-8"/>
          <w:sz w:val="24"/>
        </w:rPr>
        <w:t> </w:t>
      </w:r>
      <w:r>
        <w:rPr>
          <w:spacing w:val="-5"/>
          <w:sz w:val="24"/>
        </w:rPr>
        <w:t>UK)</w:t>
      </w:r>
    </w:p>
    <w:p>
      <w:pPr>
        <w:pStyle w:val="ListParagraph"/>
        <w:numPr>
          <w:ilvl w:val="3"/>
          <w:numId w:val="16"/>
        </w:numPr>
        <w:tabs>
          <w:tab w:pos="1639" w:val="left" w:leader="none"/>
        </w:tabs>
        <w:spacing w:line="240" w:lineRule="auto" w:before="272" w:after="0"/>
        <w:ind w:left="1639" w:right="0" w:hanging="359"/>
        <w:jc w:val="left"/>
        <w:rPr>
          <w:sz w:val="24"/>
        </w:rPr>
      </w:pPr>
      <w:r>
        <w:rPr>
          <w:sz w:val="24"/>
        </w:rPr>
        <w:t>Microscope</w:t>
      </w:r>
      <w:r>
        <w:rPr>
          <w:spacing w:val="-13"/>
          <w:sz w:val="24"/>
        </w:rPr>
        <w:t> </w:t>
      </w:r>
      <w:r>
        <w:rPr>
          <w:sz w:val="24"/>
        </w:rPr>
        <w:t>(Wild</w:t>
      </w:r>
      <w:r>
        <w:rPr>
          <w:spacing w:val="-9"/>
          <w:sz w:val="24"/>
        </w:rPr>
        <w:t> </w:t>
      </w:r>
      <w:r>
        <w:rPr>
          <w:sz w:val="24"/>
        </w:rPr>
        <w:t>Heerbrugg</w:t>
      </w:r>
      <w:r>
        <w:rPr>
          <w:spacing w:val="-9"/>
          <w:sz w:val="24"/>
        </w:rPr>
        <w:t> </w:t>
      </w:r>
      <w:r>
        <w:rPr>
          <w:sz w:val="24"/>
        </w:rPr>
        <w:t>M11,</w:t>
      </w:r>
      <w:r>
        <w:rPr>
          <w:spacing w:val="-7"/>
          <w:sz w:val="24"/>
        </w:rPr>
        <w:t> </w:t>
      </w:r>
      <w:r>
        <w:rPr>
          <w:spacing w:val="-2"/>
          <w:sz w:val="24"/>
        </w:rPr>
        <w:t>Switzerland)</w:t>
      </w:r>
    </w:p>
    <w:p>
      <w:pPr>
        <w:pStyle w:val="BodyText"/>
        <w:spacing w:before="1"/>
        <w:rPr>
          <w:rFonts w:ascii="Times New Roman"/>
          <w:sz w:val="24"/>
        </w:rPr>
      </w:pPr>
    </w:p>
    <w:p>
      <w:pPr>
        <w:pStyle w:val="ListParagraph"/>
        <w:numPr>
          <w:ilvl w:val="3"/>
          <w:numId w:val="16"/>
        </w:numPr>
        <w:tabs>
          <w:tab w:pos="1639" w:val="left" w:leader="none"/>
        </w:tabs>
        <w:spacing w:line="240" w:lineRule="auto" w:before="0" w:after="0"/>
        <w:ind w:left="1639" w:right="0" w:hanging="359"/>
        <w:jc w:val="left"/>
        <w:rPr>
          <w:sz w:val="24"/>
        </w:rPr>
      </w:pPr>
      <w:r>
        <w:rPr>
          <w:sz w:val="24"/>
        </w:rPr>
        <w:t>Agarose</w:t>
      </w:r>
      <w:r>
        <w:rPr>
          <w:spacing w:val="-7"/>
          <w:sz w:val="24"/>
        </w:rPr>
        <w:t> </w:t>
      </w:r>
      <w:r>
        <w:rPr>
          <w:sz w:val="24"/>
        </w:rPr>
        <w:t>gel</w:t>
      </w:r>
      <w:r>
        <w:rPr>
          <w:spacing w:val="-14"/>
          <w:sz w:val="24"/>
        </w:rPr>
        <w:t> </w:t>
      </w:r>
      <w:r>
        <w:rPr>
          <w:sz w:val="24"/>
        </w:rPr>
        <w:t>unit</w:t>
      </w:r>
      <w:r>
        <w:rPr>
          <w:spacing w:val="-2"/>
          <w:sz w:val="24"/>
        </w:rPr>
        <w:t> </w:t>
      </w:r>
      <w:r>
        <w:rPr>
          <w:sz w:val="24"/>
        </w:rPr>
        <w:t>(HE</w:t>
      </w:r>
      <w:r>
        <w:rPr>
          <w:spacing w:val="-5"/>
          <w:sz w:val="24"/>
        </w:rPr>
        <w:t> </w:t>
      </w:r>
      <w:r>
        <w:rPr>
          <w:sz w:val="24"/>
        </w:rPr>
        <w:t>33;</w:t>
      </w:r>
      <w:r>
        <w:rPr>
          <w:spacing w:val="-7"/>
          <w:sz w:val="24"/>
        </w:rPr>
        <w:t> </w:t>
      </w:r>
      <w:r>
        <w:rPr>
          <w:sz w:val="24"/>
        </w:rPr>
        <w:t>Hoefer,</w:t>
      </w:r>
      <w:r>
        <w:rPr>
          <w:spacing w:val="-5"/>
          <w:sz w:val="24"/>
        </w:rPr>
        <w:t> </w:t>
      </w:r>
      <w:r>
        <w:rPr>
          <w:sz w:val="24"/>
        </w:rPr>
        <w:t>San</w:t>
      </w:r>
      <w:r>
        <w:rPr>
          <w:spacing w:val="-10"/>
          <w:sz w:val="24"/>
        </w:rPr>
        <w:t> </w:t>
      </w:r>
      <w:r>
        <w:rPr>
          <w:sz w:val="24"/>
        </w:rPr>
        <w:t>Francisco</w:t>
      </w:r>
      <w:r>
        <w:rPr>
          <w:spacing w:val="-2"/>
          <w:sz w:val="24"/>
        </w:rPr>
        <w:t> </w:t>
      </w:r>
      <w:r>
        <w:rPr>
          <w:sz w:val="24"/>
        </w:rPr>
        <w:t>CA,</w:t>
      </w:r>
      <w:r>
        <w:rPr>
          <w:spacing w:val="-4"/>
          <w:sz w:val="24"/>
        </w:rPr>
        <w:t> USA)</w:t>
      </w:r>
    </w:p>
    <w:p>
      <w:pPr>
        <w:pStyle w:val="ListParagraph"/>
        <w:numPr>
          <w:ilvl w:val="3"/>
          <w:numId w:val="16"/>
        </w:numPr>
        <w:tabs>
          <w:tab w:pos="1639" w:val="left" w:leader="none"/>
        </w:tabs>
        <w:spacing w:line="240" w:lineRule="auto" w:before="273" w:after="0"/>
        <w:ind w:left="1639" w:right="0" w:hanging="359"/>
        <w:jc w:val="left"/>
        <w:rPr>
          <w:sz w:val="24"/>
        </w:rPr>
      </w:pPr>
      <w:r>
        <w:rPr>
          <w:sz w:val="24"/>
        </w:rPr>
        <w:t>UV</w:t>
      </w:r>
      <w:r>
        <w:rPr>
          <w:spacing w:val="-9"/>
          <w:sz w:val="24"/>
        </w:rPr>
        <w:t> </w:t>
      </w:r>
      <w:r>
        <w:rPr>
          <w:sz w:val="24"/>
        </w:rPr>
        <w:t>Transilluminator</w:t>
      </w:r>
      <w:r>
        <w:rPr>
          <w:spacing w:val="-12"/>
          <w:sz w:val="24"/>
        </w:rPr>
        <w:t> </w:t>
      </w:r>
      <w:r>
        <w:rPr>
          <w:sz w:val="24"/>
        </w:rPr>
        <w:t>(302</w:t>
      </w:r>
      <w:r>
        <w:rPr>
          <w:spacing w:val="-13"/>
          <w:sz w:val="24"/>
        </w:rPr>
        <w:t> </w:t>
      </w:r>
      <w:r>
        <w:rPr>
          <w:sz w:val="24"/>
        </w:rPr>
        <w:t>nm)</w:t>
      </w:r>
      <w:r>
        <w:rPr>
          <w:spacing w:val="-8"/>
          <w:sz w:val="24"/>
        </w:rPr>
        <w:t> </w:t>
      </w:r>
      <w:r>
        <w:rPr>
          <w:sz w:val="24"/>
        </w:rPr>
        <w:t>(Vilber</w:t>
      </w:r>
      <w:r>
        <w:rPr>
          <w:spacing w:val="-8"/>
          <w:sz w:val="24"/>
        </w:rPr>
        <w:t> </w:t>
      </w:r>
      <w:r>
        <w:rPr>
          <w:sz w:val="24"/>
        </w:rPr>
        <w:t>Lourmat,</w:t>
      </w:r>
      <w:r>
        <w:rPr>
          <w:spacing w:val="-7"/>
          <w:sz w:val="24"/>
        </w:rPr>
        <w:t> </w:t>
      </w:r>
      <w:r>
        <w:rPr>
          <w:spacing w:val="-2"/>
          <w:sz w:val="24"/>
        </w:rPr>
        <w:t>Germany).</w:t>
      </w:r>
    </w:p>
    <w:p>
      <w:pPr>
        <w:pStyle w:val="BodyText"/>
        <w:spacing w:before="244"/>
        <w:rPr>
          <w:rFonts w:ascii="Times New Roman"/>
          <w:sz w:val="24"/>
        </w:rPr>
      </w:pPr>
    </w:p>
    <w:p>
      <w:pPr>
        <w:pStyle w:val="ListParagraph"/>
        <w:numPr>
          <w:ilvl w:val="2"/>
          <w:numId w:val="16"/>
        </w:numPr>
        <w:tabs>
          <w:tab w:pos="1415" w:val="left" w:leader="none"/>
        </w:tabs>
        <w:spacing w:line="240" w:lineRule="auto" w:before="0" w:after="0"/>
        <w:ind w:left="1415" w:right="0" w:hanging="495"/>
        <w:jc w:val="left"/>
        <w:rPr>
          <w:rFonts w:ascii="Calibri"/>
          <w:b/>
          <w:sz w:val="22"/>
        </w:rPr>
      </w:pPr>
      <w:bookmarkStart w:name="_TOC_250036" w:id="55"/>
      <w:bookmarkEnd w:id="55"/>
      <w:r>
        <w:rPr>
          <w:rFonts w:ascii="Calibri"/>
          <w:b/>
          <w:spacing w:val="-2"/>
          <w:sz w:val="22"/>
        </w:rPr>
        <w:t>Media</w:t>
      </w:r>
    </w:p>
    <w:p>
      <w:pPr>
        <w:pStyle w:val="BodyText"/>
        <w:spacing w:before="192"/>
        <w:rPr>
          <w:b/>
        </w:rPr>
      </w:pPr>
    </w:p>
    <w:p>
      <w:pPr>
        <w:spacing w:line="480" w:lineRule="auto" w:before="0"/>
        <w:ind w:left="920" w:right="1176" w:firstLine="0"/>
        <w:jc w:val="both"/>
        <w:rPr>
          <w:rFonts w:ascii="Times New Roman" w:hAnsi="Times New Roman"/>
          <w:sz w:val="24"/>
        </w:rPr>
      </w:pPr>
      <w:r>
        <w:rPr>
          <w:rFonts w:ascii="Times New Roman" w:hAnsi="Times New Roman"/>
          <w:sz w:val="24"/>
        </w:rPr>
        <w:t>Bacteriological media suchNutrient broth, Nutrient Agar, Eosin Methylene Blue Agar, Salmonella Shigella Agar, Mannitol</w:t>
      </w:r>
      <w:r>
        <w:rPr>
          <w:rFonts w:ascii="Times New Roman" w:hAnsi="Times New Roman"/>
          <w:spacing w:val="-6"/>
          <w:sz w:val="24"/>
        </w:rPr>
        <w:t> </w:t>
      </w:r>
      <w:r>
        <w:rPr>
          <w:rFonts w:ascii="Times New Roman" w:hAnsi="Times New Roman"/>
          <w:sz w:val="24"/>
        </w:rPr>
        <w:t>Salt Agar, MacConkey Agar, Methyl</w:t>
      </w:r>
      <w:r>
        <w:rPr>
          <w:rFonts w:ascii="Times New Roman" w:hAnsi="Times New Roman"/>
          <w:spacing w:val="-2"/>
          <w:sz w:val="24"/>
        </w:rPr>
        <w:t> </w:t>
      </w:r>
      <w:r>
        <w:rPr>
          <w:rFonts w:ascii="Times New Roman" w:hAnsi="Times New Roman"/>
          <w:sz w:val="24"/>
        </w:rPr>
        <w:t>Red Voges Proskauer, Simmon’s Citrate Agar, Urea Agar Base, Mueller Hinton Agar and Peptone Water</w:t>
      </w:r>
      <w:r>
        <w:rPr>
          <w:rFonts w:ascii="Times New Roman" w:hAnsi="Times New Roman"/>
          <w:spacing w:val="80"/>
          <w:sz w:val="24"/>
        </w:rPr>
        <w:t> </w:t>
      </w:r>
      <w:r>
        <w:rPr>
          <w:rFonts w:ascii="Times New Roman" w:hAnsi="Times New Roman"/>
          <w:sz w:val="24"/>
        </w:rPr>
        <w:t>were products of Oxoid Ltd., England, while Cetrimide Agar andTriple Sugar Iron Agar were from Sigma chemical Ltd., England. Others such asLuria-Bertani medium was from</w:t>
      </w:r>
      <w:r>
        <w:rPr>
          <w:rFonts w:ascii="Times New Roman" w:hAnsi="Times New Roman"/>
          <w:spacing w:val="-4"/>
          <w:sz w:val="24"/>
        </w:rPr>
        <w:t> </w:t>
      </w:r>
      <w:r>
        <w:rPr>
          <w:rFonts w:ascii="Times New Roman" w:hAnsi="Times New Roman"/>
          <w:sz w:val="24"/>
        </w:rPr>
        <w:t>Difco Ltd., USA.</w:t>
      </w:r>
    </w:p>
    <w:p>
      <w:pPr>
        <w:spacing w:after="0" w:line="480" w:lineRule="auto"/>
        <w:jc w:val="both"/>
        <w:rPr>
          <w:rFonts w:ascii="Times New Roman" w:hAnsi="Times New Roman"/>
          <w:sz w:val="24"/>
        </w:rPr>
        <w:sectPr>
          <w:pgSz w:w="12240" w:h="15840"/>
          <w:pgMar w:header="0" w:footer="1017" w:top="1400" w:bottom="1200" w:left="520" w:right="260"/>
        </w:sectPr>
      </w:pPr>
    </w:p>
    <w:p>
      <w:pPr>
        <w:spacing w:line="480" w:lineRule="auto" w:before="112"/>
        <w:ind w:left="920" w:right="1183" w:firstLine="0"/>
        <w:jc w:val="both"/>
        <w:rPr>
          <w:rFonts w:ascii="Times New Roman"/>
          <w:sz w:val="24"/>
        </w:rPr>
      </w:pPr>
      <w:r>
        <w:rPr>
          <w:rFonts w:ascii="Times New Roman"/>
          <w:sz w:val="24"/>
        </w:rPr>
        <w:t>GeneJet</w:t>
      </w:r>
      <w:r>
        <w:rPr>
          <w:rFonts w:ascii="Times New Roman"/>
          <w:sz w:val="24"/>
          <w:vertAlign w:val="superscript"/>
        </w:rPr>
        <w:t>TM</w:t>
      </w:r>
      <w:r>
        <w:rPr>
          <w:rFonts w:ascii="Times New Roman"/>
          <w:sz w:val="24"/>
          <w:vertAlign w:val="baseline"/>
        </w:rPr>
        <w:t> Plasmid Miniprep kit was obtained from Inqaba biochemical Industries Pty Ltd,</w:t>
      </w:r>
      <w:r>
        <w:rPr>
          <w:rFonts w:ascii="Times New Roman"/>
          <w:spacing w:val="40"/>
          <w:sz w:val="24"/>
          <w:vertAlign w:val="baseline"/>
        </w:rPr>
        <w:t> </w:t>
      </w:r>
      <w:r>
        <w:rPr>
          <w:rFonts w:ascii="Times New Roman"/>
          <w:sz w:val="24"/>
          <w:vertAlign w:val="baseline"/>
        </w:rPr>
        <w:t>South Africa.</w:t>
      </w:r>
    </w:p>
    <w:p>
      <w:pPr>
        <w:pStyle w:val="BodyText"/>
        <w:rPr>
          <w:rFonts w:ascii="Times New Roman"/>
          <w:sz w:val="24"/>
        </w:rPr>
      </w:pPr>
    </w:p>
    <w:p>
      <w:pPr>
        <w:pStyle w:val="BodyText"/>
        <w:rPr>
          <w:rFonts w:ascii="Times New Roman"/>
          <w:sz w:val="24"/>
        </w:rPr>
      </w:pPr>
    </w:p>
    <w:p>
      <w:pPr>
        <w:pStyle w:val="BodyText"/>
        <w:spacing w:before="2"/>
        <w:rPr>
          <w:rFonts w:ascii="Times New Roman"/>
          <w:sz w:val="24"/>
        </w:rPr>
      </w:pPr>
    </w:p>
    <w:p>
      <w:pPr>
        <w:pStyle w:val="Heading3"/>
        <w:numPr>
          <w:ilvl w:val="2"/>
          <w:numId w:val="16"/>
        </w:numPr>
        <w:tabs>
          <w:tab w:pos="1460" w:val="left" w:leader="none"/>
        </w:tabs>
        <w:spacing w:line="240" w:lineRule="auto" w:before="0" w:after="0"/>
        <w:ind w:left="1460" w:right="0" w:hanging="540"/>
        <w:jc w:val="both"/>
      </w:pPr>
      <w:bookmarkStart w:name="_TOC_250035" w:id="56"/>
      <w:bookmarkEnd w:id="56"/>
      <w:r>
        <w:rPr>
          <w:spacing w:val="-2"/>
        </w:rPr>
        <w:t>Reagents</w:t>
      </w:r>
    </w:p>
    <w:p>
      <w:pPr>
        <w:spacing w:line="480" w:lineRule="auto" w:before="271"/>
        <w:ind w:left="920" w:right="1174" w:firstLine="0"/>
        <w:jc w:val="both"/>
        <w:rPr>
          <w:rFonts w:ascii="Times New Roman" w:hAnsi="Times New Roman"/>
          <w:sz w:val="24"/>
        </w:rPr>
      </w:pPr>
      <w:r>
        <w:rPr>
          <w:rFonts w:ascii="Times New Roman" w:hAnsi="Times New Roman"/>
          <w:sz w:val="24"/>
        </w:rPr>
        <w:t>Chemical reagents such as Lugol’s iodine, Bromocresol purple, Acridine orange, Ethidium bromide,</w:t>
      </w:r>
      <w:r>
        <w:rPr>
          <w:rFonts w:ascii="Times New Roman" w:hAnsi="Times New Roman"/>
          <w:spacing w:val="-1"/>
          <w:sz w:val="24"/>
        </w:rPr>
        <w:t> </w:t>
      </w:r>
      <w:r>
        <w:rPr>
          <w:rFonts w:ascii="Times New Roman" w:hAnsi="Times New Roman"/>
          <w:sz w:val="24"/>
        </w:rPr>
        <w:t>Glycerol, Ethylenediaminetetraacetic</w:t>
      </w:r>
      <w:r>
        <w:rPr>
          <w:rFonts w:ascii="Times New Roman" w:hAnsi="Times New Roman"/>
          <w:spacing w:val="-4"/>
          <w:sz w:val="24"/>
        </w:rPr>
        <w:t> </w:t>
      </w:r>
      <w:r>
        <w:rPr>
          <w:rFonts w:ascii="Times New Roman" w:hAnsi="Times New Roman"/>
          <w:sz w:val="24"/>
        </w:rPr>
        <w:t>acid</w:t>
      </w:r>
      <w:r>
        <w:rPr>
          <w:rFonts w:ascii="Times New Roman" w:hAnsi="Times New Roman"/>
          <w:spacing w:val="-3"/>
          <w:sz w:val="24"/>
        </w:rPr>
        <w:t> </w:t>
      </w:r>
      <w:r>
        <w:rPr>
          <w:rFonts w:ascii="Times New Roman" w:hAnsi="Times New Roman"/>
          <w:sz w:val="24"/>
        </w:rPr>
        <w:t>(EDTA)</w:t>
      </w:r>
      <w:r>
        <w:rPr>
          <w:rFonts w:ascii="Times New Roman" w:hAnsi="Times New Roman"/>
          <w:spacing w:val="-2"/>
          <w:sz w:val="24"/>
        </w:rPr>
        <w:t> </w:t>
      </w:r>
      <w:r>
        <w:rPr>
          <w:rFonts w:ascii="Times New Roman" w:hAnsi="Times New Roman"/>
          <w:sz w:val="24"/>
        </w:rPr>
        <w:t>were</w:t>
      </w:r>
      <w:r>
        <w:rPr>
          <w:rFonts w:ascii="Times New Roman" w:hAnsi="Times New Roman"/>
          <w:spacing w:val="-7"/>
          <w:sz w:val="24"/>
        </w:rPr>
        <w:t> </w:t>
      </w:r>
      <w:r>
        <w:rPr>
          <w:rFonts w:ascii="Times New Roman" w:hAnsi="Times New Roman"/>
          <w:sz w:val="24"/>
        </w:rPr>
        <w:t>obtained from</w:t>
      </w:r>
      <w:r>
        <w:rPr>
          <w:rFonts w:ascii="Times New Roman" w:hAnsi="Times New Roman"/>
          <w:spacing w:val="-11"/>
          <w:sz w:val="24"/>
        </w:rPr>
        <w:t> </w:t>
      </w:r>
      <w:r>
        <w:rPr>
          <w:rFonts w:ascii="Times New Roman" w:hAnsi="Times New Roman"/>
          <w:sz w:val="24"/>
        </w:rPr>
        <w:t>Sigma</w:t>
      </w:r>
      <w:r>
        <w:rPr>
          <w:rFonts w:ascii="Times New Roman" w:hAnsi="Times New Roman"/>
          <w:spacing w:val="-4"/>
          <w:sz w:val="24"/>
        </w:rPr>
        <w:t> </w:t>
      </w:r>
      <w:r>
        <w:rPr>
          <w:rFonts w:ascii="Times New Roman" w:hAnsi="Times New Roman"/>
          <w:sz w:val="24"/>
        </w:rPr>
        <w:t>chemical Ltd., England. Mannitol, Sucrose, Lactose,</w:t>
      </w:r>
      <w:r>
        <w:rPr>
          <w:rFonts w:ascii="Times New Roman" w:hAnsi="Times New Roman"/>
          <w:spacing w:val="-1"/>
          <w:sz w:val="24"/>
        </w:rPr>
        <w:t> </w:t>
      </w:r>
      <w:r>
        <w:rPr>
          <w:rFonts w:ascii="Times New Roman" w:hAnsi="Times New Roman"/>
          <w:sz w:val="24"/>
        </w:rPr>
        <w:t>Glucose, Crystal</w:t>
      </w:r>
      <w:r>
        <w:rPr>
          <w:rFonts w:ascii="Times New Roman" w:hAnsi="Times New Roman"/>
          <w:spacing w:val="-6"/>
          <w:sz w:val="24"/>
        </w:rPr>
        <w:t> </w:t>
      </w:r>
      <w:r>
        <w:rPr>
          <w:rFonts w:ascii="Times New Roman" w:hAnsi="Times New Roman"/>
          <w:sz w:val="24"/>
        </w:rPr>
        <w:t>Violet, Acetone and Carbon fuschin were from BDH Chemicals Ltd., England, whileAgarose gel was from Schwarz/Mann Biotech.Oxidase reagent was obtained from Hopkin and William, London.</w:t>
      </w:r>
    </w:p>
    <w:p>
      <w:pPr>
        <w:pStyle w:val="BodyText"/>
        <w:spacing w:before="238"/>
        <w:rPr>
          <w:rFonts w:ascii="Times New Roman"/>
          <w:sz w:val="24"/>
        </w:rPr>
      </w:pPr>
    </w:p>
    <w:p>
      <w:pPr>
        <w:pStyle w:val="ListParagraph"/>
        <w:numPr>
          <w:ilvl w:val="1"/>
          <w:numId w:val="17"/>
        </w:numPr>
        <w:tabs>
          <w:tab w:pos="1301" w:val="left" w:leader="none"/>
        </w:tabs>
        <w:spacing w:line="240" w:lineRule="auto" w:before="0" w:after="0"/>
        <w:ind w:left="1301" w:right="0" w:hanging="381"/>
        <w:jc w:val="both"/>
        <w:rPr>
          <w:rFonts w:ascii="Calibri"/>
          <w:b/>
          <w:sz w:val="22"/>
        </w:rPr>
      </w:pPr>
      <w:bookmarkStart w:name="_TOC_250034" w:id="57"/>
      <w:bookmarkEnd w:id="57"/>
      <w:r>
        <w:rPr>
          <w:rFonts w:ascii="Calibri"/>
          <w:b/>
          <w:spacing w:val="-2"/>
          <w:sz w:val="22"/>
        </w:rPr>
        <w:t>METHODS</w:t>
      </w:r>
    </w:p>
    <w:p>
      <w:pPr>
        <w:pStyle w:val="BodyText"/>
        <w:spacing w:before="202"/>
        <w:rPr>
          <w:b/>
        </w:rPr>
      </w:pPr>
    </w:p>
    <w:p>
      <w:pPr>
        <w:pStyle w:val="Heading3"/>
        <w:numPr>
          <w:ilvl w:val="2"/>
          <w:numId w:val="17"/>
        </w:numPr>
        <w:tabs>
          <w:tab w:pos="1460" w:val="left" w:leader="none"/>
        </w:tabs>
        <w:spacing w:line="240" w:lineRule="auto" w:before="0" w:after="0"/>
        <w:ind w:left="1460" w:right="0" w:hanging="540"/>
        <w:jc w:val="left"/>
      </w:pPr>
      <w:bookmarkStart w:name="_TOC_250033" w:id="58"/>
      <w:r>
        <w:rPr/>
        <w:t>Study</w:t>
      </w:r>
      <w:r>
        <w:rPr>
          <w:spacing w:val="-7"/>
        </w:rPr>
        <w:t> </w:t>
      </w:r>
      <w:bookmarkEnd w:id="58"/>
      <w:r>
        <w:rPr>
          <w:spacing w:val="-4"/>
        </w:rPr>
        <w:t>Area</w:t>
      </w:r>
    </w:p>
    <w:p>
      <w:pPr>
        <w:spacing w:line="480" w:lineRule="auto" w:before="272"/>
        <w:ind w:left="920" w:right="1187" w:firstLine="0"/>
        <w:jc w:val="left"/>
        <w:rPr>
          <w:rFonts w:ascii="Times New Roman"/>
          <w:sz w:val="24"/>
        </w:rPr>
      </w:pPr>
      <w:r>
        <w:rPr>
          <w:rFonts w:ascii="Times New Roman"/>
          <w:sz w:val="24"/>
        </w:rPr>
        <w:t>Samplings</w:t>
      </w:r>
      <w:r>
        <w:rPr>
          <w:rFonts w:ascii="Times New Roman"/>
          <w:spacing w:val="40"/>
          <w:sz w:val="24"/>
        </w:rPr>
        <w:t> </w:t>
      </w:r>
      <w:r>
        <w:rPr>
          <w:rFonts w:ascii="Times New Roman"/>
          <w:sz w:val="24"/>
        </w:rPr>
        <w:t>for</w:t>
      </w:r>
      <w:r>
        <w:rPr>
          <w:rFonts w:ascii="Times New Roman"/>
          <w:spacing w:val="39"/>
          <w:sz w:val="24"/>
        </w:rPr>
        <w:t> </w:t>
      </w:r>
      <w:r>
        <w:rPr>
          <w:rFonts w:ascii="Times New Roman"/>
          <w:sz w:val="24"/>
        </w:rPr>
        <w:t>this</w:t>
      </w:r>
      <w:r>
        <w:rPr>
          <w:rFonts w:ascii="Times New Roman"/>
          <w:spacing w:val="40"/>
          <w:sz w:val="24"/>
        </w:rPr>
        <w:t> </w:t>
      </w:r>
      <w:r>
        <w:rPr>
          <w:rFonts w:ascii="Times New Roman"/>
          <w:sz w:val="24"/>
        </w:rPr>
        <w:t>study</w:t>
      </w:r>
      <w:r>
        <w:rPr>
          <w:rFonts w:ascii="Times New Roman"/>
          <w:spacing w:val="33"/>
          <w:sz w:val="24"/>
        </w:rPr>
        <w:t> </w:t>
      </w:r>
      <w:r>
        <w:rPr>
          <w:rFonts w:ascii="Times New Roman"/>
          <w:sz w:val="24"/>
        </w:rPr>
        <w:t>were</w:t>
      </w:r>
      <w:r>
        <w:rPr>
          <w:rFonts w:ascii="Times New Roman"/>
          <w:spacing w:val="36"/>
          <w:sz w:val="24"/>
        </w:rPr>
        <w:t> </w:t>
      </w:r>
      <w:r>
        <w:rPr>
          <w:rFonts w:ascii="Times New Roman"/>
          <w:sz w:val="24"/>
        </w:rPr>
        <w:t>taken</w:t>
      </w:r>
      <w:r>
        <w:rPr>
          <w:rFonts w:ascii="Times New Roman"/>
          <w:spacing w:val="37"/>
          <w:sz w:val="24"/>
        </w:rPr>
        <w:t> </w:t>
      </w:r>
      <w:r>
        <w:rPr>
          <w:rFonts w:ascii="Times New Roman"/>
          <w:sz w:val="24"/>
        </w:rPr>
        <w:t>randomly</w:t>
      </w:r>
      <w:r>
        <w:rPr>
          <w:rFonts w:ascii="Times New Roman"/>
          <w:spacing w:val="37"/>
          <w:sz w:val="24"/>
        </w:rPr>
        <w:t> </w:t>
      </w:r>
      <w:r>
        <w:rPr>
          <w:rFonts w:ascii="Times New Roman"/>
          <w:sz w:val="24"/>
        </w:rPr>
        <w:t>from</w:t>
      </w:r>
      <w:r>
        <w:rPr>
          <w:rFonts w:ascii="Times New Roman"/>
          <w:spacing w:val="37"/>
          <w:sz w:val="24"/>
        </w:rPr>
        <w:t> </w:t>
      </w:r>
      <w:r>
        <w:rPr>
          <w:rFonts w:ascii="Times New Roman"/>
          <w:sz w:val="24"/>
        </w:rPr>
        <w:t>five</w:t>
      </w:r>
      <w:r>
        <w:rPr>
          <w:rFonts w:ascii="Times New Roman"/>
          <w:spacing w:val="40"/>
          <w:sz w:val="24"/>
        </w:rPr>
        <w:t> </w:t>
      </w:r>
      <w:r>
        <w:rPr>
          <w:rFonts w:ascii="Times New Roman"/>
          <w:sz w:val="24"/>
        </w:rPr>
        <w:t>locations</w:t>
      </w:r>
      <w:r>
        <w:rPr>
          <w:rFonts w:ascii="Times New Roman"/>
          <w:spacing w:val="40"/>
          <w:sz w:val="24"/>
        </w:rPr>
        <w:t> </w:t>
      </w:r>
      <w:r>
        <w:rPr>
          <w:rFonts w:ascii="Times New Roman"/>
          <w:sz w:val="24"/>
        </w:rPr>
        <w:t>in</w:t>
      </w:r>
      <w:r>
        <w:rPr>
          <w:rFonts w:ascii="Times New Roman"/>
          <w:spacing w:val="40"/>
          <w:sz w:val="24"/>
        </w:rPr>
        <w:t> </w:t>
      </w:r>
      <w:r>
        <w:rPr>
          <w:rFonts w:ascii="Times New Roman"/>
          <w:sz w:val="24"/>
        </w:rPr>
        <w:t>Zaria,</w:t>
      </w:r>
      <w:r>
        <w:rPr>
          <w:rFonts w:ascii="Times New Roman"/>
          <w:spacing w:val="40"/>
          <w:sz w:val="24"/>
        </w:rPr>
        <w:t> </w:t>
      </w:r>
      <w:r>
        <w:rPr>
          <w:rFonts w:ascii="Times New Roman"/>
          <w:sz w:val="24"/>
        </w:rPr>
        <w:t>namely</w:t>
      </w:r>
      <w:r>
        <w:rPr>
          <w:rFonts w:ascii="Times New Roman"/>
          <w:spacing w:val="33"/>
          <w:sz w:val="24"/>
        </w:rPr>
        <w:t> </w:t>
      </w:r>
      <w:r>
        <w:rPr>
          <w:rFonts w:ascii="Times New Roman"/>
          <w:sz w:val="24"/>
        </w:rPr>
        <w:t>Samaru, Sabon-Gari, Tudun Wada, Wusasa and Zaria city.</w:t>
      </w:r>
    </w:p>
    <w:p>
      <w:pPr>
        <w:pStyle w:val="Heading3"/>
        <w:numPr>
          <w:ilvl w:val="2"/>
          <w:numId w:val="17"/>
        </w:numPr>
        <w:tabs>
          <w:tab w:pos="1461" w:val="left" w:leader="none"/>
        </w:tabs>
        <w:spacing w:line="240" w:lineRule="auto" w:before="4" w:after="0"/>
        <w:ind w:left="1461" w:right="0" w:hanging="541"/>
        <w:jc w:val="left"/>
      </w:pPr>
      <w:r>
        <w:rPr/>
        <w:t>Media</w:t>
      </w:r>
      <w:r>
        <w:rPr>
          <w:spacing w:val="-6"/>
        </w:rPr>
        <w:t> </w:t>
      </w:r>
      <w:r>
        <w:rPr>
          <w:spacing w:val="-2"/>
        </w:rPr>
        <w:t>Preparation</w:t>
      </w:r>
    </w:p>
    <w:p>
      <w:pPr>
        <w:pStyle w:val="BodyText"/>
        <w:spacing w:before="1"/>
        <w:rPr>
          <w:rFonts w:ascii="Times New Roman"/>
          <w:b/>
          <w:sz w:val="24"/>
        </w:rPr>
      </w:pPr>
    </w:p>
    <w:p>
      <w:pPr>
        <w:pStyle w:val="BodyText"/>
        <w:spacing w:line="480" w:lineRule="auto"/>
        <w:ind w:left="920" w:right="1181"/>
      </w:pPr>
      <w:r>
        <w:rPr/>
        <w:t>Each bacteriological medium used was prepared from commercially available powder according to the Manufacturer’s instructions. Sterilization was by autoclaving at 121°C for 15 minutes.</w:t>
      </w:r>
    </w:p>
    <w:p>
      <w:pPr>
        <w:pStyle w:val="BodyText"/>
        <w:spacing w:before="207"/>
      </w:pPr>
    </w:p>
    <w:p>
      <w:pPr>
        <w:pStyle w:val="Heading3"/>
        <w:numPr>
          <w:ilvl w:val="2"/>
          <w:numId w:val="17"/>
        </w:numPr>
        <w:tabs>
          <w:tab w:pos="1461" w:val="left" w:leader="none"/>
        </w:tabs>
        <w:spacing w:line="240" w:lineRule="auto" w:before="0" w:after="0"/>
        <w:ind w:left="1461" w:right="0" w:hanging="541"/>
        <w:jc w:val="both"/>
      </w:pPr>
      <w:r>
        <w:rPr>
          <w:spacing w:val="-2"/>
        </w:rPr>
        <w:t>Sampling</w:t>
      </w:r>
    </w:p>
    <w:p>
      <w:pPr>
        <w:spacing w:line="480" w:lineRule="auto" w:before="271"/>
        <w:ind w:left="920" w:right="1184" w:firstLine="0"/>
        <w:jc w:val="both"/>
        <w:rPr>
          <w:rFonts w:ascii="Times New Roman"/>
          <w:sz w:val="24"/>
        </w:rPr>
      </w:pPr>
      <w:r>
        <w:rPr>
          <w:rFonts w:ascii="Times New Roman"/>
          <w:sz w:val="24"/>
        </w:rPr>
        <w:t>Four brands of liquid pasteurized milk were selected from eight brands of packaged milk commonly sold in Zaria. Brands 1 and 2 were in plastic bottles while brands 3 and 4 were in paper packs</w:t>
      </w:r>
      <w:r>
        <w:rPr>
          <w:rFonts w:ascii="Times New Roman"/>
          <w:spacing w:val="-2"/>
          <w:sz w:val="24"/>
        </w:rPr>
        <w:t> </w:t>
      </w:r>
      <w:r>
        <w:rPr>
          <w:rFonts w:ascii="Times New Roman"/>
          <w:sz w:val="24"/>
        </w:rPr>
        <w:t>and were</w:t>
      </w:r>
      <w:r>
        <w:rPr>
          <w:rFonts w:ascii="Times New Roman"/>
          <w:spacing w:val="-1"/>
          <w:sz w:val="24"/>
        </w:rPr>
        <w:t> </w:t>
      </w:r>
      <w:r>
        <w:rPr>
          <w:rFonts w:ascii="Times New Roman"/>
          <w:sz w:val="24"/>
        </w:rPr>
        <w:t>all</w:t>
      </w:r>
      <w:r>
        <w:rPr>
          <w:rFonts w:ascii="Times New Roman"/>
          <w:spacing w:val="-4"/>
          <w:sz w:val="24"/>
        </w:rPr>
        <w:t> </w:t>
      </w:r>
      <w:r>
        <w:rPr>
          <w:rFonts w:ascii="Times New Roman"/>
          <w:sz w:val="24"/>
        </w:rPr>
        <w:t>stored at room</w:t>
      </w:r>
      <w:r>
        <w:rPr>
          <w:rFonts w:ascii="Times New Roman"/>
          <w:spacing w:val="-9"/>
          <w:sz w:val="24"/>
        </w:rPr>
        <w:t> </w:t>
      </w:r>
      <w:r>
        <w:rPr>
          <w:rFonts w:ascii="Times New Roman"/>
          <w:sz w:val="24"/>
        </w:rPr>
        <w:t>temperature</w:t>
      </w:r>
      <w:r>
        <w:rPr>
          <w:rFonts w:ascii="Times New Roman"/>
          <w:spacing w:val="-1"/>
          <w:sz w:val="24"/>
        </w:rPr>
        <w:t> </w:t>
      </w:r>
      <w:r>
        <w:rPr>
          <w:rFonts w:ascii="Times New Roman"/>
          <w:sz w:val="24"/>
        </w:rPr>
        <w:t>at time</w:t>
      </w:r>
      <w:r>
        <w:rPr>
          <w:rFonts w:ascii="Times New Roman"/>
          <w:spacing w:val="-1"/>
          <w:sz w:val="24"/>
        </w:rPr>
        <w:t> </w:t>
      </w:r>
      <w:r>
        <w:rPr>
          <w:rFonts w:ascii="Times New Roman"/>
          <w:sz w:val="24"/>
        </w:rPr>
        <w:t>of</w:t>
      </w:r>
      <w:r>
        <w:rPr>
          <w:rFonts w:ascii="Times New Roman"/>
          <w:spacing w:val="-8"/>
          <w:sz w:val="24"/>
        </w:rPr>
        <w:t> </w:t>
      </w:r>
      <w:r>
        <w:rPr>
          <w:rFonts w:ascii="Times New Roman"/>
          <w:sz w:val="24"/>
        </w:rPr>
        <w:t>purchase. The four brands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milk samples</w:t>
      </w:r>
      <w:r>
        <w:rPr>
          <w:rFonts w:ascii="Times New Roman"/>
          <w:spacing w:val="-4"/>
          <w:sz w:val="24"/>
        </w:rPr>
        <w:t> </w:t>
      </w:r>
      <w:r>
        <w:rPr>
          <w:rFonts w:ascii="Times New Roman"/>
          <w:sz w:val="24"/>
        </w:rPr>
        <w:t>used</w:t>
      </w:r>
      <w:r>
        <w:rPr>
          <w:rFonts w:ascii="Times New Roman"/>
          <w:spacing w:val="4"/>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study</w:t>
      </w:r>
      <w:r>
        <w:rPr>
          <w:rFonts w:ascii="Times New Roman"/>
          <w:spacing w:val="-9"/>
          <w:sz w:val="24"/>
        </w:rPr>
        <w:t> </w:t>
      </w:r>
      <w:r>
        <w:rPr>
          <w:rFonts w:ascii="Times New Roman"/>
          <w:sz w:val="24"/>
        </w:rPr>
        <w:t>were</w:t>
      </w:r>
      <w:r>
        <w:rPr>
          <w:rFonts w:ascii="Times New Roman"/>
          <w:spacing w:val="2"/>
          <w:sz w:val="24"/>
        </w:rPr>
        <w:t> </w:t>
      </w:r>
      <w:r>
        <w:rPr>
          <w:rFonts w:ascii="Times New Roman"/>
          <w:sz w:val="24"/>
        </w:rPr>
        <w:t>all manufactured</w:t>
      </w:r>
      <w:r>
        <w:rPr>
          <w:rFonts w:ascii="Times New Roman"/>
          <w:spacing w:val="3"/>
          <w:sz w:val="24"/>
        </w:rPr>
        <w:t> </w:t>
      </w:r>
      <w:r>
        <w:rPr>
          <w:rFonts w:ascii="Times New Roman"/>
          <w:sz w:val="24"/>
        </w:rPr>
        <w:t>in</w:t>
      </w:r>
      <w:r>
        <w:rPr>
          <w:rFonts w:ascii="Times New Roman"/>
          <w:spacing w:val="-2"/>
          <w:sz w:val="24"/>
        </w:rPr>
        <w:t> </w:t>
      </w:r>
      <w:r>
        <w:rPr>
          <w:rFonts w:ascii="Times New Roman"/>
          <w:sz w:val="24"/>
        </w:rPr>
        <w:t>Lagos</w:t>
      </w:r>
      <w:r>
        <w:rPr>
          <w:rFonts w:ascii="Times New Roman"/>
          <w:spacing w:val="-3"/>
          <w:sz w:val="24"/>
        </w:rPr>
        <w:t> </w:t>
      </w:r>
      <w:r>
        <w:rPr>
          <w:rFonts w:ascii="Times New Roman"/>
          <w:sz w:val="24"/>
        </w:rPr>
        <w:t>State,</w:t>
      </w:r>
      <w:r>
        <w:rPr>
          <w:rFonts w:ascii="Times New Roman"/>
          <w:spacing w:val="1"/>
          <w:sz w:val="24"/>
        </w:rPr>
        <w:t> </w:t>
      </w:r>
      <w:r>
        <w:rPr>
          <w:rFonts w:ascii="Times New Roman"/>
          <w:sz w:val="24"/>
        </w:rPr>
        <w:t>Nigeria.</w:t>
      </w:r>
      <w:r>
        <w:rPr>
          <w:rFonts w:ascii="Times New Roman"/>
          <w:spacing w:val="6"/>
          <w:sz w:val="24"/>
        </w:rPr>
        <w:t> </w:t>
      </w:r>
      <w:r>
        <w:rPr>
          <w:rFonts w:ascii="Times New Roman"/>
          <w:sz w:val="24"/>
        </w:rPr>
        <w:t>A</w:t>
      </w:r>
      <w:r>
        <w:rPr>
          <w:rFonts w:ascii="Times New Roman"/>
          <w:spacing w:val="-6"/>
          <w:sz w:val="24"/>
        </w:rPr>
        <w:t> </w:t>
      </w:r>
      <w:r>
        <w:rPr>
          <w:rFonts w:ascii="Times New Roman"/>
          <w:sz w:val="24"/>
        </w:rPr>
        <w:t>total</w:t>
      </w:r>
      <w:r>
        <w:rPr>
          <w:rFonts w:ascii="Times New Roman"/>
          <w:spacing w:val="-10"/>
          <w:sz w:val="24"/>
        </w:rPr>
        <w:t> </w:t>
      </w:r>
      <w:r>
        <w:rPr>
          <w:rFonts w:ascii="Times New Roman"/>
          <w:sz w:val="24"/>
        </w:rPr>
        <w:t>of</w:t>
      </w:r>
      <w:r>
        <w:rPr>
          <w:rFonts w:ascii="Times New Roman"/>
          <w:spacing w:val="-9"/>
          <w:sz w:val="24"/>
        </w:rPr>
        <w:t> </w:t>
      </w:r>
      <w:r>
        <w:rPr>
          <w:rFonts w:ascii="Times New Roman"/>
          <w:sz w:val="24"/>
        </w:rPr>
        <w:t>two</w:t>
      </w:r>
      <w:r>
        <w:rPr>
          <w:rFonts w:ascii="Times New Roman"/>
          <w:spacing w:val="3"/>
          <w:sz w:val="24"/>
        </w:rPr>
        <w:t> </w:t>
      </w:r>
      <w:r>
        <w:rPr>
          <w:rFonts w:ascii="Times New Roman"/>
          <w:spacing w:val="-2"/>
          <w:sz w:val="24"/>
        </w:rPr>
        <w:t>hundred</w:t>
      </w:r>
    </w:p>
    <w:p>
      <w:pPr>
        <w:spacing w:after="0" w:line="480" w:lineRule="auto"/>
        <w:jc w:val="both"/>
        <w:rPr>
          <w:rFonts w:ascii="Times New Roman"/>
          <w:sz w:val="24"/>
        </w:rPr>
        <w:sectPr>
          <w:pgSz w:w="12240" w:h="15840"/>
          <w:pgMar w:header="0" w:footer="1017" w:top="1320" w:bottom="1200" w:left="520" w:right="260"/>
        </w:sectPr>
      </w:pPr>
    </w:p>
    <w:p>
      <w:pPr>
        <w:spacing w:line="480" w:lineRule="auto" w:before="72"/>
        <w:ind w:left="920" w:right="1178" w:firstLine="0"/>
        <w:jc w:val="both"/>
        <w:rPr>
          <w:rFonts w:ascii="Times New Roman"/>
          <w:sz w:val="24"/>
        </w:rPr>
      </w:pPr>
      <w:r>
        <w:rPr>
          <w:rFonts w:ascii="Times New Roman"/>
          <w:sz w:val="24"/>
        </w:rPr>
        <w:t>(200) packaged pasteurized milk samples were bought from five major markets in the locations with</w:t>
      </w:r>
      <w:r>
        <w:rPr>
          <w:rFonts w:ascii="Times New Roman"/>
          <w:spacing w:val="-5"/>
          <w:sz w:val="24"/>
        </w:rPr>
        <w:t> </w:t>
      </w:r>
      <w:r>
        <w:rPr>
          <w:rFonts w:ascii="Times New Roman"/>
          <w:sz w:val="24"/>
        </w:rPr>
        <w:t>different batch numbers, date</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manufacture</w:t>
      </w:r>
      <w:r>
        <w:rPr>
          <w:rFonts w:ascii="Times New Roman"/>
          <w:spacing w:val="-5"/>
          <w:sz w:val="24"/>
        </w:rPr>
        <w:t> </w:t>
      </w:r>
      <w:r>
        <w:rPr>
          <w:rFonts w:ascii="Times New Roman"/>
          <w:sz w:val="24"/>
        </w:rPr>
        <w:t>and expiry</w:t>
      </w:r>
      <w:r>
        <w:rPr>
          <w:rFonts w:ascii="Times New Roman"/>
          <w:spacing w:val="-5"/>
          <w:sz w:val="24"/>
        </w:rPr>
        <w:t> </w:t>
      </w:r>
      <w:r>
        <w:rPr>
          <w:rFonts w:ascii="Times New Roman"/>
          <w:sz w:val="24"/>
        </w:rPr>
        <w:t>dates. The four brands</w:t>
      </w:r>
      <w:r>
        <w:rPr>
          <w:rFonts w:ascii="Times New Roman"/>
          <w:spacing w:val="-2"/>
          <w:sz w:val="24"/>
        </w:rPr>
        <w:t> </w:t>
      </w:r>
      <w:r>
        <w:rPr>
          <w:rFonts w:ascii="Times New Roman"/>
          <w:sz w:val="24"/>
        </w:rPr>
        <w:t>of</w:t>
      </w:r>
      <w:r>
        <w:rPr>
          <w:rFonts w:ascii="Times New Roman"/>
          <w:spacing w:val="-8"/>
          <w:sz w:val="24"/>
        </w:rPr>
        <w:t> </w:t>
      </w:r>
      <w:r>
        <w:rPr>
          <w:rFonts w:ascii="Times New Roman"/>
          <w:sz w:val="24"/>
        </w:rPr>
        <w:t>packaged milk samples were manufactured in August,</w:t>
      </w:r>
      <w:r>
        <w:rPr>
          <w:rFonts w:ascii="Times New Roman"/>
          <w:spacing w:val="-1"/>
          <w:sz w:val="24"/>
        </w:rPr>
        <w:t> </w:t>
      </w:r>
      <w:r>
        <w:rPr>
          <w:rFonts w:ascii="Times New Roman"/>
          <w:sz w:val="24"/>
        </w:rPr>
        <w:t>September and October, 2010 while their expiration dates did not exceed May, 2011.</w:t>
      </w:r>
      <w:r>
        <w:rPr>
          <w:rFonts w:ascii="Times New Roman"/>
          <w:spacing w:val="12"/>
          <w:sz w:val="24"/>
        </w:rPr>
        <w:t> </w:t>
      </w:r>
      <w:r>
        <w:rPr>
          <w:rFonts w:ascii="Times New Roman"/>
          <w:sz w:val="24"/>
        </w:rPr>
        <w:t>Ten packs of four brands of milk samples were bought</w:t>
      </w:r>
      <w:r>
        <w:rPr>
          <w:rFonts w:ascii="Times New Roman"/>
          <w:spacing w:val="12"/>
          <w:sz w:val="24"/>
        </w:rPr>
        <w:t> </w:t>
      </w:r>
      <w:r>
        <w:rPr>
          <w:rFonts w:ascii="Times New Roman"/>
          <w:sz w:val="24"/>
        </w:rPr>
        <w:t>making</w:t>
      </w:r>
      <w:r>
        <w:rPr>
          <w:rFonts w:ascii="Times New Roman"/>
          <w:spacing w:val="40"/>
          <w:sz w:val="24"/>
        </w:rPr>
        <w:t> </w:t>
      </w:r>
      <w:r>
        <w:rPr>
          <w:rFonts w:ascii="Times New Roman"/>
          <w:sz w:val="24"/>
        </w:rPr>
        <w:t>a total of forty samples per market. The samples were transported to the laboratory for bacteriological analysis.</w:t>
      </w:r>
    </w:p>
    <w:p>
      <w:pPr>
        <w:pStyle w:val="BodyText"/>
        <w:rPr>
          <w:rFonts w:ascii="Times New Roman"/>
          <w:sz w:val="24"/>
        </w:rPr>
      </w:pPr>
    </w:p>
    <w:p>
      <w:pPr>
        <w:pStyle w:val="BodyText"/>
        <w:spacing w:before="235"/>
        <w:rPr>
          <w:rFonts w:ascii="Times New Roman"/>
          <w:sz w:val="24"/>
        </w:rPr>
      </w:pPr>
    </w:p>
    <w:p>
      <w:pPr>
        <w:pStyle w:val="Heading6"/>
        <w:numPr>
          <w:ilvl w:val="2"/>
          <w:numId w:val="17"/>
        </w:numPr>
        <w:tabs>
          <w:tab w:pos="1415" w:val="left" w:leader="none"/>
        </w:tabs>
        <w:spacing w:line="240" w:lineRule="auto" w:before="0" w:after="0"/>
        <w:ind w:left="1415" w:right="0" w:hanging="495"/>
        <w:jc w:val="both"/>
      </w:pPr>
      <w:r>
        <w:rPr/>
        <w:t>Isolation</w:t>
      </w:r>
      <w:r>
        <w:rPr>
          <w:spacing w:val="-3"/>
        </w:rPr>
        <w:t> </w:t>
      </w:r>
      <w:r>
        <w:rPr/>
        <w:t>of</w:t>
      </w:r>
      <w:r>
        <w:rPr>
          <w:spacing w:val="-2"/>
        </w:rPr>
        <w:t> Organisms</w:t>
      </w:r>
    </w:p>
    <w:p>
      <w:pPr>
        <w:pStyle w:val="BodyText"/>
        <w:spacing w:before="202"/>
        <w:rPr>
          <w:b/>
        </w:rPr>
      </w:pPr>
    </w:p>
    <w:p>
      <w:pPr>
        <w:pStyle w:val="BodyText"/>
        <w:spacing w:line="480" w:lineRule="auto"/>
        <w:ind w:left="920" w:right="1173"/>
        <w:jc w:val="both"/>
      </w:pPr>
      <w:r>
        <w:rPr/>
        <w:t>The milk packs were swabbed with 70% ethanol before opening. Using sterile syringe, 1.0ml of milk sample was aseptically withdrawn from the packages to make ten-fold serial dilutions using sterile normal saline.</w:t>
      </w:r>
      <w:r>
        <w:rPr>
          <w:spacing w:val="-2"/>
        </w:rPr>
        <w:t> </w:t>
      </w:r>
      <w:r>
        <w:rPr/>
        <w:t>Using pour plate method,</w:t>
      </w:r>
      <w:r>
        <w:rPr>
          <w:spacing w:val="-2"/>
        </w:rPr>
        <w:t> </w:t>
      </w:r>
      <w:r>
        <w:rPr/>
        <w:t>1.0</w:t>
      </w:r>
      <w:r>
        <w:rPr>
          <w:spacing w:val="-1"/>
        </w:rPr>
        <w:t> </w:t>
      </w:r>
      <w:r>
        <w:rPr/>
        <w:t>ml of appropriate diluted sample was</w:t>
      </w:r>
      <w:r>
        <w:rPr>
          <w:spacing w:val="-4"/>
        </w:rPr>
        <w:t> </w:t>
      </w:r>
      <w:r>
        <w:rPr/>
        <w:t>mixed with 19.0</w:t>
      </w:r>
      <w:r>
        <w:rPr>
          <w:spacing w:val="-1"/>
        </w:rPr>
        <w:t> </w:t>
      </w:r>
      <w:r>
        <w:rPr/>
        <w:t>ml of melted nutrient agar (40°C) and poured into sterile plates aseptically. The plates were incubated at 37°C for 24 hours. Total viable counts were carried out on nutrient agar plates using colony counter. The numbers of colony forming units (CFU) per millilitre were counted and recorded after 24 hours. Viable colonies were aseptically picked from nutrient agar plates and purified using prepared sterile nutrient broth. Microscopic examination of the selected colonies was carried out to determine cell morphology and Gram staining reactions of the bacterial isolates.</w:t>
      </w:r>
    </w:p>
    <w:p>
      <w:pPr>
        <w:pStyle w:val="BodyText"/>
      </w:pPr>
    </w:p>
    <w:p>
      <w:pPr>
        <w:pStyle w:val="BodyText"/>
        <w:spacing w:before="173"/>
      </w:pPr>
    </w:p>
    <w:p>
      <w:pPr>
        <w:pStyle w:val="Heading6"/>
        <w:numPr>
          <w:ilvl w:val="2"/>
          <w:numId w:val="17"/>
        </w:numPr>
        <w:tabs>
          <w:tab w:pos="1415" w:val="left" w:leader="none"/>
        </w:tabs>
        <w:spacing w:line="240" w:lineRule="auto" w:before="0" w:after="0"/>
        <w:ind w:left="1415" w:right="0" w:hanging="495"/>
        <w:jc w:val="both"/>
      </w:pPr>
      <w:bookmarkStart w:name="_TOC_250032" w:id="59"/>
      <w:r>
        <w:rPr/>
        <w:t>Selective</w:t>
      </w:r>
      <w:r>
        <w:rPr>
          <w:spacing w:val="-7"/>
        </w:rPr>
        <w:t> </w:t>
      </w:r>
      <w:r>
        <w:rPr/>
        <w:t>Plating</w:t>
      </w:r>
      <w:r>
        <w:rPr>
          <w:spacing w:val="-4"/>
        </w:rPr>
        <w:t> </w:t>
      </w:r>
      <w:r>
        <w:rPr/>
        <w:t>and</w:t>
      </w:r>
      <w:r>
        <w:rPr>
          <w:spacing w:val="-3"/>
        </w:rPr>
        <w:t> </w:t>
      </w:r>
      <w:r>
        <w:rPr/>
        <w:t>Identification</w:t>
      </w:r>
      <w:r>
        <w:rPr>
          <w:spacing w:val="-4"/>
        </w:rPr>
        <w:t> </w:t>
      </w:r>
      <w:r>
        <w:rPr/>
        <w:t>of</w:t>
      </w:r>
      <w:r>
        <w:rPr>
          <w:spacing w:val="-3"/>
        </w:rPr>
        <w:t> </w:t>
      </w:r>
      <w:bookmarkEnd w:id="59"/>
      <w:r>
        <w:rPr>
          <w:spacing w:val="-2"/>
        </w:rPr>
        <w:t>Isolates</w:t>
      </w:r>
    </w:p>
    <w:p>
      <w:pPr>
        <w:pStyle w:val="BodyText"/>
        <w:spacing w:before="197"/>
        <w:rPr>
          <w:b/>
        </w:rPr>
      </w:pPr>
    </w:p>
    <w:p>
      <w:pPr>
        <w:pStyle w:val="BodyText"/>
        <w:spacing w:line="480" w:lineRule="auto" w:before="1"/>
        <w:ind w:left="920" w:right="1174"/>
        <w:jc w:val="both"/>
      </w:pPr>
      <w:r>
        <w:rPr/>
        <w:t>Isolation of specific bacteria was done by streaking on selective media. Overnight cultures were grown on nutrient broth and a loopful of inoculum from nutrient broth was streaked on selective agar and incubated</w:t>
      </w:r>
      <w:r>
        <w:rPr>
          <w:spacing w:val="8"/>
        </w:rPr>
        <w:t> </w:t>
      </w:r>
      <w:r>
        <w:rPr/>
        <w:t>at</w:t>
      </w:r>
      <w:r>
        <w:rPr>
          <w:spacing w:val="9"/>
        </w:rPr>
        <w:t> </w:t>
      </w:r>
      <w:r>
        <w:rPr/>
        <w:t>37°C</w:t>
      </w:r>
      <w:r>
        <w:rPr>
          <w:spacing w:val="14"/>
        </w:rPr>
        <w:t> </w:t>
      </w:r>
      <w:r>
        <w:rPr/>
        <w:t>for</w:t>
      </w:r>
      <w:r>
        <w:rPr>
          <w:spacing w:val="10"/>
        </w:rPr>
        <w:t> </w:t>
      </w:r>
      <w:r>
        <w:rPr/>
        <w:t>24</w:t>
      </w:r>
      <w:r>
        <w:rPr>
          <w:spacing w:val="14"/>
        </w:rPr>
        <w:t> </w:t>
      </w:r>
      <w:r>
        <w:rPr/>
        <w:t>hours.</w:t>
      </w:r>
      <w:r>
        <w:rPr>
          <w:spacing w:val="13"/>
        </w:rPr>
        <w:t> </w:t>
      </w:r>
      <w:r>
        <w:rPr/>
        <w:t>Mannitol</w:t>
      </w:r>
      <w:r>
        <w:rPr>
          <w:spacing w:val="12"/>
        </w:rPr>
        <w:t> </w:t>
      </w:r>
      <w:r>
        <w:rPr/>
        <w:t>salt</w:t>
      </w:r>
      <w:r>
        <w:rPr>
          <w:spacing w:val="9"/>
        </w:rPr>
        <w:t> </w:t>
      </w:r>
      <w:r>
        <w:rPr/>
        <w:t>agar</w:t>
      </w:r>
      <w:r>
        <w:rPr>
          <w:spacing w:val="11"/>
        </w:rPr>
        <w:t> </w:t>
      </w:r>
      <w:r>
        <w:rPr/>
        <w:t>(MSA)</w:t>
      </w:r>
      <w:r>
        <w:rPr>
          <w:spacing w:val="11"/>
        </w:rPr>
        <w:t> </w:t>
      </w:r>
      <w:r>
        <w:rPr/>
        <w:t>was</w:t>
      </w:r>
      <w:r>
        <w:rPr>
          <w:spacing w:val="11"/>
        </w:rPr>
        <w:t> </w:t>
      </w:r>
      <w:r>
        <w:rPr/>
        <w:t>used</w:t>
      </w:r>
      <w:r>
        <w:rPr>
          <w:spacing w:val="11"/>
        </w:rPr>
        <w:t> </w:t>
      </w:r>
      <w:r>
        <w:rPr/>
        <w:t>for</w:t>
      </w:r>
      <w:r>
        <w:rPr>
          <w:spacing w:val="11"/>
        </w:rPr>
        <w:t> </w:t>
      </w:r>
      <w:r>
        <w:rPr/>
        <w:t>isolation</w:t>
      </w:r>
      <w:r>
        <w:rPr>
          <w:spacing w:val="10"/>
        </w:rPr>
        <w:t> </w:t>
      </w:r>
      <w:r>
        <w:rPr/>
        <w:t>of</w:t>
      </w:r>
      <w:r>
        <w:rPr>
          <w:spacing w:val="12"/>
        </w:rPr>
        <w:t> </w:t>
      </w:r>
      <w:r>
        <w:rPr>
          <w:i/>
        </w:rPr>
        <w:t>S.</w:t>
      </w:r>
      <w:r>
        <w:rPr>
          <w:i/>
          <w:spacing w:val="8"/>
        </w:rPr>
        <w:t> </w:t>
      </w:r>
      <w:r>
        <w:rPr>
          <w:i/>
        </w:rPr>
        <w:t>aureus</w:t>
      </w:r>
      <w:r>
        <w:rPr/>
        <w:t>,</w:t>
      </w:r>
      <w:r>
        <w:rPr>
          <w:spacing w:val="9"/>
        </w:rPr>
        <w:t> </w:t>
      </w:r>
      <w:r>
        <w:rPr>
          <w:spacing w:val="-2"/>
        </w:rPr>
        <w:t>Cetrimide</w:t>
      </w:r>
    </w:p>
    <w:p>
      <w:pPr>
        <w:spacing w:after="0" w:line="480" w:lineRule="auto"/>
        <w:jc w:val="both"/>
        <w:sectPr>
          <w:pgSz w:w="12240" w:h="15840"/>
          <w:pgMar w:header="0" w:footer="1017" w:top="1360" w:bottom="1200" w:left="520" w:right="260"/>
        </w:sectPr>
      </w:pPr>
    </w:p>
    <w:p>
      <w:pPr>
        <w:pStyle w:val="BodyText"/>
        <w:spacing w:line="480" w:lineRule="auto" w:before="37"/>
        <w:ind w:left="920" w:right="1173"/>
        <w:jc w:val="both"/>
      </w:pPr>
      <w:r>
        <w:rPr/>
        <w:t>agar for isolation of </w:t>
      </w:r>
      <w:r>
        <w:rPr>
          <w:i/>
        </w:rPr>
        <w:t>Pseudomonas species</w:t>
      </w:r>
      <w:r>
        <w:rPr/>
        <w:t>, Eosin Methylene Blue agar for </w:t>
      </w:r>
      <w:r>
        <w:rPr>
          <w:i/>
        </w:rPr>
        <w:t>E. coli</w:t>
      </w:r>
      <w:r>
        <w:rPr/>
        <w:t>, Salmonella Shigella</w:t>
      </w:r>
      <w:r>
        <w:rPr>
          <w:spacing w:val="40"/>
        </w:rPr>
        <w:t> </w:t>
      </w:r>
      <w:r>
        <w:rPr/>
        <w:t>Agar for </w:t>
      </w:r>
      <w:r>
        <w:rPr>
          <w:i/>
        </w:rPr>
        <w:t>Salmonella </w:t>
      </w:r>
      <w:r>
        <w:rPr/>
        <w:t>speciesand</w:t>
      </w:r>
      <w:r>
        <w:rPr>
          <w:spacing w:val="-1"/>
        </w:rPr>
        <w:t> </w:t>
      </w:r>
      <w:r>
        <w:rPr/>
        <w:t>MacConkey agar for isolation</w:t>
      </w:r>
      <w:r>
        <w:rPr>
          <w:spacing w:val="-1"/>
        </w:rPr>
        <w:t> </w:t>
      </w:r>
      <w:r>
        <w:rPr/>
        <w:t>of</w:t>
      </w:r>
      <w:r>
        <w:rPr>
          <w:spacing w:val="-1"/>
        </w:rPr>
        <w:t> </w:t>
      </w:r>
      <w:r>
        <w:rPr/>
        <w:t>other Enterobacteriaceae present</w:t>
      </w:r>
      <w:r>
        <w:rPr>
          <w:spacing w:val="-2"/>
        </w:rPr>
        <w:t> </w:t>
      </w:r>
      <w:r>
        <w:rPr/>
        <w:t>in</w:t>
      </w:r>
      <w:r>
        <w:rPr>
          <w:spacing w:val="-1"/>
        </w:rPr>
        <w:t> </w:t>
      </w:r>
      <w:r>
        <w:rPr/>
        <w:t>the milk sample. On MSA, colonies that appeared yellowish were presumptively identified as Staphylococci while greenish colonies on cetrimide agar were identified as </w:t>
      </w:r>
      <w:r>
        <w:rPr>
          <w:i/>
        </w:rPr>
        <w:t>Pseudomonas </w:t>
      </w:r>
      <w:r>
        <w:rPr/>
        <w:t>species. Colonies that produced greenish metallic sheen on EMB were presumptively regarded as </w:t>
      </w:r>
      <w:r>
        <w:rPr>
          <w:i/>
        </w:rPr>
        <w:t>E. coli </w:t>
      </w:r>
      <w:r>
        <w:rPr/>
        <w:t>while colourless colonies with black spot on SSA were identified as </w:t>
      </w:r>
      <w:r>
        <w:rPr>
          <w:i/>
        </w:rPr>
        <w:t>Salmonella </w:t>
      </w:r>
      <w:r>
        <w:rPr/>
        <w:t>species. Based on lactose fermentation properties Enterobacteriaceae organisms were isolated on MAC agar.</w:t>
      </w:r>
    </w:p>
    <w:p>
      <w:pPr>
        <w:pStyle w:val="BodyText"/>
        <w:spacing w:line="480" w:lineRule="auto" w:before="200"/>
        <w:ind w:left="920" w:right="1177"/>
        <w:jc w:val="both"/>
      </w:pPr>
      <w:r>
        <w:rPr/>
        <w:t>Presumptively identified organisms were sub-cultured on nutrient agar slant, incubated at 37°C for 24 hours and stored in refrigerator at 4°C pending further studies.</w:t>
      </w:r>
    </w:p>
    <w:p>
      <w:pPr>
        <w:pStyle w:val="BodyText"/>
      </w:pPr>
    </w:p>
    <w:p>
      <w:pPr>
        <w:pStyle w:val="BodyText"/>
        <w:spacing w:before="169"/>
      </w:pPr>
    </w:p>
    <w:p>
      <w:pPr>
        <w:pStyle w:val="Heading6"/>
        <w:numPr>
          <w:ilvl w:val="2"/>
          <w:numId w:val="17"/>
        </w:numPr>
        <w:tabs>
          <w:tab w:pos="1415" w:val="left" w:leader="none"/>
        </w:tabs>
        <w:spacing w:line="240" w:lineRule="auto" w:before="0" w:after="0"/>
        <w:ind w:left="1415" w:right="0" w:hanging="495"/>
        <w:jc w:val="left"/>
      </w:pPr>
      <w:bookmarkStart w:name="_TOC_250031" w:id="60"/>
      <w:r>
        <w:rPr/>
        <w:t>Biochemical</w:t>
      </w:r>
      <w:r>
        <w:rPr>
          <w:spacing w:val="-10"/>
        </w:rPr>
        <w:t> </w:t>
      </w:r>
      <w:bookmarkEnd w:id="60"/>
      <w:r>
        <w:rPr>
          <w:spacing w:val="-4"/>
        </w:rPr>
        <w:t>Test</w:t>
      </w:r>
    </w:p>
    <w:p>
      <w:pPr>
        <w:pStyle w:val="BodyText"/>
        <w:spacing w:before="202"/>
        <w:rPr>
          <w:b/>
        </w:rPr>
      </w:pPr>
    </w:p>
    <w:p>
      <w:pPr>
        <w:pStyle w:val="BodyText"/>
        <w:spacing w:line="480" w:lineRule="auto"/>
        <w:ind w:left="920" w:right="1175"/>
        <w:jc w:val="both"/>
      </w:pPr>
      <w:r>
        <w:rPr/>
        <w:t>Identification of bacterial isolates were confirmed by biochemical tests such as Indole, Methyl Red, Voges-Proskauer and Citrate (IMVIC), triple sugar iron, catalase, oxidase, coagulase, urease and sugar fermentation tests following standard methods (Cowan and Steel., 1993). The purity of the isolates was ascertained by plating on the different selective agar before carrying out biochemical tests. Colour changes were observed and recorded using Cowan and Steel manual, and other methods for bacteria identification (Barrow and Feltham, 1993; De silva </w:t>
      </w:r>
      <w:r>
        <w:rPr>
          <w:i/>
        </w:rPr>
        <w:t>et al</w:t>
      </w:r>
      <w:r>
        <w:rPr/>
        <w:t>., 2001; Ellis and Goodacre, 2006).</w:t>
      </w:r>
    </w:p>
    <w:p>
      <w:pPr>
        <w:pStyle w:val="BodyText"/>
      </w:pPr>
    </w:p>
    <w:p>
      <w:pPr>
        <w:pStyle w:val="BodyText"/>
        <w:spacing w:before="172"/>
      </w:pPr>
    </w:p>
    <w:p>
      <w:pPr>
        <w:pStyle w:val="Heading7"/>
        <w:numPr>
          <w:ilvl w:val="3"/>
          <w:numId w:val="17"/>
        </w:numPr>
        <w:tabs>
          <w:tab w:pos="1583" w:val="left" w:leader="none"/>
        </w:tabs>
        <w:spacing w:line="240" w:lineRule="auto" w:before="0" w:after="0"/>
        <w:ind w:left="1583" w:right="0" w:hanging="663"/>
        <w:jc w:val="left"/>
      </w:pPr>
      <w:bookmarkStart w:name="_TOC_250030" w:id="61"/>
      <w:r>
        <w:rPr/>
        <w:t>Indole</w:t>
      </w:r>
      <w:r>
        <w:rPr>
          <w:spacing w:val="-6"/>
        </w:rPr>
        <w:t> </w:t>
      </w:r>
      <w:bookmarkEnd w:id="61"/>
      <w:r>
        <w:rPr>
          <w:spacing w:val="-4"/>
        </w:rPr>
        <w:t>test</w:t>
      </w:r>
    </w:p>
    <w:p>
      <w:pPr>
        <w:pStyle w:val="BodyText"/>
        <w:spacing w:before="202"/>
        <w:rPr>
          <w:b/>
          <w:i/>
        </w:rPr>
      </w:pPr>
    </w:p>
    <w:p>
      <w:pPr>
        <w:pStyle w:val="BodyText"/>
        <w:spacing w:line="477" w:lineRule="auto"/>
        <w:ind w:left="920" w:right="1179"/>
        <w:jc w:val="both"/>
      </w:pPr>
      <w:r>
        <w:rPr/>
        <w:t>Pure bacterial culture was grown in sterile peptone broth for 24 hours at 37°C. Following incubation, 5 drops of</w:t>
      </w:r>
      <w:r>
        <w:rPr>
          <w:spacing w:val="-1"/>
        </w:rPr>
        <w:t> </w:t>
      </w:r>
      <w:r>
        <w:rPr/>
        <w:t>Kovac's reagent</w:t>
      </w:r>
      <w:r>
        <w:rPr>
          <w:spacing w:val="-2"/>
        </w:rPr>
        <w:t> </w:t>
      </w:r>
      <w:r>
        <w:rPr/>
        <w:t>was</w:t>
      </w:r>
      <w:r>
        <w:rPr>
          <w:spacing w:val="-5"/>
        </w:rPr>
        <w:t> </w:t>
      </w:r>
      <w:r>
        <w:rPr/>
        <w:t>added</w:t>
      </w:r>
      <w:r>
        <w:rPr>
          <w:spacing w:val="-1"/>
        </w:rPr>
        <w:t> </w:t>
      </w:r>
      <w:r>
        <w:rPr/>
        <w:t>to</w:t>
      </w:r>
      <w:r>
        <w:rPr>
          <w:spacing w:val="-2"/>
        </w:rPr>
        <w:t> </w:t>
      </w:r>
      <w:r>
        <w:rPr/>
        <w:t>the tubes. A</w:t>
      </w:r>
      <w:r>
        <w:rPr>
          <w:spacing w:val="-3"/>
        </w:rPr>
        <w:t> </w:t>
      </w:r>
      <w:r>
        <w:rPr/>
        <w:t>positive</w:t>
      </w:r>
      <w:r>
        <w:rPr>
          <w:spacing w:val="-4"/>
        </w:rPr>
        <w:t> </w:t>
      </w:r>
      <w:r>
        <w:rPr/>
        <w:t>indole</w:t>
      </w:r>
      <w:r>
        <w:rPr>
          <w:spacing w:val="-4"/>
        </w:rPr>
        <w:t> </w:t>
      </w:r>
      <w:r>
        <w:rPr/>
        <w:t>test</w:t>
      </w:r>
      <w:r>
        <w:rPr>
          <w:spacing w:val="-2"/>
        </w:rPr>
        <w:t> </w:t>
      </w:r>
      <w:r>
        <w:rPr/>
        <w:t>is indicated</w:t>
      </w:r>
      <w:r>
        <w:rPr>
          <w:spacing w:val="-1"/>
        </w:rPr>
        <w:t> </w:t>
      </w:r>
      <w:r>
        <w:rPr/>
        <w:t>by the</w:t>
      </w:r>
      <w:r>
        <w:rPr>
          <w:spacing w:val="-4"/>
        </w:rPr>
        <w:t> </w:t>
      </w:r>
      <w:r>
        <w:rPr/>
        <w:t>formation</w:t>
      </w:r>
      <w:r>
        <w:rPr>
          <w:spacing w:val="-1"/>
        </w:rPr>
        <w:t> </w:t>
      </w:r>
      <w:r>
        <w:rPr/>
        <w:t>of</w:t>
      </w:r>
      <w:r>
        <w:rPr>
          <w:spacing w:val="-5"/>
        </w:rPr>
        <w:t> </w:t>
      </w:r>
      <w:r>
        <w:rPr/>
        <w:t>a pink to red color in the reagent layer on top of the medium within seconds of adding the reagent.</w:t>
      </w:r>
    </w:p>
    <w:p>
      <w:pPr>
        <w:spacing w:after="0" w:line="477" w:lineRule="auto"/>
        <w:jc w:val="both"/>
        <w:sectPr>
          <w:pgSz w:w="12240" w:h="15840"/>
          <w:pgMar w:header="0" w:footer="1017" w:top="1400" w:bottom="1200" w:left="520" w:right="260"/>
        </w:sectPr>
      </w:pPr>
    </w:p>
    <w:p>
      <w:pPr>
        <w:pStyle w:val="Heading7"/>
        <w:numPr>
          <w:ilvl w:val="3"/>
          <w:numId w:val="17"/>
        </w:numPr>
        <w:tabs>
          <w:tab w:pos="1583" w:val="left" w:leader="none"/>
        </w:tabs>
        <w:spacing w:line="240" w:lineRule="auto" w:before="37" w:after="0"/>
        <w:ind w:left="1583" w:right="0" w:hanging="663"/>
        <w:jc w:val="left"/>
      </w:pPr>
      <w:bookmarkStart w:name="_TOC_250029" w:id="62"/>
      <w:r>
        <w:rPr/>
        <w:t>Methyl</w:t>
      </w:r>
      <w:r>
        <w:rPr>
          <w:spacing w:val="-6"/>
        </w:rPr>
        <w:t> </w:t>
      </w:r>
      <w:r>
        <w:rPr/>
        <w:t>Red-Voges</w:t>
      </w:r>
      <w:r>
        <w:rPr>
          <w:spacing w:val="-5"/>
        </w:rPr>
        <w:t> </w:t>
      </w:r>
      <w:r>
        <w:rPr/>
        <w:t>Proskauer</w:t>
      </w:r>
      <w:r>
        <w:rPr>
          <w:spacing w:val="-5"/>
        </w:rPr>
        <w:t> </w:t>
      </w:r>
      <w:bookmarkEnd w:id="62"/>
      <w:r>
        <w:rPr>
          <w:spacing w:val="-4"/>
        </w:rPr>
        <w:t>test</w:t>
      </w:r>
    </w:p>
    <w:p>
      <w:pPr>
        <w:pStyle w:val="BodyText"/>
        <w:spacing w:before="202"/>
        <w:rPr>
          <w:b/>
          <w:i/>
        </w:rPr>
      </w:pPr>
    </w:p>
    <w:p>
      <w:pPr>
        <w:pStyle w:val="BodyText"/>
        <w:spacing w:line="480" w:lineRule="auto"/>
        <w:ind w:left="920" w:right="1178"/>
        <w:jc w:val="both"/>
      </w:pPr>
      <w:r>
        <w:rPr/>
        <w:t>This test uses MRVP broth. Bacteria isolates were grown in MRVP broth for 24 hours at 37°C After growth,</w:t>
      </w:r>
      <w:r>
        <w:rPr>
          <w:spacing w:val="-1"/>
        </w:rPr>
        <w:t> </w:t>
      </w:r>
      <w:r>
        <w:rPr/>
        <w:t>the broth was separated into two different tubes,</w:t>
      </w:r>
      <w:r>
        <w:rPr>
          <w:spacing w:val="-1"/>
        </w:rPr>
        <w:t> </w:t>
      </w:r>
      <w:r>
        <w:rPr/>
        <w:t>one for the Methyl Red (MR) test and one for the Voges-Proskauer (VP) test. The pH indicator Methyl Red was added to one tube and a red color indicated positive test. The VP test uses alpha-naphthol and potassium hydroxide to indicate a positive or negative test.</w:t>
      </w:r>
    </w:p>
    <w:p>
      <w:pPr>
        <w:pStyle w:val="BodyText"/>
        <w:spacing w:before="17"/>
      </w:pPr>
    </w:p>
    <w:p>
      <w:pPr>
        <w:pStyle w:val="Heading7"/>
        <w:numPr>
          <w:ilvl w:val="3"/>
          <w:numId w:val="17"/>
        </w:numPr>
        <w:tabs>
          <w:tab w:pos="1583" w:val="left" w:leader="none"/>
        </w:tabs>
        <w:spacing w:line="240" w:lineRule="auto" w:before="0" w:after="0"/>
        <w:ind w:left="1583" w:right="0" w:hanging="663"/>
        <w:jc w:val="left"/>
      </w:pPr>
      <w:bookmarkStart w:name="_TOC_250028" w:id="63"/>
      <w:r>
        <w:rPr/>
        <w:t>Citrate</w:t>
      </w:r>
      <w:r>
        <w:rPr>
          <w:spacing w:val="-7"/>
        </w:rPr>
        <w:t> </w:t>
      </w:r>
      <w:bookmarkEnd w:id="63"/>
      <w:r>
        <w:rPr>
          <w:spacing w:val="-4"/>
        </w:rPr>
        <w:t>test</w:t>
      </w:r>
    </w:p>
    <w:p>
      <w:pPr>
        <w:pStyle w:val="BodyText"/>
        <w:spacing w:before="43"/>
        <w:rPr>
          <w:b/>
          <w:i/>
        </w:rPr>
      </w:pPr>
    </w:p>
    <w:p>
      <w:pPr>
        <w:pStyle w:val="BodyText"/>
        <w:spacing w:line="482" w:lineRule="auto" w:before="1"/>
        <w:ind w:left="920" w:right="1176"/>
        <w:jc w:val="both"/>
      </w:pPr>
      <w:r>
        <w:rPr/>
        <w:t>This test</w:t>
      </w:r>
      <w:r>
        <w:rPr>
          <w:spacing w:val="-2"/>
        </w:rPr>
        <w:t> </w:t>
      </w:r>
      <w:r>
        <w:rPr/>
        <w:t>uses Simmon's citrate agar to</w:t>
      </w:r>
      <w:r>
        <w:rPr>
          <w:spacing w:val="-2"/>
        </w:rPr>
        <w:t> </w:t>
      </w:r>
      <w:r>
        <w:rPr/>
        <w:t>determine the</w:t>
      </w:r>
      <w:r>
        <w:rPr>
          <w:spacing w:val="-8"/>
        </w:rPr>
        <w:t> </w:t>
      </w:r>
      <w:r>
        <w:rPr/>
        <w:t>ability</w:t>
      </w:r>
      <w:r>
        <w:rPr>
          <w:spacing w:val="-4"/>
        </w:rPr>
        <w:t> </w:t>
      </w:r>
      <w:r>
        <w:rPr/>
        <w:t>of</w:t>
      </w:r>
      <w:r>
        <w:rPr>
          <w:spacing w:val="-1"/>
        </w:rPr>
        <w:t> </w:t>
      </w:r>
      <w:r>
        <w:rPr/>
        <w:t>a</w:t>
      </w:r>
      <w:r>
        <w:rPr>
          <w:spacing w:val="-5"/>
        </w:rPr>
        <w:t> </w:t>
      </w:r>
      <w:r>
        <w:rPr/>
        <w:t>bacteria</w:t>
      </w:r>
      <w:r>
        <w:rPr>
          <w:spacing w:val="-1"/>
        </w:rPr>
        <w:t> </w:t>
      </w:r>
      <w:r>
        <w:rPr/>
        <w:t>to</w:t>
      </w:r>
      <w:r>
        <w:rPr>
          <w:spacing w:val="-2"/>
        </w:rPr>
        <w:t> </w:t>
      </w:r>
      <w:r>
        <w:rPr/>
        <w:t>use</w:t>
      </w:r>
      <w:r>
        <w:rPr>
          <w:spacing w:val="-4"/>
        </w:rPr>
        <w:t> </w:t>
      </w:r>
      <w:r>
        <w:rPr/>
        <w:t>citrate as</w:t>
      </w:r>
      <w:r>
        <w:rPr>
          <w:spacing w:val="-5"/>
        </w:rPr>
        <w:t> </w:t>
      </w:r>
      <w:r>
        <w:rPr/>
        <w:t>its sole carbon source. Bacteria colonies are picked up by a straight wire and inoculated into slope of Simmons citrate agar and</w:t>
      </w:r>
      <w:r>
        <w:rPr>
          <w:spacing w:val="-5"/>
        </w:rPr>
        <w:t> </w:t>
      </w:r>
      <w:r>
        <w:rPr/>
        <w:t>incubated overnight</w:t>
      </w:r>
      <w:r>
        <w:rPr>
          <w:spacing w:val="-1"/>
        </w:rPr>
        <w:t> </w:t>
      </w:r>
      <w:r>
        <w:rPr/>
        <w:t>at</w:t>
      </w:r>
      <w:r>
        <w:rPr>
          <w:spacing w:val="-6"/>
        </w:rPr>
        <w:t> </w:t>
      </w:r>
      <w:r>
        <w:rPr/>
        <w:t>37</w:t>
      </w:r>
      <w:r>
        <w:rPr>
          <w:spacing w:val="-1"/>
        </w:rPr>
        <w:t> </w:t>
      </w:r>
      <w:r>
        <w:rPr/>
        <w:t>°C.</w:t>
      </w:r>
      <w:r>
        <w:rPr>
          <w:spacing w:val="-2"/>
        </w:rPr>
        <w:t> </w:t>
      </w:r>
      <w:r>
        <w:rPr/>
        <w:t>If the organism</w:t>
      </w:r>
      <w:r>
        <w:rPr>
          <w:spacing w:val="-7"/>
        </w:rPr>
        <w:t> </w:t>
      </w:r>
      <w:r>
        <w:rPr/>
        <w:t>has the ability to</w:t>
      </w:r>
      <w:r>
        <w:rPr>
          <w:spacing w:val="-1"/>
        </w:rPr>
        <w:t> </w:t>
      </w:r>
      <w:r>
        <w:rPr/>
        <w:t>use</w:t>
      </w:r>
      <w:r>
        <w:rPr>
          <w:spacing w:val="-3"/>
        </w:rPr>
        <w:t> </w:t>
      </w:r>
      <w:r>
        <w:rPr/>
        <w:t>citrate,</w:t>
      </w:r>
      <w:r>
        <w:rPr>
          <w:spacing w:val="-2"/>
        </w:rPr>
        <w:t> </w:t>
      </w:r>
      <w:r>
        <w:rPr/>
        <w:t>the medium changes its color from green to blue.</w:t>
      </w:r>
    </w:p>
    <w:p>
      <w:pPr>
        <w:pStyle w:val="BodyText"/>
      </w:pPr>
    </w:p>
    <w:p>
      <w:pPr>
        <w:pStyle w:val="Heading4"/>
        <w:numPr>
          <w:ilvl w:val="3"/>
          <w:numId w:val="17"/>
        </w:numPr>
        <w:tabs>
          <w:tab w:pos="1637" w:val="left" w:leader="none"/>
        </w:tabs>
        <w:spacing w:line="240" w:lineRule="auto" w:before="0" w:after="0"/>
        <w:ind w:left="1637" w:right="0" w:hanging="717"/>
        <w:jc w:val="left"/>
        <w:rPr>
          <w:rFonts w:ascii="Times New Roman"/>
        </w:rPr>
      </w:pPr>
      <w:bookmarkStart w:name="_TOC_250027" w:id="64"/>
      <w:r>
        <w:rPr>
          <w:rFonts w:ascii="Times New Roman"/>
        </w:rPr>
        <w:t>Triple</w:t>
      </w:r>
      <w:r>
        <w:rPr>
          <w:rFonts w:ascii="Times New Roman"/>
          <w:spacing w:val="-7"/>
        </w:rPr>
        <w:t> </w:t>
      </w:r>
      <w:r>
        <w:rPr>
          <w:rFonts w:ascii="Times New Roman"/>
        </w:rPr>
        <w:t>sugar</w:t>
      </w:r>
      <w:r>
        <w:rPr>
          <w:rFonts w:ascii="Times New Roman"/>
          <w:spacing w:val="-7"/>
        </w:rPr>
        <w:t> </w:t>
      </w:r>
      <w:r>
        <w:rPr>
          <w:rFonts w:ascii="Times New Roman"/>
        </w:rPr>
        <w:t>iron</w:t>
      </w:r>
      <w:bookmarkEnd w:id="64"/>
      <w:r>
        <w:rPr>
          <w:rFonts w:ascii="Times New Roman"/>
          <w:spacing w:val="-4"/>
        </w:rPr>
        <w:t> test</w:t>
      </w:r>
    </w:p>
    <w:p>
      <w:pPr>
        <w:pStyle w:val="BodyText"/>
        <w:spacing w:before="5"/>
        <w:rPr>
          <w:rFonts w:ascii="Times New Roman"/>
          <w:b/>
          <w:i/>
          <w:sz w:val="24"/>
        </w:rPr>
      </w:pPr>
    </w:p>
    <w:p>
      <w:pPr>
        <w:pStyle w:val="BodyText"/>
        <w:spacing w:line="480" w:lineRule="auto"/>
        <w:ind w:left="920" w:right="1229"/>
        <w:jc w:val="both"/>
      </w:pPr>
      <w:r>
        <w:rPr/>
        <w:t>The TSI agar slants were inoculated with pure culture by streaking over the entire surface of the slant and then stabbing deep into the butt. This was incubated at 37ºC for 24 hours.Glucose fermentation was indicated by the butt of the slants becoming yellow and the slant remaining red (K/A).Glucose, Lactose</w:t>
      </w:r>
      <w:r>
        <w:rPr>
          <w:spacing w:val="40"/>
        </w:rPr>
        <w:t> </w:t>
      </w:r>
      <w:r>
        <w:rPr/>
        <w:t>and</w:t>
      </w:r>
      <w:r>
        <w:rPr>
          <w:spacing w:val="40"/>
        </w:rPr>
        <w:t> </w:t>
      </w:r>
      <w:r>
        <w:rPr/>
        <w:t>Sucrose</w:t>
      </w:r>
      <w:r>
        <w:rPr>
          <w:spacing w:val="40"/>
        </w:rPr>
        <w:t> </w:t>
      </w:r>
      <w:r>
        <w:rPr/>
        <w:t>fermentation</w:t>
      </w:r>
      <w:r>
        <w:rPr>
          <w:spacing w:val="40"/>
        </w:rPr>
        <w:t> </w:t>
      </w:r>
      <w:r>
        <w:rPr/>
        <w:t>was</w:t>
      </w:r>
      <w:r>
        <w:rPr>
          <w:spacing w:val="40"/>
        </w:rPr>
        <w:t> </w:t>
      </w:r>
      <w:r>
        <w:rPr/>
        <w:t>indicated</w:t>
      </w:r>
      <w:r>
        <w:rPr>
          <w:spacing w:val="40"/>
        </w:rPr>
        <w:t> </w:t>
      </w:r>
      <w:r>
        <w:rPr/>
        <w:t>by</w:t>
      </w:r>
      <w:r>
        <w:rPr>
          <w:spacing w:val="40"/>
        </w:rPr>
        <w:t> </w:t>
      </w:r>
      <w:r>
        <w:rPr/>
        <w:t>both</w:t>
      </w:r>
      <w:r>
        <w:rPr>
          <w:spacing w:val="40"/>
        </w:rPr>
        <w:t> </w:t>
      </w:r>
      <w:r>
        <w:rPr/>
        <w:t>slant</w:t>
      </w:r>
      <w:r>
        <w:rPr>
          <w:spacing w:val="40"/>
        </w:rPr>
        <w:t> </w:t>
      </w:r>
      <w:r>
        <w:rPr/>
        <w:t>and</w:t>
      </w:r>
      <w:r>
        <w:rPr>
          <w:spacing w:val="40"/>
        </w:rPr>
        <w:t> </w:t>
      </w:r>
      <w:r>
        <w:rPr/>
        <w:t>butt</w:t>
      </w:r>
      <w:r>
        <w:rPr>
          <w:spacing w:val="40"/>
        </w:rPr>
        <w:t> </w:t>
      </w:r>
      <w:r>
        <w:rPr/>
        <w:t>becoming</w:t>
      </w:r>
      <w:r>
        <w:rPr>
          <w:spacing w:val="40"/>
        </w:rPr>
        <w:t> </w:t>
      </w:r>
      <w:r>
        <w:rPr/>
        <w:t>yellow</w:t>
      </w:r>
      <w:r>
        <w:rPr>
          <w:spacing w:val="40"/>
        </w:rPr>
        <w:t> </w:t>
      </w:r>
      <w:r>
        <w:rPr/>
        <w:t>in</w:t>
      </w:r>
      <w:r>
        <w:rPr>
          <w:spacing w:val="40"/>
        </w:rPr>
        <w:t> </w:t>
      </w:r>
      <w:r>
        <w:rPr/>
        <w:t>TSI agar A/A. No</w:t>
      </w:r>
      <w:r>
        <w:rPr>
          <w:spacing w:val="-1"/>
        </w:rPr>
        <w:t> </w:t>
      </w:r>
      <w:r>
        <w:rPr/>
        <w:t>color change indicated that</w:t>
      </w:r>
      <w:r>
        <w:rPr>
          <w:spacing w:val="-2"/>
        </w:rPr>
        <w:t> </w:t>
      </w:r>
      <w:r>
        <w:rPr/>
        <w:t>no sugar was fermented. The development or appearance of one or several bubbles in the butt indicated gas formation.Formation of H</w:t>
      </w:r>
      <w:r>
        <w:rPr>
          <w:vertAlign w:val="subscript"/>
        </w:rPr>
        <w:t>2</w:t>
      </w:r>
      <w:r>
        <w:rPr>
          <w:vertAlign w:val="baseline"/>
        </w:rPr>
        <w:t>S was determined by the blackening of the whole butt or a streak or ring of blackening at the</w:t>
      </w:r>
      <w:r>
        <w:rPr>
          <w:spacing w:val="-1"/>
          <w:vertAlign w:val="baseline"/>
        </w:rPr>
        <w:t> </w:t>
      </w:r>
      <w:r>
        <w:rPr>
          <w:vertAlign w:val="baseline"/>
        </w:rPr>
        <w:t>slant butt.</w:t>
      </w:r>
    </w:p>
    <w:p>
      <w:pPr>
        <w:pStyle w:val="Heading4"/>
        <w:numPr>
          <w:ilvl w:val="3"/>
          <w:numId w:val="17"/>
        </w:numPr>
        <w:tabs>
          <w:tab w:pos="1636" w:val="left" w:leader="none"/>
        </w:tabs>
        <w:spacing w:line="240" w:lineRule="auto" w:before="239" w:after="0"/>
        <w:ind w:left="1636" w:right="0" w:hanging="716"/>
        <w:jc w:val="left"/>
        <w:rPr>
          <w:rFonts w:ascii="Times New Roman"/>
        </w:rPr>
      </w:pPr>
      <w:bookmarkStart w:name="_TOC_250026" w:id="65"/>
      <w:r>
        <w:rPr>
          <w:rFonts w:ascii="Times New Roman"/>
          <w:spacing w:val="-2"/>
        </w:rPr>
        <w:t>Catalase</w:t>
      </w:r>
      <w:r>
        <w:rPr>
          <w:rFonts w:ascii="Times New Roman"/>
          <w:spacing w:val="-11"/>
        </w:rPr>
        <w:t> </w:t>
      </w:r>
      <w:bookmarkEnd w:id="65"/>
      <w:r>
        <w:rPr>
          <w:rFonts w:ascii="Times New Roman"/>
          <w:spacing w:val="-4"/>
        </w:rPr>
        <w:t>test</w:t>
      </w:r>
    </w:p>
    <w:p>
      <w:pPr>
        <w:spacing w:after="0" w:line="240" w:lineRule="auto"/>
        <w:jc w:val="left"/>
        <w:rPr>
          <w:rFonts w:ascii="Times New Roman"/>
        </w:rPr>
        <w:sectPr>
          <w:pgSz w:w="12240" w:h="15840"/>
          <w:pgMar w:header="0" w:footer="1017" w:top="1400" w:bottom="1200" w:left="520" w:right="260"/>
        </w:sectPr>
      </w:pPr>
    </w:p>
    <w:p>
      <w:pPr>
        <w:pStyle w:val="BodyText"/>
        <w:spacing w:line="480" w:lineRule="auto" w:before="37"/>
        <w:ind w:left="920" w:right="1178"/>
        <w:jc w:val="both"/>
      </w:pPr>
      <w:r>
        <w:rPr/>
        <w:t>A drop of 3% hydrogen peroxide solution was placed</w:t>
      </w:r>
      <w:r>
        <w:rPr>
          <w:spacing w:val="-5"/>
        </w:rPr>
        <w:t> </w:t>
      </w:r>
      <w:r>
        <w:rPr/>
        <w:t>on a glass slide. A bit of growth was then removed from the solid medium with a wire loop and emulsified in the hydrogen peroxide. A positive test was indicated by prompt bubbling and frothing.</w:t>
      </w:r>
    </w:p>
    <w:p>
      <w:pPr>
        <w:pStyle w:val="BodyText"/>
      </w:pPr>
    </w:p>
    <w:p>
      <w:pPr>
        <w:pStyle w:val="BodyText"/>
      </w:pPr>
    </w:p>
    <w:p>
      <w:pPr>
        <w:pStyle w:val="BodyText"/>
      </w:pPr>
    </w:p>
    <w:p>
      <w:pPr>
        <w:pStyle w:val="BodyText"/>
        <w:spacing w:before="218"/>
      </w:pPr>
    </w:p>
    <w:p>
      <w:pPr>
        <w:pStyle w:val="Heading1"/>
        <w:numPr>
          <w:ilvl w:val="3"/>
          <w:numId w:val="17"/>
        </w:numPr>
        <w:tabs>
          <w:tab w:pos="1647" w:val="left" w:leader="none"/>
        </w:tabs>
        <w:spacing w:line="240" w:lineRule="auto" w:before="0" w:after="0"/>
        <w:ind w:left="1647" w:right="0" w:hanging="727"/>
        <w:jc w:val="both"/>
        <w:rPr>
          <w:sz w:val="24"/>
        </w:rPr>
      </w:pPr>
      <w:bookmarkStart w:name="_TOC_250025" w:id="66"/>
      <w:r>
        <w:rPr/>
        <w:t>Oxidase</w:t>
      </w:r>
      <w:r>
        <w:rPr>
          <w:spacing w:val="-3"/>
        </w:rPr>
        <w:t> </w:t>
      </w:r>
      <w:bookmarkEnd w:id="66"/>
      <w:r>
        <w:rPr>
          <w:spacing w:val="-4"/>
        </w:rPr>
        <w:t>test</w:t>
      </w:r>
    </w:p>
    <w:p>
      <w:pPr>
        <w:pStyle w:val="BodyText"/>
        <w:spacing w:line="480" w:lineRule="auto" w:before="134"/>
        <w:ind w:left="920" w:right="1172"/>
        <w:jc w:val="both"/>
      </w:pPr>
      <w:r>
        <w:rPr/>
        <w:t>Two drops of 1% freshly prepared oxidase reagent (phenylenediamine) was placed on a filter paper in a clean Petri dish. The test organism was smeared on it with a glass rod. A positive result showed deep purple colour appearing within 5-30secs. The absence of deep purple colour indicates a negative result.</w:t>
      </w:r>
    </w:p>
    <w:p>
      <w:pPr>
        <w:pStyle w:val="BodyText"/>
        <w:spacing w:before="7"/>
      </w:pPr>
    </w:p>
    <w:p>
      <w:pPr>
        <w:pStyle w:val="Heading1"/>
        <w:numPr>
          <w:ilvl w:val="3"/>
          <w:numId w:val="17"/>
        </w:numPr>
        <w:tabs>
          <w:tab w:pos="1710" w:val="left" w:leader="none"/>
        </w:tabs>
        <w:spacing w:line="240" w:lineRule="auto" w:before="0" w:after="0"/>
        <w:ind w:left="1710" w:right="0" w:hanging="790"/>
        <w:jc w:val="left"/>
      </w:pPr>
      <w:bookmarkStart w:name="_TOC_250024" w:id="67"/>
      <w:r>
        <w:rPr/>
        <w:t>Coagulase</w:t>
      </w:r>
      <w:r>
        <w:rPr>
          <w:spacing w:val="-13"/>
        </w:rPr>
        <w:t> </w:t>
      </w:r>
      <w:bookmarkEnd w:id="67"/>
      <w:r>
        <w:rPr>
          <w:spacing w:val="-4"/>
        </w:rPr>
        <w:t>test</w:t>
      </w:r>
    </w:p>
    <w:p>
      <w:pPr>
        <w:pStyle w:val="BodyText"/>
        <w:spacing w:before="12"/>
        <w:rPr>
          <w:b/>
          <w:i/>
          <w:sz w:val="26"/>
        </w:rPr>
      </w:pPr>
    </w:p>
    <w:p>
      <w:pPr>
        <w:pStyle w:val="BodyText"/>
        <w:tabs>
          <w:tab w:pos="1841" w:val="left" w:leader="none"/>
          <w:tab w:pos="2599" w:val="left" w:leader="none"/>
          <w:tab w:pos="3468" w:val="left" w:leader="none"/>
          <w:tab w:pos="4470" w:val="left" w:leader="none"/>
          <w:tab w:pos="5411" w:val="left" w:leader="none"/>
          <w:tab w:pos="6279" w:val="left" w:leader="none"/>
          <w:tab w:pos="7258" w:val="left" w:leader="none"/>
          <w:tab w:pos="8046" w:val="left" w:leader="none"/>
          <w:tab w:pos="8919" w:val="left" w:leader="none"/>
          <w:tab w:pos="10147" w:val="left" w:leader="none"/>
        </w:tabs>
        <w:spacing w:line="480" w:lineRule="auto" w:before="1"/>
        <w:ind w:left="920" w:right="1174"/>
        <w:jc w:val="both"/>
      </w:pPr>
      <w:r>
        <w:rPr/>
        <w:t>A</w:t>
      </w:r>
      <w:r>
        <w:rPr>
          <w:spacing w:val="69"/>
        </w:rPr>
        <w:t>  </w:t>
      </w:r>
      <w:r>
        <w:rPr/>
        <w:t>drop</w:t>
      </w:r>
      <w:r>
        <w:rPr>
          <w:spacing w:val="68"/>
        </w:rPr>
        <w:t>  </w:t>
      </w:r>
      <w:r>
        <w:rPr/>
        <w:t>of</w:t>
      </w:r>
      <w:r>
        <w:rPr>
          <w:spacing w:val="68"/>
        </w:rPr>
        <w:t>  </w:t>
      </w:r>
      <w:r>
        <w:rPr/>
        <w:t>physiological</w:t>
      </w:r>
      <w:r>
        <w:rPr>
          <w:spacing w:val="67"/>
        </w:rPr>
        <w:t>  </w:t>
      </w:r>
      <w:r>
        <w:rPr/>
        <w:t>saline</w:t>
      </w:r>
      <w:r>
        <w:rPr>
          <w:spacing w:val="66"/>
        </w:rPr>
        <w:t>  </w:t>
      </w:r>
      <w:r>
        <w:rPr/>
        <w:t>was</w:t>
      </w:r>
      <w:r>
        <w:rPr>
          <w:spacing w:val="68"/>
        </w:rPr>
        <w:t>  </w:t>
      </w:r>
      <w:r>
        <w:rPr/>
        <w:t>placed</w:t>
      </w:r>
      <w:r>
        <w:rPr>
          <w:spacing w:val="68"/>
        </w:rPr>
        <w:t>  </w:t>
      </w:r>
      <w:r>
        <w:rPr/>
        <w:t>on</w:t>
      </w:r>
      <w:r>
        <w:rPr>
          <w:spacing w:val="68"/>
        </w:rPr>
        <w:t>  </w:t>
      </w:r>
      <w:r>
        <w:rPr/>
        <w:t>a</w:t>
      </w:r>
      <w:r>
        <w:rPr>
          <w:spacing w:val="68"/>
        </w:rPr>
        <w:t>  </w:t>
      </w:r>
      <w:r>
        <w:rPr/>
        <w:t>clean</w:t>
      </w:r>
      <w:r>
        <w:rPr>
          <w:spacing w:val="68"/>
        </w:rPr>
        <w:t>  </w:t>
      </w:r>
      <w:r>
        <w:rPr/>
        <w:t>glass</w:t>
      </w:r>
      <w:r>
        <w:rPr>
          <w:spacing w:val="66"/>
        </w:rPr>
        <w:t>  </w:t>
      </w:r>
      <w:r>
        <w:rPr/>
        <w:t>slide</w:t>
      </w:r>
      <w:r>
        <w:rPr>
          <w:spacing w:val="68"/>
        </w:rPr>
        <w:t>  </w:t>
      </w:r>
      <w:r>
        <w:rPr/>
        <w:t>and</w:t>
      </w:r>
      <w:r>
        <w:rPr>
          <w:spacing w:val="68"/>
        </w:rPr>
        <w:t>  </w:t>
      </w:r>
      <w:r>
        <w:rPr/>
        <w:t>a</w:t>
      </w:r>
      <w:r>
        <w:rPr>
          <w:spacing w:val="66"/>
        </w:rPr>
        <w:t>  </w:t>
      </w:r>
      <w:r>
        <w:rPr/>
        <w:t>colony picked</w:t>
      </w:r>
      <w:r>
        <w:rPr>
          <w:spacing w:val="40"/>
        </w:rPr>
        <w:t>  </w:t>
      </w:r>
      <w:r>
        <w:rPr/>
        <w:t>from</w:t>
      </w:r>
      <w:r>
        <w:rPr>
          <w:spacing w:val="40"/>
        </w:rPr>
        <w:t>  </w:t>
      </w:r>
      <w:r>
        <w:rPr/>
        <w:t>the</w:t>
      </w:r>
      <w:r>
        <w:rPr>
          <w:spacing w:val="40"/>
        </w:rPr>
        <w:t>  </w:t>
      </w:r>
      <w:r>
        <w:rPr/>
        <w:t>solid</w:t>
      </w:r>
      <w:r>
        <w:rPr>
          <w:spacing w:val="40"/>
        </w:rPr>
        <w:t>  </w:t>
      </w:r>
      <w:r>
        <w:rPr/>
        <w:t>medium</w:t>
      </w:r>
      <w:r>
        <w:rPr>
          <w:spacing w:val="40"/>
        </w:rPr>
        <w:t>  </w:t>
      </w:r>
      <w:r>
        <w:rPr/>
        <w:t>was</w:t>
      </w:r>
      <w:r>
        <w:rPr>
          <w:spacing w:val="40"/>
        </w:rPr>
        <w:t>  </w:t>
      </w:r>
      <w:r>
        <w:rPr/>
        <w:t>emulsified</w:t>
      </w:r>
      <w:r>
        <w:rPr>
          <w:spacing w:val="40"/>
        </w:rPr>
        <w:t>  </w:t>
      </w:r>
      <w:r>
        <w:rPr/>
        <w:t>in</w:t>
      </w:r>
      <w:r>
        <w:rPr>
          <w:spacing w:val="40"/>
        </w:rPr>
        <w:t>  </w:t>
      </w:r>
      <w:r>
        <w:rPr/>
        <w:t>the</w:t>
      </w:r>
      <w:r>
        <w:rPr>
          <w:spacing w:val="40"/>
        </w:rPr>
        <w:t>  </w:t>
      </w:r>
      <w:r>
        <w:rPr/>
        <w:t>saline.</w:t>
      </w:r>
      <w:r>
        <w:rPr>
          <w:spacing w:val="40"/>
        </w:rPr>
        <w:t>  </w:t>
      </w:r>
      <w:r>
        <w:rPr/>
        <w:t>A</w:t>
      </w:r>
      <w:r>
        <w:rPr>
          <w:spacing w:val="40"/>
        </w:rPr>
        <w:t>  </w:t>
      </w:r>
      <w:r>
        <w:rPr/>
        <w:t>loopful</w:t>
      </w:r>
      <w:r>
        <w:rPr>
          <w:spacing w:val="40"/>
        </w:rPr>
        <w:t>  </w:t>
      </w:r>
      <w:r>
        <w:rPr/>
        <w:t>of</w:t>
      </w:r>
      <w:r>
        <w:rPr>
          <w:spacing w:val="40"/>
        </w:rPr>
        <w:t>  </w:t>
      </w:r>
      <w:r>
        <w:rPr/>
        <w:t>citrated human plasma was added to the bacterial suspension</w:t>
      </w:r>
      <w:r>
        <w:rPr>
          <w:spacing w:val="-4"/>
        </w:rPr>
        <w:t> </w:t>
      </w:r>
      <w:r>
        <w:rPr/>
        <w:t>and mixed using the wire loop. The slide was then </w:t>
      </w:r>
      <w:r>
        <w:rPr>
          <w:spacing w:val="-4"/>
        </w:rPr>
        <w:t>held</w:t>
      </w:r>
      <w:r>
        <w:rPr/>
        <w:tab/>
      </w:r>
      <w:r>
        <w:rPr>
          <w:spacing w:val="-6"/>
        </w:rPr>
        <w:t>up</w:t>
      </w:r>
      <w:r>
        <w:rPr/>
        <w:tab/>
      </w:r>
      <w:r>
        <w:rPr>
          <w:spacing w:val="-4"/>
        </w:rPr>
        <w:t>and</w:t>
      </w:r>
      <w:r>
        <w:rPr/>
        <w:tab/>
      </w:r>
      <w:r>
        <w:rPr>
          <w:spacing w:val="-2"/>
        </w:rPr>
        <w:t>tilted</w:t>
      </w:r>
      <w:r>
        <w:rPr/>
        <w:tab/>
      </w:r>
      <w:r>
        <w:rPr>
          <w:spacing w:val="-4"/>
        </w:rPr>
        <w:t>back</w:t>
      </w:r>
      <w:r>
        <w:rPr/>
        <w:tab/>
      </w:r>
      <w:r>
        <w:rPr>
          <w:spacing w:val="-4"/>
        </w:rPr>
        <w:t>and</w:t>
      </w:r>
      <w:r>
        <w:rPr/>
        <w:tab/>
      </w:r>
      <w:r>
        <w:rPr>
          <w:spacing w:val="-2"/>
        </w:rPr>
        <w:t>forth</w:t>
      </w:r>
      <w:r>
        <w:rPr/>
        <w:tab/>
      </w:r>
      <w:r>
        <w:rPr>
          <w:spacing w:val="-4"/>
        </w:rPr>
        <w:t>for</w:t>
      </w:r>
      <w:r>
        <w:rPr/>
        <w:tab/>
      </w:r>
      <w:r>
        <w:rPr>
          <w:spacing w:val="-4"/>
        </w:rPr>
        <w:t>one</w:t>
      </w:r>
      <w:r>
        <w:rPr/>
        <w:tab/>
      </w:r>
      <w:r>
        <w:rPr>
          <w:spacing w:val="-2"/>
        </w:rPr>
        <w:t>minute.</w:t>
      </w:r>
      <w:r>
        <w:rPr/>
        <w:tab/>
      </w:r>
      <w:r>
        <w:rPr>
          <w:spacing w:val="-10"/>
        </w:rPr>
        <w:t>A</w:t>
      </w:r>
      <w:r>
        <w:rPr/>
        <w:t> positive test is indicated by clumping of cells in the mixed suspension.</w:t>
      </w:r>
    </w:p>
    <w:p>
      <w:pPr>
        <w:pStyle w:val="BodyText"/>
        <w:spacing w:before="7"/>
      </w:pPr>
    </w:p>
    <w:p>
      <w:pPr>
        <w:pStyle w:val="Heading1"/>
        <w:numPr>
          <w:ilvl w:val="3"/>
          <w:numId w:val="17"/>
        </w:numPr>
        <w:tabs>
          <w:tab w:pos="1710" w:val="left" w:leader="none"/>
        </w:tabs>
        <w:spacing w:line="240" w:lineRule="auto" w:before="0" w:after="0"/>
        <w:ind w:left="1710" w:right="0" w:hanging="790"/>
        <w:jc w:val="left"/>
      </w:pPr>
      <w:bookmarkStart w:name="_TOC_250023" w:id="68"/>
      <w:r>
        <w:rPr/>
        <w:t>Urease</w:t>
      </w:r>
      <w:r>
        <w:rPr>
          <w:spacing w:val="-7"/>
        </w:rPr>
        <w:t> </w:t>
      </w:r>
      <w:bookmarkEnd w:id="68"/>
      <w:r>
        <w:rPr>
          <w:spacing w:val="-4"/>
        </w:rPr>
        <w:t>test</w:t>
      </w:r>
    </w:p>
    <w:p>
      <w:pPr>
        <w:pStyle w:val="BodyText"/>
        <w:spacing w:before="13"/>
        <w:rPr>
          <w:b/>
          <w:i/>
          <w:sz w:val="26"/>
        </w:rPr>
      </w:pPr>
    </w:p>
    <w:p>
      <w:pPr>
        <w:pStyle w:val="BodyText"/>
        <w:spacing w:line="480" w:lineRule="auto"/>
        <w:ind w:left="920" w:right="1177"/>
        <w:jc w:val="both"/>
      </w:pPr>
      <w:r>
        <w:rPr/>
        <w:t>Urea agar base was prepared according to the manufacturer’s instructions and slants were made in</w:t>
      </w:r>
      <w:r>
        <w:rPr>
          <w:spacing w:val="-1"/>
        </w:rPr>
        <w:t> </w:t>
      </w:r>
      <w:r>
        <w:rPr/>
        <w:t>test tubes. A heavy inoculum from an 18 hour pure culture was streaked on the entire slant surface. The</w:t>
      </w:r>
      <w:r>
        <w:rPr>
          <w:spacing w:val="40"/>
        </w:rPr>
        <w:t> </w:t>
      </w:r>
      <w:r>
        <w:rPr/>
        <w:t>slant</w:t>
      </w:r>
      <w:r>
        <w:rPr>
          <w:spacing w:val="40"/>
        </w:rPr>
        <w:t> </w:t>
      </w:r>
      <w:r>
        <w:rPr/>
        <w:t>was</w:t>
      </w:r>
      <w:r>
        <w:rPr>
          <w:spacing w:val="40"/>
        </w:rPr>
        <w:t> </w:t>
      </w:r>
      <w:r>
        <w:rPr/>
        <w:t>incubated</w:t>
      </w:r>
      <w:r>
        <w:rPr>
          <w:spacing w:val="40"/>
        </w:rPr>
        <w:t> </w:t>
      </w:r>
      <w:r>
        <w:rPr/>
        <w:t>at</w:t>
      </w:r>
      <w:r>
        <w:rPr>
          <w:spacing w:val="40"/>
        </w:rPr>
        <w:t> </w:t>
      </w:r>
      <w:r>
        <w:rPr/>
        <w:t>37°C</w:t>
      </w:r>
      <w:r>
        <w:rPr>
          <w:spacing w:val="40"/>
        </w:rPr>
        <w:t> </w:t>
      </w:r>
      <w:r>
        <w:rPr/>
        <w:t>for</w:t>
      </w:r>
      <w:r>
        <w:rPr>
          <w:spacing w:val="40"/>
        </w:rPr>
        <w:t> </w:t>
      </w:r>
      <w:r>
        <w:rPr/>
        <w:t>24</w:t>
      </w:r>
      <w:r>
        <w:rPr>
          <w:spacing w:val="40"/>
        </w:rPr>
        <w:t> </w:t>
      </w:r>
      <w:r>
        <w:rPr/>
        <w:t>hours.</w:t>
      </w:r>
      <w:r>
        <w:rPr>
          <w:spacing w:val="40"/>
        </w:rPr>
        <w:t> </w:t>
      </w:r>
      <w:r>
        <w:rPr/>
        <w:t>The</w:t>
      </w:r>
      <w:r>
        <w:rPr>
          <w:spacing w:val="40"/>
        </w:rPr>
        <w:t> </w:t>
      </w:r>
      <w:r>
        <w:rPr/>
        <w:t>development</w:t>
      </w:r>
      <w:r>
        <w:rPr>
          <w:spacing w:val="40"/>
        </w:rPr>
        <w:t> </w:t>
      </w:r>
      <w:r>
        <w:rPr/>
        <w:t>of</w:t>
      </w:r>
      <w:r>
        <w:rPr>
          <w:spacing w:val="40"/>
        </w:rPr>
        <w:t> </w:t>
      </w:r>
      <w:r>
        <w:rPr/>
        <w:t>a</w:t>
      </w:r>
      <w:r>
        <w:rPr>
          <w:spacing w:val="40"/>
        </w:rPr>
        <w:t> </w:t>
      </w:r>
      <w:r>
        <w:rPr/>
        <w:t>deep</w:t>
      </w:r>
      <w:r>
        <w:rPr>
          <w:spacing w:val="40"/>
        </w:rPr>
        <w:t> </w:t>
      </w:r>
      <w:r>
        <w:rPr/>
        <w:t>red</w:t>
      </w:r>
      <w:r>
        <w:rPr>
          <w:spacing w:val="40"/>
        </w:rPr>
        <w:t> </w:t>
      </w:r>
      <w:r>
        <w:rPr/>
        <w:t>colour</w:t>
      </w:r>
      <w:r>
        <w:rPr>
          <w:spacing w:val="40"/>
        </w:rPr>
        <w:t> </w:t>
      </w:r>
      <w:r>
        <w:rPr/>
        <w:t>with</w:t>
      </w:r>
      <w:r>
        <w:rPr>
          <w:spacing w:val="40"/>
        </w:rPr>
        <w:t> </w:t>
      </w:r>
      <w:r>
        <w:rPr/>
        <w:t>ammonia fumes indicates a positive reaction.</w:t>
      </w:r>
    </w:p>
    <w:p>
      <w:pPr>
        <w:spacing w:after="0" w:line="480" w:lineRule="auto"/>
        <w:jc w:val="both"/>
        <w:sectPr>
          <w:pgSz w:w="12240" w:h="15840"/>
          <w:pgMar w:header="0" w:footer="1017" w:top="1400" w:bottom="1200" w:left="520" w:right="260"/>
        </w:sectPr>
      </w:pPr>
    </w:p>
    <w:p>
      <w:pPr>
        <w:pStyle w:val="Heading7"/>
        <w:numPr>
          <w:ilvl w:val="3"/>
          <w:numId w:val="17"/>
        </w:numPr>
        <w:tabs>
          <w:tab w:pos="1583" w:val="left" w:leader="none"/>
        </w:tabs>
        <w:spacing w:line="240" w:lineRule="auto" w:before="41" w:after="0"/>
        <w:ind w:left="1583" w:right="0" w:hanging="663"/>
        <w:jc w:val="left"/>
      </w:pPr>
      <w:bookmarkStart w:name="_TOC_250022" w:id="69"/>
      <w:r>
        <w:rPr/>
        <w:t>Sugar</w:t>
      </w:r>
      <w:r>
        <w:rPr>
          <w:spacing w:val="-6"/>
        </w:rPr>
        <w:t> </w:t>
      </w:r>
      <w:r>
        <w:rPr/>
        <w:t>fermentation</w:t>
      </w:r>
      <w:r>
        <w:rPr>
          <w:spacing w:val="-6"/>
        </w:rPr>
        <w:t> </w:t>
      </w:r>
      <w:bookmarkEnd w:id="69"/>
      <w:r>
        <w:rPr>
          <w:spacing w:val="-4"/>
        </w:rPr>
        <w:t>test</w:t>
      </w:r>
    </w:p>
    <w:p>
      <w:pPr>
        <w:pStyle w:val="BodyText"/>
        <w:spacing w:before="49"/>
        <w:rPr>
          <w:b/>
          <w:i/>
        </w:rPr>
      </w:pPr>
    </w:p>
    <w:p>
      <w:pPr>
        <w:pStyle w:val="BodyText"/>
        <w:spacing w:line="480" w:lineRule="auto"/>
        <w:ind w:left="920" w:right="1173"/>
        <w:jc w:val="both"/>
      </w:pPr>
      <w:r>
        <w:rPr/>
        <w:t>This uses Phenol Red Broth to test for the fermentation of different sugars.</w:t>
      </w:r>
      <w:r>
        <w:rPr>
          <w:spacing w:val="-1"/>
        </w:rPr>
        <w:t> </w:t>
      </w:r>
      <w:r>
        <w:rPr/>
        <w:t>Phenol Red Broth is a</w:t>
      </w:r>
      <w:r>
        <w:rPr>
          <w:spacing w:val="40"/>
        </w:rPr>
        <w:t> </w:t>
      </w:r>
      <w:r>
        <w:rPr/>
        <w:t>general purpose fermentation media that includes the pH indicator Phenol Red and a series of tubes each with a different sugar.</w:t>
      </w:r>
      <w:r>
        <w:rPr>
          <w:spacing w:val="40"/>
        </w:rPr>
        <w:t> </w:t>
      </w:r>
      <w:r>
        <w:rPr/>
        <w:t>A wire loop was aseptically used to inoculate the test organism into the broth containing the test sugar and inverted Durham tubes. This was incubated at 37°C for 18 hours. A bright yellow colour indicated the production of enough acid products from fermentation of the sugar. Production of gas was determined with a Durham tube, a small inverted vial filled with the broth. Gas production during fermentation of the sugar, was seen trapped at the top of the Durham tube and appeared as a bubble.</w:t>
      </w:r>
    </w:p>
    <w:p>
      <w:pPr>
        <w:pStyle w:val="BodyText"/>
        <w:spacing w:before="9"/>
      </w:pPr>
    </w:p>
    <w:p>
      <w:pPr>
        <w:pStyle w:val="Heading6"/>
        <w:numPr>
          <w:ilvl w:val="2"/>
          <w:numId w:val="17"/>
        </w:numPr>
        <w:tabs>
          <w:tab w:pos="1415" w:val="left" w:leader="none"/>
        </w:tabs>
        <w:spacing w:line="240" w:lineRule="auto" w:before="0" w:after="0"/>
        <w:ind w:left="1415" w:right="0" w:hanging="495"/>
        <w:jc w:val="left"/>
      </w:pPr>
      <w:bookmarkStart w:name="_TOC_250021" w:id="70"/>
      <w:r>
        <w:rPr/>
        <w:t>Antibiotics</w:t>
      </w:r>
      <w:r>
        <w:rPr>
          <w:spacing w:val="-9"/>
        </w:rPr>
        <w:t> </w:t>
      </w:r>
      <w:r>
        <w:rPr/>
        <w:t>Susceptibility</w:t>
      </w:r>
      <w:r>
        <w:rPr>
          <w:spacing w:val="-7"/>
        </w:rPr>
        <w:t> </w:t>
      </w:r>
      <w:bookmarkEnd w:id="70"/>
      <w:r>
        <w:rPr>
          <w:spacing w:val="-4"/>
        </w:rPr>
        <w:t>Test</w:t>
      </w:r>
    </w:p>
    <w:p>
      <w:pPr>
        <w:pStyle w:val="BodyText"/>
        <w:spacing w:before="202"/>
        <w:rPr>
          <w:b/>
        </w:rPr>
      </w:pPr>
    </w:p>
    <w:p>
      <w:pPr>
        <w:pStyle w:val="BodyText"/>
        <w:spacing w:line="480" w:lineRule="auto"/>
        <w:ind w:left="920" w:right="1175"/>
        <w:jc w:val="both"/>
      </w:pPr>
      <w:r>
        <w:rPr/>
        <w:t>This was performed using a panel of 12 antibiotics using the disk diffusion method according to Clinical and Laboratory Standards Institute guidelines (CLSI, 2002).</w:t>
      </w:r>
    </w:p>
    <w:p>
      <w:pPr>
        <w:pStyle w:val="BodyText"/>
        <w:spacing w:line="480" w:lineRule="auto" w:before="241"/>
        <w:ind w:left="920" w:right="1173"/>
        <w:jc w:val="both"/>
      </w:pPr>
      <w:r>
        <w:rPr/>
        <w:t>An overnight culture of each isolate was prepared on nutrient broth and incubated at 37°C for 18 hours. Dry sterile plates of prepared Mueller Hinton’s agar were inoculated with the standardized inoculums of 18 hours culture test bacteria isolate. Gram negative bacterial isolates were standardized to 10</w:t>
      </w:r>
      <w:r>
        <w:rPr>
          <w:vertAlign w:val="superscript"/>
        </w:rPr>
        <w:t>5</w:t>
      </w:r>
      <w:r>
        <w:rPr>
          <w:vertAlign w:val="baseline"/>
        </w:rPr>
        <w:t>CFU/ml while Gram positive bacteria isolates were standardized to 10</w:t>
      </w:r>
      <w:r>
        <w:rPr>
          <w:vertAlign w:val="superscript"/>
        </w:rPr>
        <w:t>6</w:t>
      </w:r>
      <w:r>
        <w:rPr>
          <w:vertAlign w:val="baseline"/>
        </w:rPr>
        <w:t>CFU/ml (Jorgensen and Turnidge, 2007). After inoculation, plates were allowed to dry in sterile incubator at 37°C before placing the sensitivity multi-disc, of various antibiotics aseptically in triplicate. Antibiotics impregnated disk from (ABTEK, UK) used include; Amoxycillin (25µg), Amoxicillin/clavulanic acid (30µg), Chloramphenicol (30µg), Co- trimoxazole (25µg), Cloxacillin (5µg), Cefuroxime (30µg), Erythromycin (5µg), Gentamicin (10µg), Nalidixic acid (30µg), Nitrofurantoin (300µg), Ofloxacin (30µg) and Tetracycline (10µg). Plates were allowed to stay for one hour before incubating at 37°C for 18 hours. The zones of inhibition were measured to the nearest millimeter using a transparent ruler.</w:t>
      </w:r>
    </w:p>
    <w:p>
      <w:pPr>
        <w:spacing w:after="0" w:line="480" w:lineRule="auto"/>
        <w:jc w:val="both"/>
        <w:sectPr>
          <w:pgSz w:w="12240" w:h="15840"/>
          <w:pgMar w:header="0" w:footer="1017" w:top="1400" w:bottom="1200" w:left="520" w:right="260"/>
        </w:sectPr>
      </w:pPr>
    </w:p>
    <w:p>
      <w:pPr>
        <w:pStyle w:val="Heading6"/>
        <w:numPr>
          <w:ilvl w:val="2"/>
          <w:numId w:val="17"/>
        </w:numPr>
        <w:tabs>
          <w:tab w:pos="1415" w:val="left" w:leader="none"/>
        </w:tabs>
        <w:spacing w:line="240" w:lineRule="auto" w:before="125" w:after="0"/>
        <w:ind w:left="1415" w:right="0" w:hanging="495"/>
        <w:jc w:val="left"/>
      </w:pPr>
      <w:bookmarkStart w:name="_TOC_250020" w:id="71"/>
      <w:r>
        <w:rPr/>
        <w:t>Determination</w:t>
      </w:r>
      <w:r>
        <w:rPr>
          <w:spacing w:val="-6"/>
        </w:rPr>
        <w:t> </w:t>
      </w:r>
      <w:r>
        <w:rPr/>
        <w:t>of</w:t>
      </w:r>
      <w:r>
        <w:rPr>
          <w:spacing w:val="-5"/>
        </w:rPr>
        <w:t> </w:t>
      </w:r>
      <w:r>
        <w:rPr/>
        <w:t>Minimum</w:t>
      </w:r>
      <w:r>
        <w:rPr>
          <w:spacing w:val="-8"/>
        </w:rPr>
        <w:t> </w:t>
      </w:r>
      <w:r>
        <w:rPr/>
        <w:t>Inhibitory</w:t>
      </w:r>
      <w:r>
        <w:rPr>
          <w:spacing w:val="-5"/>
        </w:rPr>
        <w:t> </w:t>
      </w:r>
      <w:r>
        <w:rPr/>
        <w:t>Concentrations</w:t>
      </w:r>
      <w:r>
        <w:rPr>
          <w:spacing w:val="-7"/>
        </w:rPr>
        <w:t> </w:t>
      </w:r>
      <w:bookmarkEnd w:id="71"/>
      <w:r>
        <w:rPr>
          <w:spacing w:val="-2"/>
        </w:rPr>
        <w:t>(M.I.C.)</w:t>
      </w:r>
    </w:p>
    <w:p>
      <w:pPr>
        <w:pStyle w:val="BodyText"/>
        <w:spacing w:before="202"/>
        <w:rPr>
          <w:b/>
        </w:rPr>
      </w:pPr>
    </w:p>
    <w:p>
      <w:pPr>
        <w:pStyle w:val="BodyText"/>
        <w:spacing w:line="475" w:lineRule="auto" w:before="1"/>
        <w:ind w:left="920" w:right="1179"/>
        <w:jc w:val="both"/>
      </w:pPr>
      <w:r>
        <w:rPr/>
        <w:t>The M.I.C. of amoxicillin, chloramphenicol, ofloxacin and tetracycline were determined using agar plate dilution methods as described by Lennette </w:t>
      </w:r>
      <w:r>
        <w:rPr>
          <w:i/>
        </w:rPr>
        <w:t>et al</w:t>
      </w:r>
      <w:r>
        <w:rPr/>
        <w:t>. (1990) with modifications.</w:t>
      </w:r>
    </w:p>
    <w:p>
      <w:pPr>
        <w:pStyle w:val="BodyText"/>
        <w:spacing w:line="480" w:lineRule="auto" w:before="208"/>
        <w:ind w:left="920" w:right="1173"/>
        <w:jc w:val="both"/>
      </w:pPr>
      <w:r>
        <w:rPr/>
        <w:t>Graded concentrations (starting from 1000µg/ml and 100µg/ml) of the various antibiotics in 10.0 ml volume were prepared in triplicates using sterile distilled water. This was aseptically mixed with 10.0 ml volume of double strength Mueller Hinton’s agar and allowed to set. Ten (10) ml volume of sterile distilled water mixed with 10 ml double strength Mueller Hinton’s agar was set up as positive control. Eighteen hours broth culture of each test bacteria isolate was standardized to inoculums density of 10</w:t>
      </w:r>
      <w:r>
        <w:rPr>
          <w:vertAlign w:val="superscript"/>
        </w:rPr>
        <w:t>5</w:t>
      </w:r>
      <w:r>
        <w:rPr>
          <w:vertAlign w:val="baseline"/>
        </w:rPr>
        <w:t>CFU/ml (Wood and Washington, 1995). The dried Mueller Hinton’s agar surfaces were aseptically inoculated with twenty microliter of standardized test organisms in triplicates at equidistant spacing.</w:t>
      </w:r>
      <w:r>
        <w:rPr>
          <w:spacing w:val="40"/>
          <w:vertAlign w:val="baseline"/>
        </w:rPr>
        <w:t> </w:t>
      </w:r>
      <w:r>
        <w:rPr>
          <w:vertAlign w:val="baseline"/>
        </w:rPr>
        <w:t>The plates were allowed to stay for one hour and then incubated at 37°C for eighteen hours. The plates were examined for the presence or absence of growth after incubation period. The lowest antibiotic concentration at which there was no visible growth was taken as the minimum inhibitory concentration </w:t>
      </w:r>
      <w:r>
        <w:rPr>
          <w:spacing w:val="-2"/>
          <w:vertAlign w:val="baseline"/>
        </w:rPr>
        <w:t>(M.I.C.).</w:t>
      </w:r>
    </w:p>
    <w:p>
      <w:pPr>
        <w:pStyle w:val="BodyText"/>
      </w:pPr>
    </w:p>
    <w:p>
      <w:pPr>
        <w:pStyle w:val="BodyText"/>
        <w:spacing w:before="174"/>
      </w:pPr>
    </w:p>
    <w:p>
      <w:pPr>
        <w:pStyle w:val="Heading6"/>
        <w:numPr>
          <w:ilvl w:val="2"/>
          <w:numId w:val="17"/>
        </w:numPr>
        <w:tabs>
          <w:tab w:pos="1415" w:val="left" w:leader="none"/>
        </w:tabs>
        <w:spacing w:line="240" w:lineRule="auto" w:before="0" w:after="0"/>
        <w:ind w:left="1415" w:right="0" w:hanging="495"/>
        <w:jc w:val="left"/>
      </w:pPr>
      <w:bookmarkStart w:name="_TOC_250019" w:id="72"/>
      <w:r>
        <w:rPr/>
        <w:t>Beta-</w:t>
      </w:r>
      <w:r>
        <w:rPr>
          <w:spacing w:val="-5"/>
        </w:rPr>
        <w:t> </w:t>
      </w:r>
      <w:r>
        <w:rPr/>
        <w:t>Lactamase</w:t>
      </w:r>
      <w:r>
        <w:rPr>
          <w:spacing w:val="-5"/>
        </w:rPr>
        <w:t> </w:t>
      </w:r>
      <w:r>
        <w:rPr/>
        <w:t>Production</w:t>
      </w:r>
      <w:r>
        <w:rPr>
          <w:spacing w:val="-3"/>
        </w:rPr>
        <w:t> </w:t>
      </w:r>
      <w:bookmarkEnd w:id="72"/>
      <w:r>
        <w:rPr>
          <w:spacing w:val="-4"/>
        </w:rPr>
        <w:t>Test</w:t>
      </w:r>
    </w:p>
    <w:p>
      <w:pPr>
        <w:pStyle w:val="BodyText"/>
        <w:spacing w:before="197"/>
        <w:rPr>
          <w:b/>
        </w:rPr>
      </w:pPr>
    </w:p>
    <w:p>
      <w:pPr>
        <w:pStyle w:val="BodyText"/>
        <w:spacing w:line="480" w:lineRule="auto"/>
        <w:ind w:left="920" w:right="1173"/>
        <w:jc w:val="both"/>
      </w:pPr>
      <w:r>
        <w:rPr/>
        <w:t>This was performed using rapid acidometric filter paper method as described by Cheesbrough (2000). Emulsified cell suspensions were made with sterilized loop in triplicate from an overnight nutrient agar slant culture of resistant isolates. A strip of Whatman number one filter paper were placed in the</w:t>
      </w:r>
      <w:r>
        <w:rPr>
          <w:spacing w:val="40"/>
        </w:rPr>
        <w:t> </w:t>
      </w:r>
      <w:r>
        <w:rPr/>
        <w:t>bottom of a sterile Petri-dish followed by a few drops of buffered crystalline penicillin bromocresol purple solution until the paper was almost saturated. Using a sterile wireloop, the emulsified cell suspension</w:t>
      </w:r>
      <w:r>
        <w:rPr>
          <w:spacing w:val="7"/>
        </w:rPr>
        <w:t> </w:t>
      </w:r>
      <w:r>
        <w:rPr/>
        <w:t>(10-20</w:t>
      </w:r>
      <w:r>
        <w:rPr>
          <w:spacing w:val="8"/>
        </w:rPr>
        <w:t> </w:t>
      </w:r>
      <w:r>
        <w:rPr/>
        <w:t>colonies)</w:t>
      </w:r>
      <w:r>
        <w:rPr>
          <w:spacing w:val="10"/>
        </w:rPr>
        <w:t> </w:t>
      </w:r>
      <w:r>
        <w:rPr/>
        <w:t>of</w:t>
      </w:r>
      <w:r>
        <w:rPr>
          <w:spacing w:val="9"/>
        </w:rPr>
        <w:t> </w:t>
      </w:r>
      <w:r>
        <w:rPr/>
        <w:t>test</w:t>
      </w:r>
      <w:r>
        <w:rPr>
          <w:spacing w:val="8"/>
        </w:rPr>
        <w:t> </w:t>
      </w:r>
      <w:r>
        <w:rPr/>
        <w:t>organism</w:t>
      </w:r>
      <w:r>
        <w:rPr>
          <w:spacing w:val="6"/>
        </w:rPr>
        <w:t> </w:t>
      </w:r>
      <w:r>
        <w:rPr/>
        <w:t>was</w:t>
      </w:r>
      <w:r>
        <w:rPr>
          <w:spacing w:val="10"/>
        </w:rPr>
        <w:t> </w:t>
      </w:r>
      <w:r>
        <w:rPr/>
        <w:t>spread</w:t>
      </w:r>
      <w:r>
        <w:rPr>
          <w:spacing w:val="9"/>
        </w:rPr>
        <w:t> </w:t>
      </w:r>
      <w:r>
        <w:rPr/>
        <w:t>on</w:t>
      </w:r>
      <w:r>
        <w:rPr>
          <w:spacing w:val="9"/>
        </w:rPr>
        <w:t> </w:t>
      </w:r>
      <w:r>
        <w:rPr/>
        <w:t>the</w:t>
      </w:r>
      <w:r>
        <w:rPr>
          <w:spacing w:val="11"/>
        </w:rPr>
        <w:t> </w:t>
      </w:r>
      <w:r>
        <w:rPr/>
        <w:t>filter</w:t>
      </w:r>
      <w:r>
        <w:rPr>
          <w:spacing w:val="9"/>
        </w:rPr>
        <w:t> </w:t>
      </w:r>
      <w:r>
        <w:rPr/>
        <w:t>paper,</w:t>
      </w:r>
      <w:r>
        <w:rPr>
          <w:spacing w:val="8"/>
        </w:rPr>
        <w:t> </w:t>
      </w:r>
      <w:r>
        <w:rPr/>
        <w:t>covering</w:t>
      </w:r>
      <w:r>
        <w:rPr>
          <w:spacing w:val="11"/>
        </w:rPr>
        <w:t> </w:t>
      </w:r>
      <w:r>
        <w:rPr/>
        <w:t>an</w:t>
      </w:r>
      <w:r>
        <w:rPr>
          <w:spacing w:val="5"/>
        </w:rPr>
        <w:t> </w:t>
      </w:r>
      <w:r>
        <w:rPr>
          <w:spacing w:val="-2"/>
        </w:rPr>
        <w:t>approximately</w:t>
      </w:r>
    </w:p>
    <w:p>
      <w:pPr>
        <w:spacing w:after="0" w:line="480" w:lineRule="auto"/>
        <w:jc w:val="both"/>
        <w:sectPr>
          <w:pgSz w:w="12240" w:h="15840"/>
          <w:pgMar w:header="0" w:footer="1017" w:top="1820" w:bottom="1200" w:left="520" w:right="260"/>
        </w:sectPr>
      </w:pPr>
    </w:p>
    <w:p>
      <w:pPr>
        <w:pStyle w:val="BodyText"/>
        <w:spacing w:line="480" w:lineRule="auto" w:before="37"/>
        <w:ind w:left="920" w:right="1177"/>
        <w:jc w:val="both"/>
      </w:pPr>
      <w:r>
        <w:rPr/>
        <w:t>5mm in diameter. The lid of the petri dish was replaced and incubated at 37°C for one hour. Known positive and negative beta-lactamase producing strains of </w:t>
      </w:r>
      <w:r>
        <w:rPr>
          <w:i/>
        </w:rPr>
        <w:t>S. aureus </w:t>
      </w:r>
      <w:r>
        <w:rPr/>
        <w:t>and </w:t>
      </w:r>
      <w:r>
        <w:rPr>
          <w:i/>
        </w:rPr>
        <w:t>Proteus species </w:t>
      </w:r>
      <w:r>
        <w:rPr/>
        <w:t>were used and examined alongside the test organisms. A yellow colour on the filter paper strip indicated the</w:t>
      </w:r>
      <w:r>
        <w:rPr>
          <w:spacing w:val="40"/>
        </w:rPr>
        <w:t> </w:t>
      </w:r>
      <w:r>
        <w:rPr/>
        <w:t>production of penicilloic acid from the breakdown of penicillin by a beta-lactamase producing organism.</w:t>
      </w:r>
    </w:p>
    <w:p>
      <w:pPr>
        <w:pStyle w:val="Heading6"/>
        <w:numPr>
          <w:ilvl w:val="2"/>
          <w:numId w:val="17"/>
        </w:numPr>
        <w:tabs>
          <w:tab w:pos="1525" w:val="left" w:leader="none"/>
        </w:tabs>
        <w:spacing w:line="240" w:lineRule="auto" w:before="198" w:after="0"/>
        <w:ind w:left="1525" w:right="0" w:hanging="605"/>
        <w:jc w:val="both"/>
      </w:pPr>
      <w:bookmarkStart w:name="_TOC_250018" w:id="73"/>
      <w:r>
        <w:rPr/>
        <w:t>Conjugation</w:t>
      </w:r>
      <w:r>
        <w:rPr>
          <w:spacing w:val="-3"/>
        </w:rPr>
        <w:t> </w:t>
      </w:r>
      <w:bookmarkEnd w:id="73"/>
      <w:r>
        <w:rPr>
          <w:spacing w:val="-2"/>
        </w:rPr>
        <w:t>Studies</w:t>
      </w:r>
    </w:p>
    <w:p>
      <w:pPr>
        <w:pStyle w:val="BodyText"/>
        <w:spacing w:before="202"/>
        <w:rPr>
          <w:b/>
        </w:rPr>
      </w:pPr>
    </w:p>
    <w:p>
      <w:pPr>
        <w:pStyle w:val="BodyText"/>
        <w:spacing w:line="480" w:lineRule="auto"/>
        <w:ind w:left="920" w:right="1174"/>
        <w:jc w:val="both"/>
      </w:pPr>
      <w:r>
        <w:rPr/>
        <w:t>The</w:t>
      </w:r>
      <w:r>
        <w:rPr>
          <w:spacing w:val="-3"/>
        </w:rPr>
        <w:t> </w:t>
      </w:r>
      <w:r>
        <w:rPr/>
        <w:t>transfer</w:t>
      </w:r>
      <w:r>
        <w:rPr>
          <w:spacing w:val="-3"/>
        </w:rPr>
        <w:t> </w:t>
      </w:r>
      <w:r>
        <w:rPr/>
        <w:t>of resistant traits</w:t>
      </w:r>
      <w:r>
        <w:rPr>
          <w:spacing w:val="-3"/>
        </w:rPr>
        <w:t> </w:t>
      </w:r>
      <w:r>
        <w:rPr/>
        <w:t>by</w:t>
      </w:r>
      <w:r>
        <w:rPr>
          <w:spacing w:val="-2"/>
        </w:rPr>
        <w:t> </w:t>
      </w:r>
      <w:r>
        <w:rPr/>
        <w:t>resistant</w:t>
      </w:r>
      <w:r>
        <w:rPr>
          <w:spacing w:val="-5"/>
        </w:rPr>
        <w:t> </w:t>
      </w:r>
      <w:r>
        <w:rPr/>
        <w:t>isolates</w:t>
      </w:r>
      <w:r>
        <w:rPr>
          <w:spacing w:val="-3"/>
        </w:rPr>
        <w:t> </w:t>
      </w:r>
      <w:r>
        <w:rPr/>
        <w:t>to ofloxacin</w:t>
      </w:r>
      <w:r>
        <w:rPr>
          <w:spacing w:val="-4"/>
        </w:rPr>
        <w:t> </w:t>
      </w:r>
      <w:r>
        <w:rPr/>
        <w:t>sensitive</w:t>
      </w:r>
      <w:r>
        <w:rPr>
          <w:spacing w:val="-1"/>
        </w:rPr>
        <w:t> </w:t>
      </w:r>
      <w:r>
        <w:rPr>
          <w:i/>
        </w:rPr>
        <w:t>E.</w:t>
      </w:r>
      <w:r>
        <w:rPr>
          <w:i/>
          <w:spacing w:val="-1"/>
        </w:rPr>
        <w:t> </w:t>
      </w:r>
      <w:r>
        <w:rPr>
          <w:i/>
        </w:rPr>
        <w:t>coli</w:t>
      </w:r>
      <w:r>
        <w:rPr>
          <w:i/>
          <w:spacing w:val="-1"/>
        </w:rPr>
        <w:t> </w:t>
      </w:r>
      <w:r>
        <w:rPr/>
        <w:t>and</w:t>
      </w:r>
      <w:r>
        <w:rPr>
          <w:spacing w:val="-4"/>
        </w:rPr>
        <w:t> </w:t>
      </w:r>
      <w:r>
        <w:rPr>
          <w:i/>
        </w:rPr>
        <w:t>Proteus</w:t>
      </w:r>
      <w:r>
        <w:rPr>
          <w:i/>
          <w:spacing w:val="-3"/>
        </w:rPr>
        <w:t> </w:t>
      </w:r>
      <w:r>
        <w:rPr>
          <w:i/>
        </w:rPr>
        <w:t>vulgaris</w:t>
      </w:r>
      <w:r>
        <w:rPr>
          <w:i/>
          <w:spacing w:val="-2"/>
        </w:rPr>
        <w:t> </w:t>
      </w:r>
      <w:r>
        <w:rPr/>
        <w:t>were investigated using the methods described by Onaolapo </w:t>
      </w:r>
      <w:r>
        <w:rPr>
          <w:i/>
        </w:rPr>
        <w:t>et al</w:t>
      </w:r>
      <w:r>
        <w:rPr/>
        <w:t>. (1997) with some modifications. The minimum inhibitory concentrations (M.I.C.) of the test antibiotics against the sensitive isolates were determined. The resistant isolates were grown in 5ml sterile nutrient broth and incubated at 37°C for eighteen hours. The ofloxacin sensitive </w:t>
      </w:r>
      <w:r>
        <w:rPr>
          <w:i/>
        </w:rPr>
        <w:t>E. coli </w:t>
      </w:r>
      <w:r>
        <w:rPr/>
        <w:t>and </w:t>
      </w:r>
      <w:r>
        <w:rPr>
          <w:i/>
        </w:rPr>
        <w:t>Proteus vulgaris </w:t>
      </w:r>
      <w:r>
        <w:rPr/>
        <w:t>were subcultured into 5ml sterile nutrient broth and incubated at 37°C for eighteen hours. The overnight cultures of the potential donor (R</w:t>
      </w:r>
      <w:r>
        <w:rPr>
          <w:vertAlign w:val="superscript"/>
        </w:rPr>
        <w:t>+</w:t>
      </w:r>
      <w:r>
        <w:rPr>
          <w:vertAlign w:val="baseline"/>
        </w:rPr>
        <w:t>) i.e. resistant isolates and recipient (R</w:t>
      </w:r>
      <w:r>
        <w:rPr>
          <w:vertAlign w:val="superscript"/>
        </w:rPr>
        <w:t>-</w:t>
      </w:r>
      <w:r>
        <w:rPr>
          <w:vertAlign w:val="baseline"/>
        </w:rPr>
        <w:t>) i.e. sensitive isolates were grown in a ratio of 1:10 respectively in 5 ml volume of sterile nutrient broth, incubated in a thermostatic incubator at 37°C for eighteen hours. Loopfuls of transconjugant from the test organism admixture bottles were subcultured in triplicates on MacConkey agar plates incorporated with the antibiotics M.I.C. (0.1875µG/ml of ofloxacin) against</w:t>
      </w:r>
      <w:r>
        <w:rPr>
          <w:spacing w:val="-1"/>
          <w:vertAlign w:val="baseline"/>
        </w:rPr>
        <w:t> </w:t>
      </w:r>
      <w:r>
        <w:rPr>
          <w:vertAlign w:val="baseline"/>
        </w:rPr>
        <w:t>sensitive</w:t>
      </w:r>
      <w:r>
        <w:rPr>
          <w:spacing w:val="-4"/>
          <w:vertAlign w:val="baseline"/>
        </w:rPr>
        <w:t> </w:t>
      </w:r>
      <w:r>
        <w:rPr>
          <w:vertAlign w:val="baseline"/>
        </w:rPr>
        <w:t>isolates and incubated at</w:t>
      </w:r>
      <w:r>
        <w:rPr>
          <w:spacing w:val="-1"/>
          <w:vertAlign w:val="baseline"/>
        </w:rPr>
        <w:t> </w:t>
      </w:r>
      <w:r>
        <w:rPr>
          <w:vertAlign w:val="baseline"/>
        </w:rPr>
        <w:t>37°C for eighteen hours. The plates were examined for the presence or absence of cultural characteristics and lactose fermenting properties of sensitive isolates (</w:t>
      </w:r>
      <w:r>
        <w:rPr>
          <w:i/>
          <w:vertAlign w:val="baseline"/>
        </w:rPr>
        <w:t>E. coli </w:t>
      </w:r>
      <w:r>
        <w:rPr>
          <w:vertAlign w:val="baseline"/>
        </w:rPr>
        <w:t>and </w:t>
      </w:r>
      <w:r>
        <w:rPr>
          <w:i/>
          <w:vertAlign w:val="baseline"/>
        </w:rPr>
        <w:t>Proteus vulgaris</w:t>
      </w:r>
      <w:r>
        <w:rPr>
          <w:vertAlign w:val="baseline"/>
        </w:rPr>
        <w:t>). The colonies of transconjugants were aseptically picked and transferred to nutrient agar slant, after which the M.I.C. were determined as described by (Lennette </w:t>
      </w:r>
      <w:r>
        <w:rPr>
          <w:i/>
          <w:vertAlign w:val="baseline"/>
        </w:rPr>
        <w:t>et al</w:t>
      </w:r>
      <w:r>
        <w:rPr>
          <w:vertAlign w:val="baseline"/>
        </w:rPr>
        <w:t>., 1990).</w:t>
      </w:r>
    </w:p>
    <w:p>
      <w:pPr>
        <w:spacing w:after="0" w:line="480" w:lineRule="auto"/>
        <w:jc w:val="both"/>
        <w:sectPr>
          <w:pgSz w:w="12240" w:h="15840"/>
          <w:pgMar w:header="0" w:footer="1017" w:top="1400" w:bottom="1200" w:left="520" w:right="260"/>
        </w:sectPr>
      </w:pPr>
    </w:p>
    <w:p>
      <w:pPr>
        <w:pStyle w:val="Heading6"/>
        <w:numPr>
          <w:ilvl w:val="2"/>
          <w:numId w:val="17"/>
        </w:numPr>
        <w:tabs>
          <w:tab w:pos="1525" w:val="left" w:leader="none"/>
        </w:tabs>
        <w:spacing w:line="240" w:lineRule="auto" w:before="37" w:after="0"/>
        <w:ind w:left="1525" w:right="0" w:hanging="605"/>
        <w:jc w:val="left"/>
      </w:pPr>
      <w:bookmarkStart w:name="_TOC_250017" w:id="74"/>
      <w:r>
        <w:rPr/>
        <w:t>Curing</w:t>
      </w:r>
      <w:r>
        <w:rPr>
          <w:spacing w:val="-3"/>
        </w:rPr>
        <w:t> </w:t>
      </w:r>
      <w:r>
        <w:rPr/>
        <w:t>of</w:t>
      </w:r>
      <w:r>
        <w:rPr>
          <w:spacing w:val="-1"/>
        </w:rPr>
        <w:t> </w:t>
      </w:r>
      <w:bookmarkEnd w:id="74"/>
      <w:r>
        <w:rPr>
          <w:spacing w:val="-2"/>
        </w:rPr>
        <w:t>Transconjugants</w:t>
      </w:r>
    </w:p>
    <w:p>
      <w:pPr>
        <w:pStyle w:val="BodyText"/>
        <w:spacing w:before="202"/>
        <w:rPr>
          <w:b/>
        </w:rPr>
      </w:pPr>
    </w:p>
    <w:p>
      <w:pPr>
        <w:pStyle w:val="BodyText"/>
        <w:spacing w:line="475" w:lineRule="auto"/>
        <w:ind w:left="920" w:right="1180"/>
        <w:jc w:val="both"/>
      </w:pPr>
      <w:r>
        <w:rPr/>
        <w:t>The curing of transconjugants was carried out by treatment with acridine orange dye as described by Onaolapo and Klemperer (1986).</w:t>
      </w:r>
    </w:p>
    <w:p>
      <w:pPr>
        <w:pStyle w:val="BodyText"/>
        <w:spacing w:line="480" w:lineRule="auto" w:before="208"/>
        <w:ind w:left="920" w:right="1177"/>
        <w:jc w:val="both"/>
      </w:pPr>
      <w:r>
        <w:rPr/>
        <w:t>Each of the transconjugants was grown overnight on sterile nutrient broth and incubated at 37°C for eighteen hours in a static incubator. The overnight cultures were standardized to 10</w:t>
      </w:r>
      <w:r>
        <w:rPr>
          <w:vertAlign w:val="superscript"/>
        </w:rPr>
        <w:t>5</w:t>
      </w:r>
      <w:r>
        <w:rPr>
          <w:vertAlign w:val="baseline"/>
        </w:rPr>
        <w:t>CFU/ml. A stock solution of acridine orange in sterile distilled water (10,000µg/ml) was prepared and 1.0 ml of the solution was dispensed into test tubes containing 2ml sterile nutrient broth. The content of each tubes were vortexed and mixed properly and allowed to settle. Twenty microliter (20µl) of standardized transconjugants was inoculated into the mixed solution of acridine orange and sterile nutrient broth. This was incubated at 37°C for eighteen hours. The growth from the overnight culture of</w:t>
      </w:r>
      <w:r>
        <w:rPr>
          <w:spacing w:val="40"/>
          <w:vertAlign w:val="baseline"/>
        </w:rPr>
        <w:t> </w:t>
      </w:r>
      <w:r>
        <w:rPr>
          <w:vertAlign w:val="baseline"/>
        </w:rPr>
        <w:t>transconjugants was subcultured on MacConkey agar. Antibiotic susceptibility test using M.I.C. method was carried out on colonies obtained from the MacConkey plates. This was to determine whether the resistant pattern has changed.</w:t>
      </w:r>
    </w:p>
    <w:p>
      <w:pPr>
        <w:pStyle w:val="BodyText"/>
      </w:pPr>
    </w:p>
    <w:p>
      <w:pPr>
        <w:pStyle w:val="BodyText"/>
        <w:spacing w:before="173"/>
      </w:pPr>
    </w:p>
    <w:p>
      <w:pPr>
        <w:pStyle w:val="Heading6"/>
        <w:numPr>
          <w:ilvl w:val="2"/>
          <w:numId w:val="17"/>
        </w:numPr>
        <w:tabs>
          <w:tab w:pos="1525" w:val="left" w:leader="none"/>
        </w:tabs>
        <w:spacing w:line="240" w:lineRule="auto" w:before="1" w:after="0"/>
        <w:ind w:left="1525" w:right="0" w:hanging="605"/>
        <w:jc w:val="left"/>
      </w:pPr>
      <w:bookmarkStart w:name="_TOC_250016" w:id="75"/>
      <w:r>
        <w:rPr/>
        <w:t>Isolation</w:t>
      </w:r>
      <w:r>
        <w:rPr>
          <w:spacing w:val="-3"/>
        </w:rPr>
        <w:t> </w:t>
      </w:r>
      <w:r>
        <w:rPr/>
        <w:t>of</w:t>
      </w:r>
      <w:bookmarkEnd w:id="75"/>
      <w:r>
        <w:rPr>
          <w:spacing w:val="-2"/>
        </w:rPr>
        <w:t> Plasmid</w:t>
      </w:r>
    </w:p>
    <w:p>
      <w:pPr>
        <w:pStyle w:val="BodyText"/>
        <w:spacing w:before="197"/>
        <w:rPr>
          <w:b/>
        </w:rPr>
      </w:pPr>
    </w:p>
    <w:p>
      <w:pPr>
        <w:pStyle w:val="BodyText"/>
        <w:spacing w:line="480" w:lineRule="auto"/>
        <w:ind w:left="920" w:right="1175"/>
        <w:jc w:val="both"/>
      </w:pPr>
      <w:r>
        <w:rPr/>
        <w:t>The transconjugant strains and resistant isolates were subjected to plasmid DNA isolation following the protocol of Bimboim and Doly (1979) and Vogelstein and Gillespie (1979). This test was carried out in Centre for Biotechnology Research and Training (CBRT), Ahmadu Bello University, Zaria.</w:t>
      </w:r>
    </w:p>
    <w:p>
      <w:pPr>
        <w:pStyle w:val="BodyText"/>
        <w:spacing w:line="480" w:lineRule="auto" w:before="241"/>
        <w:ind w:left="920" w:right="1176"/>
        <w:jc w:val="both"/>
      </w:pPr>
      <w:r>
        <w:rPr/>
        <w:t>Each isolate was inoculated into 10ml Luria-Bertani (LB) medium incorporated with appropriate</w:t>
      </w:r>
      <w:r>
        <w:rPr>
          <w:spacing w:val="40"/>
        </w:rPr>
        <w:t> </w:t>
      </w:r>
      <w:r>
        <w:rPr/>
        <w:t>selection antibiotic and incubated for 16hours at 37°C while shaking at 200-250rpm. The bacterial culture was harvested by centrifugation at 8000rpm in a microcentrifuge for two minutes at room temperature.</w:t>
      </w:r>
      <w:r>
        <w:rPr>
          <w:spacing w:val="33"/>
        </w:rPr>
        <w:t> </w:t>
      </w:r>
      <w:r>
        <w:rPr/>
        <w:t>The</w:t>
      </w:r>
      <w:r>
        <w:rPr>
          <w:spacing w:val="32"/>
        </w:rPr>
        <w:t> </w:t>
      </w:r>
      <w:r>
        <w:rPr/>
        <w:t>supernatant</w:t>
      </w:r>
      <w:r>
        <w:rPr>
          <w:spacing w:val="31"/>
        </w:rPr>
        <w:t> </w:t>
      </w:r>
      <w:r>
        <w:rPr/>
        <w:t>was</w:t>
      </w:r>
      <w:r>
        <w:rPr>
          <w:spacing w:val="32"/>
        </w:rPr>
        <w:t> </w:t>
      </w:r>
      <w:r>
        <w:rPr/>
        <w:t>decanted</w:t>
      </w:r>
      <w:r>
        <w:rPr>
          <w:spacing w:val="31"/>
        </w:rPr>
        <w:t> </w:t>
      </w:r>
      <w:r>
        <w:rPr/>
        <w:t>and</w:t>
      </w:r>
      <w:r>
        <w:rPr>
          <w:spacing w:val="37"/>
        </w:rPr>
        <w:t> </w:t>
      </w:r>
      <w:r>
        <w:rPr/>
        <w:t>all</w:t>
      </w:r>
      <w:r>
        <w:rPr>
          <w:spacing w:val="34"/>
        </w:rPr>
        <w:t> </w:t>
      </w:r>
      <w:r>
        <w:rPr/>
        <w:t>remaining</w:t>
      </w:r>
      <w:r>
        <w:rPr>
          <w:spacing w:val="33"/>
        </w:rPr>
        <w:t> </w:t>
      </w:r>
      <w:r>
        <w:rPr/>
        <w:t>medium</w:t>
      </w:r>
      <w:r>
        <w:rPr>
          <w:spacing w:val="33"/>
        </w:rPr>
        <w:t> </w:t>
      </w:r>
      <w:r>
        <w:rPr/>
        <w:t>removed.</w:t>
      </w:r>
      <w:r>
        <w:rPr>
          <w:spacing w:val="34"/>
        </w:rPr>
        <w:t> </w:t>
      </w:r>
      <w:r>
        <w:rPr/>
        <w:t>The</w:t>
      </w:r>
      <w:r>
        <w:rPr>
          <w:spacing w:val="32"/>
        </w:rPr>
        <w:t> </w:t>
      </w:r>
      <w:r>
        <w:rPr/>
        <w:t>pelleted</w:t>
      </w:r>
      <w:r>
        <w:rPr>
          <w:spacing w:val="32"/>
        </w:rPr>
        <w:t> </w:t>
      </w:r>
      <w:r>
        <w:rPr>
          <w:spacing w:val="-2"/>
        </w:rPr>
        <w:t>cells</w:t>
      </w:r>
    </w:p>
    <w:p>
      <w:pPr>
        <w:spacing w:after="0" w:line="480" w:lineRule="auto"/>
        <w:jc w:val="both"/>
        <w:sectPr>
          <w:pgSz w:w="12240" w:h="15840"/>
          <w:pgMar w:header="0" w:footer="1017" w:top="1400" w:bottom="1200" w:left="520" w:right="260"/>
        </w:sectPr>
      </w:pPr>
    </w:p>
    <w:p>
      <w:pPr>
        <w:pStyle w:val="BodyText"/>
        <w:spacing w:line="480" w:lineRule="auto" w:before="37"/>
        <w:ind w:left="920" w:right="1172"/>
        <w:jc w:val="both"/>
      </w:pPr>
      <w:r>
        <w:rPr/>
        <w:t>were resuspended in 250µl of resuspension solution and transferred to microcentrifuge tube. Exactly 250 µl of lysis solution was added and mixed thoroughly by inverting the tube 4-6 times until solution was viscous and slightly clear. This was followed by adding 350 µl of neutralization solution and mixed</w:t>
      </w:r>
      <w:r>
        <w:rPr>
          <w:spacing w:val="80"/>
        </w:rPr>
        <w:t> </w:t>
      </w:r>
      <w:r>
        <w:rPr/>
        <w:t>by inverting the tube. Centrifugation was carried out at 10000rpm for five minutes to pellet cell debris and chromosomal DNA. The supernatant was transferred to GeneJET spin column by decanting. Centrifugation was carried out for one minute and the flow-through was discarded. Wash solution of</w:t>
      </w:r>
      <w:r>
        <w:rPr>
          <w:spacing w:val="40"/>
        </w:rPr>
        <w:t> </w:t>
      </w:r>
      <w:r>
        <w:rPr/>
        <w:t>500 µl was added to the column and centrifuged for 30 to 60 seconds, flow-through was discarded and column placed back into collection tube. The wash procedure was repeated to avoid residual ethanol in plasmid preps. The GeneJET spin column was transferred into fresh 1.5 ml microcentrifuge tube and</w:t>
      </w:r>
      <w:r>
        <w:rPr>
          <w:spacing w:val="40"/>
        </w:rPr>
        <w:t> </w:t>
      </w:r>
      <w:r>
        <w:rPr/>
        <w:t>50µl of elution buffer was added to the center of the column to elute plasmid DNA. This was incubated for 2 minutes at room temperature and centrifuged for 2 minutes. The purified plasmid DNA was stored at -20°C for further studies.</w:t>
      </w:r>
    </w:p>
    <w:p>
      <w:pPr>
        <w:pStyle w:val="Heading6"/>
        <w:numPr>
          <w:ilvl w:val="2"/>
          <w:numId w:val="17"/>
        </w:numPr>
        <w:tabs>
          <w:tab w:pos="1525" w:val="left" w:leader="none"/>
        </w:tabs>
        <w:spacing w:line="240" w:lineRule="auto" w:before="241" w:after="0"/>
        <w:ind w:left="1525" w:right="0" w:hanging="605"/>
        <w:jc w:val="both"/>
      </w:pPr>
      <w:bookmarkStart w:name="_TOC_250015" w:id="76"/>
      <w:r>
        <w:rPr/>
        <w:t>Agarose</w:t>
      </w:r>
      <w:r>
        <w:rPr>
          <w:spacing w:val="-5"/>
        </w:rPr>
        <w:t> </w:t>
      </w:r>
      <w:r>
        <w:rPr/>
        <w:t>Gel</w:t>
      </w:r>
      <w:r>
        <w:rPr>
          <w:spacing w:val="-1"/>
        </w:rPr>
        <w:t> </w:t>
      </w:r>
      <w:bookmarkEnd w:id="76"/>
      <w:r>
        <w:rPr>
          <w:spacing w:val="-2"/>
        </w:rPr>
        <w:t>Electrophoresis</w:t>
      </w:r>
    </w:p>
    <w:p>
      <w:pPr>
        <w:pStyle w:val="BodyText"/>
        <w:spacing w:before="197"/>
        <w:rPr>
          <w:b/>
        </w:rPr>
      </w:pPr>
    </w:p>
    <w:p>
      <w:pPr>
        <w:pStyle w:val="BodyText"/>
        <w:spacing w:line="480" w:lineRule="auto"/>
        <w:ind w:left="920" w:right="1178"/>
        <w:jc w:val="both"/>
      </w:pPr>
      <w:r>
        <w:rPr/>
        <w:t>One percent (1.0 %) agarose gel was used to resolve DNA fragment. This was prepared by combining 1g agarose in ten times concentration of tris acetate ethylene diamine tetraacetate (10ml 10XTAEDTA) buffer and 90ml sterile distilled water in 250ml beaker flask and heating in a microwave for 2 minutes until the agarose is dissolved (Moore </w:t>
      </w:r>
      <w:r>
        <w:rPr>
          <w:i/>
        </w:rPr>
        <w:t>et al</w:t>
      </w:r>
      <w:r>
        <w:rPr/>
        <w:t>., 2002).</w:t>
      </w:r>
    </w:p>
    <w:p>
      <w:pPr>
        <w:pStyle w:val="BodyText"/>
        <w:spacing w:line="480" w:lineRule="auto" w:before="242"/>
        <w:ind w:left="920" w:right="1176"/>
        <w:jc w:val="both"/>
      </w:pPr>
      <w:r>
        <w:rPr/>
        <w:t>Exactly 0.5 µl of Ethidium bromidewas added to the dissolved agarose solution with swirling to mix. The gel was then poured onto a mini horizontal gel electrophoresis tank and casting combs were inserted. This was allowed to gel for 30 minutes. The casting combs were carefully removed after the gel had solidified completely. One times concentration (1X) TAE buffer was added to the reservoir until it covered the agarose gel.</w:t>
      </w:r>
    </w:p>
    <w:p>
      <w:pPr>
        <w:spacing w:after="0" w:line="480" w:lineRule="auto"/>
        <w:jc w:val="both"/>
        <w:sectPr>
          <w:pgSz w:w="12240" w:h="15840"/>
          <w:pgMar w:header="0" w:footer="1017" w:top="1400" w:bottom="1200" w:left="520" w:right="260"/>
        </w:sectPr>
      </w:pPr>
    </w:p>
    <w:p>
      <w:pPr>
        <w:pStyle w:val="BodyText"/>
        <w:spacing w:line="480" w:lineRule="auto" w:before="37"/>
        <w:ind w:left="920" w:right="1176"/>
        <w:jc w:val="both"/>
      </w:pPr>
      <w:r>
        <w:rPr/>
        <w:t>Precisely 0.5 µl of gel tracking dye (bromophenol blue) was added to 20 µl of each sample with gentle mixing.</w:t>
      </w:r>
      <w:r>
        <w:rPr>
          <w:spacing w:val="40"/>
        </w:rPr>
        <w:t> </w:t>
      </w:r>
      <w:r>
        <w:rPr/>
        <w:t>The sample was loaded onto the wells of the gel at a concentration of 20 µl, the mini horizontal electrophoresis gel setup was covered and electrodes connected. Electrophoresis was carried out at</w:t>
      </w:r>
      <w:r>
        <w:rPr>
          <w:spacing w:val="40"/>
        </w:rPr>
        <w:t> </w:t>
      </w:r>
      <w:r>
        <w:rPr/>
        <w:t>100-200mA for one hour. At the completion of electrophoresis, the gel was removed from the buffer</w:t>
      </w:r>
      <w:r>
        <w:rPr>
          <w:spacing w:val="40"/>
        </w:rPr>
        <w:t> </w:t>
      </w:r>
      <w:r>
        <w:rPr/>
        <w:t>and viewed under UV-transilluminator. The band pattern of DNA fragments was photographed with a Polaroid</w:t>
      </w:r>
      <w:r>
        <w:rPr>
          <w:spacing w:val="-2"/>
        </w:rPr>
        <w:t> </w:t>
      </w:r>
      <w:r>
        <w:rPr/>
        <w:t>camera</w:t>
      </w:r>
      <w:r>
        <w:rPr>
          <w:spacing w:val="-2"/>
        </w:rPr>
        <w:t> </w:t>
      </w:r>
      <w:r>
        <w:rPr/>
        <w:t>and</w:t>
      </w:r>
      <w:r>
        <w:rPr>
          <w:spacing w:val="-2"/>
        </w:rPr>
        <w:t> </w:t>
      </w:r>
      <w:r>
        <w:rPr/>
        <w:t>documented</w:t>
      </w:r>
      <w:r>
        <w:rPr>
          <w:spacing w:val="-2"/>
        </w:rPr>
        <w:t> </w:t>
      </w:r>
      <w:r>
        <w:rPr/>
        <w:t>using</w:t>
      </w:r>
      <w:r>
        <w:rPr>
          <w:spacing w:val="-4"/>
        </w:rPr>
        <w:t> </w:t>
      </w:r>
      <w:r>
        <w:rPr/>
        <w:t>electrophoresis</w:t>
      </w:r>
      <w:r>
        <w:rPr>
          <w:spacing w:val="-1"/>
        </w:rPr>
        <w:t> </w:t>
      </w:r>
      <w:r>
        <w:rPr/>
        <w:t>gel documentation</w:t>
      </w:r>
      <w:r>
        <w:rPr>
          <w:spacing w:val="-2"/>
        </w:rPr>
        <w:t> </w:t>
      </w:r>
      <w:r>
        <w:rPr/>
        <w:t>system. This</w:t>
      </w:r>
      <w:r>
        <w:rPr>
          <w:spacing w:val="-6"/>
        </w:rPr>
        <w:t> </w:t>
      </w:r>
      <w:r>
        <w:rPr/>
        <w:t>test</w:t>
      </w:r>
      <w:r>
        <w:rPr>
          <w:spacing w:val="-3"/>
        </w:rPr>
        <w:t> </w:t>
      </w:r>
      <w:r>
        <w:rPr/>
        <w:t>was</w:t>
      </w:r>
      <w:r>
        <w:rPr>
          <w:spacing w:val="-1"/>
        </w:rPr>
        <w:t> </w:t>
      </w:r>
      <w:r>
        <w:rPr/>
        <w:t>carried out in Centre for Biotechnology Research and Training (CBRT), Ahmadu Bello University, Zaria.</w:t>
      </w:r>
    </w:p>
    <w:p>
      <w:pPr>
        <w:spacing w:after="0" w:line="480" w:lineRule="auto"/>
        <w:jc w:val="both"/>
        <w:sectPr>
          <w:pgSz w:w="12240" w:h="15840"/>
          <w:pgMar w:header="0" w:footer="1017" w:top="1400" w:bottom="1200" w:left="520" w:right="260"/>
        </w:sectPr>
      </w:pPr>
    </w:p>
    <w:p>
      <w:pPr>
        <w:pStyle w:val="BodyText"/>
        <w:spacing w:before="4"/>
        <w:rPr>
          <w:sz w:val="16"/>
        </w:rPr>
      </w:pPr>
    </w:p>
    <w:p>
      <w:pPr>
        <w:spacing w:after="0"/>
        <w:rPr>
          <w:sz w:val="16"/>
        </w:rPr>
        <w:sectPr>
          <w:pgSz w:w="12240" w:h="15840"/>
          <w:pgMar w:header="0" w:footer="1017" w:top="1820" w:bottom="1200" w:left="520" w:right="260"/>
        </w:sectPr>
      </w:pPr>
    </w:p>
    <w:p>
      <w:pPr>
        <w:pStyle w:val="Heading5"/>
        <w:ind w:left="0" w:right="258" w:firstLine="0"/>
        <w:jc w:val="center"/>
      </w:pPr>
      <w:bookmarkStart w:name="_TOC_250014" w:id="77"/>
      <w:r>
        <w:rPr/>
        <w:t>CHAPTER</w:t>
      </w:r>
      <w:r>
        <w:rPr>
          <w:spacing w:val="-10"/>
        </w:rPr>
        <w:t> </w:t>
      </w:r>
      <w:bookmarkEnd w:id="77"/>
      <w:r>
        <w:rPr>
          <w:spacing w:val="-4"/>
        </w:rPr>
        <w:t>FOUR</w:t>
      </w:r>
    </w:p>
    <w:p>
      <w:pPr>
        <w:pStyle w:val="BodyText"/>
        <w:spacing w:before="202"/>
        <w:rPr>
          <w:b/>
        </w:rPr>
      </w:pPr>
    </w:p>
    <w:p>
      <w:pPr>
        <w:pStyle w:val="ListParagraph"/>
        <w:numPr>
          <w:ilvl w:val="1"/>
          <w:numId w:val="18"/>
        </w:numPr>
        <w:tabs>
          <w:tab w:pos="4913" w:val="left" w:leader="none"/>
        </w:tabs>
        <w:spacing w:line="240" w:lineRule="auto" w:before="0" w:after="0"/>
        <w:ind w:left="4913" w:right="0" w:hanging="3993"/>
        <w:jc w:val="left"/>
        <w:rPr>
          <w:rFonts w:ascii="Calibri"/>
          <w:b/>
          <w:sz w:val="22"/>
        </w:rPr>
      </w:pPr>
      <w:bookmarkStart w:name="_TOC_250013" w:id="78"/>
      <w:bookmarkEnd w:id="78"/>
      <w:r>
        <w:rPr>
          <w:rFonts w:ascii="Calibri"/>
          <w:b/>
          <w:spacing w:val="-2"/>
          <w:sz w:val="22"/>
        </w:rPr>
        <w:t>RESULTS</w:t>
      </w:r>
    </w:p>
    <w:p>
      <w:pPr>
        <w:pStyle w:val="BodyText"/>
        <w:rPr>
          <w:b/>
        </w:rPr>
      </w:pPr>
    </w:p>
    <w:p>
      <w:pPr>
        <w:pStyle w:val="BodyText"/>
        <w:rPr>
          <w:b/>
        </w:rPr>
      </w:pPr>
    </w:p>
    <w:p>
      <w:pPr>
        <w:pStyle w:val="BodyText"/>
        <w:rPr>
          <w:b/>
        </w:rPr>
      </w:pPr>
    </w:p>
    <w:p>
      <w:pPr>
        <w:pStyle w:val="BodyText"/>
        <w:spacing w:before="130"/>
        <w:rPr>
          <w:b/>
        </w:rPr>
      </w:pPr>
    </w:p>
    <w:p>
      <w:pPr>
        <w:pStyle w:val="ListParagraph"/>
        <w:numPr>
          <w:ilvl w:val="1"/>
          <w:numId w:val="18"/>
        </w:numPr>
        <w:tabs>
          <w:tab w:pos="1245" w:val="left" w:leader="none"/>
        </w:tabs>
        <w:spacing w:line="240" w:lineRule="auto" w:before="1" w:after="0"/>
        <w:ind w:left="1245" w:right="0" w:hanging="325"/>
        <w:jc w:val="left"/>
        <w:rPr>
          <w:rFonts w:ascii="Calibri"/>
          <w:b/>
          <w:sz w:val="22"/>
        </w:rPr>
      </w:pPr>
      <w:bookmarkStart w:name="_TOC_250012" w:id="79"/>
      <w:r>
        <w:rPr>
          <w:rFonts w:ascii="Calibri"/>
          <w:b/>
          <w:sz w:val="22"/>
        </w:rPr>
        <w:t>ISOLATION</w:t>
      </w:r>
      <w:r>
        <w:rPr>
          <w:rFonts w:ascii="Calibri"/>
          <w:b/>
          <w:spacing w:val="-3"/>
          <w:sz w:val="22"/>
        </w:rPr>
        <w:t> </w:t>
      </w:r>
      <w:r>
        <w:rPr>
          <w:rFonts w:ascii="Calibri"/>
          <w:b/>
          <w:sz w:val="22"/>
        </w:rPr>
        <w:t>AND</w:t>
      </w:r>
      <w:r>
        <w:rPr>
          <w:rFonts w:ascii="Calibri"/>
          <w:b/>
          <w:spacing w:val="-4"/>
          <w:sz w:val="22"/>
        </w:rPr>
        <w:t> </w:t>
      </w:r>
      <w:bookmarkEnd w:id="79"/>
      <w:r>
        <w:rPr>
          <w:rFonts w:ascii="Calibri"/>
          <w:b/>
          <w:spacing w:val="-2"/>
          <w:sz w:val="22"/>
        </w:rPr>
        <w:t>IDENTIFICATION</w:t>
      </w:r>
    </w:p>
    <w:p>
      <w:pPr>
        <w:pStyle w:val="BodyText"/>
        <w:spacing w:before="197"/>
        <w:rPr>
          <w:b/>
        </w:rPr>
      </w:pPr>
    </w:p>
    <w:p>
      <w:pPr>
        <w:pStyle w:val="BodyText"/>
        <w:spacing w:line="480" w:lineRule="auto"/>
        <w:ind w:left="920" w:right="1171"/>
        <w:jc w:val="both"/>
      </w:pPr>
      <w:r>
        <w:rPr/>
        <w:t>The bacterial load from packagedmilk samples obtained in various locations such as Samaru, Sabo Gari, Tudun</w:t>
      </w:r>
      <w:r>
        <w:rPr>
          <w:spacing w:val="15"/>
        </w:rPr>
        <w:t> </w:t>
      </w:r>
      <w:r>
        <w:rPr/>
        <w:t>Wada,</w:t>
      </w:r>
      <w:r>
        <w:rPr>
          <w:spacing w:val="14"/>
        </w:rPr>
        <w:t> </w:t>
      </w:r>
      <w:r>
        <w:rPr/>
        <w:t>Wusasa</w:t>
      </w:r>
      <w:r>
        <w:rPr>
          <w:spacing w:val="16"/>
        </w:rPr>
        <w:t> </w:t>
      </w:r>
      <w:r>
        <w:rPr/>
        <w:t>and</w:t>
      </w:r>
      <w:r>
        <w:rPr>
          <w:spacing w:val="15"/>
        </w:rPr>
        <w:t> </w:t>
      </w:r>
      <w:r>
        <w:rPr/>
        <w:t>Zaria</w:t>
      </w:r>
      <w:r>
        <w:rPr>
          <w:spacing w:val="16"/>
        </w:rPr>
        <w:t> </w:t>
      </w:r>
      <w:r>
        <w:rPr/>
        <w:t>City</w:t>
      </w:r>
      <w:r>
        <w:rPr>
          <w:spacing w:val="18"/>
        </w:rPr>
        <w:t> </w:t>
      </w:r>
      <w:r>
        <w:rPr/>
        <w:t>were</w:t>
      </w:r>
      <w:r>
        <w:rPr>
          <w:spacing w:val="17"/>
        </w:rPr>
        <w:t> </w:t>
      </w:r>
      <w:r>
        <w:rPr/>
        <w:t>1.10</w:t>
      </w:r>
      <w:r>
        <w:rPr>
          <w:spacing w:val="15"/>
        </w:rPr>
        <w:t> </w:t>
      </w:r>
      <w:r>
        <w:rPr/>
        <w:t>–</w:t>
      </w:r>
      <w:r>
        <w:rPr>
          <w:spacing w:val="17"/>
        </w:rPr>
        <w:t> </w:t>
      </w:r>
      <w:r>
        <w:rPr/>
        <w:t>19.20</w:t>
      </w:r>
      <w:r>
        <w:rPr>
          <w:spacing w:val="14"/>
        </w:rPr>
        <w:t> </w:t>
      </w:r>
      <w:r>
        <w:rPr/>
        <w:t>x</w:t>
      </w:r>
      <w:r>
        <w:rPr>
          <w:spacing w:val="16"/>
        </w:rPr>
        <w:t> </w:t>
      </w:r>
      <w:r>
        <w:rPr/>
        <w:t>10</w:t>
      </w:r>
      <w:r>
        <w:rPr>
          <w:vertAlign w:val="superscript"/>
        </w:rPr>
        <w:t>6</w:t>
      </w:r>
      <w:r>
        <w:rPr>
          <w:spacing w:val="22"/>
          <w:vertAlign w:val="baseline"/>
        </w:rPr>
        <w:t> </w:t>
      </w:r>
      <w:r>
        <w:rPr>
          <w:vertAlign w:val="baseline"/>
        </w:rPr>
        <w:t>cfu/ml;</w:t>
      </w:r>
      <w:r>
        <w:rPr>
          <w:spacing w:val="15"/>
          <w:vertAlign w:val="baseline"/>
        </w:rPr>
        <w:t> </w:t>
      </w:r>
      <w:r>
        <w:rPr>
          <w:vertAlign w:val="baseline"/>
        </w:rPr>
        <w:t>1.20</w:t>
      </w:r>
      <w:r>
        <w:rPr>
          <w:spacing w:val="15"/>
          <w:vertAlign w:val="baseline"/>
        </w:rPr>
        <w:t> </w:t>
      </w:r>
      <w:r>
        <w:rPr>
          <w:vertAlign w:val="baseline"/>
        </w:rPr>
        <w:t>–</w:t>
      </w:r>
      <w:r>
        <w:rPr>
          <w:spacing w:val="17"/>
          <w:vertAlign w:val="baseline"/>
        </w:rPr>
        <w:t> </w:t>
      </w:r>
      <w:r>
        <w:rPr>
          <w:vertAlign w:val="baseline"/>
        </w:rPr>
        <w:t>17.20</w:t>
      </w:r>
      <w:r>
        <w:rPr>
          <w:spacing w:val="14"/>
          <w:vertAlign w:val="baseline"/>
        </w:rPr>
        <w:t> </w:t>
      </w:r>
      <w:r>
        <w:rPr>
          <w:vertAlign w:val="baseline"/>
        </w:rPr>
        <w:t>x</w:t>
      </w:r>
      <w:r>
        <w:rPr>
          <w:spacing w:val="16"/>
          <w:vertAlign w:val="baseline"/>
        </w:rPr>
        <w:t> </w:t>
      </w:r>
      <w:r>
        <w:rPr>
          <w:vertAlign w:val="baseline"/>
        </w:rPr>
        <w:t>10</w:t>
      </w:r>
      <w:r>
        <w:rPr>
          <w:vertAlign w:val="superscript"/>
        </w:rPr>
        <w:t>6</w:t>
      </w:r>
      <w:r>
        <w:rPr>
          <w:spacing w:val="18"/>
          <w:vertAlign w:val="baseline"/>
        </w:rPr>
        <w:t> </w:t>
      </w:r>
      <w:r>
        <w:rPr>
          <w:vertAlign w:val="baseline"/>
        </w:rPr>
        <w:t>cfu/ml;</w:t>
      </w:r>
      <w:r>
        <w:rPr>
          <w:spacing w:val="15"/>
          <w:vertAlign w:val="baseline"/>
        </w:rPr>
        <w:t> </w:t>
      </w:r>
      <w:r>
        <w:rPr>
          <w:vertAlign w:val="baseline"/>
        </w:rPr>
        <w:t>1.80</w:t>
      </w:r>
      <w:r>
        <w:rPr>
          <w:spacing w:val="15"/>
          <w:vertAlign w:val="baseline"/>
        </w:rPr>
        <w:t> </w:t>
      </w:r>
      <w:r>
        <w:rPr>
          <w:spacing w:val="-10"/>
          <w:vertAlign w:val="baseline"/>
        </w:rPr>
        <w:t>–</w:t>
      </w:r>
    </w:p>
    <w:p>
      <w:pPr>
        <w:pStyle w:val="BodyText"/>
        <w:spacing w:before="1"/>
        <w:ind w:left="920"/>
        <w:jc w:val="both"/>
      </w:pPr>
      <w:r>
        <w:rPr/>
        <w:t>14.80</w:t>
      </w:r>
      <w:r>
        <w:rPr>
          <w:spacing w:val="17"/>
        </w:rPr>
        <w:t> </w:t>
      </w:r>
      <w:r>
        <w:rPr/>
        <w:t>x</w:t>
      </w:r>
      <w:r>
        <w:rPr>
          <w:spacing w:val="19"/>
        </w:rPr>
        <w:t> </w:t>
      </w:r>
      <w:r>
        <w:rPr/>
        <w:t>10</w:t>
      </w:r>
      <w:r>
        <w:rPr>
          <w:vertAlign w:val="superscript"/>
        </w:rPr>
        <w:t>6</w:t>
      </w:r>
      <w:r>
        <w:rPr>
          <w:spacing w:val="64"/>
          <w:w w:val="150"/>
          <w:vertAlign w:val="baseline"/>
        </w:rPr>
        <w:t> </w:t>
      </w:r>
      <w:r>
        <w:rPr>
          <w:vertAlign w:val="baseline"/>
        </w:rPr>
        <w:t>cfu/ml;</w:t>
      </w:r>
      <w:r>
        <w:rPr>
          <w:spacing w:val="18"/>
          <w:vertAlign w:val="baseline"/>
        </w:rPr>
        <w:t> </w:t>
      </w:r>
      <w:r>
        <w:rPr>
          <w:vertAlign w:val="baseline"/>
        </w:rPr>
        <w:t>1.10</w:t>
      </w:r>
      <w:r>
        <w:rPr>
          <w:spacing w:val="17"/>
          <w:vertAlign w:val="baseline"/>
        </w:rPr>
        <w:t> </w:t>
      </w:r>
      <w:r>
        <w:rPr>
          <w:vertAlign w:val="baseline"/>
        </w:rPr>
        <w:t>–</w:t>
      </w:r>
      <w:r>
        <w:rPr>
          <w:spacing w:val="15"/>
          <w:vertAlign w:val="baseline"/>
        </w:rPr>
        <w:t> </w:t>
      </w:r>
      <w:r>
        <w:rPr>
          <w:vertAlign w:val="baseline"/>
        </w:rPr>
        <w:t>16.80</w:t>
      </w:r>
      <w:r>
        <w:rPr>
          <w:spacing w:val="17"/>
          <w:vertAlign w:val="baseline"/>
        </w:rPr>
        <w:t> </w:t>
      </w:r>
      <w:r>
        <w:rPr>
          <w:vertAlign w:val="baseline"/>
        </w:rPr>
        <w:t>x</w:t>
      </w:r>
      <w:r>
        <w:rPr>
          <w:spacing w:val="20"/>
          <w:vertAlign w:val="baseline"/>
        </w:rPr>
        <w:t> </w:t>
      </w:r>
      <w:r>
        <w:rPr>
          <w:vertAlign w:val="baseline"/>
        </w:rPr>
        <w:t>10</w:t>
      </w:r>
      <w:r>
        <w:rPr>
          <w:vertAlign w:val="superscript"/>
        </w:rPr>
        <w:t>6</w:t>
      </w:r>
      <w:r>
        <w:rPr>
          <w:spacing w:val="16"/>
          <w:vertAlign w:val="baseline"/>
        </w:rPr>
        <w:t> </w:t>
      </w:r>
      <w:r>
        <w:rPr>
          <w:vertAlign w:val="baseline"/>
        </w:rPr>
        <w:t>cfu/ml;</w:t>
      </w:r>
      <w:r>
        <w:rPr>
          <w:spacing w:val="13"/>
          <w:vertAlign w:val="baseline"/>
        </w:rPr>
        <w:t> </w:t>
      </w:r>
      <w:r>
        <w:rPr>
          <w:vertAlign w:val="baseline"/>
        </w:rPr>
        <w:t>1.40</w:t>
      </w:r>
      <w:r>
        <w:rPr>
          <w:spacing w:val="18"/>
          <w:vertAlign w:val="baseline"/>
        </w:rPr>
        <w:t> </w:t>
      </w:r>
      <w:r>
        <w:rPr>
          <w:vertAlign w:val="baseline"/>
        </w:rPr>
        <w:t>–</w:t>
      </w:r>
      <w:r>
        <w:rPr>
          <w:spacing w:val="16"/>
          <w:vertAlign w:val="baseline"/>
        </w:rPr>
        <w:t> </w:t>
      </w:r>
      <w:r>
        <w:rPr>
          <w:vertAlign w:val="baseline"/>
        </w:rPr>
        <w:t>19.40</w:t>
      </w:r>
      <w:r>
        <w:rPr>
          <w:spacing w:val="17"/>
          <w:vertAlign w:val="baseline"/>
        </w:rPr>
        <w:t> </w:t>
      </w:r>
      <w:r>
        <w:rPr>
          <w:vertAlign w:val="baseline"/>
        </w:rPr>
        <w:t>x</w:t>
      </w:r>
      <w:r>
        <w:rPr>
          <w:spacing w:val="19"/>
          <w:vertAlign w:val="baseline"/>
        </w:rPr>
        <w:t> </w:t>
      </w:r>
      <w:r>
        <w:rPr>
          <w:vertAlign w:val="baseline"/>
        </w:rPr>
        <w:t>10</w:t>
      </w:r>
      <w:r>
        <w:rPr>
          <w:vertAlign w:val="superscript"/>
        </w:rPr>
        <w:t>6</w:t>
      </w:r>
      <w:r>
        <w:rPr>
          <w:spacing w:val="20"/>
          <w:vertAlign w:val="baseline"/>
        </w:rPr>
        <w:t> </w:t>
      </w:r>
      <w:r>
        <w:rPr>
          <w:vertAlign w:val="baseline"/>
        </w:rPr>
        <w:t>cfu/ml</w:t>
      </w:r>
      <w:r>
        <w:rPr>
          <w:spacing w:val="17"/>
          <w:vertAlign w:val="baseline"/>
        </w:rPr>
        <w:t> </w:t>
      </w:r>
      <w:r>
        <w:rPr>
          <w:vertAlign w:val="baseline"/>
        </w:rPr>
        <w:t>while</w:t>
      </w:r>
      <w:r>
        <w:rPr>
          <w:spacing w:val="19"/>
          <w:vertAlign w:val="baseline"/>
        </w:rPr>
        <w:t> </w:t>
      </w:r>
      <w:r>
        <w:rPr>
          <w:vertAlign w:val="baseline"/>
        </w:rPr>
        <w:t>the</w:t>
      </w:r>
      <w:r>
        <w:rPr>
          <w:spacing w:val="14"/>
          <w:vertAlign w:val="baseline"/>
        </w:rPr>
        <w:t> </w:t>
      </w:r>
      <w:r>
        <w:rPr>
          <w:vertAlign w:val="baseline"/>
        </w:rPr>
        <w:t>mean</w:t>
      </w:r>
      <w:r>
        <w:rPr>
          <w:spacing w:val="18"/>
          <w:vertAlign w:val="baseline"/>
        </w:rPr>
        <w:t> </w:t>
      </w:r>
      <w:r>
        <w:rPr>
          <w:vertAlign w:val="baseline"/>
        </w:rPr>
        <w:t>counts</w:t>
      </w:r>
      <w:r>
        <w:rPr>
          <w:spacing w:val="19"/>
          <w:vertAlign w:val="baseline"/>
        </w:rPr>
        <w:t> </w:t>
      </w:r>
      <w:r>
        <w:rPr>
          <w:spacing w:val="-4"/>
          <w:vertAlign w:val="baseline"/>
        </w:rPr>
        <w:t>were</w:t>
      </w:r>
    </w:p>
    <w:p>
      <w:pPr>
        <w:pStyle w:val="BodyText"/>
      </w:pPr>
    </w:p>
    <w:p>
      <w:pPr>
        <w:pStyle w:val="BodyText"/>
        <w:ind w:left="920"/>
        <w:jc w:val="both"/>
      </w:pPr>
      <w:r>
        <w:rPr/>
        <w:t>5.98</w:t>
      </w:r>
      <w:r>
        <w:rPr>
          <w:spacing w:val="9"/>
        </w:rPr>
        <w:t> </w:t>
      </w:r>
      <w:r>
        <w:rPr/>
        <w:t>±</w:t>
      </w:r>
      <w:r>
        <w:rPr>
          <w:spacing w:val="10"/>
        </w:rPr>
        <w:t> </w:t>
      </w:r>
      <w:r>
        <w:rPr/>
        <w:t>4.0</w:t>
      </w:r>
      <w:r>
        <w:rPr>
          <w:spacing w:val="9"/>
        </w:rPr>
        <w:t> </w:t>
      </w:r>
      <w:r>
        <w:rPr/>
        <w:t>x</w:t>
      </w:r>
      <w:r>
        <w:rPr>
          <w:spacing w:val="11"/>
        </w:rPr>
        <w:t> </w:t>
      </w:r>
      <w:r>
        <w:rPr/>
        <w:t>10</w:t>
      </w:r>
      <w:r>
        <w:rPr>
          <w:vertAlign w:val="superscript"/>
        </w:rPr>
        <w:t>6</w:t>
      </w:r>
      <w:r>
        <w:rPr>
          <w:vertAlign w:val="baseline"/>
        </w:rPr>
        <w:t>cfu/ml,</w:t>
      </w:r>
      <w:r>
        <w:rPr>
          <w:spacing w:val="8"/>
          <w:vertAlign w:val="baseline"/>
        </w:rPr>
        <w:t> </w:t>
      </w:r>
      <w:r>
        <w:rPr>
          <w:vertAlign w:val="baseline"/>
        </w:rPr>
        <w:t>3.98</w:t>
      </w:r>
      <w:r>
        <w:rPr>
          <w:spacing w:val="9"/>
          <w:vertAlign w:val="baseline"/>
        </w:rPr>
        <w:t> </w:t>
      </w:r>
      <w:r>
        <w:rPr>
          <w:vertAlign w:val="baseline"/>
        </w:rPr>
        <w:t>±</w:t>
      </w:r>
      <w:r>
        <w:rPr>
          <w:spacing w:val="11"/>
          <w:vertAlign w:val="baseline"/>
        </w:rPr>
        <w:t> </w:t>
      </w:r>
      <w:r>
        <w:rPr>
          <w:vertAlign w:val="baseline"/>
        </w:rPr>
        <w:t>2.7x</w:t>
      </w:r>
      <w:r>
        <w:rPr>
          <w:spacing w:val="11"/>
          <w:vertAlign w:val="baseline"/>
        </w:rPr>
        <w:t> </w:t>
      </w:r>
      <w:r>
        <w:rPr>
          <w:vertAlign w:val="baseline"/>
        </w:rPr>
        <w:t>10</w:t>
      </w:r>
      <w:r>
        <w:rPr>
          <w:vertAlign w:val="superscript"/>
        </w:rPr>
        <w:t>6</w:t>
      </w:r>
      <w:r>
        <w:rPr>
          <w:vertAlign w:val="baseline"/>
        </w:rPr>
        <w:t>cfu/ml,</w:t>
      </w:r>
      <w:r>
        <w:rPr>
          <w:spacing w:val="8"/>
          <w:vertAlign w:val="baseline"/>
        </w:rPr>
        <w:t> </w:t>
      </w:r>
      <w:r>
        <w:rPr>
          <w:vertAlign w:val="baseline"/>
        </w:rPr>
        <w:t>4.45</w:t>
      </w:r>
      <w:r>
        <w:rPr>
          <w:spacing w:val="9"/>
          <w:vertAlign w:val="baseline"/>
        </w:rPr>
        <w:t> </w:t>
      </w:r>
      <w:r>
        <w:rPr>
          <w:vertAlign w:val="baseline"/>
        </w:rPr>
        <w:t>±</w:t>
      </w:r>
      <w:r>
        <w:rPr>
          <w:spacing w:val="11"/>
          <w:vertAlign w:val="baseline"/>
        </w:rPr>
        <w:t> </w:t>
      </w:r>
      <w:r>
        <w:rPr>
          <w:vertAlign w:val="baseline"/>
        </w:rPr>
        <w:t>3.1</w:t>
      </w:r>
      <w:r>
        <w:rPr>
          <w:spacing w:val="9"/>
          <w:vertAlign w:val="baseline"/>
        </w:rPr>
        <w:t> </w:t>
      </w:r>
      <w:r>
        <w:rPr>
          <w:vertAlign w:val="baseline"/>
        </w:rPr>
        <w:t>x</w:t>
      </w:r>
      <w:r>
        <w:rPr>
          <w:spacing w:val="11"/>
          <w:vertAlign w:val="baseline"/>
        </w:rPr>
        <w:t> </w:t>
      </w:r>
      <w:r>
        <w:rPr>
          <w:vertAlign w:val="baseline"/>
        </w:rPr>
        <w:t>10</w:t>
      </w:r>
      <w:r>
        <w:rPr>
          <w:vertAlign w:val="superscript"/>
        </w:rPr>
        <w:t>6</w:t>
      </w:r>
      <w:r>
        <w:rPr>
          <w:spacing w:val="-6"/>
          <w:vertAlign w:val="baseline"/>
        </w:rPr>
        <w:t> </w:t>
      </w:r>
      <w:r>
        <w:rPr>
          <w:vertAlign w:val="baseline"/>
        </w:rPr>
        <w:t>cfu/ml,</w:t>
      </w:r>
      <w:r>
        <w:rPr>
          <w:spacing w:val="8"/>
          <w:vertAlign w:val="baseline"/>
        </w:rPr>
        <w:t> </w:t>
      </w:r>
      <w:r>
        <w:rPr>
          <w:vertAlign w:val="baseline"/>
        </w:rPr>
        <w:t>4.08±</w:t>
      </w:r>
      <w:r>
        <w:rPr>
          <w:spacing w:val="11"/>
          <w:vertAlign w:val="baseline"/>
        </w:rPr>
        <w:t> </w:t>
      </w:r>
      <w:r>
        <w:rPr>
          <w:vertAlign w:val="baseline"/>
        </w:rPr>
        <w:t>4.7</w:t>
      </w:r>
      <w:r>
        <w:rPr>
          <w:spacing w:val="9"/>
          <w:vertAlign w:val="baseline"/>
        </w:rPr>
        <w:t> </w:t>
      </w:r>
      <w:r>
        <w:rPr>
          <w:vertAlign w:val="baseline"/>
        </w:rPr>
        <w:t>x</w:t>
      </w:r>
      <w:r>
        <w:rPr>
          <w:spacing w:val="10"/>
          <w:vertAlign w:val="baseline"/>
        </w:rPr>
        <w:t> </w:t>
      </w:r>
      <w:r>
        <w:rPr>
          <w:vertAlign w:val="baseline"/>
        </w:rPr>
        <w:t>10</w:t>
      </w:r>
      <w:r>
        <w:rPr>
          <w:vertAlign w:val="superscript"/>
        </w:rPr>
        <w:t>6</w:t>
      </w:r>
      <w:r>
        <w:rPr>
          <w:spacing w:val="-6"/>
          <w:vertAlign w:val="baseline"/>
        </w:rPr>
        <w:t> </w:t>
      </w:r>
      <w:r>
        <w:rPr>
          <w:vertAlign w:val="baseline"/>
        </w:rPr>
        <w:t>cfu/ml</w:t>
      </w:r>
      <w:r>
        <w:rPr>
          <w:spacing w:val="12"/>
          <w:vertAlign w:val="baseline"/>
        </w:rPr>
        <w:t> </w:t>
      </w:r>
      <w:r>
        <w:rPr>
          <w:vertAlign w:val="baseline"/>
        </w:rPr>
        <w:t>and</w:t>
      </w:r>
      <w:r>
        <w:rPr>
          <w:spacing w:val="10"/>
          <w:vertAlign w:val="baseline"/>
        </w:rPr>
        <w:t> </w:t>
      </w:r>
      <w:r>
        <w:rPr>
          <w:vertAlign w:val="baseline"/>
        </w:rPr>
        <w:t>3.32</w:t>
      </w:r>
      <w:r>
        <w:rPr>
          <w:spacing w:val="9"/>
          <w:vertAlign w:val="baseline"/>
        </w:rPr>
        <w:t> </w:t>
      </w:r>
      <w:r>
        <w:rPr>
          <w:spacing w:val="-10"/>
          <w:vertAlign w:val="baseline"/>
        </w:rPr>
        <w:t>±</w:t>
      </w:r>
    </w:p>
    <w:p>
      <w:pPr>
        <w:pStyle w:val="BodyText"/>
        <w:spacing w:before="1"/>
      </w:pPr>
    </w:p>
    <w:p>
      <w:pPr>
        <w:pStyle w:val="BodyText"/>
        <w:ind w:left="920"/>
        <w:jc w:val="both"/>
      </w:pPr>
      <w:r>
        <w:rPr/>
        <w:t>4.5x</w:t>
      </w:r>
      <w:r>
        <w:rPr>
          <w:spacing w:val="-9"/>
        </w:rPr>
        <w:t> </w:t>
      </w:r>
      <w:r>
        <w:rPr/>
        <w:t>10</w:t>
      </w:r>
      <w:r>
        <w:rPr>
          <w:vertAlign w:val="superscript"/>
        </w:rPr>
        <w:t>6</w:t>
      </w:r>
      <w:r>
        <w:rPr>
          <w:spacing w:val="-15"/>
          <w:vertAlign w:val="baseline"/>
        </w:rPr>
        <w:t> </w:t>
      </w:r>
      <w:r>
        <w:rPr>
          <w:vertAlign w:val="baseline"/>
        </w:rPr>
        <w:t>cfu/ml</w:t>
      </w:r>
      <w:r>
        <w:rPr>
          <w:spacing w:val="-4"/>
          <w:vertAlign w:val="baseline"/>
        </w:rPr>
        <w:t> </w:t>
      </w:r>
      <w:r>
        <w:rPr>
          <w:spacing w:val="-2"/>
          <w:vertAlign w:val="baseline"/>
        </w:rPr>
        <w:t>respectively.</w:t>
      </w:r>
    </w:p>
    <w:p>
      <w:pPr>
        <w:pStyle w:val="BodyText"/>
        <w:spacing w:before="240"/>
      </w:pPr>
    </w:p>
    <w:p>
      <w:pPr>
        <w:pStyle w:val="BodyText"/>
        <w:spacing w:line="480" w:lineRule="auto"/>
        <w:ind w:left="920" w:right="1180"/>
        <w:jc w:val="both"/>
      </w:pPr>
      <w:r>
        <w:rPr/>
        <w:t>The mean count from the four brands of packaged milk showed that brand 4 had the highest counts while mean count based on location showed that Samaru had the highest count (Table 4.1, 4.2).</w:t>
      </w:r>
    </w:p>
    <w:p>
      <w:pPr>
        <w:pStyle w:val="BodyText"/>
        <w:spacing w:before="241"/>
        <w:ind w:left="920"/>
        <w:jc w:val="both"/>
      </w:pPr>
      <w:r>
        <w:rPr/>
        <w:t>Based</w:t>
      </w:r>
      <w:r>
        <w:rPr>
          <w:spacing w:val="-7"/>
        </w:rPr>
        <w:t> </w:t>
      </w:r>
      <w:r>
        <w:rPr/>
        <w:t>on</w:t>
      </w:r>
      <w:r>
        <w:rPr>
          <w:spacing w:val="-5"/>
        </w:rPr>
        <w:t> </w:t>
      </w:r>
      <w:r>
        <w:rPr/>
        <w:t>cultural,</w:t>
      </w:r>
      <w:r>
        <w:rPr>
          <w:spacing w:val="-3"/>
        </w:rPr>
        <w:t> </w:t>
      </w:r>
      <w:r>
        <w:rPr/>
        <w:t>morphological</w:t>
      </w:r>
      <w:r>
        <w:rPr>
          <w:spacing w:val="-2"/>
        </w:rPr>
        <w:t> </w:t>
      </w:r>
      <w:r>
        <w:rPr/>
        <w:t>and</w:t>
      </w:r>
      <w:r>
        <w:rPr>
          <w:spacing w:val="-5"/>
        </w:rPr>
        <w:t> </w:t>
      </w:r>
      <w:r>
        <w:rPr/>
        <w:t>biochemical</w:t>
      </w:r>
      <w:r>
        <w:rPr>
          <w:spacing w:val="-2"/>
        </w:rPr>
        <w:t> </w:t>
      </w:r>
      <w:r>
        <w:rPr/>
        <w:t>characteristics</w:t>
      </w:r>
      <w:r>
        <w:rPr>
          <w:spacing w:val="-4"/>
        </w:rPr>
        <w:t> </w:t>
      </w:r>
      <w:r>
        <w:rPr/>
        <w:t>of the</w:t>
      </w:r>
      <w:r>
        <w:rPr>
          <w:spacing w:val="-4"/>
        </w:rPr>
        <w:t> </w:t>
      </w:r>
      <w:r>
        <w:rPr/>
        <w:t>organisms</w:t>
      </w:r>
      <w:r>
        <w:rPr>
          <w:spacing w:val="-4"/>
        </w:rPr>
        <w:t> </w:t>
      </w:r>
      <w:r>
        <w:rPr/>
        <w:t>isolated,</w:t>
      </w:r>
      <w:r>
        <w:rPr>
          <w:spacing w:val="-6"/>
        </w:rPr>
        <w:t> </w:t>
      </w:r>
      <w:r>
        <w:rPr/>
        <w:t>a</w:t>
      </w:r>
      <w:r>
        <w:rPr>
          <w:spacing w:val="-4"/>
        </w:rPr>
        <w:t> </w:t>
      </w:r>
      <w:r>
        <w:rPr/>
        <w:t>total of </w:t>
      </w:r>
      <w:r>
        <w:rPr>
          <w:spacing w:val="-5"/>
        </w:rPr>
        <w:t>ten</w:t>
      </w:r>
    </w:p>
    <w:p>
      <w:pPr>
        <w:pStyle w:val="BodyText"/>
        <w:spacing w:line="480" w:lineRule="auto" w:before="265"/>
        <w:ind w:left="920" w:right="1176"/>
        <w:jc w:val="both"/>
      </w:pPr>
      <w:r>
        <w:rPr/>
        <w:t>(10) bacterial species comprising one hundred and fifty-three (153) isolates were identified</w:t>
      </w:r>
      <w:r>
        <w:rPr>
          <w:spacing w:val="40"/>
        </w:rPr>
        <w:t> </w:t>
      </w:r>
      <w:r>
        <w:rPr/>
        <w:t>in the 200 milk samples studied.</w:t>
      </w:r>
    </w:p>
    <w:p>
      <w:pPr>
        <w:spacing w:line="480" w:lineRule="auto" w:before="240"/>
        <w:ind w:left="920" w:right="1171" w:firstLine="0"/>
        <w:jc w:val="both"/>
        <w:rPr>
          <w:sz w:val="22"/>
        </w:rPr>
      </w:pPr>
      <w:r>
        <w:rPr>
          <w:i/>
          <w:sz w:val="22"/>
        </w:rPr>
        <w:t>Escherichia coli</w:t>
      </w:r>
      <w:r>
        <w:rPr>
          <w:sz w:val="22"/>
        </w:rPr>
        <w:t>(13.1%), </w:t>
      </w:r>
      <w:r>
        <w:rPr>
          <w:i/>
          <w:sz w:val="22"/>
        </w:rPr>
        <w:t>Proteus species </w:t>
      </w:r>
      <w:r>
        <w:rPr>
          <w:sz w:val="22"/>
        </w:rPr>
        <w:t>(2.6%), </w:t>
      </w:r>
      <w:r>
        <w:rPr>
          <w:i/>
          <w:sz w:val="22"/>
        </w:rPr>
        <w:t>Salmonella specie </w:t>
      </w:r>
      <w:r>
        <w:rPr>
          <w:sz w:val="22"/>
        </w:rPr>
        <w:t>(0.65%), </w:t>
      </w:r>
      <w:r>
        <w:rPr>
          <w:i/>
          <w:sz w:val="22"/>
        </w:rPr>
        <w:t>Providencia species </w:t>
      </w:r>
      <w:r>
        <w:rPr>
          <w:sz w:val="22"/>
        </w:rPr>
        <w:t>(3.26%), </w:t>
      </w:r>
      <w:r>
        <w:rPr>
          <w:i/>
          <w:sz w:val="22"/>
        </w:rPr>
        <w:t>Enterobacter species </w:t>
      </w:r>
      <w:r>
        <w:rPr>
          <w:sz w:val="22"/>
        </w:rPr>
        <w:t>(36.6%), </w:t>
      </w:r>
      <w:r>
        <w:rPr>
          <w:i/>
          <w:sz w:val="22"/>
        </w:rPr>
        <w:t>Citobacter spp </w:t>
      </w:r>
      <w:r>
        <w:rPr>
          <w:sz w:val="22"/>
        </w:rPr>
        <w:t>(0.65%), </w:t>
      </w:r>
      <w:r>
        <w:rPr>
          <w:i/>
          <w:sz w:val="22"/>
        </w:rPr>
        <w:t>Klebsiella species </w:t>
      </w:r>
      <w:r>
        <w:rPr>
          <w:sz w:val="22"/>
        </w:rPr>
        <w:t>(1.31%) and </w:t>
      </w:r>
      <w:r>
        <w:rPr>
          <w:i/>
          <w:sz w:val="22"/>
        </w:rPr>
        <w:t>Yersinia specie </w:t>
      </w:r>
      <w:r>
        <w:rPr>
          <w:sz w:val="22"/>
        </w:rPr>
        <w:t>(0.65%) were bacteria from Enterobacteriaceae Family. Other bacteria isolated were </w:t>
      </w:r>
      <w:r>
        <w:rPr>
          <w:i/>
          <w:sz w:val="22"/>
        </w:rPr>
        <w:t>Pseudomonas species </w:t>
      </w:r>
      <w:r>
        <w:rPr>
          <w:sz w:val="22"/>
        </w:rPr>
        <w:t>(37.9%) and </w:t>
      </w:r>
      <w:r>
        <w:rPr>
          <w:i/>
          <w:sz w:val="22"/>
        </w:rPr>
        <w:t>S. aureus </w:t>
      </w:r>
      <w:r>
        <w:rPr>
          <w:sz w:val="22"/>
        </w:rPr>
        <w:t>(3.28%) (Table 4.3). Gram’s reaction revealed that the isolates were made of predominantly Gram negative rods (96.7%) and few Gram positive cocci in clusters (3.3%). Four different brands of milk products bought from 5 locations were analyzed and some were found to contain some bacterial isolates. A total of 42 (27.5%) isolates were obtained from the first brand of milk</w:t>
      </w:r>
    </w:p>
    <w:p>
      <w:pPr>
        <w:spacing w:after="0" w:line="480" w:lineRule="auto"/>
        <w:jc w:val="both"/>
        <w:rPr>
          <w:sz w:val="22"/>
        </w:rPr>
        <w:sectPr>
          <w:pgSz w:w="12240" w:h="15840"/>
          <w:pgMar w:header="0" w:footer="1017" w:top="1400" w:bottom="1200" w:left="520" w:right="260"/>
        </w:sectPr>
      </w:pPr>
    </w:p>
    <w:p>
      <w:pPr>
        <w:spacing w:line="480" w:lineRule="auto" w:before="37"/>
        <w:ind w:left="920" w:right="1174" w:firstLine="0"/>
        <w:jc w:val="both"/>
        <w:rPr>
          <w:sz w:val="22"/>
        </w:rPr>
      </w:pPr>
      <w:r>
        <w:rPr>
          <w:sz w:val="22"/>
        </w:rPr>
        <w:t>sample,</w:t>
      </w:r>
      <w:r>
        <w:rPr>
          <w:spacing w:val="-2"/>
          <w:sz w:val="22"/>
        </w:rPr>
        <w:t> </w:t>
      </w:r>
      <w:r>
        <w:rPr>
          <w:sz w:val="22"/>
        </w:rPr>
        <w:t>made of predominantly </w:t>
      </w:r>
      <w:r>
        <w:rPr>
          <w:i/>
          <w:sz w:val="22"/>
        </w:rPr>
        <w:t>Pseudomonas species</w:t>
      </w:r>
      <w:r>
        <w:rPr>
          <w:i/>
          <w:spacing w:val="-3"/>
          <w:sz w:val="22"/>
        </w:rPr>
        <w:t> </w:t>
      </w:r>
      <w:r>
        <w:rPr>
          <w:sz w:val="22"/>
        </w:rPr>
        <w:t>(Table 4.3). 21.6% isolates were isolated from the second brand of milk sample, made of predominantly </w:t>
      </w:r>
      <w:r>
        <w:rPr>
          <w:i/>
          <w:sz w:val="22"/>
        </w:rPr>
        <w:t>Enterobacter species </w:t>
      </w:r>
      <w:r>
        <w:rPr>
          <w:sz w:val="22"/>
        </w:rPr>
        <w:t>(Table 4.3). The third brand</w:t>
      </w:r>
      <w:r>
        <w:rPr>
          <w:spacing w:val="40"/>
          <w:sz w:val="22"/>
        </w:rPr>
        <w:t> </w:t>
      </w:r>
      <w:r>
        <w:rPr>
          <w:sz w:val="22"/>
        </w:rPr>
        <w:t>of milk sample consisted of 12.4% isolates and was predominantly </w:t>
      </w:r>
      <w:r>
        <w:rPr>
          <w:i/>
          <w:sz w:val="22"/>
        </w:rPr>
        <w:t>Pseudomonas spp. </w:t>
      </w:r>
      <w:r>
        <w:rPr>
          <w:sz w:val="22"/>
        </w:rPr>
        <w:t>(Table 4.3), while 38.6% isolates were obtained from the fourth brand of milk sample made of predominantly </w:t>
      </w:r>
      <w:r>
        <w:rPr>
          <w:i/>
          <w:sz w:val="22"/>
        </w:rPr>
        <w:t>Pseudomonas species </w:t>
      </w:r>
      <w:r>
        <w:rPr>
          <w:sz w:val="22"/>
        </w:rPr>
        <w:t>(Table 4.3). </w:t>
      </w:r>
      <w:r>
        <w:rPr>
          <w:i/>
          <w:sz w:val="22"/>
        </w:rPr>
        <w:t>Pseudomonas species </w:t>
      </w:r>
      <w:r>
        <w:rPr>
          <w:sz w:val="22"/>
        </w:rPr>
        <w:t>(37.9%) was the most frequently isolated organism followed by </w:t>
      </w:r>
      <w:r>
        <w:rPr>
          <w:i/>
          <w:sz w:val="22"/>
        </w:rPr>
        <w:t>Enterobacter species </w:t>
      </w:r>
      <w:r>
        <w:rPr>
          <w:sz w:val="22"/>
        </w:rPr>
        <w:t>(36.6%), </w:t>
      </w:r>
      <w:r>
        <w:rPr>
          <w:i/>
          <w:sz w:val="22"/>
        </w:rPr>
        <w:t>and Escherichia coli </w:t>
      </w:r>
      <w:r>
        <w:rPr>
          <w:sz w:val="22"/>
        </w:rPr>
        <w:t>(13%). The least isolated organisms includes </w:t>
      </w:r>
      <w:r>
        <w:rPr>
          <w:i/>
          <w:sz w:val="22"/>
        </w:rPr>
        <w:t>Salmonella spp </w:t>
      </w:r>
      <w:r>
        <w:rPr>
          <w:sz w:val="22"/>
        </w:rPr>
        <w:t>(0.7%), </w:t>
      </w:r>
      <w:r>
        <w:rPr>
          <w:i/>
          <w:sz w:val="22"/>
        </w:rPr>
        <w:t>Citrobacter spp</w:t>
      </w:r>
      <w:r>
        <w:rPr>
          <w:sz w:val="22"/>
        </w:rPr>
        <w:t>. (0.7%), </w:t>
      </w:r>
      <w:r>
        <w:rPr>
          <w:i/>
          <w:sz w:val="22"/>
        </w:rPr>
        <w:t>Yersinia spp</w:t>
      </w:r>
      <w:r>
        <w:rPr>
          <w:sz w:val="22"/>
        </w:rPr>
        <w:t>. (0.7%) and </w:t>
      </w:r>
      <w:r>
        <w:rPr>
          <w:i/>
          <w:sz w:val="22"/>
        </w:rPr>
        <w:t>Klebsiella specie </w:t>
      </w:r>
      <w:r>
        <w:rPr>
          <w:sz w:val="22"/>
        </w:rPr>
        <w:t>(1.3%) (Table 4.3).</w:t>
      </w:r>
    </w:p>
    <w:p>
      <w:pPr>
        <w:pStyle w:val="BodyText"/>
        <w:spacing w:line="480" w:lineRule="auto" w:before="239"/>
        <w:ind w:left="920" w:right="1174"/>
        <w:jc w:val="both"/>
      </w:pPr>
      <w:r>
        <w:rPr/>
        <w:t>Table 4.4 shows milk sample analysis from five locations in Zaria. The analysis of the data showed that 33.3% of the isolates were from Samaru, 12.4% from Sabo-Gari, 19% from Tudun-wada, 19.6% from Wusasa and 15.7% from Zaria city. </w:t>
      </w:r>
      <w:r>
        <w:rPr>
          <w:i/>
        </w:rPr>
        <w:t>Escherichia coli </w:t>
      </w:r>
      <w:r>
        <w:rPr/>
        <w:t>were isolated from four of the locations except Sabo Gari. </w:t>
      </w:r>
      <w:r>
        <w:rPr>
          <w:i/>
        </w:rPr>
        <w:t>Proteus spp</w:t>
      </w:r>
      <w:r>
        <w:rPr/>
        <w:t>, </w:t>
      </w:r>
      <w:r>
        <w:rPr>
          <w:i/>
        </w:rPr>
        <w:t>Salmonella spp </w:t>
      </w:r>
      <w:r>
        <w:rPr/>
        <w:t>and </w:t>
      </w:r>
      <w:r>
        <w:rPr>
          <w:i/>
        </w:rPr>
        <w:t>Yersinia spp </w:t>
      </w:r>
      <w:r>
        <w:rPr/>
        <w:t>were found only in Samaru. </w:t>
      </w:r>
      <w:r>
        <w:rPr>
          <w:i/>
        </w:rPr>
        <w:t>Citrobacter spp </w:t>
      </w:r>
      <w:r>
        <w:rPr/>
        <w:t>occurred only in Tudun-wada while the two </w:t>
      </w:r>
      <w:r>
        <w:rPr>
          <w:i/>
        </w:rPr>
        <w:t>Klebsiella spp </w:t>
      </w:r>
      <w:r>
        <w:rPr/>
        <w:t>isolated were found in Wusasa and Zaria city. Higher rate of isolation of </w:t>
      </w:r>
      <w:r>
        <w:rPr>
          <w:i/>
        </w:rPr>
        <w:t>Pseudomonas spp </w:t>
      </w:r>
      <w:r>
        <w:rPr/>
        <w:t>were from Samaru followed by Sabo Gari. </w:t>
      </w:r>
      <w:r>
        <w:rPr>
          <w:i/>
        </w:rPr>
        <w:t>Enterobacter spp </w:t>
      </w:r>
      <w:r>
        <w:rPr/>
        <w:t>were found to be present in all the locations of study with high rates occurring in samples from Tudun Wada and Wusasa.</w:t>
      </w:r>
    </w:p>
    <w:p>
      <w:pPr>
        <w:spacing w:after="0" w:line="480" w:lineRule="auto"/>
        <w:jc w:val="both"/>
        <w:sectPr>
          <w:pgSz w:w="12240" w:h="15840"/>
          <w:pgMar w:header="0" w:footer="1017" w:top="1400" w:bottom="1200" w:left="520" w:right="260"/>
        </w:sectPr>
      </w:pPr>
    </w:p>
    <w:p>
      <w:pPr>
        <w:spacing w:before="130"/>
        <w:ind w:left="920" w:right="0" w:firstLine="0"/>
        <w:jc w:val="left"/>
        <w:rPr>
          <w:b/>
          <w:sz w:val="22"/>
        </w:rPr>
      </w:pPr>
      <w:r>
        <w:rPr>
          <w:b/>
          <w:sz w:val="22"/>
        </w:rPr>
        <w:t>Table</w:t>
      </w:r>
      <w:r>
        <w:rPr>
          <w:b/>
          <w:spacing w:val="-5"/>
          <w:sz w:val="22"/>
        </w:rPr>
        <w:t> </w:t>
      </w:r>
      <w:r>
        <w:rPr>
          <w:b/>
          <w:sz w:val="22"/>
        </w:rPr>
        <w:t>4.1:</w:t>
      </w:r>
      <w:r>
        <w:rPr>
          <w:b/>
          <w:spacing w:val="-3"/>
          <w:sz w:val="22"/>
        </w:rPr>
        <w:t> </w:t>
      </w:r>
      <w:r>
        <w:rPr>
          <w:b/>
          <w:sz w:val="22"/>
        </w:rPr>
        <w:t>Mean</w:t>
      </w:r>
      <w:r>
        <w:rPr>
          <w:b/>
          <w:spacing w:val="-2"/>
          <w:sz w:val="22"/>
        </w:rPr>
        <w:t> </w:t>
      </w:r>
      <w:r>
        <w:rPr>
          <w:b/>
          <w:sz w:val="22"/>
        </w:rPr>
        <w:t>of</w:t>
      </w:r>
      <w:r>
        <w:rPr>
          <w:b/>
          <w:spacing w:val="-2"/>
          <w:sz w:val="22"/>
        </w:rPr>
        <w:t> </w:t>
      </w:r>
      <w:r>
        <w:rPr>
          <w:b/>
          <w:sz w:val="22"/>
        </w:rPr>
        <w:t>Total</w:t>
      </w:r>
      <w:r>
        <w:rPr>
          <w:b/>
          <w:spacing w:val="-4"/>
          <w:sz w:val="22"/>
        </w:rPr>
        <w:t> </w:t>
      </w:r>
      <w:r>
        <w:rPr>
          <w:b/>
          <w:sz w:val="22"/>
        </w:rPr>
        <w:t>Aerobic</w:t>
      </w:r>
      <w:r>
        <w:rPr>
          <w:b/>
          <w:spacing w:val="-5"/>
          <w:sz w:val="22"/>
        </w:rPr>
        <w:t> </w:t>
      </w:r>
      <w:r>
        <w:rPr>
          <w:b/>
          <w:sz w:val="22"/>
        </w:rPr>
        <w:t>Bacterial</w:t>
      </w:r>
      <w:r>
        <w:rPr>
          <w:b/>
          <w:spacing w:val="-3"/>
          <w:sz w:val="22"/>
        </w:rPr>
        <w:t> </w:t>
      </w:r>
      <w:r>
        <w:rPr>
          <w:b/>
          <w:sz w:val="22"/>
        </w:rPr>
        <w:t>Counts</w:t>
      </w:r>
      <w:r>
        <w:rPr>
          <w:b/>
          <w:spacing w:val="-5"/>
          <w:sz w:val="22"/>
        </w:rPr>
        <w:t> </w:t>
      </w:r>
      <w:r>
        <w:rPr>
          <w:b/>
          <w:sz w:val="22"/>
        </w:rPr>
        <w:t>of</w:t>
      </w:r>
      <w:r>
        <w:rPr>
          <w:b/>
          <w:spacing w:val="-2"/>
          <w:sz w:val="22"/>
        </w:rPr>
        <w:t> </w:t>
      </w:r>
      <w:r>
        <w:rPr>
          <w:b/>
          <w:sz w:val="22"/>
        </w:rPr>
        <w:t>four</w:t>
      </w:r>
      <w:r>
        <w:rPr>
          <w:b/>
          <w:spacing w:val="-5"/>
          <w:sz w:val="22"/>
        </w:rPr>
        <w:t> </w:t>
      </w:r>
      <w:r>
        <w:rPr>
          <w:b/>
          <w:sz w:val="22"/>
        </w:rPr>
        <w:t>Brands</w:t>
      </w:r>
      <w:r>
        <w:rPr>
          <w:b/>
          <w:spacing w:val="-5"/>
          <w:sz w:val="22"/>
        </w:rPr>
        <w:t> </w:t>
      </w:r>
      <w:r>
        <w:rPr>
          <w:b/>
          <w:sz w:val="22"/>
        </w:rPr>
        <w:t>of Packaged</w:t>
      </w:r>
      <w:r>
        <w:rPr>
          <w:b/>
          <w:spacing w:val="-2"/>
          <w:sz w:val="22"/>
        </w:rPr>
        <w:t> </w:t>
      </w:r>
      <w:r>
        <w:rPr>
          <w:b/>
          <w:sz w:val="22"/>
        </w:rPr>
        <w:t>Milk</w:t>
      </w:r>
      <w:r>
        <w:rPr>
          <w:b/>
          <w:spacing w:val="-3"/>
          <w:sz w:val="22"/>
        </w:rPr>
        <w:t> </w:t>
      </w:r>
      <w:r>
        <w:rPr>
          <w:b/>
          <w:sz w:val="22"/>
        </w:rPr>
        <w:t>Samples</w:t>
      </w:r>
      <w:r>
        <w:rPr>
          <w:b/>
          <w:spacing w:val="-5"/>
          <w:sz w:val="22"/>
        </w:rPr>
        <w:t> </w:t>
      </w:r>
      <w:r>
        <w:rPr>
          <w:b/>
          <w:sz w:val="22"/>
        </w:rPr>
        <w:t>in</w:t>
      </w:r>
      <w:r>
        <w:rPr>
          <w:b/>
          <w:spacing w:val="-2"/>
          <w:sz w:val="22"/>
        </w:rPr>
        <w:t> Zaria</w:t>
      </w:r>
    </w:p>
    <w:p>
      <w:pPr>
        <w:pStyle w:val="BodyText"/>
        <w:rPr>
          <w:b/>
          <w:sz w:val="20"/>
        </w:rPr>
      </w:pPr>
    </w:p>
    <w:p>
      <w:pPr>
        <w:pStyle w:val="BodyText"/>
        <w:rPr>
          <w:b/>
          <w:sz w:val="20"/>
        </w:rPr>
      </w:pPr>
    </w:p>
    <w:p>
      <w:pPr>
        <w:pStyle w:val="BodyText"/>
        <w:spacing w:before="20"/>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4"/>
        <w:gridCol w:w="2398"/>
        <w:gridCol w:w="2295"/>
        <w:gridCol w:w="2686"/>
      </w:tblGrid>
      <w:tr>
        <w:trPr>
          <w:trHeight w:val="738" w:hRule="atLeast"/>
        </w:trPr>
        <w:tc>
          <w:tcPr>
            <w:tcW w:w="2204" w:type="dxa"/>
            <w:tcBorders>
              <w:top w:val="single" w:sz="4" w:space="0" w:color="000000"/>
              <w:bottom w:val="single" w:sz="4" w:space="0" w:color="000000"/>
            </w:tcBorders>
          </w:tcPr>
          <w:p>
            <w:pPr>
              <w:pStyle w:val="TableParagraph"/>
              <w:spacing w:line="240" w:lineRule="auto" w:before="1"/>
              <w:ind w:left="110"/>
              <w:jc w:val="left"/>
              <w:rPr>
                <w:b/>
                <w:sz w:val="24"/>
              </w:rPr>
            </w:pPr>
            <w:r>
              <w:rPr>
                <w:b/>
                <w:sz w:val="24"/>
              </w:rPr>
              <w:t>Milk</w:t>
            </w:r>
            <w:r>
              <w:rPr>
                <w:b/>
                <w:spacing w:val="-10"/>
                <w:sz w:val="24"/>
              </w:rPr>
              <w:t> </w:t>
            </w:r>
            <w:r>
              <w:rPr>
                <w:b/>
                <w:spacing w:val="-2"/>
                <w:sz w:val="24"/>
              </w:rPr>
              <w:t>Brands</w:t>
            </w:r>
          </w:p>
        </w:tc>
        <w:tc>
          <w:tcPr>
            <w:tcW w:w="2398" w:type="dxa"/>
            <w:tcBorders>
              <w:top w:val="single" w:sz="4" w:space="0" w:color="000000"/>
              <w:bottom w:val="single" w:sz="4" w:space="0" w:color="000000"/>
            </w:tcBorders>
          </w:tcPr>
          <w:p>
            <w:pPr>
              <w:pStyle w:val="TableParagraph"/>
              <w:spacing w:line="265" w:lineRule="exact"/>
              <w:ind w:left="301"/>
              <w:jc w:val="left"/>
              <w:rPr>
                <w:b/>
                <w:sz w:val="22"/>
              </w:rPr>
            </w:pPr>
            <w:r>
              <w:rPr>
                <w:b/>
                <w:sz w:val="22"/>
              </w:rPr>
              <w:t>Number</w:t>
            </w:r>
            <w:r>
              <w:rPr>
                <w:b/>
                <w:spacing w:val="-5"/>
                <w:sz w:val="22"/>
              </w:rPr>
              <w:t> </w:t>
            </w:r>
            <w:r>
              <w:rPr>
                <w:b/>
                <w:sz w:val="22"/>
              </w:rPr>
              <w:t>of</w:t>
            </w:r>
            <w:r>
              <w:rPr>
                <w:b/>
                <w:spacing w:val="-1"/>
                <w:sz w:val="22"/>
              </w:rPr>
              <w:t> </w:t>
            </w:r>
            <w:r>
              <w:rPr>
                <w:b/>
                <w:spacing w:val="-2"/>
                <w:sz w:val="22"/>
              </w:rPr>
              <w:t>Samples</w:t>
            </w:r>
          </w:p>
        </w:tc>
        <w:tc>
          <w:tcPr>
            <w:tcW w:w="2295" w:type="dxa"/>
            <w:tcBorders>
              <w:top w:val="single" w:sz="4" w:space="0" w:color="000000"/>
              <w:bottom w:val="single" w:sz="4" w:space="0" w:color="000000"/>
            </w:tcBorders>
          </w:tcPr>
          <w:p>
            <w:pPr>
              <w:pStyle w:val="TableParagraph"/>
              <w:spacing w:line="265" w:lineRule="exact"/>
              <w:ind w:left="293"/>
              <w:jc w:val="left"/>
              <w:rPr>
                <w:b/>
                <w:sz w:val="22"/>
              </w:rPr>
            </w:pPr>
            <w:r>
              <w:rPr>
                <w:b/>
                <w:sz w:val="22"/>
              </w:rPr>
              <w:t>Packaging</w:t>
            </w:r>
            <w:r>
              <w:rPr>
                <w:b/>
                <w:spacing w:val="-3"/>
                <w:sz w:val="22"/>
              </w:rPr>
              <w:t> </w:t>
            </w:r>
            <w:r>
              <w:rPr>
                <w:b/>
                <w:spacing w:val="-2"/>
                <w:sz w:val="22"/>
              </w:rPr>
              <w:t>Material</w:t>
            </w:r>
          </w:p>
        </w:tc>
        <w:tc>
          <w:tcPr>
            <w:tcW w:w="2686" w:type="dxa"/>
            <w:tcBorders>
              <w:top w:val="single" w:sz="4" w:space="0" w:color="000000"/>
              <w:bottom w:val="single" w:sz="4" w:space="0" w:color="000000"/>
            </w:tcBorders>
          </w:tcPr>
          <w:p>
            <w:pPr>
              <w:pStyle w:val="TableParagraph"/>
              <w:spacing w:line="240" w:lineRule="auto" w:before="1"/>
              <w:ind w:left="250"/>
              <w:jc w:val="left"/>
              <w:rPr>
                <w:b/>
                <w:sz w:val="24"/>
              </w:rPr>
            </w:pPr>
            <w:r>
              <w:rPr>
                <w:b/>
                <w:sz w:val="24"/>
              </w:rPr>
              <w:t>Mean</w:t>
            </w:r>
            <w:r>
              <w:rPr>
                <w:b/>
                <w:spacing w:val="-7"/>
                <w:sz w:val="24"/>
              </w:rPr>
              <w:t> </w:t>
            </w:r>
            <w:r>
              <w:rPr>
                <w:b/>
                <w:sz w:val="24"/>
              </w:rPr>
              <w:t>Count</w:t>
            </w:r>
            <w:r>
              <w:rPr>
                <w:b/>
                <w:spacing w:val="-8"/>
                <w:sz w:val="24"/>
              </w:rPr>
              <w:t> </w:t>
            </w:r>
            <w:r>
              <w:rPr>
                <w:b/>
                <w:spacing w:val="-2"/>
                <w:sz w:val="24"/>
              </w:rPr>
              <w:t>(Cfu/ml)</w:t>
            </w:r>
          </w:p>
        </w:tc>
      </w:tr>
      <w:tr>
        <w:trPr>
          <w:trHeight w:val="500" w:hRule="atLeast"/>
        </w:trPr>
        <w:tc>
          <w:tcPr>
            <w:tcW w:w="2204" w:type="dxa"/>
            <w:tcBorders>
              <w:top w:val="single" w:sz="4" w:space="0" w:color="000000"/>
            </w:tcBorders>
          </w:tcPr>
          <w:p>
            <w:pPr>
              <w:pStyle w:val="TableParagraph"/>
              <w:spacing w:line="240" w:lineRule="auto" w:before="1"/>
              <w:ind w:left="110"/>
              <w:jc w:val="left"/>
              <w:rPr>
                <w:sz w:val="24"/>
              </w:rPr>
            </w:pPr>
            <w:r>
              <w:rPr>
                <w:sz w:val="24"/>
              </w:rPr>
              <w:t>Brand</w:t>
            </w:r>
            <w:r>
              <w:rPr>
                <w:spacing w:val="-9"/>
                <w:sz w:val="24"/>
              </w:rPr>
              <w:t> </w:t>
            </w:r>
            <w:r>
              <w:rPr>
                <w:spacing w:val="-10"/>
                <w:sz w:val="24"/>
              </w:rPr>
              <w:t>1</w:t>
            </w:r>
          </w:p>
        </w:tc>
        <w:tc>
          <w:tcPr>
            <w:tcW w:w="2398" w:type="dxa"/>
            <w:tcBorders>
              <w:top w:val="single" w:sz="4" w:space="0" w:color="000000"/>
            </w:tcBorders>
          </w:tcPr>
          <w:p>
            <w:pPr>
              <w:pStyle w:val="TableParagraph"/>
              <w:spacing w:line="265" w:lineRule="exact"/>
              <w:ind w:left="301"/>
              <w:jc w:val="left"/>
              <w:rPr>
                <w:sz w:val="22"/>
              </w:rPr>
            </w:pPr>
            <w:r>
              <w:rPr>
                <w:spacing w:val="-5"/>
                <w:sz w:val="22"/>
              </w:rPr>
              <w:t>50</w:t>
            </w:r>
          </w:p>
        </w:tc>
        <w:tc>
          <w:tcPr>
            <w:tcW w:w="2295" w:type="dxa"/>
            <w:tcBorders>
              <w:top w:val="single" w:sz="4" w:space="0" w:color="000000"/>
            </w:tcBorders>
          </w:tcPr>
          <w:p>
            <w:pPr>
              <w:pStyle w:val="TableParagraph"/>
              <w:spacing w:line="265" w:lineRule="exact"/>
              <w:ind w:left="293"/>
              <w:jc w:val="left"/>
              <w:rPr>
                <w:sz w:val="22"/>
              </w:rPr>
            </w:pPr>
            <w:r>
              <w:rPr>
                <w:sz w:val="22"/>
              </w:rPr>
              <w:t>Plastic</w:t>
            </w:r>
            <w:r>
              <w:rPr>
                <w:spacing w:val="-2"/>
                <w:sz w:val="22"/>
              </w:rPr>
              <w:t> Packs</w:t>
            </w:r>
          </w:p>
        </w:tc>
        <w:tc>
          <w:tcPr>
            <w:tcW w:w="2686" w:type="dxa"/>
            <w:tcBorders>
              <w:top w:val="single" w:sz="4" w:space="0" w:color="000000"/>
            </w:tcBorders>
          </w:tcPr>
          <w:p>
            <w:pPr>
              <w:pStyle w:val="TableParagraph"/>
              <w:spacing w:line="240" w:lineRule="auto" w:before="1"/>
              <w:ind w:left="250"/>
              <w:jc w:val="left"/>
              <w:rPr>
                <w:sz w:val="24"/>
              </w:rPr>
            </w:pPr>
            <w:r>
              <w:rPr>
                <w:sz w:val="24"/>
              </w:rPr>
              <w:t>3.57</w:t>
            </w:r>
            <w:r>
              <w:rPr>
                <w:spacing w:val="-6"/>
                <w:sz w:val="24"/>
              </w:rPr>
              <w:t> </w:t>
            </w:r>
            <w:r>
              <w:rPr>
                <w:sz w:val="24"/>
              </w:rPr>
              <w:t>±</w:t>
            </w:r>
            <w:r>
              <w:rPr>
                <w:spacing w:val="-4"/>
                <w:sz w:val="24"/>
              </w:rPr>
              <w:t> </w:t>
            </w:r>
            <w:r>
              <w:rPr>
                <w:sz w:val="24"/>
              </w:rPr>
              <w:t>1.8</w:t>
            </w:r>
            <w:r>
              <w:rPr>
                <w:spacing w:val="49"/>
                <w:sz w:val="24"/>
              </w:rPr>
              <w:t> </w:t>
            </w:r>
            <w:r>
              <w:rPr>
                <w:sz w:val="24"/>
              </w:rPr>
              <w:t>x</w:t>
            </w:r>
            <w:r>
              <w:rPr>
                <w:spacing w:val="-3"/>
                <w:sz w:val="24"/>
              </w:rPr>
              <w:t> </w:t>
            </w:r>
            <w:r>
              <w:rPr>
                <w:spacing w:val="-5"/>
                <w:sz w:val="24"/>
              </w:rPr>
              <w:t>10</w:t>
            </w:r>
            <w:r>
              <w:rPr>
                <w:spacing w:val="-5"/>
                <w:sz w:val="24"/>
                <w:vertAlign w:val="superscript"/>
              </w:rPr>
              <w:t>6</w:t>
            </w:r>
          </w:p>
        </w:tc>
      </w:tr>
      <w:tr>
        <w:trPr>
          <w:trHeight w:val="664" w:hRule="atLeast"/>
        </w:trPr>
        <w:tc>
          <w:tcPr>
            <w:tcW w:w="2204" w:type="dxa"/>
          </w:tcPr>
          <w:p>
            <w:pPr>
              <w:pStyle w:val="TableParagraph"/>
              <w:spacing w:line="240" w:lineRule="auto" w:before="211"/>
              <w:ind w:left="110"/>
              <w:jc w:val="left"/>
              <w:rPr>
                <w:sz w:val="24"/>
              </w:rPr>
            </w:pPr>
            <w:r>
              <w:rPr>
                <w:sz w:val="24"/>
              </w:rPr>
              <w:t>Brand</w:t>
            </w:r>
            <w:r>
              <w:rPr>
                <w:spacing w:val="-9"/>
                <w:sz w:val="24"/>
              </w:rPr>
              <w:t> </w:t>
            </w:r>
            <w:r>
              <w:rPr>
                <w:spacing w:val="-10"/>
                <w:sz w:val="24"/>
              </w:rPr>
              <w:t>2</w:t>
            </w:r>
          </w:p>
        </w:tc>
        <w:tc>
          <w:tcPr>
            <w:tcW w:w="2398" w:type="dxa"/>
          </w:tcPr>
          <w:p>
            <w:pPr>
              <w:pStyle w:val="TableParagraph"/>
              <w:spacing w:line="240" w:lineRule="auto" w:before="206"/>
              <w:ind w:left="301"/>
              <w:jc w:val="left"/>
              <w:rPr>
                <w:sz w:val="22"/>
              </w:rPr>
            </w:pPr>
            <w:r>
              <w:rPr>
                <w:spacing w:val="-5"/>
                <w:sz w:val="22"/>
              </w:rPr>
              <w:t>50</w:t>
            </w:r>
          </w:p>
        </w:tc>
        <w:tc>
          <w:tcPr>
            <w:tcW w:w="2295" w:type="dxa"/>
          </w:tcPr>
          <w:p>
            <w:pPr>
              <w:pStyle w:val="TableParagraph"/>
              <w:spacing w:line="240" w:lineRule="auto" w:before="206"/>
              <w:ind w:left="293"/>
              <w:jc w:val="left"/>
              <w:rPr>
                <w:sz w:val="22"/>
              </w:rPr>
            </w:pPr>
            <w:r>
              <w:rPr>
                <w:sz w:val="22"/>
              </w:rPr>
              <w:t>Plastic</w:t>
            </w:r>
            <w:r>
              <w:rPr>
                <w:spacing w:val="-2"/>
                <w:sz w:val="22"/>
              </w:rPr>
              <w:t> Packs</w:t>
            </w:r>
          </w:p>
        </w:tc>
        <w:tc>
          <w:tcPr>
            <w:tcW w:w="2686" w:type="dxa"/>
          </w:tcPr>
          <w:p>
            <w:pPr>
              <w:pStyle w:val="TableParagraph"/>
              <w:spacing w:line="240" w:lineRule="auto" w:before="211"/>
              <w:ind w:left="250"/>
              <w:jc w:val="left"/>
              <w:rPr>
                <w:sz w:val="24"/>
              </w:rPr>
            </w:pPr>
            <w:r>
              <w:rPr>
                <w:sz w:val="24"/>
              </w:rPr>
              <w:t>3.13</w:t>
            </w:r>
            <w:r>
              <w:rPr>
                <w:spacing w:val="-7"/>
                <w:sz w:val="24"/>
              </w:rPr>
              <w:t> </w:t>
            </w:r>
            <w:r>
              <w:rPr>
                <w:sz w:val="24"/>
              </w:rPr>
              <w:t>±</w:t>
            </w:r>
            <w:r>
              <w:rPr>
                <w:spacing w:val="-4"/>
                <w:sz w:val="24"/>
              </w:rPr>
              <w:t> </w:t>
            </w:r>
            <w:r>
              <w:rPr>
                <w:sz w:val="24"/>
              </w:rPr>
              <w:t>2.3</w:t>
            </w:r>
            <w:r>
              <w:rPr>
                <w:spacing w:val="-3"/>
                <w:sz w:val="24"/>
              </w:rPr>
              <w:t> </w:t>
            </w:r>
            <w:r>
              <w:rPr>
                <w:sz w:val="24"/>
              </w:rPr>
              <w:t>x</w:t>
            </w:r>
            <w:r>
              <w:rPr>
                <w:spacing w:val="-3"/>
                <w:sz w:val="24"/>
              </w:rPr>
              <w:t> </w:t>
            </w:r>
            <w:r>
              <w:rPr>
                <w:spacing w:val="-5"/>
                <w:sz w:val="24"/>
              </w:rPr>
              <w:t>10</w:t>
            </w:r>
            <w:r>
              <w:rPr>
                <w:spacing w:val="-5"/>
                <w:sz w:val="24"/>
                <w:vertAlign w:val="superscript"/>
              </w:rPr>
              <w:t>6</w:t>
            </w:r>
          </w:p>
        </w:tc>
      </w:tr>
      <w:tr>
        <w:trPr>
          <w:trHeight w:val="619" w:hRule="atLeast"/>
        </w:trPr>
        <w:tc>
          <w:tcPr>
            <w:tcW w:w="2204" w:type="dxa"/>
          </w:tcPr>
          <w:p>
            <w:pPr>
              <w:pStyle w:val="TableParagraph"/>
              <w:spacing w:line="240" w:lineRule="auto" w:before="165"/>
              <w:ind w:left="110"/>
              <w:jc w:val="left"/>
              <w:rPr>
                <w:sz w:val="24"/>
              </w:rPr>
            </w:pPr>
            <w:r>
              <w:rPr>
                <w:sz w:val="24"/>
              </w:rPr>
              <w:t>Brand</w:t>
            </w:r>
            <w:r>
              <w:rPr>
                <w:spacing w:val="-9"/>
                <w:sz w:val="24"/>
              </w:rPr>
              <w:t> </w:t>
            </w:r>
            <w:r>
              <w:rPr>
                <w:spacing w:val="-10"/>
                <w:sz w:val="24"/>
              </w:rPr>
              <w:t>3</w:t>
            </w:r>
          </w:p>
        </w:tc>
        <w:tc>
          <w:tcPr>
            <w:tcW w:w="2398" w:type="dxa"/>
          </w:tcPr>
          <w:p>
            <w:pPr>
              <w:pStyle w:val="TableParagraph"/>
              <w:spacing w:line="240" w:lineRule="auto" w:before="160"/>
              <w:ind w:left="301"/>
              <w:jc w:val="left"/>
              <w:rPr>
                <w:sz w:val="22"/>
              </w:rPr>
            </w:pPr>
            <w:r>
              <w:rPr>
                <w:spacing w:val="-5"/>
                <w:sz w:val="22"/>
              </w:rPr>
              <w:t>50</w:t>
            </w:r>
          </w:p>
        </w:tc>
        <w:tc>
          <w:tcPr>
            <w:tcW w:w="2295" w:type="dxa"/>
          </w:tcPr>
          <w:p>
            <w:pPr>
              <w:pStyle w:val="TableParagraph"/>
              <w:spacing w:line="240" w:lineRule="auto" w:before="160"/>
              <w:ind w:left="293"/>
              <w:jc w:val="left"/>
              <w:rPr>
                <w:sz w:val="22"/>
              </w:rPr>
            </w:pPr>
            <w:r>
              <w:rPr>
                <w:sz w:val="22"/>
              </w:rPr>
              <w:t>Paper</w:t>
            </w:r>
            <w:r>
              <w:rPr>
                <w:spacing w:val="-5"/>
                <w:sz w:val="22"/>
              </w:rPr>
              <w:t> </w:t>
            </w:r>
            <w:r>
              <w:rPr>
                <w:spacing w:val="-2"/>
                <w:sz w:val="22"/>
              </w:rPr>
              <w:t>Packs</w:t>
            </w:r>
          </w:p>
        </w:tc>
        <w:tc>
          <w:tcPr>
            <w:tcW w:w="2686" w:type="dxa"/>
          </w:tcPr>
          <w:p>
            <w:pPr>
              <w:pStyle w:val="TableParagraph"/>
              <w:spacing w:line="240" w:lineRule="auto" w:before="165"/>
              <w:ind w:left="250"/>
              <w:jc w:val="left"/>
              <w:rPr>
                <w:sz w:val="24"/>
              </w:rPr>
            </w:pPr>
            <w:r>
              <w:rPr>
                <w:sz w:val="24"/>
              </w:rPr>
              <w:t>1.26</w:t>
            </w:r>
            <w:r>
              <w:rPr>
                <w:spacing w:val="-7"/>
                <w:sz w:val="24"/>
              </w:rPr>
              <w:t> </w:t>
            </w:r>
            <w:r>
              <w:rPr>
                <w:sz w:val="24"/>
              </w:rPr>
              <w:t>±</w:t>
            </w:r>
            <w:r>
              <w:rPr>
                <w:spacing w:val="-4"/>
                <w:sz w:val="24"/>
              </w:rPr>
              <w:t> </w:t>
            </w:r>
            <w:r>
              <w:rPr>
                <w:sz w:val="24"/>
              </w:rPr>
              <w:t>0.5</w:t>
            </w:r>
            <w:r>
              <w:rPr>
                <w:spacing w:val="-3"/>
                <w:sz w:val="24"/>
              </w:rPr>
              <w:t> </w:t>
            </w:r>
            <w:r>
              <w:rPr>
                <w:sz w:val="24"/>
              </w:rPr>
              <w:t>x</w:t>
            </w:r>
            <w:r>
              <w:rPr>
                <w:spacing w:val="-3"/>
                <w:sz w:val="24"/>
              </w:rPr>
              <w:t> </w:t>
            </w:r>
            <w:r>
              <w:rPr>
                <w:spacing w:val="-5"/>
                <w:sz w:val="24"/>
              </w:rPr>
              <w:t>10</w:t>
            </w:r>
            <w:r>
              <w:rPr>
                <w:spacing w:val="-5"/>
                <w:sz w:val="24"/>
                <w:vertAlign w:val="superscript"/>
              </w:rPr>
              <w:t>6</w:t>
            </w:r>
          </w:p>
        </w:tc>
      </w:tr>
      <w:tr>
        <w:trPr>
          <w:trHeight w:val="873" w:hRule="atLeast"/>
        </w:trPr>
        <w:tc>
          <w:tcPr>
            <w:tcW w:w="2204" w:type="dxa"/>
            <w:tcBorders>
              <w:bottom w:val="single" w:sz="4" w:space="0" w:color="000000"/>
            </w:tcBorders>
          </w:tcPr>
          <w:p>
            <w:pPr>
              <w:pStyle w:val="TableParagraph"/>
              <w:spacing w:line="240" w:lineRule="auto" w:before="165"/>
              <w:ind w:left="110"/>
              <w:jc w:val="left"/>
              <w:rPr>
                <w:sz w:val="24"/>
              </w:rPr>
            </w:pPr>
            <w:r>
              <w:rPr>
                <w:sz w:val="24"/>
              </w:rPr>
              <w:t>Brand</w:t>
            </w:r>
            <w:r>
              <w:rPr>
                <w:spacing w:val="-9"/>
                <w:sz w:val="24"/>
              </w:rPr>
              <w:t> </w:t>
            </w:r>
            <w:r>
              <w:rPr>
                <w:spacing w:val="-10"/>
                <w:sz w:val="24"/>
              </w:rPr>
              <w:t>4</w:t>
            </w:r>
          </w:p>
        </w:tc>
        <w:tc>
          <w:tcPr>
            <w:tcW w:w="2398" w:type="dxa"/>
            <w:tcBorders>
              <w:bottom w:val="single" w:sz="4" w:space="0" w:color="000000"/>
            </w:tcBorders>
          </w:tcPr>
          <w:p>
            <w:pPr>
              <w:pStyle w:val="TableParagraph"/>
              <w:spacing w:line="240" w:lineRule="auto" w:before="160"/>
              <w:ind w:left="301"/>
              <w:jc w:val="left"/>
              <w:rPr>
                <w:sz w:val="22"/>
              </w:rPr>
            </w:pPr>
            <w:r>
              <w:rPr>
                <w:spacing w:val="-5"/>
                <w:sz w:val="22"/>
              </w:rPr>
              <w:t>50</w:t>
            </w:r>
          </w:p>
        </w:tc>
        <w:tc>
          <w:tcPr>
            <w:tcW w:w="2295" w:type="dxa"/>
            <w:tcBorders>
              <w:bottom w:val="single" w:sz="4" w:space="0" w:color="000000"/>
            </w:tcBorders>
          </w:tcPr>
          <w:p>
            <w:pPr>
              <w:pStyle w:val="TableParagraph"/>
              <w:spacing w:line="240" w:lineRule="auto" w:before="160"/>
              <w:ind w:left="293"/>
              <w:jc w:val="left"/>
              <w:rPr>
                <w:sz w:val="22"/>
              </w:rPr>
            </w:pPr>
            <w:r>
              <w:rPr>
                <w:sz w:val="22"/>
              </w:rPr>
              <w:t>Paper</w:t>
            </w:r>
            <w:r>
              <w:rPr>
                <w:spacing w:val="-5"/>
                <w:sz w:val="22"/>
              </w:rPr>
              <w:t> </w:t>
            </w:r>
            <w:r>
              <w:rPr>
                <w:spacing w:val="-2"/>
                <w:sz w:val="22"/>
              </w:rPr>
              <w:t>Packs</w:t>
            </w:r>
          </w:p>
        </w:tc>
        <w:tc>
          <w:tcPr>
            <w:tcW w:w="2686" w:type="dxa"/>
            <w:tcBorders>
              <w:bottom w:val="single" w:sz="4" w:space="0" w:color="000000"/>
            </w:tcBorders>
          </w:tcPr>
          <w:p>
            <w:pPr>
              <w:pStyle w:val="TableParagraph"/>
              <w:spacing w:line="240" w:lineRule="auto" w:before="165"/>
              <w:ind w:left="250"/>
              <w:jc w:val="left"/>
              <w:rPr>
                <w:sz w:val="24"/>
              </w:rPr>
            </w:pPr>
            <w:r>
              <w:rPr>
                <w:sz w:val="24"/>
              </w:rPr>
              <w:t>9.62</w:t>
            </w:r>
            <w:r>
              <w:rPr>
                <w:spacing w:val="-7"/>
                <w:sz w:val="24"/>
              </w:rPr>
              <w:t> </w:t>
            </w:r>
            <w:r>
              <w:rPr>
                <w:sz w:val="24"/>
              </w:rPr>
              <w:t>±</w:t>
            </w:r>
            <w:r>
              <w:rPr>
                <w:spacing w:val="-4"/>
                <w:sz w:val="24"/>
              </w:rPr>
              <w:t> </w:t>
            </w:r>
            <w:r>
              <w:rPr>
                <w:sz w:val="24"/>
              </w:rPr>
              <w:t>2.1</w:t>
            </w:r>
            <w:r>
              <w:rPr>
                <w:spacing w:val="-3"/>
                <w:sz w:val="24"/>
              </w:rPr>
              <w:t> </w:t>
            </w:r>
            <w:r>
              <w:rPr>
                <w:sz w:val="24"/>
              </w:rPr>
              <w:t>x</w:t>
            </w:r>
            <w:r>
              <w:rPr>
                <w:spacing w:val="-3"/>
                <w:sz w:val="24"/>
              </w:rPr>
              <w:t> </w:t>
            </w:r>
            <w:r>
              <w:rPr>
                <w:spacing w:val="-5"/>
                <w:sz w:val="24"/>
              </w:rPr>
              <w:t>10</w:t>
            </w:r>
            <w:r>
              <w:rPr>
                <w:spacing w:val="-5"/>
                <w:sz w:val="24"/>
                <w:vertAlign w:val="superscript"/>
              </w:rPr>
              <w:t>6</w:t>
            </w:r>
          </w:p>
        </w:tc>
      </w:tr>
      <w:tr>
        <w:trPr>
          <w:trHeight w:val="290" w:hRule="atLeast"/>
        </w:trPr>
        <w:tc>
          <w:tcPr>
            <w:tcW w:w="2204" w:type="dxa"/>
            <w:tcBorders>
              <w:top w:val="single" w:sz="4" w:space="0" w:color="000000"/>
            </w:tcBorders>
          </w:tcPr>
          <w:p>
            <w:pPr>
              <w:pStyle w:val="TableParagraph"/>
              <w:spacing w:line="269" w:lineRule="exact" w:before="1"/>
              <w:ind w:left="110"/>
              <w:jc w:val="left"/>
              <w:rPr>
                <w:b/>
                <w:sz w:val="24"/>
              </w:rPr>
            </w:pPr>
            <w:r>
              <w:rPr>
                <w:b/>
                <w:sz w:val="24"/>
              </w:rPr>
              <w:t>Mean</w:t>
            </w:r>
            <w:r>
              <w:rPr>
                <w:b/>
                <w:spacing w:val="-7"/>
                <w:sz w:val="24"/>
              </w:rPr>
              <w:t> </w:t>
            </w:r>
            <w:r>
              <w:rPr>
                <w:b/>
                <w:sz w:val="24"/>
              </w:rPr>
              <w:t>Total</w:t>
            </w:r>
            <w:r>
              <w:rPr>
                <w:b/>
                <w:spacing w:val="-7"/>
                <w:sz w:val="24"/>
              </w:rPr>
              <w:t> </w:t>
            </w:r>
            <w:r>
              <w:rPr>
                <w:b/>
                <w:spacing w:val="-2"/>
                <w:sz w:val="24"/>
              </w:rPr>
              <w:t>Count</w:t>
            </w:r>
          </w:p>
        </w:tc>
        <w:tc>
          <w:tcPr>
            <w:tcW w:w="2398" w:type="dxa"/>
            <w:tcBorders>
              <w:top w:val="single" w:sz="4" w:space="0" w:color="000000"/>
            </w:tcBorders>
          </w:tcPr>
          <w:p>
            <w:pPr>
              <w:pStyle w:val="TableParagraph"/>
              <w:spacing w:line="240" w:lineRule="auto"/>
              <w:jc w:val="left"/>
              <w:rPr>
                <w:rFonts w:ascii="Times New Roman"/>
                <w:sz w:val="20"/>
              </w:rPr>
            </w:pPr>
          </w:p>
        </w:tc>
        <w:tc>
          <w:tcPr>
            <w:tcW w:w="2295" w:type="dxa"/>
            <w:tcBorders>
              <w:top w:val="single" w:sz="4" w:space="0" w:color="000000"/>
            </w:tcBorders>
          </w:tcPr>
          <w:p>
            <w:pPr>
              <w:pStyle w:val="TableParagraph"/>
              <w:spacing w:line="240" w:lineRule="auto"/>
              <w:jc w:val="left"/>
              <w:rPr>
                <w:rFonts w:ascii="Times New Roman"/>
                <w:sz w:val="20"/>
              </w:rPr>
            </w:pPr>
          </w:p>
        </w:tc>
        <w:tc>
          <w:tcPr>
            <w:tcW w:w="2686" w:type="dxa"/>
            <w:tcBorders>
              <w:top w:val="single" w:sz="4" w:space="0" w:color="000000"/>
            </w:tcBorders>
          </w:tcPr>
          <w:p>
            <w:pPr>
              <w:pStyle w:val="TableParagraph"/>
              <w:spacing w:line="269" w:lineRule="exact" w:before="1"/>
              <w:ind w:left="250"/>
              <w:jc w:val="left"/>
              <w:rPr>
                <w:sz w:val="24"/>
              </w:rPr>
            </w:pPr>
            <w:r>
              <w:rPr>
                <w:sz w:val="24"/>
              </w:rPr>
              <w:t>4.40</w:t>
            </w:r>
            <w:r>
              <w:rPr>
                <w:spacing w:val="-7"/>
                <w:sz w:val="24"/>
              </w:rPr>
              <w:t> </w:t>
            </w:r>
            <w:r>
              <w:rPr>
                <w:sz w:val="24"/>
              </w:rPr>
              <w:t>±</w:t>
            </w:r>
            <w:r>
              <w:rPr>
                <w:spacing w:val="-4"/>
                <w:sz w:val="24"/>
              </w:rPr>
              <w:t> </w:t>
            </w:r>
            <w:r>
              <w:rPr>
                <w:sz w:val="24"/>
              </w:rPr>
              <w:t>3.6</w:t>
            </w:r>
            <w:r>
              <w:rPr>
                <w:spacing w:val="-3"/>
                <w:sz w:val="24"/>
              </w:rPr>
              <w:t> </w:t>
            </w:r>
            <w:r>
              <w:rPr>
                <w:sz w:val="24"/>
              </w:rPr>
              <w:t>x</w:t>
            </w:r>
            <w:r>
              <w:rPr>
                <w:spacing w:val="-3"/>
                <w:sz w:val="24"/>
              </w:rPr>
              <w:t> </w:t>
            </w:r>
            <w:r>
              <w:rPr>
                <w:spacing w:val="-5"/>
                <w:sz w:val="24"/>
              </w:rPr>
              <w:t>10</w:t>
            </w:r>
            <w:r>
              <w:rPr>
                <w:spacing w:val="-5"/>
                <w:sz w:val="24"/>
                <w:vertAlign w:val="superscript"/>
              </w:rPr>
              <w:t>6</w:t>
            </w:r>
          </w:p>
        </w:tc>
      </w:tr>
    </w:tbl>
    <w:p>
      <w:pPr>
        <w:pStyle w:val="BodyText"/>
        <w:spacing w:before="241"/>
        <w:rPr>
          <w:b/>
          <w:sz w:val="20"/>
        </w:rPr>
      </w:pPr>
      <w:r>
        <w:rPr/>
        <mc:AlternateContent>
          <mc:Choice Requires="wps">
            <w:drawing>
              <wp:anchor distT="0" distB="0" distL="0" distR="0" allowOverlap="1" layoutInCell="1" locked="0" behindDoc="1" simplePos="0" relativeHeight="487595520">
                <wp:simplePos x="0" y="0"/>
                <wp:positionH relativeFrom="page">
                  <wp:posOffset>835152</wp:posOffset>
                </wp:positionH>
                <wp:positionV relativeFrom="paragraph">
                  <wp:posOffset>323304</wp:posOffset>
                </wp:positionV>
                <wp:extent cx="6093460"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25.45701pt;width:479.760023pt;height:.48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0"/>
        <w:rPr>
          <w:b/>
        </w:rPr>
      </w:pPr>
    </w:p>
    <w:p>
      <w:pPr>
        <w:spacing w:before="0"/>
        <w:ind w:left="920" w:right="0" w:firstLine="0"/>
        <w:jc w:val="left"/>
        <w:rPr>
          <w:b/>
          <w:sz w:val="22"/>
        </w:rPr>
      </w:pPr>
      <w:r>
        <w:rPr>
          <w:b/>
          <w:sz w:val="22"/>
        </w:rPr>
        <w:t>Table</w:t>
      </w:r>
      <w:r>
        <w:rPr>
          <w:b/>
          <w:spacing w:val="-7"/>
          <w:sz w:val="22"/>
        </w:rPr>
        <w:t> </w:t>
      </w:r>
      <w:r>
        <w:rPr>
          <w:b/>
          <w:sz w:val="22"/>
        </w:rPr>
        <w:t>4.2:</w:t>
      </w:r>
      <w:r>
        <w:rPr>
          <w:b/>
          <w:spacing w:val="-3"/>
          <w:sz w:val="22"/>
        </w:rPr>
        <w:t> </w:t>
      </w:r>
      <w:r>
        <w:rPr>
          <w:b/>
          <w:sz w:val="22"/>
        </w:rPr>
        <w:t>Mean</w:t>
      </w:r>
      <w:r>
        <w:rPr>
          <w:b/>
          <w:spacing w:val="-3"/>
          <w:sz w:val="22"/>
        </w:rPr>
        <w:t> </w:t>
      </w:r>
      <w:r>
        <w:rPr>
          <w:b/>
          <w:sz w:val="22"/>
        </w:rPr>
        <w:t>Count</w:t>
      </w:r>
      <w:r>
        <w:rPr>
          <w:b/>
          <w:spacing w:val="-2"/>
          <w:sz w:val="22"/>
        </w:rPr>
        <w:t> </w:t>
      </w:r>
      <w:r>
        <w:rPr>
          <w:b/>
          <w:sz w:val="22"/>
        </w:rPr>
        <w:t>(Cfu/ml)</w:t>
      </w:r>
      <w:r>
        <w:rPr>
          <w:b/>
          <w:spacing w:val="-5"/>
          <w:sz w:val="22"/>
        </w:rPr>
        <w:t> </w:t>
      </w:r>
      <w:r>
        <w:rPr>
          <w:b/>
          <w:sz w:val="22"/>
        </w:rPr>
        <w:t>of</w:t>
      </w:r>
      <w:r>
        <w:rPr>
          <w:b/>
          <w:spacing w:val="-2"/>
          <w:sz w:val="22"/>
        </w:rPr>
        <w:t> </w:t>
      </w:r>
      <w:r>
        <w:rPr>
          <w:b/>
          <w:sz w:val="22"/>
        </w:rPr>
        <w:t>Brands</w:t>
      </w:r>
      <w:r>
        <w:rPr>
          <w:b/>
          <w:spacing w:val="-5"/>
          <w:sz w:val="22"/>
        </w:rPr>
        <w:t> </w:t>
      </w:r>
      <w:r>
        <w:rPr>
          <w:b/>
          <w:sz w:val="22"/>
        </w:rPr>
        <w:t>of</w:t>
      </w:r>
      <w:r>
        <w:rPr>
          <w:b/>
          <w:spacing w:val="-1"/>
          <w:sz w:val="22"/>
        </w:rPr>
        <w:t> </w:t>
      </w:r>
      <w:r>
        <w:rPr>
          <w:b/>
          <w:sz w:val="22"/>
        </w:rPr>
        <w:t>Packaged</w:t>
      </w:r>
      <w:r>
        <w:rPr>
          <w:b/>
          <w:spacing w:val="-3"/>
          <w:sz w:val="22"/>
        </w:rPr>
        <w:t> </w:t>
      </w:r>
      <w:r>
        <w:rPr>
          <w:b/>
          <w:sz w:val="22"/>
        </w:rPr>
        <w:t>Milk</w:t>
      </w:r>
      <w:r>
        <w:rPr>
          <w:b/>
          <w:spacing w:val="-4"/>
          <w:sz w:val="22"/>
        </w:rPr>
        <w:t> </w:t>
      </w:r>
      <w:r>
        <w:rPr>
          <w:b/>
          <w:sz w:val="22"/>
        </w:rPr>
        <w:t>based</w:t>
      </w:r>
      <w:r>
        <w:rPr>
          <w:b/>
          <w:spacing w:val="-3"/>
          <w:sz w:val="22"/>
        </w:rPr>
        <w:t> </w:t>
      </w:r>
      <w:r>
        <w:rPr>
          <w:b/>
          <w:sz w:val="22"/>
        </w:rPr>
        <w:t>on</w:t>
      </w:r>
      <w:r>
        <w:rPr>
          <w:b/>
          <w:spacing w:val="-2"/>
          <w:sz w:val="22"/>
        </w:rPr>
        <w:t> Location</w:t>
      </w:r>
    </w:p>
    <w:p>
      <w:pPr>
        <w:pStyle w:val="BodyText"/>
        <w:spacing w:before="230"/>
        <w:rPr>
          <w:b/>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4"/>
        <w:gridCol w:w="1878"/>
        <w:gridCol w:w="1774"/>
        <w:gridCol w:w="1683"/>
        <w:gridCol w:w="1724"/>
        <w:gridCol w:w="1648"/>
      </w:tblGrid>
      <w:tr>
        <w:trPr>
          <w:trHeight w:val="590" w:hRule="atLeast"/>
        </w:trPr>
        <w:tc>
          <w:tcPr>
            <w:tcW w:w="1134" w:type="dxa"/>
            <w:tcBorders>
              <w:top w:val="single" w:sz="4" w:space="0" w:color="000000"/>
              <w:bottom w:val="single" w:sz="4" w:space="0" w:color="000000"/>
            </w:tcBorders>
          </w:tcPr>
          <w:p>
            <w:pPr>
              <w:pStyle w:val="TableParagraph"/>
              <w:spacing w:line="240" w:lineRule="auto" w:before="1"/>
              <w:ind w:left="117"/>
              <w:jc w:val="left"/>
              <w:rPr>
                <w:b/>
                <w:sz w:val="24"/>
              </w:rPr>
            </w:pPr>
            <w:r>
              <w:rPr>
                <w:b/>
                <w:spacing w:val="-2"/>
                <w:sz w:val="24"/>
              </w:rPr>
              <w:t>Brands</w:t>
            </w:r>
          </w:p>
        </w:tc>
        <w:tc>
          <w:tcPr>
            <w:tcW w:w="1878" w:type="dxa"/>
            <w:tcBorders>
              <w:top w:val="single" w:sz="4" w:space="0" w:color="000000"/>
              <w:bottom w:val="single" w:sz="4" w:space="0" w:color="000000"/>
            </w:tcBorders>
          </w:tcPr>
          <w:p>
            <w:pPr>
              <w:pStyle w:val="TableParagraph"/>
              <w:spacing w:line="240" w:lineRule="auto" w:before="1"/>
              <w:ind w:left="260"/>
              <w:jc w:val="left"/>
              <w:rPr>
                <w:b/>
                <w:sz w:val="24"/>
              </w:rPr>
            </w:pPr>
            <w:r>
              <w:rPr>
                <w:b/>
                <w:spacing w:val="-2"/>
                <w:sz w:val="24"/>
              </w:rPr>
              <w:t>Samaru</w:t>
            </w:r>
          </w:p>
        </w:tc>
        <w:tc>
          <w:tcPr>
            <w:tcW w:w="1774" w:type="dxa"/>
            <w:tcBorders>
              <w:top w:val="single" w:sz="4" w:space="0" w:color="000000"/>
              <w:bottom w:val="single" w:sz="4" w:space="0" w:color="000000"/>
            </w:tcBorders>
          </w:tcPr>
          <w:p>
            <w:pPr>
              <w:pStyle w:val="TableParagraph"/>
              <w:spacing w:line="240" w:lineRule="auto" w:before="1"/>
              <w:ind w:left="182"/>
              <w:jc w:val="left"/>
              <w:rPr>
                <w:b/>
                <w:sz w:val="24"/>
              </w:rPr>
            </w:pPr>
            <w:r>
              <w:rPr>
                <w:b/>
                <w:spacing w:val="-2"/>
                <w:sz w:val="24"/>
              </w:rPr>
              <w:t>Sabo-</w:t>
            </w:r>
            <w:r>
              <w:rPr>
                <w:b/>
                <w:spacing w:val="-4"/>
                <w:sz w:val="24"/>
              </w:rPr>
              <w:t>Gari</w:t>
            </w:r>
          </w:p>
        </w:tc>
        <w:tc>
          <w:tcPr>
            <w:tcW w:w="1683" w:type="dxa"/>
            <w:tcBorders>
              <w:top w:val="single" w:sz="4" w:space="0" w:color="000000"/>
              <w:bottom w:val="single" w:sz="4" w:space="0" w:color="000000"/>
            </w:tcBorders>
          </w:tcPr>
          <w:p>
            <w:pPr>
              <w:pStyle w:val="TableParagraph"/>
              <w:spacing w:line="240" w:lineRule="auto" w:before="1"/>
              <w:ind w:left="208"/>
              <w:jc w:val="left"/>
              <w:rPr>
                <w:b/>
                <w:sz w:val="24"/>
              </w:rPr>
            </w:pPr>
            <w:r>
              <w:rPr>
                <w:b/>
                <w:sz w:val="24"/>
              </w:rPr>
              <w:t>Tudun</w:t>
            </w:r>
            <w:r>
              <w:rPr>
                <w:b/>
                <w:spacing w:val="-4"/>
                <w:sz w:val="24"/>
              </w:rPr>
              <w:t> Wada</w:t>
            </w:r>
          </w:p>
        </w:tc>
        <w:tc>
          <w:tcPr>
            <w:tcW w:w="1724" w:type="dxa"/>
            <w:tcBorders>
              <w:top w:val="single" w:sz="4" w:space="0" w:color="000000"/>
              <w:bottom w:val="single" w:sz="4" w:space="0" w:color="000000"/>
            </w:tcBorders>
          </w:tcPr>
          <w:p>
            <w:pPr>
              <w:pStyle w:val="TableParagraph"/>
              <w:spacing w:line="240" w:lineRule="auto" w:before="1"/>
              <w:ind w:left="147"/>
              <w:jc w:val="left"/>
              <w:rPr>
                <w:b/>
                <w:sz w:val="24"/>
              </w:rPr>
            </w:pPr>
            <w:r>
              <w:rPr>
                <w:b/>
                <w:spacing w:val="-2"/>
                <w:sz w:val="24"/>
              </w:rPr>
              <w:t>Wuzaza</w:t>
            </w:r>
          </w:p>
        </w:tc>
        <w:tc>
          <w:tcPr>
            <w:tcW w:w="1648" w:type="dxa"/>
            <w:tcBorders>
              <w:top w:val="single" w:sz="4" w:space="0" w:color="000000"/>
              <w:bottom w:val="single" w:sz="4" w:space="0" w:color="000000"/>
            </w:tcBorders>
          </w:tcPr>
          <w:p>
            <w:pPr>
              <w:pStyle w:val="TableParagraph"/>
              <w:spacing w:line="240" w:lineRule="auto" w:before="1"/>
              <w:ind w:left="137"/>
              <w:jc w:val="left"/>
              <w:rPr>
                <w:b/>
                <w:sz w:val="24"/>
              </w:rPr>
            </w:pPr>
            <w:r>
              <w:rPr>
                <w:b/>
                <w:sz w:val="24"/>
              </w:rPr>
              <w:t>Zaria</w:t>
            </w:r>
            <w:r>
              <w:rPr>
                <w:b/>
                <w:spacing w:val="-5"/>
                <w:sz w:val="24"/>
              </w:rPr>
              <w:t> </w:t>
            </w:r>
            <w:r>
              <w:rPr>
                <w:b/>
                <w:spacing w:val="-4"/>
                <w:sz w:val="24"/>
              </w:rPr>
              <w:t>City</w:t>
            </w:r>
          </w:p>
        </w:tc>
      </w:tr>
      <w:tr>
        <w:trPr>
          <w:trHeight w:val="438" w:hRule="atLeast"/>
        </w:trPr>
        <w:tc>
          <w:tcPr>
            <w:tcW w:w="1134" w:type="dxa"/>
            <w:tcBorders>
              <w:top w:val="single" w:sz="4" w:space="0" w:color="000000"/>
            </w:tcBorders>
          </w:tcPr>
          <w:p>
            <w:pPr>
              <w:pStyle w:val="TableParagraph"/>
              <w:spacing w:line="240" w:lineRule="auto" w:before="1"/>
              <w:ind w:left="117"/>
              <w:jc w:val="left"/>
              <w:rPr>
                <w:sz w:val="24"/>
              </w:rPr>
            </w:pPr>
            <w:r>
              <w:rPr>
                <w:sz w:val="24"/>
              </w:rPr>
              <w:t>Brand</w:t>
            </w:r>
            <w:r>
              <w:rPr>
                <w:spacing w:val="-9"/>
                <w:sz w:val="24"/>
              </w:rPr>
              <w:t> </w:t>
            </w:r>
            <w:r>
              <w:rPr>
                <w:spacing w:val="-10"/>
                <w:sz w:val="24"/>
              </w:rPr>
              <w:t>1</w:t>
            </w:r>
          </w:p>
        </w:tc>
        <w:tc>
          <w:tcPr>
            <w:tcW w:w="1878" w:type="dxa"/>
            <w:tcBorders>
              <w:top w:val="single" w:sz="4" w:space="0" w:color="000000"/>
            </w:tcBorders>
          </w:tcPr>
          <w:p>
            <w:pPr>
              <w:pStyle w:val="TableParagraph"/>
              <w:spacing w:line="240" w:lineRule="auto" w:before="1"/>
              <w:ind w:left="260"/>
              <w:jc w:val="left"/>
              <w:rPr>
                <w:sz w:val="24"/>
              </w:rPr>
            </w:pPr>
            <w:r>
              <w:rPr>
                <w:sz w:val="24"/>
              </w:rPr>
              <w:t>5.49</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74" w:type="dxa"/>
            <w:tcBorders>
              <w:top w:val="single" w:sz="4" w:space="0" w:color="000000"/>
            </w:tcBorders>
          </w:tcPr>
          <w:p>
            <w:pPr>
              <w:pStyle w:val="TableParagraph"/>
              <w:spacing w:line="240" w:lineRule="auto" w:before="1"/>
              <w:ind w:left="182"/>
              <w:jc w:val="left"/>
              <w:rPr>
                <w:sz w:val="24"/>
              </w:rPr>
            </w:pPr>
            <w:r>
              <w:rPr>
                <w:sz w:val="24"/>
              </w:rPr>
              <w:t>5.56</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83" w:type="dxa"/>
            <w:tcBorders>
              <w:top w:val="single" w:sz="4" w:space="0" w:color="000000"/>
            </w:tcBorders>
          </w:tcPr>
          <w:p>
            <w:pPr>
              <w:pStyle w:val="TableParagraph"/>
              <w:spacing w:line="240" w:lineRule="auto" w:before="1"/>
              <w:ind w:left="208"/>
              <w:jc w:val="left"/>
              <w:rPr>
                <w:sz w:val="24"/>
              </w:rPr>
            </w:pPr>
            <w:r>
              <w:rPr>
                <w:sz w:val="24"/>
              </w:rPr>
              <w:t>2.67</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24" w:type="dxa"/>
            <w:tcBorders>
              <w:top w:val="single" w:sz="4" w:space="0" w:color="000000"/>
            </w:tcBorders>
          </w:tcPr>
          <w:p>
            <w:pPr>
              <w:pStyle w:val="TableParagraph"/>
              <w:spacing w:line="240" w:lineRule="auto" w:before="1"/>
              <w:ind w:left="147"/>
              <w:jc w:val="left"/>
              <w:rPr>
                <w:sz w:val="24"/>
              </w:rPr>
            </w:pPr>
            <w:r>
              <w:rPr>
                <w:sz w:val="24"/>
              </w:rPr>
              <w:t>2.67</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48" w:type="dxa"/>
            <w:tcBorders>
              <w:top w:val="single" w:sz="4" w:space="0" w:color="000000"/>
            </w:tcBorders>
          </w:tcPr>
          <w:p>
            <w:pPr>
              <w:pStyle w:val="TableParagraph"/>
              <w:spacing w:line="240" w:lineRule="auto" w:before="1"/>
              <w:ind w:left="137"/>
              <w:jc w:val="left"/>
              <w:rPr>
                <w:sz w:val="24"/>
              </w:rPr>
            </w:pPr>
            <w:r>
              <w:rPr>
                <w:sz w:val="24"/>
              </w:rPr>
              <w:t>1.48</w:t>
            </w:r>
            <w:r>
              <w:rPr>
                <w:spacing w:val="-8"/>
                <w:sz w:val="24"/>
              </w:rPr>
              <w:t> </w:t>
            </w:r>
            <w:r>
              <w:rPr>
                <w:sz w:val="24"/>
              </w:rPr>
              <w:t>x</w:t>
            </w:r>
            <w:r>
              <w:rPr>
                <w:spacing w:val="-4"/>
                <w:sz w:val="24"/>
              </w:rPr>
              <w:t> </w:t>
            </w:r>
            <w:r>
              <w:rPr>
                <w:spacing w:val="-5"/>
                <w:sz w:val="24"/>
              </w:rPr>
              <w:t>10</w:t>
            </w:r>
            <w:r>
              <w:rPr>
                <w:spacing w:val="-5"/>
                <w:sz w:val="24"/>
                <w:vertAlign w:val="superscript"/>
              </w:rPr>
              <w:t>6</w:t>
            </w:r>
          </w:p>
        </w:tc>
      </w:tr>
      <w:tr>
        <w:trPr>
          <w:trHeight w:val="585" w:hRule="atLeast"/>
        </w:trPr>
        <w:tc>
          <w:tcPr>
            <w:tcW w:w="1134" w:type="dxa"/>
          </w:tcPr>
          <w:p>
            <w:pPr>
              <w:pStyle w:val="TableParagraph"/>
              <w:spacing w:line="240" w:lineRule="auto" w:before="149"/>
              <w:ind w:left="117"/>
              <w:jc w:val="left"/>
              <w:rPr>
                <w:sz w:val="24"/>
              </w:rPr>
            </w:pPr>
            <w:r>
              <w:rPr>
                <w:sz w:val="24"/>
              </w:rPr>
              <w:t>Brand</w:t>
            </w:r>
            <w:r>
              <w:rPr>
                <w:spacing w:val="-9"/>
                <w:sz w:val="24"/>
              </w:rPr>
              <w:t> </w:t>
            </w:r>
            <w:r>
              <w:rPr>
                <w:spacing w:val="-10"/>
                <w:sz w:val="24"/>
              </w:rPr>
              <w:t>2</w:t>
            </w:r>
          </w:p>
        </w:tc>
        <w:tc>
          <w:tcPr>
            <w:tcW w:w="1878" w:type="dxa"/>
          </w:tcPr>
          <w:p>
            <w:pPr>
              <w:pStyle w:val="TableParagraph"/>
              <w:spacing w:line="240" w:lineRule="auto" w:before="149"/>
              <w:ind w:left="260"/>
              <w:jc w:val="left"/>
              <w:rPr>
                <w:sz w:val="24"/>
              </w:rPr>
            </w:pPr>
            <w:r>
              <w:rPr>
                <w:sz w:val="24"/>
              </w:rPr>
              <w:t>4.43</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74" w:type="dxa"/>
          </w:tcPr>
          <w:p>
            <w:pPr>
              <w:pStyle w:val="TableParagraph"/>
              <w:spacing w:line="240" w:lineRule="auto" w:before="149"/>
              <w:ind w:left="182"/>
              <w:jc w:val="left"/>
              <w:rPr>
                <w:sz w:val="24"/>
              </w:rPr>
            </w:pPr>
            <w:r>
              <w:rPr>
                <w:sz w:val="24"/>
              </w:rPr>
              <w:t>2.78</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83" w:type="dxa"/>
          </w:tcPr>
          <w:p>
            <w:pPr>
              <w:pStyle w:val="TableParagraph"/>
              <w:spacing w:line="240" w:lineRule="auto" w:before="149"/>
              <w:ind w:left="208"/>
              <w:jc w:val="left"/>
              <w:rPr>
                <w:sz w:val="24"/>
              </w:rPr>
            </w:pPr>
            <w:r>
              <w:rPr>
                <w:sz w:val="24"/>
              </w:rPr>
              <w:t>6.40</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24" w:type="dxa"/>
          </w:tcPr>
          <w:p>
            <w:pPr>
              <w:pStyle w:val="TableParagraph"/>
              <w:spacing w:line="240" w:lineRule="auto" w:before="149"/>
              <w:ind w:left="147"/>
              <w:jc w:val="left"/>
              <w:rPr>
                <w:sz w:val="24"/>
              </w:rPr>
            </w:pPr>
            <w:r>
              <w:rPr>
                <w:sz w:val="24"/>
              </w:rPr>
              <w:t>1.38</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48" w:type="dxa"/>
          </w:tcPr>
          <w:p>
            <w:pPr>
              <w:pStyle w:val="TableParagraph"/>
              <w:spacing w:line="240" w:lineRule="auto" w:before="149"/>
              <w:ind w:left="137"/>
              <w:jc w:val="left"/>
              <w:rPr>
                <w:sz w:val="24"/>
              </w:rPr>
            </w:pPr>
            <w:r>
              <w:rPr>
                <w:sz w:val="24"/>
              </w:rPr>
              <w:t>0.68</w:t>
            </w:r>
            <w:r>
              <w:rPr>
                <w:spacing w:val="-8"/>
                <w:sz w:val="24"/>
              </w:rPr>
              <w:t> </w:t>
            </w:r>
            <w:r>
              <w:rPr>
                <w:sz w:val="24"/>
              </w:rPr>
              <w:t>x</w:t>
            </w:r>
            <w:r>
              <w:rPr>
                <w:spacing w:val="-4"/>
                <w:sz w:val="24"/>
              </w:rPr>
              <w:t> </w:t>
            </w:r>
            <w:r>
              <w:rPr>
                <w:spacing w:val="-5"/>
                <w:sz w:val="24"/>
              </w:rPr>
              <w:t>10</w:t>
            </w:r>
            <w:r>
              <w:rPr>
                <w:spacing w:val="-5"/>
                <w:sz w:val="24"/>
                <w:vertAlign w:val="superscript"/>
              </w:rPr>
              <w:t>6</w:t>
            </w:r>
          </w:p>
        </w:tc>
      </w:tr>
      <w:tr>
        <w:trPr>
          <w:trHeight w:val="585" w:hRule="atLeast"/>
        </w:trPr>
        <w:tc>
          <w:tcPr>
            <w:tcW w:w="1134" w:type="dxa"/>
          </w:tcPr>
          <w:p>
            <w:pPr>
              <w:pStyle w:val="TableParagraph"/>
              <w:spacing w:line="240" w:lineRule="auto" w:before="149"/>
              <w:ind w:left="117"/>
              <w:jc w:val="left"/>
              <w:rPr>
                <w:sz w:val="24"/>
              </w:rPr>
            </w:pPr>
            <w:r>
              <w:rPr>
                <w:sz w:val="24"/>
              </w:rPr>
              <w:t>Brand</w:t>
            </w:r>
            <w:r>
              <w:rPr>
                <w:spacing w:val="-9"/>
                <w:sz w:val="24"/>
              </w:rPr>
              <w:t> </w:t>
            </w:r>
            <w:r>
              <w:rPr>
                <w:spacing w:val="-10"/>
                <w:sz w:val="24"/>
              </w:rPr>
              <w:t>3</w:t>
            </w:r>
          </w:p>
        </w:tc>
        <w:tc>
          <w:tcPr>
            <w:tcW w:w="1878" w:type="dxa"/>
          </w:tcPr>
          <w:p>
            <w:pPr>
              <w:pStyle w:val="TableParagraph"/>
              <w:spacing w:line="240" w:lineRule="auto" w:before="149"/>
              <w:ind w:left="260"/>
              <w:jc w:val="left"/>
              <w:rPr>
                <w:sz w:val="24"/>
              </w:rPr>
            </w:pPr>
            <w:r>
              <w:rPr>
                <w:sz w:val="24"/>
              </w:rPr>
              <w:t>2.28</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74" w:type="dxa"/>
          </w:tcPr>
          <w:p>
            <w:pPr>
              <w:pStyle w:val="TableParagraph"/>
              <w:spacing w:line="240" w:lineRule="auto" w:before="149"/>
              <w:ind w:left="182"/>
              <w:jc w:val="left"/>
              <w:rPr>
                <w:sz w:val="24"/>
              </w:rPr>
            </w:pPr>
            <w:r>
              <w:rPr>
                <w:sz w:val="24"/>
              </w:rPr>
              <w:t>0.82</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83" w:type="dxa"/>
          </w:tcPr>
          <w:p>
            <w:pPr>
              <w:pStyle w:val="TableParagraph"/>
              <w:spacing w:line="240" w:lineRule="auto" w:before="149"/>
              <w:ind w:left="208"/>
              <w:jc w:val="left"/>
              <w:rPr>
                <w:sz w:val="24"/>
              </w:rPr>
            </w:pPr>
            <w:r>
              <w:rPr>
                <w:sz w:val="24"/>
              </w:rPr>
              <w:t>1.03</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24" w:type="dxa"/>
          </w:tcPr>
          <w:p>
            <w:pPr>
              <w:pStyle w:val="TableParagraph"/>
              <w:spacing w:line="240" w:lineRule="auto" w:before="149"/>
              <w:ind w:left="147"/>
              <w:jc w:val="left"/>
              <w:rPr>
                <w:sz w:val="24"/>
              </w:rPr>
            </w:pPr>
            <w:r>
              <w:rPr>
                <w:sz w:val="24"/>
              </w:rPr>
              <w:t>1.18</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48" w:type="dxa"/>
          </w:tcPr>
          <w:p>
            <w:pPr>
              <w:pStyle w:val="TableParagraph"/>
              <w:spacing w:line="240" w:lineRule="auto" w:before="149"/>
              <w:ind w:left="137"/>
              <w:jc w:val="left"/>
              <w:rPr>
                <w:sz w:val="24"/>
              </w:rPr>
            </w:pPr>
            <w:r>
              <w:rPr>
                <w:sz w:val="24"/>
              </w:rPr>
              <w:t>1.00</w:t>
            </w:r>
            <w:r>
              <w:rPr>
                <w:spacing w:val="-8"/>
                <w:sz w:val="24"/>
              </w:rPr>
              <w:t> </w:t>
            </w:r>
            <w:r>
              <w:rPr>
                <w:sz w:val="24"/>
              </w:rPr>
              <w:t>x</w:t>
            </w:r>
            <w:r>
              <w:rPr>
                <w:spacing w:val="-4"/>
                <w:sz w:val="24"/>
              </w:rPr>
              <w:t> </w:t>
            </w:r>
            <w:r>
              <w:rPr>
                <w:spacing w:val="-5"/>
                <w:sz w:val="24"/>
              </w:rPr>
              <w:t>10</w:t>
            </w:r>
            <w:r>
              <w:rPr>
                <w:spacing w:val="-5"/>
                <w:sz w:val="24"/>
                <w:vertAlign w:val="superscript"/>
              </w:rPr>
              <w:t>6</w:t>
            </w:r>
          </w:p>
        </w:tc>
      </w:tr>
      <w:tr>
        <w:trPr>
          <w:trHeight w:val="732" w:hRule="atLeast"/>
        </w:trPr>
        <w:tc>
          <w:tcPr>
            <w:tcW w:w="1134" w:type="dxa"/>
            <w:tcBorders>
              <w:bottom w:val="single" w:sz="4" w:space="0" w:color="000000"/>
            </w:tcBorders>
          </w:tcPr>
          <w:p>
            <w:pPr>
              <w:pStyle w:val="TableParagraph"/>
              <w:spacing w:line="240" w:lineRule="auto" w:before="149"/>
              <w:ind w:left="117"/>
              <w:jc w:val="left"/>
              <w:rPr>
                <w:sz w:val="24"/>
              </w:rPr>
            </w:pPr>
            <w:r>
              <w:rPr>
                <w:sz w:val="24"/>
              </w:rPr>
              <w:t>Brand</w:t>
            </w:r>
            <w:r>
              <w:rPr>
                <w:spacing w:val="-9"/>
                <w:sz w:val="24"/>
              </w:rPr>
              <w:t> </w:t>
            </w:r>
            <w:r>
              <w:rPr>
                <w:spacing w:val="-10"/>
                <w:sz w:val="24"/>
              </w:rPr>
              <w:t>4</w:t>
            </w:r>
          </w:p>
        </w:tc>
        <w:tc>
          <w:tcPr>
            <w:tcW w:w="1878" w:type="dxa"/>
            <w:tcBorders>
              <w:bottom w:val="single" w:sz="4" w:space="0" w:color="000000"/>
            </w:tcBorders>
          </w:tcPr>
          <w:p>
            <w:pPr>
              <w:pStyle w:val="TableParagraph"/>
              <w:spacing w:line="240" w:lineRule="auto" w:before="149"/>
              <w:ind w:left="260"/>
              <w:jc w:val="left"/>
              <w:rPr>
                <w:sz w:val="24"/>
              </w:rPr>
            </w:pPr>
            <w:r>
              <w:rPr>
                <w:sz w:val="24"/>
              </w:rPr>
              <w:t>11.7</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74" w:type="dxa"/>
            <w:tcBorders>
              <w:bottom w:val="single" w:sz="4" w:space="0" w:color="000000"/>
            </w:tcBorders>
          </w:tcPr>
          <w:p>
            <w:pPr>
              <w:pStyle w:val="TableParagraph"/>
              <w:spacing w:line="240" w:lineRule="auto" w:before="149"/>
              <w:ind w:left="182"/>
              <w:jc w:val="left"/>
              <w:rPr>
                <w:sz w:val="24"/>
              </w:rPr>
            </w:pPr>
            <w:r>
              <w:rPr>
                <w:sz w:val="24"/>
              </w:rPr>
              <w:t>6.77</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83" w:type="dxa"/>
            <w:tcBorders>
              <w:bottom w:val="single" w:sz="4" w:space="0" w:color="000000"/>
            </w:tcBorders>
          </w:tcPr>
          <w:p>
            <w:pPr>
              <w:pStyle w:val="TableParagraph"/>
              <w:spacing w:line="240" w:lineRule="auto" w:before="149"/>
              <w:ind w:left="208"/>
              <w:jc w:val="left"/>
              <w:rPr>
                <w:sz w:val="24"/>
              </w:rPr>
            </w:pPr>
            <w:r>
              <w:rPr>
                <w:sz w:val="24"/>
              </w:rPr>
              <w:t>7.71</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724" w:type="dxa"/>
            <w:tcBorders>
              <w:bottom w:val="single" w:sz="4" w:space="0" w:color="000000"/>
            </w:tcBorders>
          </w:tcPr>
          <w:p>
            <w:pPr>
              <w:pStyle w:val="TableParagraph"/>
              <w:spacing w:line="240" w:lineRule="auto" w:before="149"/>
              <w:ind w:left="147"/>
              <w:jc w:val="left"/>
              <w:rPr>
                <w:sz w:val="24"/>
              </w:rPr>
            </w:pPr>
            <w:r>
              <w:rPr>
                <w:sz w:val="24"/>
              </w:rPr>
              <w:t>11.1</w:t>
            </w:r>
            <w:r>
              <w:rPr>
                <w:spacing w:val="-8"/>
                <w:sz w:val="24"/>
              </w:rPr>
              <w:t> </w:t>
            </w:r>
            <w:r>
              <w:rPr>
                <w:sz w:val="24"/>
              </w:rPr>
              <w:t>x</w:t>
            </w:r>
            <w:r>
              <w:rPr>
                <w:spacing w:val="-4"/>
                <w:sz w:val="24"/>
              </w:rPr>
              <w:t> </w:t>
            </w:r>
            <w:r>
              <w:rPr>
                <w:spacing w:val="-5"/>
                <w:sz w:val="24"/>
              </w:rPr>
              <w:t>10</w:t>
            </w:r>
            <w:r>
              <w:rPr>
                <w:spacing w:val="-5"/>
                <w:sz w:val="24"/>
                <w:vertAlign w:val="superscript"/>
              </w:rPr>
              <w:t>6</w:t>
            </w:r>
          </w:p>
        </w:tc>
        <w:tc>
          <w:tcPr>
            <w:tcW w:w="1648" w:type="dxa"/>
            <w:tcBorders>
              <w:bottom w:val="single" w:sz="4" w:space="0" w:color="000000"/>
            </w:tcBorders>
          </w:tcPr>
          <w:p>
            <w:pPr>
              <w:pStyle w:val="TableParagraph"/>
              <w:spacing w:line="240" w:lineRule="auto" w:before="149"/>
              <w:ind w:left="137"/>
              <w:jc w:val="left"/>
              <w:rPr>
                <w:sz w:val="24"/>
              </w:rPr>
            </w:pPr>
            <w:r>
              <w:rPr>
                <w:sz w:val="24"/>
              </w:rPr>
              <w:t>10.1</w:t>
            </w:r>
            <w:r>
              <w:rPr>
                <w:spacing w:val="-8"/>
                <w:sz w:val="24"/>
              </w:rPr>
              <w:t> </w:t>
            </w:r>
            <w:r>
              <w:rPr>
                <w:sz w:val="24"/>
              </w:rPr>
              <w:t>x</w:t>
            </w:r>
            <w:r>
              <w:rPr>
                <w:spacing w:val="-4"/>
                <w:sz w:val="24"/>
              </w:rPr>
              <w:t> </w:t>
            </w:r>
            <w:r>
              <w:rPr>
                <w:spacing w:val="-5"/>
                <w:sz w:val="24"/>
              </w:rPr>
              <w:t>10</w:t>
            </w:r>
            <w:r>
              <w:rPr>
                <w:spacing w:val="-5"/>
                <w:sz w:val="24"/>
                <w:vertAlign w:val="superscript"/>
              </w:rPr>
              <w:t>6</w:t>
            </w:r>
          </w:p>
        </w:tc>
      </w:tr>
      <w:tr>
        <w:trPr>
          <w:trHeight w:val="585" w:hRule="atLeast"/>
        </w:trPr>
        <w:tc>
          <w:tcPr>
            <w:tcW w:w="1134" w:type="dxa"/>
            <w:tcBorders>
              <w:top w:val="single" w:sz="4" w:space="0" w:color="000000"/>
              <w:bottom w:val="single" w:sz="4" w:space="0" w:color="000000"/>
            </w:tcBorders>
          </w:tcPr>
          <w:p>
            <w:pPr>
              <w:pStyle w:val="TableParagraph"/>
              <w:spacing w:line="290" w:lineRule="atLeast"/>
              <w:ind w:left="117" w:right="410"/>
              <w:jc w:val="left"/>
              <w:rPr>
                <w:b/>
                <w:sz w:val="24"/>
              </w:rPr>
            </w:pPr>
            <w:r>
              <w:rPr>
                <w:b/>
                <w:spacing w:val="-4"/>
                <w:sz w:val="24"/>
              </w:rPr>
              <w:t>Mean </w:t>
            </w:r>
            <w:r>
              <w:rPr>
                <w:b/>
                <w:spacing w:val="-2"/>
                <w:sz w:val="24"/>
              </w:rPr>
              <w:t>Count</w:t>
            </w:r>
          </w:p>
        </w:tc>
        <w:tc>
          <w:tcPr>
            <w:tcW w:w="1878" w:type="dxa"/>
            <w:tcBorders>
              <w:top w:val="single" w:sz="4" w:space="0" w:color="000000"/>
              <w:bottom w:val="single" w:sz="4" w:space="0" w:color="000000"/>
            </w:tcBorders>
          </w:tcPr>
          <w:p>
            <w:pPr>
              <w:pStyle w:val="TableParagraph"/>
              <w:spacing w:line="240" w:lineRule="auto" w:before="1"/>
              <w:ind w:left="260"/>
              <w:jc w:val="left"/>
              <w:rPr>
                <w:sz w:val="24"/>
              </w:rPr>
            </w:pPr>
            <w:r>
              <w:rPr>
                <w:sz w:val="24"/>
              </w:rPr>
              <w:t>5.98±</w:t>
            </w:r>
            <w:r>
              <w:rPr>
                <w:spacing w:val="-7"/>
                <w:sz w:val="24"/>
              </w:rPr>
              <w:t> </w:t>
            </w:r>
            <w:r>
              <w:rPr>
                <w:sz w:val="24"/>
              </w:rPr>
              <w:t>4.0</w:t>
            </w:r>
            <w:r>
              <w:rPr>
                <w:spacing w:val="-7"/>
                <w:sz w:val="24"/>
              </w:rPr>
              <w:t> </w:t>
            </w:r>
            <w:r>
              <w:rPr>
                <w:sz w:val="24"/>
              </w:rPr>
              <w:t>x</w:t>
            </w:r>
            <w:r>
              <w:rPr>
                <w:spacing w:val="-2"/>
                <w:sz w:val="24"/>
              </w:rPr>
              <w:t> </w:t>
            </w:r>
            <w:r>
              <w:rPr>
                <w:spacing w:val="-5"/>
                <w:sz w:val="24"/>
              </w:rPr>
              <w:t>10</w:t>
            </w:r>
            <w:r>
              <w:rPr>
                <w:spacing w:val="-5"/>
                <w:sz w:val="24"/>
                <w:vertAlign w:val="superscript"/>
              </w:rPr>
              <w:t>6</w:t>
            </w:r>
          </w:p>
        </w:tc>
        <w:tc>
          <w:tcPr>
            <w:tcW w:w="1774" w:type="dxa"/>
            <w:tcBorders>
              <w:top w:val="single" w:sz="4" w:space="0" w:color="000000"/>
              <w:bottom w:val="single" w:sz="4" w:space="0" w:color="000000"/>
            </w:tcBorders>
          </w:tcPr>
          <w:p>
            <w:pPr>
              <w:pStyle w:val="TableParagraph"/>
              <w:spacing w:line="240" w:lineRule="auto" w:before="1"/>
              <w:ind w:left="182"/>
              <w:jc w:val="left"/>
              <w:rPr>
                <w:sz w:val="24"/>
              </w:rPr>
            </w:pPr>
            <w:r>
              <w:rPr>
                <w:sz w:val="24"/>
              </w:rPr>
              <w:t>3.98±</w:t>
            </w:r>
            <w:r>
              <w:rPr>
                <w:spacing w:val="-10"/>
                <w:sz w:val="24"/>
              </w:rPr>
              <w:t> </w:t>
            </w:r>
            <w:r>
              <w:rPr>
                <w:sz w:val="24"/>
              </w:rPr>
              <w:t>2.7x</w:t>
            </w:r>
            <w:r>
              <w:rPr>
                <w:spacing w:val="-9"/>
                <w:sz w:val="24"/>
              </w:rPr>
              <w:t> </w:t>
            </w:r>
            <w:r>
              <w:rPr>
                <w:spacing w:val="-5"/>
                <w:sz w:val="24"/>
              </w:rPr>
              <w:t>10</w:t>
            </w:r>
            <w:r>
              <w:rPr>
                <w:spacing w:val="-5"/>
                <w:sz w:val="24"/>
                <w:vertAlign w:val="superscript"/>
              </w:rPr>
              <w:t>6</w:t>
            </w:r>
          </w:p>
        </w:tc>
        <w:tc>
          <w:tcPr>
            <w:tcW w:w="1683" w:type="dxa"/>
            <w:tcBorders>
              <w:top w:val="single" w:sz="4" w:space="0" w:color="000000"/>
              <w:bottom w:val="single" w:sz="4" w:space="0" w:color="000000"/>
            </w:tcBorders>
          </w:tcPr>
          <w:p>
            <w:pPr>
              <w:pStyle w:val="TableParagraph"/>
              <w:spacing w:line="240" w:lineRule="auto" w:before="1"/>
              <w:ind w:left="208"/>
              <w:jc w:val="left"/>
              <w:rPr>
                <w:sz w:val="24"/>
              </w:rPr>
            </w:pPr>
            <w:r>
              <w:rPr>
                <w:spacing w:val="-2"/>
                <w:sz w:val="24"/>
              </w:rPr>
              <w:t>4.45±3.1x</w:t>
            </w:r>
            <w:r>
              <w:rPr>
                <w:sz w:val="24"/>
              </w:rPr>
              <w:t> </w:t>
            </w:r>
            <w:r>
              <w:rPr>
                <w:spacing w:val="-5"/>
                <w:sz w:val="24"/>
              </w:rPr>
              <w:t>10</w:t>
            </w:r>
            <w:r>
              <w:rPr>
                <w:spacing w:val="-5"/>
                <w:sz w:val="24"/>
                <w:vertAlign w:val="superscript"/>
              </w:rPr>
              <w:t>6</w:t>
            </w:r>
          </w:p>
        </w:tc>
        <w:tc>
          <w:tcPr>
            <w:tcW w:w="1724" w:type="dxa"/>
            <w:tcBorders>
              <w:top w:val="single" w:sz="4" w:space="0" w:color="000000"/>
              <w:bottom w:val="single" w:sz="4" w:space="0" w:color="000000"/>
            </w:tcBorders>
          </w:tcPr>
          <w:p>
            <w:pPr>
              <w:pStyle w:val="TableParagraph"/>
              <w:spacing w:line="240" w:lineRule="auto" w:before="1"/>
              <w:ind w:left="147"/>
              <w:jc w:val="left"/>
              <w:rPr>
                <w:sz w:val="24"/>
              </w:rPr>
            </w:pPr>
            <w:r>
              <w:rPr>
                <w:sz w:val="24"/>
              </w:rPr>
              <w:t>4.08±</w:t>
            </w:r>
            <w:r>
              <w:rPr>
                <w:spacing w:val="-7"/>
                <w:sz w:val="24"/>
              </w:rPr>
              <w:t> </w:t>
            </w:r>
            <w:r>
              <w:rPr>
                <w:sz w:val="24"/>
              </w:rPr>
              <w:t>4.7</w:t>
            </w:r>
            <w:r>
              <w:rPr>
                <w:spacing w:val="-7"/>
                <w:sz w:val="24"/>
              </w:rPr>
              <w:t> </w:t>
            </w:r>
            <w:r>
              <w:rPr>
                <w:sz w:val="24"/>
              </w:rPr>
              <w:t>x</w:t>
            </w:r>
            <w:r>
              <w:rPr>
                <w:spacing w:val="-2"/>
                <w:sz w:val="24"/>
              </w:rPr>
              <w:t> </w:t>
            </w:r>
            <w:r>
              <w:rPr>
                <w:spacing w:val="-5"/>
                <w:sz w:val="24"/>
              </w:rPr>
              <w:t>10</w:t>
            </w:r>
            <w:r>
              <w:rPr>
                <w:spacing w:val="-5"/>
                <w:sz w:val="24"/>
                <w:vertAlign w:val="superscript"/>
              </w:rPr>
              <w:t>6</w:t>
            </w:r>
          </w:p>
        </w:tc>
        <w:tc>
          <w:tcPr>
            <w:tcW w:w="1648" w:type="dxa"/>
            <w:tcBorders>
              <w:top w:val="single" w:sz="4" w:space="0" w:color="000000"/>
              <w:bottom w:val="single" w:sz="4" w:space="0" w:color="000000"/>
            </w:tcBorders>
          </w:tcPr>
          <w:p>
            <w:pPr>
              <w:pStyle w:val="TableParagraph"/>
              <w:spacing w:line="240" w:lineRule="auto" w:before="1"/>
              <w:ind w:left="137"/>
              <w:jc w:val="left"/>
              <w:rPr>
                <w:sz w:val="24"/>
              </w:rPr>
            </w:pPr>
            <w:r>
              <w:rPr>
                <w:spacing w:val="-2"/>
                <w:sz w:val="24"/>
              </w:rPr>
              <w:t>3.32±4.5x</w:t>
            </w:r>
            <w:r>
              <w:rPr>
                <w:sz w:val="24"/>
              </w:rPr>
              <w:t> </w:t>
            </w:r>
            <w:r>
              <w:rPr>
                <w:spacing w:val="-5"/>
                <w:sz w:val="24"/>
              </w:rPr>
              <w:t>10</w:t>
            </w:r>
            <w:r>
              <w:rPr>
                <w:spacing w:val="-5"/>
                <w:sz w:val="24"/>
                <w:vertAlign w:val="superscript"/>
              </w:rPr>
              <w:t>6</w:t>
            </w:r>
          </w:p>
        </w:tc>
      </w:tr>
    </w:tbl>
    <w:p>
      <w:pPr>
        <w:spacing w:after="0" w:line="240" w:lineRule="auto"/>
        <w:jc w:val="left"/>
        <w:rPr>
          <w:sz w:val="24"/>
        </w:rPr>
        <w:sectPr>
          <w:pgSz w:w="12240" w:h="15840"/>
          <w:pgMar w:header="0" w:footer="1017" w:top="1820" w:bottom="1200" w:left="520" w:right="2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0"/>
        <w:rPr>
          <w:b/>
        </w:rPr>
      </w:pPr>
    </w:p>
    <w:p>
      <w:pPr>
        <w:spacing w:before="0"/>
        <w:ind w:left="920" w:right="0" w:firstLine="0"/>
        <w:jc w:val="left"/>
        <w:rPr>
          <w:b/>
          <w:sz w:val="22"/>
        </w:rPr>
      </w:pPr>
      <w:r>
        <w:rPr>
          <w:b/>
          <w:sz w:val="22"/>
        </w:rPr>
        <w:t>Table</w:t>
      </w:r>
      <w:r>
        <w:rPr>
          <w:b/>
          <w:spacing w:val="-8"/>
          <w:sz w:val="22"/>
        </w:rPr>
        <w:t> </w:t>
      </w:r>
      <w:r>
        <w:rPr>
          <w:b/>
          <w:sz w:val="22"/>
        </w:rPr>
        <w:t>4.3:</w:t>
      </w:r>
      <w:r>
        <w:rPr>
          <w:b/>
          <w:spacing w:val="-3"/>
          <w:sz w:val="22"/>
        </w:rPr>
        <w:t> </w:t>
      </w:r>
      <w:r>
        <w:rPr>
          <w:b/>
          <w:sz w:val="22"/>
        </w:rPr>
        <w:t>Distribution</w:t>
      </w:r>
      <w:r>
        <w:rPr>
          <w:b/>
          <w:spacing w:val="-4"/>
          <w:sz w:val="22"/>
        </w:rPr>
        <w:t> </w:t>
      </w:r>
      <w:r>
        <w:rPr>
          <w:b/>
          <w:sz w:val="22"/>
        </w:rPr>
        <w:t>of</w:t>
      </w:r>
      <w:r>
        <w:rPr>
          <w:b/>
          <w:spacing w:val="-2"/>
          <w:sz w:val="22"/>
        </w:rPr>
        <w:t> </w:t>
      </w:r>
      <w:r>
        <w:rPr>
          <w:b/>
          <w:sz w:val="22"/>
        </w:rPr>
        <w:t>Organisms</w:t>
      </w:r>
      <w:r>
        <w:rPr>
          <w:b/>
          <w:spacing w:val="-6"/>
          <w:sz w:val="22"/>
        </w:rPr>
        <w:t> </w:t>
      </w:r>
      <w:r>
        <w:rPr>
          <w:b/>
          <w:sz w:val="22"/>
        </w:rPr>
        <w:t>in</w:t>
      </w:r>
      <w:r>
        <w:rPr>
          <w:b/>
          <w:spacing w:val="-3"/>
          <w:sz w:val="22"/>
        </w:rPr>
        <w:t> </w:t>
      </w:r>
      <w:r>
        <w:rPr>
          <w:b/>
          <w:sz w:val="22"/>
        </w:rPr>
        <w:t>different</w:t>
      </w:r>
      <w:r>
        <w:rPr>
          <w:b/>
          <w:spacing w:val="-5"/>
          <w:sz w:val="22"/>
        </w:rPr>
        <w:t> </w:t>
      </w:r>
      <w:r>
        <w:rPr>
          <w:b/>
          <w:sz w:val="22"/>
        </w:rPr>
        <w:t>Brands</w:t>
      </w:r>
      <w:r>
        <w:rPr>
          <w:b/>
          <w:spacing w:val="-5"/>
          <w:sz w:val="22"/>
        </w:rPr>
        <w:t> </w:t>
      </w:r>
      <w:r>
        <w:rPr>
          <w:b/>
          <w:sz w:val="22"/>
        </w:rPr>
        <w:t>of</w:t>
      </w:r>
      <w:r>
        <w:rPr>
          <w:b/>
          <w:spacing w:val="-3"/>
          <w:sz w:val="22"/>
        </w:rPr>
        <w:t> </w:t>
      </w:r>
      <w:r>
        <w:rPr>
          <w:b/>
          <w:sz w:val="22"/>
        </w:rPr>
        <w:t>Packaged</w:t>
      </w:r>
      <w:r>
        <w:rPr>
          <w:b/>
          <w:spacing w:val="-3"/>
          <w:sz w:val="22"/>
        </w:rPr>
        <w:t> </w:t>
      </w:r>
      <w:r>
        <w:rPr>
          <w:b/>
          <w:sz w:val="22"/>
        </w:rPr>
        <w:t>Milk</w:t>
      </w:r>
      <w:r>
        <w:rPr>
          <w:b/>
          <w:spacing w:val="-4"/>
          <w:sz w:val="22"/>
        </w:rPr>
        <w:t> </w:t>
      </w:r>
      <w:r>
        <w:rPr>
          <w:b/>
          <w:spacing w:val="-2"/>
          <w:sz w:val="22"/>
        </w:rPr>
        <w:t>Samples</w:t>
      </w:r>
    </w:p>
    <w:p>
      <w:pPr>
        <w:pStyle w:val="BodyText"/>
        <w:spacing w:before="229"/>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6"/>
        <w:gridCol w:w="1087"/>
        <w:gridCol w:w="1399"/>
        <w:gridCol w:w="1339"/>
        <w:gridCol w:w="1241"/>
        <w:gridCol w:w="2469"/>
      </w:tblGrid>
      <w:tr>
        <w:trPr>
          <w:trHeight w:val="1122" w:hRule="atLeast"/>
        </w:trPr>
        <w:tc>
          <w:tcPr>
            <w:tcW w:w="2046"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2"/>
                <w:sz w:val="24"/>
              </w:rPr>
              <w:t>Isolates</w:t>
            </w:r>
          </w:p>
        </w:tc>
        <w:tc>
          <w:tcPr>
            <w:tcW w:w="1087" w:type="dxa"/>
            <w:tcBorders>
              <w:top w:val="single" w:sz="4" w:space="0" w:color="000000"/>
              <w:bottom w:val="single" w:sz="4" w:space="0" w:color="000000"/>
            </w:tcBorders>
          </w:tcPr>
          <w:p>
            <w:pPr>
              <w:pStyle w:val="TableParagraph"/>
              <w:spacing w:line="240" w:lineRule="auto"/>
              <w:jc w:val="left"/>
              <w:rPr>
                <w:b/>
                <w:sz w:val="24"/>
              </w:rPr>
            </w:pPr>
          </w:p>
          <w:p>
            <w:pPr>
              <w:pStyle w:val="TableParagraph"/>
              <w:spacing w:line="240" w:lineRule="auto" w:before="246"/>
              <w:jc w:val="left"/>
              <w:rPr>
                <w:b/>
                <w:sz w:val="24"/>
              </w:rPr>
            </w:pPr>
          </w:p>
          <w:p>
            <w:pPr>
              <w:pStyle w:val="TableParagraph"/>
              <w:spacing w:line="271" w:lineRule="exact"/>
              <w:ind w:left="59" w:right="1"/>
              <w:rPr>
                <w:b/>
                <w:sz w:val="24"/>
              </w:rPr>
            </w:pPr>
            <w:r>
              <w:rPr>
                <w:b/>
                <w:sz w:val="24"/>
              </w:rPr>
              <w:t>Brand</w:t>
            </w:r>
            <w:r>
              <w:rPr>
                <w:b/>
                <w:spacing w:val="-5"/>
                <w:sz w:val="24"/>
              </w:rPr>
              <w:t> </w:t>
            </w:r>
            <w:r>
              <w:rPr>
                <w:b/>
                <w:spacing w:val="-10"/>
                <w:sz w:val="24"/>
              </w:rPr>
              <w:t>1</w:t>
            </w:r>
          </w:p>
        </w:tc>
        <w:tc>
          <w:tcPr>
            <w:tcW w:w="1399" w:type="dxa"/>
            <w:tcBorders>
              <w:top w:val="single" w:sz="4" w:space="0" w:color="000000"/>
              <w:bottom w:val="single" w:sz="4" w:space="0" w:color="000000"/>
            </w:tcBorders>
          </w:tcPr>
          <w:p>
            <w:pPr>
              <w:pStyle w:val="TableParagraph"/>
              <w:spacing w:line="240" w:lineRule="auto" w:before="1"/>
              <w:ind w:left="126" w:right="435"/>
              <w:jc w:val="left"/>
              <w:rPr>
                <w:b/>
                <w:sz w:val="24"/>
              </w:rPr>
            </w:pPr>
            <w:r>
              <w:rPr>
                <w:b/>
                <w:spacing w:val="-4"/>
                <w:sz w:val="24"/>
              </w:rPr>
              <w:t>Milk </w:t>
            </w:r>
            <w:r>
              <w:rPr>
                <w:b/>
                <w:spacing w:val="-2"/>
                <w:sz w:val="24"/>
              </w:rPr>
              <w:t>Samples</w:t>
            </w:r>
          </w:p>
          <w:p>
            <w:pPr>
              <w:pStyle w:val="TableParagraph"/>
              <w:spacing w:line="271" w:lineRule="exact" w:before="245"/>
              <w:ind w:left="332"/>
              <w:jc w:val="left"/>
              <w:rPr>
                <w:b/>
                <w:sz w:val="24"/>
              </w:rPr>
            </w:pPr>
            <w:r>
              <w:rPr>
                <w:b/>
                <w:sz w:val="24"/>
              </w:rPr>
              <w:t>Brand</w:t>
            </w:r>
            <w:r>
              <w:rPr>
                <w:b/>
                <w:spacing w:val="-5"/>
                <w:sz w:val="24"/>
              </w:rPr>
              <w:t> </w:t>
            </w:r>
            <w:r>
              <w:rPr>
                <w:b/>
                <w:spacing w:val="-10"/>
                <w:sz w:val="24"/>
              </w:rPr>
              <w:t>2</w:t>
            </w:r>
          </w:p>
        </w:tc>
        <w:tc>
          <w:tcPr>
            <w:tcW w:w="1339" w:type="dxa"/>
            <w:tcBorders>
              <w:top w:val="single" w:sz="4" w:space="0" w:color="000000"/>
              <w:bottom w:val="single" w:sz="4" w:space="0" w:color="000000"/>
            </w:tcBorders>
          </w:tcPr>
          <w:p>
            <w:pPr>
              <w:pStyle w:val="TableParagraph"/>
              <w:spacing w:line="240" w:lineRule="auto"/>
              <w:jc w:val="left"/>
              <w:rPr>
                <w:b/>
                <w:sz w:val="24"/>
              </w:rPr>
            </w:pPr>
          </w:p>
          <w:p>
            <w:pPr>
              <w:pStyle w:val="TableParagraph"/>
              <w:spacing w:line="240" w:lineRule="auto" w:before="246"/>
              <w:jc w:val="left"/>
              <w:rPr>
                <w:b/>
                <w:sz w:val="24"/>
              </w:rPr>
            </w:pPr>
          </w:p>
          <w:p>
            <w:pPr>
              <w:pStyle w:val="TableParagraph"/>
              <w:spacing w:line="271" w:lineRule="exact"/>
              <w:ind w:left="19" w:right="1"/>
              <w:rPr>
                <w:b/>
                <w:sz w:val="24"/>
              </w:rPr>
            </w:pPr>
            <w:r>
              <w:rPr>
                <w:b/>
                <w:sz w:val="24"/>
              </w:rPr>
              <w:t>Brand</w:t>
            </w:r>
            <w:r>
              <w:rPr>
                <w:b/>
                <w:spacing w:val="-5"/>
                <w:sz w:val="24"/>
              </w:rPr>
              <w:t> </w:t>
            </w:r>
            <w:r>
              <w:rPr>
                <w:b/>
                <w:spacing w:val="-10"/>
                <w:sz w:val="24"/>
              </w:rPr>
              <w:t>3</w:t>
            </w:r>
          </w:p>
        </w:tc>
        <w:tc>
          <w:tcPr>
            <w:tcW w:w="1241" w:type="dxa"/>
            <w:tcBorders>
              <w:top w:val="single" w:sz="4" w:space="0" w:color="000000"/>
              <w:bottom w:val="single" w:sz="4" w:space="0" w:color="000000"/>
            </w:tcBorders>
          </w:tcPr>
          <w:p>
            <w:pPr>
              <w:pStyle w:val="TableParagraph"/>
              <w:spacing w:line="240" w:lineRule="auto"/>
              <w:jc w:val="left"/>
              <w:rPr>
                <w:b/>
                <w:sz w:val="24"/>
              </w:rPr>
            </w:pPr>
          </w:p>
          <w:p>
            <w:pPr>
              <w:pStyle w:val="TableParagraph"/>
              <w:spacing w:line="240" w:lineRule="auto" w:before="246"/>
              <w:jc w:val="left"/>
              <w:rPr>
                <w:b/>
                <w:sz w:val="24"/>
              </w:rPr>
            </w:pPr>
          </w:p>
          <w:p>
            <w:pPr>
              <w:pStyle w:val="TableParagraph"/>
              <w:spacing w:line="271" w:lineRule="exact"/>
              <w:ind w:left="79" w:right="1"/>
              <w:rPr>
                <w:b/>
                <w:sz w:val="24"/>
              </w:rPr>
            </w:pPr>
            <w:r>
              <w:rPr>
                <w:b/>
                <w:sz w:val="24"/>
              </w:rPr>
              <w:t>Brand</w:t>
            </w:r>
            <w:r>
              <w:rPr>
                <w:b/>
                <w:spacing w:val="-5"/>
                <w:sz w:val="24"/>
              </w:rPr>
              <w:t> </w:t>
            </w:r>
            <w:r>
              <w:rPr>
                <w:b/>
                <w:spacing w:val="-10"/>
                <w:sz w:val="24"/>
              </w:rPr>
              <w:t>4</w:t>
            </w:r>
          </w:p>
        </w:tc>
        <w:tc>
          <w:tcPr>
            <w:tcW w:w="2469" w:type="dxa"/>
            <w:tcBorders>
              <w:top w:val="single" w:sz="4" w:space="0" w:color="000000"/>
              <w:bottom w:val="single" w:sz="4" w:space="0" w:color="000000"/>
            </w:tcBorders>
          </w:tcPr>
          <w:p>
            <w:pPr>
              <w:pStyle w:val="TableParagraph"/>
              <w:spacing w:line="240" w:lineRule="auto" w:before="1"/>
              <w:ind w:left="193" w:right="954"/>
              <w:jc w:val="left"/>
              <w:rPr>
                <w:b/>
                <w:sz w:val="24"/>
              </w:rPr>
            </w:pPr>
            <w:r>
              <w:rPr>
                <w:b/>
                <w:spacing w:val="-2"/>
                <w:sz w:val="24"/>
              </w:rPr>
              <w:t>Frequency </w:t>
            </w:r>
            <w:r>
              <w:rPr>
                <w:b/>
                <w:sz w:val="24"/>
              </w:rPr>
              <w:t>no. (%)</w:t>
            </w:r>
          </w:p>
        </w:tc>
      </w:tr>
      <w:tr>
        <w:trPr>
          <w:trHeight w:val="463" w:hRule="atLeast"/>
        </w:trPr>
        <w:tc>
          <w:tcPr>
            <w:tcW w:w="2046" w:type="dxa"/>
            <w:tcBorders>
              <w:top w:val="single" w:sz="4" w:space="0" w:color="000000"/>
            </w:tcBorders>
          </w:tcPr>
          <w:p>
            <w:pPr>
              <w:pStyle w:val="TableParagraph"/>
              <w:spacing w:line="240" w:lineRule="auto" w:before="1"/>
              <w:ind w:left="110"/>
              <w:jc w:val="left"/>
              <w:rPr>
                <w:i/>
                <w:sz w:val="24"/>
              </w:rPr>
            </w:pPr>
            <w:r>
              <w:rPr>
                <w:i/>
                <w:sz w:val="24"/>
              </w:rPr>
              <w:t>E.</w:t>
            </w:r>
            <w:r>
              <w:rPr>
                <w:i/>
                <w:spacing w:val="-4"/>
                <w:sz w:val="24"/>
              </w:rPr>
              <w:t> coli</w:t>
            </w:r>
          </w:p>
        </w:tc>
        <w:tc>
          <w:tcPr>
            <w:tcW w:w="1087" w:type="dxa"/>
            <w:tcBorders>
              <w:top w:val="single" w:sz="4" w:space="0" w:color="000000"/>
            </w:tcBorders>
          </w:tcPr>
          <w:p>
            <w:pPr>
              <w:pStyle w:val="TableParagraph"/>
              <w:spacing w:line="240" w:lineRule="auto" w:before="1"/>
              <w:ind w:left="59"/>
              <w:rPr>
                <w:sz w:val="24"/>
              </w:rPr>
            </w:pPr>
            <w:r>
              <w:rPr>
                <w:spacing w:val="-10"/>
                <w:sz w:val="24"/>
              </w:rPr>
              <w:t>3</w:t>
            </w:r>
          </w:p>
        </w:tc>
        <w:tc>
          <w:tcPr>
            <w:tcW w:w="1399" w:type="dxa"/>
            <w:tcBorders>
              <w:top w:val="single" w:sz="4" w:space="0" w:color="000000"/>
            </w:tcBorders>
          </w:tcPr>
          <w:p>
            <w:pPr>
              <w:pStyle w:val="TableParagraph"/>
              <w:spacing w:line="240" w:lineRule="auto" w:before="1"/>
              <w:ind w:left="40"/>
              <w:rPr>
                <w:sz w:val="24"/>
              </w:rPr>
            </w:pPr>
            <w:r>
              <w:rPr>
                <w:spacing w:val="-10"/>
                <w:sz w:val="24"/>
              </w:rPr>
              <w:t>1</w:t>
            </w:r>
          </w:p>
        </w:tc>
        <w:tc>
          <w:tcPr>
            <w:tcW w:w="1339" w:type="dxa"/>
            <w:tcBorders>
              <w:top w:val="single" w:sz="4" w:space="0" w:color="000000"/>
            </w:tcBorders>
          </w:tcPr>
          <w:p>
            <w:pPr>
              <w:pStyle w:val="TableParagraph"/>
              <w:spacing w:line="240" w:lineRule="auto" w:before="1"/>
              <w:ind w:left="19"/>
              <w:rPr>
                <w:sz w:val="24"/>
              </w:rPr>
            </w:pPr>
            <w:r>
              <w:rPr>
                <w:spacing w:val="-10"/>
                <w:sz w:val="24"/>
              </w:rPr>
              <w:t>2</w:t>
            </w:r>
          </w:p>
        </w:tc>
        <w:tc>
          <w:tcPr>
            <w:tcW w:w="1241" w:type="dxa"/>
            <w:tcBorders>
              <w:top w:val="single" w:sz="4" w:space="0" w:color="000000"/>
            </w:tcBorders>
          </w:tcPr>
          <w:p>
            <w:pPr>
              <w:pStyle w:val="TableParagraph"/>
              <w:spacing w:line="240" w:lineRule="auto" w:before="1"/>
              <w:ind w:left="79" w:right="5"/>
              <w:rPr>
                <w:sz w:val="24"/>
              </w:rPr>
            </w:pPr>
            <w:r>
              <w:rPr>
                <w:spacing w:val="-5"/>
                <w:sz w:val="24"/>
              </w:rPr>
              <w:t>14</w:t>
            </w:r>
          </w:p>
        </w:tc>
        <w:tc>
          <w:tcPr>
            <w:tcW w:w="2469" w:type="dxa"/>
            <w:tcBorders>
              <w:top w:val="single" w:sz="4" w:space="0" w:color="000000"/>
            </w:tcBorders>
          </w:tcPr>
          <w:p>
            <w:pPr>
              <w:pStyle w:val="TableParagraph"/>
              <w:spacing w:line="240" w:lineRule="auto" w:before="1"/>
              <w:ind w:left="222"/>
              <w:jc w:val="left"/>
              <w:rPr>
                <w:sz w:val="24"/>
              </w:rPr>
            </w:pPr>
            <w:r>
              <w:rPr>
                <w:sz w:val="24"/>
              </w:rPr>
              <w:t>20</w:t>
            </w:r>
            <w:r>
              <w:rPr>
                <w:spacing w:val="-8"/>
                <w:sz w:val="24"/>
              </w:rPr>
              <w:t> </w:t>
            </w:r>
            <w:r>
              <w:rPr>
                <w:spacing w:val="-2"/>
                <w:sz w:val="24"/>
              </w:rPr>
              <w:t>(13.1%)</w:t>
            </w:r>
          </w:p>
        </w:tc>
      </w:tr>
      <w:tr>
        <w:trPr>
          <w:trHeight w:val="585" w:hRule="atLeast"/>
        </w:trPr>
        <w:tc>
          <w:tcPr>
            <w:tcW w:w="2046" w:type="dxa"/>
          </w:tcPr>
          <w:p>
            <w:pPr>
              <w:pStyle w:val="TableParagraph"/>
              <w:spacing w:line="240" w:lineRule="auto" w:before="124"/>
              <w:ind w:left="110"/>
              <w:jc w:val="left"/>
              <w:rPr>
                <w:i/>
                <w:sz w:val="24"/>
              </w:rPr>
            </w:pPr>
            <w:r>
              <w:rPr>
                <w:i/>
                <w:sz w:val="24"/>
              </w:rPr>
              <w:t>Proteus</w:t>
            </w:r>
            <w:r>
              <w:rPr>
                <w:i/>
                <w:spacing w:val="-10"/>
                <w:sz w:val="24"/>
              </w:rPr>
              <w:t> </w:t>
            </w:r>
            <w:r>
              <w:rPr>
                <w:i/>
                <w:spacing w:val="-5"/>
                <w:sz w:val="24"/>
              </w:rPr>
              <w:t>spp</w:t>
            </w:r>
          </w:p>
        </w:tc>
        <w:tc>
          <w:tcPr>
            <w:tcW w:w="1087" w:type="dxa"/>
          </w:tcPr>
          <w:p>
            <w:pPr>
              <w:pStyle w:val="TableParagraph"/>
              <w:spacing w:line="240" w:lineRule="auto" w:before="124"/>
              <w:ind w:left="59"/>
              <w:rPr>
                <w:sz w:val="24"/>
              </w:rPr>
            </w:pPr>
            <w:r>
              <w:rPr>
                <w:spacing w:val="-10"/>
                <w:sz w:val="24"/>
              </w:rPr>
              <w:t>3</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Pr>
                <w:sz w:val="24"/>
              </w:rPr>
            </w:pPr>
            <w:r>
              <w:rPr>
                <w:spacing w:val="-10"/>
                <w:sz w:val="24"/>
              </w:rPr>
              <w:t>1</w:t>
            </w:r>
          </w:p>
        </w:tc>
        <w:tc>
          <w:tcPr>
            <w:tcW w:w="1241" w:type="dxa"/>
          </w:tcPr>
          <w:p>
            <w:pPr>
              <w:pStyle w:val="TableParagraph"/>
              <w:spacing w:line="240" w:lineRule="auto" w:before="124"/>
              <w:ind w:left="79" w:right="2"/>
              <w:rPr>
                <w:sz w:val="24"/>
              </w:rPr>
            </w:pPr>
            <w:r>
              <w:rPr>
                <w:spacing w:val="-10"/>
                <w:sz w:val="24"/>
              </w:rPr>
              <w:t>_</w:t>
            </w:r>
          </w:p>
        </w:tc>
        <w:tc>
          <w:tcPr>
            <w:tcW w:w="2469" w:type="dxa"/>
          </w:tcPr>
          <w:p>
            <w:pPr>
              <w:pStyle w:val="TableParagraph"/>
              <w:spacing w:line="240" w:lineRule="auto" w:before="124"/>
              <w:ind w:left="347"/>
              <w:jc w:val="left"/>
              <w:rPr>
                <w:sz w:val="24"/>
              </w:rPr>
            </w:pPr>
            <w:r>
              <w:rPr>
                <w:sz w:val="24"/>
              </w:rPr>
              <w:t>4</w:t>
            </w:r>
            <w:r>
              <w:rPr>
                <w:spacing w:val="-5"/>
                <w:sz w:val="24"/>
              </w:rPr>
              <w:t> </w:t>
            </w:r>
            <w:r>
              <w:rPr>
                <w:spacing w:val="-2"/>
                <w:sz w:val="24"/>
              </w:rPr>
              <w:t>(2.6%)</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Salmonella</w:t>
            </w:r>
            <w:r>
              <w:rPr>
                <w:i/>
                <w:spacing w:val="6"/>
                <w:sz w:val="24"/>
              </w:rPr>
              <w:t> </w:t>
            </w:r>
            <w:r>
              <w:rPr>
                <w:i/>
                <w:spacing w:val="-5"/>
                <w:sz w:val="24"/>
              </w:rPr>
              <w:t>spp</w:t>
            </w:r>
          </w:p>
        </w:tc>
        <w:tc>
          <w:tcPr>
            <w:tcW w:w="1087" w:type="dxa"/>
          </w:tcPr>
          <w:p>
            <w:pPr>
              <w:pStyle w:val="TableParagraph"/>
              <w:spacing w:line="240" w:lineRule="auto" w:before="124"/>
              <w:ind w:left="59" w:right="2"/>
              <w:rPr>
                <w:sz w:val="24"/>
              </w:rPr>
            </w:pPr>
            <w:r>
              <w:rPr>
                <w:spacing w:val="-10"/>
                <w:sz w:val="24"/>
              </w:rPr>
              <w:t>_</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ight="2"/>
              <w:rPr>
                <w:sz w:val="24"/>
              </w:rPr>
            </w:pPr>
            <w:r>
              <w:rPr>
                <w:spacing w:val="-10"/>
                <w:sz w:val="24"/>
              </w:rPr>
              <w:t>_</w:t>
            </w:r>
          </w:p>
        </w:tc>
        <w:tc>
          <w:tcPr>
            <w:tcW w:w="1241" w:type="dxa"/>
          </w:tcPr>
          <w:p>
            <w:pPr>
              <w:pStyle w:val="TableParagraph"/>
              <w:spacing w:line="240" w:lineRule="auto" w:before="124"/>
              <w:ind w:left="79"/>
              <w:rPr>
                <w:sz w:val="24"/>
              </w:rPr>
            </w:pPr>
            <w:r>
              <w:rPr>
                <w:spacing w:val="-10"/>
                <w:sz w:val="24"/>
              </w:rPr>
              <w:t>1</w:t>
            </w:r>
          </w:p>
        </w:tc>
        <w:tc>
          <w:tcPr>
            <w:tcW w:w="2469" w:type="dxa"/>
          </w:tcPr>
          <w:p>
            <w:pPr>
              <w:pStyle w:val="TableParagraph"/>
              <w:spacing w:line="240" w:lineRule="auto" w:before="124"/>
              <w:ind w:left="284"/>
              <w:jc w:val="left"/>
              <w:rPr>
                <w:sz w:val="24"/>
              </w:rPr>
            </w:pPr>
            <w:r>
              <w:rPr>
                <w:sz w:val="24"/>
              </w:rPr>
              <w:t>1</w:t>
            </w:r>
            <w:r>
              <w:rPr>
                <w:spacing w:val="-5"/>
                <w:sz w:val="24"/>
              </w:rPr>
              <w:t> </w:t>
            </w:r>
            <w:r>
              <w:rPr>
                <w:spacing w:val="-2"/>
                <w:sz w:val="24"/>
              </w:rPr>
              <w:t>(0.65%)</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Providencia</w:t>
            </w:r>
            <w:r>
              <w:rPr>
                <w:i/>
                <w:spacing w:val="4"/>
                <w:sz w:val="24"/>
              </w:rPr>
              <w:t> </w:t>
            </w:r>
            <w:r>
              <w:rPr>
                <w:i/>
                <w:spacing w:val="-5"/>
                <w:sz w:val="24"/>
              </w:rPr>
              <w:t>spp</w:t>
            </w:r>
          </w:p>
        </w:tc>
        <w:tc>
          <w:tcPr>
            <w:tcW w:w="1087" w:type="dxa"/>
          </w:tcPr>
          <w:p>
            <w:pPr>
              <w:pStyle w:val="TableParagraph"/>
              <w:spacing w:line="240" w:lineRule="auto" w:before="124"/>
              <w:ind w:left="59"/>
              <w:rPr>
                <w:sz w:val="24"/>
              </w:rPr>
            </w:pPr>
            <w:r>
              <w:rPr>
                <w:spacing w:val="-10"/>
                <w:sz w:val="24"/>
              </w:rPr>
              <w:t>2</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ight="2"/>
              <w:rPr>
                <w:sz w:val="24"/>
              </w:rPr>
            </w:pPr>
            <w:r>
              <w:rPr>
                <w:spacing w:val="-10"/>
                <w:sz w:val="24"/>
              </w:rPr>
              <w:t>_</w:t>
            </w:r>
          </w:p>
        </w:tc>
        <w:tc>
          <w:tcPr>
            <w:tcW w:w="1241" w:type="dxa"/>
          </w:tcPr>
          <w:p>
            <w:pPr>
              <w:pStyle w:val="TableParagraph"/>
              <w:spacing w:line="240" w:lineRule="auto" w:before="124"/>
              <w:ind w:left="79"/>
              <w:rPr>
                <w:sz w:val="24"/>
              </w:rPr>
            </w:pPr>
            <w:r>
              <w:rPr>
                <w:spacing w:val="-10"/>
                <w:sz w:val="24"/>
              </w:rPr>
              <w:t>3</w:t>
            </w:r>
          </w:p>
        </w:tc>
        <w:tc>
          <w:tcPr>
            <w:tcW w:w="2469" w:type="dxa"/>
          </w:tcPr>
          <w:p>
            <w:pPr>
              <w:pStyle w:val="TableParagraph"/>
              <w:spacing w:line="240" w:lineRule="auto" w:before="124"/>
              <w:ind w:left="284"/>
              <w:jc w:val="left"/>
              <w:rPr>
                <w:sz w:val="24"/>
              </w:rPr>
            </w:pPr>
            <w:r>
              <w:rPr>
                <w:sz w:val="24"/>
              </w:rPr>
              <w:t>5</w:t>
            </w:r>
            <w:r>
              <w:rPr>
                <w:spacing w:val="-5"/>
                <w:sz w:val="24"/>
              </w:rPr>
              <w:t> </w:t>
            </w:r>
            <w:r>
              <w:rPr>
                <w:spacing w:val="-2"/>
                <w:sz w:val="24"/>
              </w:rPr>
              <w:t>(3.27%)</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Enterobacter</w:t>
            </w:r>
            <w:r>
              <w:rPr>
                <w:i/>
                <w:spacing w:val="8"/>
                <w:sz w:val="24"/>
              </w:rPr>
              <w:t> </w:t>
            </w:r>
            <w:r>
              <w:rPr>
                <w:i/>
                <w:spacing w:val="-5"/>
                <w:sz w:val="24"/>
              </w:rPr>
              <w:t>spp</w:t>
            </w:r>
          </w:p>
        </w:tc>
        <w:tc>
          <w:tcPr>
            <w:tcW w:w="1087" w:type="dxa"/>
          </w:tcPr>
          <w:p>
            <w:pPr>
              <w:pStyle w:val="TableParagraph"/>
              <w:spacing w:line="240" w:lineRule="auto" w:before="124"/>
              <w:ind w:left="59"/>
              <w:rPr>
                <w:sz w:val="24"/>
              </w:rPr>
            </w:pPr>
            <w:r>
              <w:rPr>
                <w:spacing w:val="-10"/>
                <w:sz w:val="24"/>
              </w:rPr>
              <w:t>6</w:t>
            </w:r>
          </w:p>
        </w:tc>
        <w:tc>
          <w:tcPr>
            <w:tcW w:w="1399" w:type="dxa"/>
          </w:tcPr>
          <w:p>
            <w:pPr>
              <w:pStyle w:val="TableParagraph"/>
              <w:spacing w:line="240" w:lineRule="auto" w:before="124"/>
              <w:ind w:left="40" w:right="5"/>
              <w:rPr>
                <w:sz w:val="24"/>
              </w:rPr>
            </w:pPr>
            <w:r>
              <w:rPr>
                <w:spacing w:val="-5"/>
                <w:sz w:val="24"/>
              </w:rPr>
              <w:t>28</w:t>
            </w:r>
          </w:p>
        </w:tc>
        <w:tc>
          <w:tcPr>
            <w:tcW w:w="1339" w:type="dxa"/>
          </w:tcPr>
          <w:p>
            <w:pPr>
              <w:pStyle w:val="TableParagraph"/>
              <w:spacing w:line="240" w:lineRule="auto" w:before="124"/>
              <w:ind w:left="19"/>
              <w:rPr>
                <w:sz w:val="24"/>
              </w:rPr>
            </w:pPr>
            <w:r>
              <w:rPr>
                <w:spacing w:val="-10"/>
                <w:sz w:val="24"/>
              </w:rPr>
              <w:t>5</w:t>
            </w:r>
          </w:p>
        </w:tc>
        <w:tc>
          <w:tcPr>
            <w:tcW w:w="1241" w:type="dxa"/>
          </w:tcPr>
          <w:p>
            <w:pPr>
              <w:pStyle w:val="TableParagraph"/>
              <w:spacing w:line="240" w:lineRule="auto" w:before="124"/>
              <w:ind w:left="79" w:right="5"/>
              <w:rPr>
                <w:sz w:val="24"/>
              </w:rPr>
            </w:pPr>
            <w:r>
              <w:rPr>
                <w:spacing w:val="-5"/>
                <w:sz w:val="24"/>
              </w:rPr>
              <w:t>17</w:t>
            </w:r>
          </w:p>
        </w:tc>
        <w:tc>
          <w:tcPr>
            <w:tcW w:w="2469" w:type="dxa"/>
          </w:tcPr>
          <w:p>
            <w:pPr>
              <w:pStyle w:val="TableParagraph"/>
              <w:spacing w:line="240" w:lineRule="auto" w:before="124"/>
              <w:ind w:left="251"/>
              <w:jc w:val="left"/>
              <w:rPr>
                <w:sz w:val="24"/>
              </w:rPr>
            </w:pPr>
            <w:r>
              <w:rPr>
                <w:spacing w:val="-2"/>
                <w:sz w:val="24"/>
              </w:rPr>
              <w:t>56(36.6%)</w:t>
            </w:r>
          </w:p>
        </w:tc>
      </w:tr>
      <w:tr>
        <w:trPr>
          <w:trHeight w:val="585" w:hRule="atLeast"/>
        </w:trPr>
        <w:tc>
          <w:tcPr>
            <w:tcW w:w="2046" w:type="dxa"/>
          </w:tcPr>
          <w:p>
            <w:pPr>
              <w:pStyle w:val="TableParagraph"/>
              <w:spacing w:line="240" w:lineRule="auto" w:before="124"/>
              <w:ind w:left="110"/>
              <w:jc w:val="left"/>
              <w:rPr>
                <w:i/>
                <w:sz w:val="24"/>
              </w:rPr>
            </w:pPr>
            <w:r>
              <w:rPr>
                <w:i/>
                <w:sz w:val="24"/>
              </w:rPr>
              <w:t>Citrobacter</w:t>
            </w:r>
            <w:r>
              <w:rPr>
                <w:i/>
                <w:spacing w:val="-13"/>
                <w:sz w:val="24"/>
              </w:rPr>
              <w:t> </w:t>
            </w:r>
            <w:r>
              <w:rPr>
                <w:i/>
                <w:spacing w:val="-5"/>
                <w:sz w:val="24"/>
              </w:rPr>
              <w:t>spp</w:t>
            </w:r>
          </w:p>
        </w:tc>
        <w:tc>
          <w:tcPr>
            <w:tcW w:w="1087" w:type="dxa"/>
          </w:tcPr>
          <w:p>
            <w:pPr>
              <w:pStyle w:val="TableParagraph"/>
              <w:spacing w:line="240" w:lineRule="auto" w:before="124"/>
              <w:ind w:left="59"/>
              <w:rPr>
                <w:sz w:val="24"/>
              </w:rPr>
            </w:pPr>
            <w:r>
              <w:rPr>
                <w:spacing w:val="-10"/>
                <w:sz w:val="24"/>
              </w:rPr>
              <w:t>1</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ight="2"/>
              <w:rPr>
                <w:sz w:val="24"/>
              </w:rPr>
            </w:pPr>
            <w:r>
              <w:rPr>
                <w:spacing w:val="-10"/>
                <w:sz w:val="24"/>
              </w:rPr>
              <w:t>_</w:t>
            </w:r>
          </w:p>
        </w:tc>
        <w:tc>
          <w:tcPr>
            <w:tcW w:w="1241" w:type="dxa"/>
          </w:tcPr>
          <w:p>
            <w:pPr>
              <w:pStyle w:val="TableParagraph"/>
              <w:spacing w:line="240" w:lineRule="auto" w:before="124"/>
              <w:ind w:left="79" w:right="2"/>
              <w:rPr>
                <w:sz w:val="24"/>
              </w:rPr>
            </w:pPr>
            <w:r>
              <w:rPr>
                <w:spacing w:val="-10"/>
                <w:sz w:val="24"/>
              </w:rPr>
              <w:t>_</w:t>
            </w:r>
          </w:p>
        </w:tc>
        <w:tc>
          <w:tcPr>
            <w:tcW w:w="2469" w:type="dxa"/>
          </w:tcPr>
          <w:p>
            <w:pPr>
              <w:pStyle w:val="TableParagraph"/>
              <w:spacing w:line="240" w:lineRule="auto" w:before="124"/>
              <w:ind w:left="284"/>
              <w:jc w:val="left"/>
              <w:rPr>
                <w:sz w:val="24"/>
              </w:rPr>
            </w:pPr>
            <w:r>
              <w:rPr>
                <w:sz w:val="24"/>
              </w:rPr>
              <w:t>1</w:t>
            </w:r>
            <w:r>
              <w:rPr>
                <w:spacing w:val="-5"/>
                <w:sz w:val="24"/>
              </w:rPr>
              <w:t> </w:t>
            </w:r>
            <w:r>
              <w:rPr>
                <w:spacing w:val="-2"/>
                <w:sz w:val="24"/>
              </w:rPr>
              <w:t>(0.65%)</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Klebsiella</w:t>
            </w:r>
            <w:r>
              <w:rPr>
                <w:i/>
                <w:spacing w:val="1"/>
                <w:sz w:val="24"/>
              </w:rPr>
              <w:t> </w:t>
            </w:r>
            <w:r>
              <w:rPr>
                <w:i/>
                <w:spacing w:val="-5"/>
                <w:sz w:val="24"/>
              </w:rPr>
              <w:t>spp</w:t>
            </w:r>
          </w:p>
        </w:tc>
        <w:tc>
          <w:tcPr>
            <w:tcW w:w="1087" w:type="dxa"/>
          </w:tcPr>
          <w:p>
            <w:pPr>
              <w:pStyle w:val="TableParagraph"/>
              <w:spacing w:line="240" w:lineRule="auto" w:before="124"/>
              <w:ind w:left="59"/>
              <w:rPr>
                <w:sz w:val="24"/>
              </w:rPr>
            </w:pPr>
            <w:r>
              <w:rPr>
                <w:spacing w:val="-10"/>
                <w:sz w:val="24"/>
              </w:rPr>
              <w:t>1</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ight="2"/>
              <w:rPr>
                <w:sz w:val="24"/>
              </w:rPr>
            </w:pPr>
            <w:r>
              <w:rPr>
                <w:spacing w:val="-10"/>
                <w:sz w:val="24"/>
              </w:rPr>
              <w:t>_</w:t>
            </w:r>
          </w:p>
        </w:tc>
        <w:tc>
          <w:tcPr>
            <w:tcW w:w="1241" w:type="dxa"/>
          </w:tcPr>
          <w:p>
            <w:pPr>
              <w:pStyle w:val="TableParagraph"/>
              <w:spacing w:line="240" w:lineRule="auto" w:before="124"/>
              <w:ind w:left="79"/>
              <w:rPr>
                <w:sz w:val="24"/>
              </w:rPr>
            </w:pPr>
            <w:r>
              <w:rPr>
                <w:spacing w:val="-10"/>
                <w:sz w:val="24"/>
              </w:rPr>
              <w:t>1</w:t>
            </w:r>
          </w:p>
        </w:tc>
        <w:tc>
          <w:tcPr>
            <w:tcW w:w="2469" w:type="dxa"/>
          </w:tcPr>
          <w:p>
            <w:pPr>
              <w:pStyle w:val="TableParagraph"/>
              <w:spacing w:line="240" w:lineRule="auto" w:before="124"/>
              <w:ind w:left="284"/>
              <w:jc w:val="left"/>
              <w:rPr>
                <w:sz w:val="24"/>
              </w:rPr>
            </w:pPr>
            <w:r>
              <w:rPr>
                <w:sz w:val="24"/>
              </w:rPr>
              <w:t>2</w:t>
            </w:r>
            <w:r>
              <w:rPr>
                <w:spacing w:val="-5"/>
                <w:sz w:val="24"/>
              </w:rPr>
              <w:t> </w:t>
            </w:r>
            <w:r>
              <w:rPr>
                <w:spacing w:val="-2"/>
                <w:sz w:val="24"/>
              </w:rPr>
              <w:t>(1.31%)</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Yersinia</w:t>
            </w:r>
            <w:r>
              <w:rPr>
                <w:i/>
                <w:spacing w:val="2"/>
                <w:sz w:val="24"/>
              </w:rPr>
              <w:t> </w:t>
            </w:r>
            <w:r>
              <w:rPr>
                <w:i/>
                <w:spacing w:val="-5"/>
                <w:sz w:val="24"/>
              </w:rPr>
              <w:t>spp</w:t>
            </w:r>
          </w:p>
        </w:tc>
        <w:tc>
          <w:tcPr>
            <w:tcW w:w="1087" w:type="dxa"/>
          </w:tcPr>
          <w:p>
            <w:pPr>
              <w:pStyle w:val="TableParagraph"/>
              <w:spacing w:line="240" w:lineRule="auto" w:before="124"/>
              <w:ind w:left="59" w:right="2"/>
              <w:rPr>
                <w:sz w:val="24"/>
              </w:rPr>
            </w:pPr>
            <w:r>
              <w:rPr>
                <w:spacing w:val="-10"/>
                <w:sz w:val="24"/>
              </w:rPr>
              <w:t>_</w:t>
            </w:r>
          </w:p>
        </w:tc>
        <w:tc>
          <w:tcPr>
            <w:tcW w:w="1399" w:type="dxa"/>
          </w:tcPr>
          <w:p>
            <w:pPr>
              <w:pStyle w:val="TableParagraph"/>
              <w:spacing w:line="240" w:lineRule="auto" w:before="124"/>
              <w:ind w:left="40" w:right="2"/>
              <w:rPr>
                <w:sz w:val="24"/>
              </w:rPr>
            </w:pPr>
            <w:r>
              <w:rPr>
                <w:spacing w:val="-10"/>
                <w:sz w:val="24"/>
              </w:rPr>
              <w:t>_</w:t>
            </w:r>
          </w:p>
        </w:tc>
        <w:tc>
          <w:tcPr>
            <w:tcW w:w="1339" w:type="dxa"/>
          </w:tcPr>
          <w:p>
            <w:pPr>
              <w:pStyle w:val="TableParagraph"/>
              <w:spacing w:line="240" w:lineRule="auto" w:before="124"/>
              <w:ind w:left="19"/>
              <w:rPr>
                <w:sz w:val="24"/>
              </w:rPr>
            </w:pPr>
            <w:r>
              <w:rPr>
                <w:spacing w:val="-10"/>
                <w:sz w:val="24"/>
              </w:rPr>
              <w:t>1</w:t>
            </w:r>
          </w:p>
        </w:tc>
        <w:tc>
          <w:tcPr>
            <w:tcW w:w="1241" w:type="dxa"/>
          </w:tcPr>
          <w:p>
            <w:pPr>
              <w:pStyle w:val="TableParagraph"/>
              <w:spacing w:line="240" w:lineRule="auto" w:before="124"/>
              <w:ind w:left="79" w:right="2"/>
              <w:rPr>
                <w:sz w:val="24"/>
              </w:rPr>
            </w:pPr>
            <w:r>
              <w:rPr>
                <w:spacing w:val="-10"/>
                <w:sz w:val="24"/>
              </w:rPr>
              <w:t>_</w:t>
            </w:r>
          </w:p>
        </w:tc>
        <w:tc>
          <w:tcPr>
            <w:tcW w:w="2469" w:type="dxa"/>
          </w:tcPr>
          <w:p>
            <w:pPr>
              <w:pStyle w:val="TableParagraph"/>
              <w:spacing w:line="240" w:lineRule="auto" w:before="124"/>
              <w:ind w:left="284"/>
              <w:jc w:val="left"/>
              <w:rPr>
                <w:sz w:val="24"/>
              </w:rPr>
            </w:pPr>
            <w:r>
              <w:rPr>
                <w:sz w:val="24"/>
              </w:rPr>
              <w:t>1</w:t>
            </w:r>
            <w:r>
              <w:rPr>
                <w:spacing w:val="-5"/>
                <w:sz w:val="24"/>
              </w:rPr>
              <w:t> </w:t>
            </w:r>
            <w:r>
              <w:rPr>
                <w:spacing w:val="-2"/>
                <w:sz w:val="24"/>
              </w:rPr>
              <w:t>(0.65%)</w:t>
            </w:r>
          </w:p>
        </w:tc>
      </w:tr>
      <w:tr>
        <w:trPr>
          <w:trHeight w:val="585" w:hRule="atLeast"/>
        </w:trPr>
        <w:tc>
          <w:tcPr>
            <w:tcW w:w="2046" w:type="dxa"/>
          </w:tcPr>
          <w:p>
            <w:pPr>
              <w:pStyle w:val="TableParagraph"/>
              <w:spacing w:line="240" w:lineRule="auto" w:before="124"/>
              <w:ind w:left="110"/>
              <w:jc w:val="left"/>
              <w:rPr>
                <w:i/>
                <w:sz w:val="24"/>
              </w:rPr>
            </w:pPr>
            <w:r>
              <w:rPr>
                <w:i/>
                <w:spacing w:val="-2"/>
                <w:sz w:val="24"/>
              </w:rPr>
              <w:t>Pseudomonas</w:t>
            </w:r>
            <w:r>
              <w:rPr>
                <w:i/>
                <w:spacing w:val="5"/>
                <w:sz w:val="24"/>
              </w:rPr>
              <w:t> </w:t>
            </w:r>
            <w:r>
              <w:rPr>
                <w:i/>
                <w:spacing w:val="-5"/>
                <w:sz w:val="24"/>
              </w:rPr>
              <w:t>spp</w:t>
            </w:r>
          </w:p>
        </w:tc>
        <w:tc>
          <w:tcPr>
            <w:tcW w:w="1087" w:type="dxa"/>
          </w:tcPr>
          <w:p>
            <w:pPr>
              <w:pStyle w:val="TableParagraph"/>
              <w:spacing w:line="240" w:lineRule="auto" w:before="124"/>
              <w:ind w:left="59" w:right="5"/>
              <w:rPr>
                <w:sz w:val="24"/>
              </w:rPr>
            </w:pPr>
            <w:r>
              <w:rPr>
                <w:spacing w:val="-5"/>
                <w:sz w:val="24"/>
              </w:rPr>
              <w:t>23</w:t>
            </w:r>
          </w:p>
        </w:tc>
        <w:tc>
          <w:tcPr>
            <w:tcW w:w="1399" w:type="dxa"/>
          </w:tcPr>
          <w:p>
            <w:pPr>
              <w:pStyle w:val="TableParagraph"/>
              <w:spacing w:line="240" w:lineRule="auto" w:before="124"/>
              <w:ind w:left="40"/>
              <w:rPr>
                <w:sz w:val="24"/>
              </w:rPr>
            </w:pPr>
            <w:r>
              <w:rPr>
                <w:spacing w:val="-10"/>
                <w:sz w:val="24"/>
              </w:rPr>
              <w:t>4</w:t>
            </w:r>
          </w:p>
        </w:tc>
        <w:tc>
          <w:tcPr>
            <w:tcW w:w="1339" w:type="dxa"/>
          </w:tcPr>
          <w:p>
            <w:pPr>
              <w:pStyle w:val="TableParagraph"/>
              <w:spacing w:line="240" w:lineRule="auto" w:before="124"/>
              <w:ind w:left="19"/>
              <w:rPr>
                <w:sz w:val="24"/>
              </w:rPr>
            </w:pPr>
            <w:r>
              <w:rPr>
                <w:spacing w:val="-10"/>
                <w:sz w:val="24"/>
              </w:rPr>
              <w:t>9</w:t>
            </w:r>
          </w:p>
        </w:tc>
        <w:tc>
          <w:tcPr>
            <w:tcW w:w="1241" w:type="dxa"/>
          </w:tcPr>
          <w:p>
            <w:pPr>
              <w:pStyle w:val="TableParagraph"/>
              <w:spacing w:line="240" w:lineRule="auto" w:before="124"/>
              <w:ind w:left="79" w:right="5"/>
              <w:rPr>
                <w:sz w:val="24"/>
              </w:rPr>
            </w:pPr>
            <w:r>
              <w:rPr>
                <w:spacing w:val="-5"/>
                <w:sz w:val="24"/>
              </w:rPr>
              <w:t>22</w:t>
            </w:r>
          </w:p>
        </w:tc>
        <w:tc>
          <w:tcPr>
            <w:tcW w:w="2469" w:type="dxa"/>
          </w:tcPr>
          <w:p>
            <w:pPr>
              <w:pStyle w:val="TableParagraph"/>
              <w:spacing w:line="240" w:lineRule="auto" w:before="124"/>
              <w:ind w:left="222"/>
              <w:jc w:val="left"/>
              <w:rPr>
                <w:sz w:val="24"/>
              </w:rPr>
            </w:pPr>
            <w:r>
              <w:rPr>
                <w:sz w:val="24"/>
              </w:rPr>
              <w:t>58</w:t>
            </w:r>
            <w:r>
              <w:rPr>
                <w:spacing w:val="-8"/>
                <w:sz w:val="24"/>
              </w:rPr>
              <w:t> </w:t>
            </w:r>
            <w:r>
              <w:rPr>
                <w:spacing w:val="-2"/>
                <w:sz w:val="24"/>
              </w:rPr>
              <w:t>(37.9%)</w:t>
            </w:r>
          </w:p>
        </w:tc>
      </w:tr>
      <w:tr>
        <w:trPr>
          <w:trHeight w:val="707" w:hRule="atLeast"/>
        </w:trPr>
        <w:tc>
          <w:tcPr>
            <w:tcW w:w="2046" w:type="dxa"/>
            <w:tcBorders>
              <w:bottom w:val="single" w:sz="4" w:space="0" w:color="000000"/>
            </w:tcBorders>
          </w:tcPr>
          <w:p>
            <w:pPr>
              <w:pStyle w:val="TableParagraph"/>
              <w:spacing w:line="240" w:lineRule="auto" w:before="124"/>
              <w:ind w:left="110"/>
              <w:jc w:val="left"/>
              <w:rPr>
                <w:i/>
                <w:sz w:val="24"/>
              </w:rPr>
            </w:pPr>
            <w:r>
              <w:rPr>
                <w:i/>
                <w:spacing w:val="-2"/>
                <w:sz w:val="24"/>
              </w:rPr>
              <w:t>Staphylococci</w:t>
            </w:r>
            <w:r>
              <w:rPr>
                <w:i/>
                <w:spacing w:val="5"/>
                <w:sz w:val="24"/>
              </w:rPr>
              <w:t> </w:t>
            </w:r>
            <w:r>
              <w:rPr>
                <w:i/>
                <w:spacing w:val="-5"/>
                <w:sz w:val="24"/>
              </w:rPr>
              <w:t>spp</w:t>
            </w:r>
          </w:p>
        </w:tc>
        <w:tc>
          <w:tcPr>
            <w:tcW w:w="1087" w:type="dxa"/>
            <w:tcBorders>
              <w:bottom w:val="single" w:sz="4" w:space="0" w:color="000000"/>
            </w:tcBorders>
          </w:tcPr>
          <w:p>
            <w:pPr>
              <w:pStyle w:val="TableParagraph"/>
              <w:spacing w:line="240" w:lineRule="auto" w:before="124"/>
              <w:ind w:left="59"/>
              <w:rPr>
                <w:sz w:val="24"/>
              </w:rPr>
            </w:pPr>
            <w:r>
              <w:rPr>
                <w:spacing w:val="-10"/>
                <w:sz w:val="24"/>
              </w:rPr>
              <w:t>3</w:t>
            </w:r>
          </w:p>
        </w:tc>
        <w:tc>
          <w:tcPr>
            <w:tcW w:w="1399" w:type="dxa"/>
            <w:tcBorders>
              <w:bottom w:val="single" w:sz="4" w:space="0" w:color="000000"/>
            </w:tcBorders>
          </w:tcPr>
          <w:p>
            <w:pPr>
              <w:pStyle w:val="TableParagraph"/>
              <w:spacing w:line="240" w:lineRule="auto" w:before="124"/>
              <w:ind w:left="40" w:right="2"/>
              <w:rPr>
                <w:sz w:val="24"/>
              </w:rPr>
            </w:pPr>
            <w:r>
              <w:rPr>
                <w:spacing w:val="-10"/>
                <w:sz w:val="24"/>
              </w:rPr>
              <w:t>_</w:t>
            </w:r>
          </w:p>
        </w:tc>
        <w:tc>
          <w:tcPr>
            <w:tcW w:w="1339" w:type="dxa"/>
            <w:tcBorders>
              <w:bottom w:val="single" w:sz="4" w:space="0" w:color="000000"/>
            </w:tcBorders>
          </w:tcPr>
          <w:p>
            <w:pPr>
              <w:pStyle w:val="TableParagraph"/>
              <w:spacing w:line="240" w:lineRule="auto" w:before="124"/>
              <w:ind w:left="19"/>
              <w:rPr>
                <w:sz w:val="24"/>
              </w:rPr>
            </w:pPr>
            <w:r>
              <w:rPr>
                <w:spacing w:val="-10"/>
                <w:sz w:val="24"/>
              </w:rPr>
              <w:t>1</w:t>
            </w:r>
          </w:p>
        </w:tc>
        <w:tc>
          <w:tcPr>
            <w:tcW w:w="1241" w:type="dxa"/>
            <w:tcBorders>
              <w:bottom w:val="single" w:sz="4" w:space="0" w:color="000000"/>
            </w:tcBorders>
          </w:tcPr>
          <w:p>
            <w:pPr>
              <w:pStyle w:val="TableParagraph"/>
              <w:spacing w:line="240" w:lineRule="auto" w:before="124"/>
              <w:ind w:left="79"/>
              <w:rPr>
                <w:sz w:val="24"/>
              </w:rPr>
            </w:pPr>
            <w:r>
              <w:rPr>
                <w:spacing w:val="-10"/>
                <w:sz w:val="24"/>
              </w:rPr>
              <w:t>1</w:t>
            </w:r>
          </w:p>
        </w:tc>
        <w:tc>
          <w:tcPr>
            <w:tcW w:w="2469" w:type="dxa"/>
            <w:tcBorders>
              <w:bottom w:val="single" w:sz="4" w:space="0" w:color="000000"/>
            </w:tcBorders>
          </w:tcPr>
          <w:p>
            <w:pPr>
              <w:pStyle w:val="TableParagraph"/>
              <w:spacing w:line="240" w:lineRule="auto" w:before="124"/>
              <w:ind w:left="284"/>
              <w:jc w:val="left"/>
              <w:rPr>
                <w:sz w:val="24"/>
              </w:rPr>
            </w:pPr>
            <w:r>
              <w:rPr>
                <w:sz w:val="24"/>
              </w:rPr>
              <w:t>5</w:t>
            </w:r>
            <w:r>
              <w:rPr>
                <w:spacing w:val="-5"/>
                <w:sz w:val="24"/>
              </w:rPr>
              <w:t> </w:t>
            </w:r>
            <w:r>
              <w:rPr>
                <w:spacing w:val="-2"/>
                <w:sz w:val="24"/>
              </w:rPr>
              <w:t>(3.27%)</w:t>
            </w:r>
          </w:p>
        </w:tc>
      </w:tr>
      <w:tr>
        <w:trPr>
          <w:trHeight w:val="295" w:hRule="atLeast"/>
        </w:trPr>
        <w:tc>
          <w:tcPr>
            <w:tcW w:w="2046" w:type="dxa"/>
            <w:tcBorders>
              <w:top w:val="single" w:sz="4" w:space="0" w:color="000000"/>
            </w:tcBorders>
          </w:tcPr>
          <w:p>
            <w:pPr>
              <w:pStyle w:val="TableParagraph"/>
              <w:spacing w:line="269" w:lineRule="exact" w:before="6"/>
              <w:ind w:left="110"/>
              <w:jc w:val="left"/>
              <w:rPr>
                <w:b/>
                <w:sz w:val="24"/>
              </w:rPr>
            </w:pPr>
            <w:r>
              <w:rPr>
                <w:b/>
                <w:spacing w:val="-2"/>
                <w:sz w:val="24"/>
              </w:rPr>
              <w:t>Total</w:t>
            </w:r>
          </w:p>
        </w:tc>
        <w:tc>
          <w:tcPr>
            <w:tcW w:w="1087" w:type="dxa"/>
            <w:tcBorders>
              <w:top w:val="single" w:sz="4" w:space="0" w:color="000000"/>
            </w:tcBorders>
          </w:tcPr>
          <w:p>
            <w:pPr>
              <w:pStyle w:val="TableParagraph"/>
              <w:spacing w:line="269" w:lineRule="exact" w:before="6"/>
              <w:ind w:left="59" w:right="5"/>
              <w:rPr>
                <w:sz w:val="24"/>
              </w:rPr>
            </w:pPr>
            <w:r>
              <w:rPr>
                <w:spacing w:val="-5"/>
                <w:sz w:val="24"/>
              </w:rPr>
              <w:t>42</w:t>
            </w:r>
          </w:p>
        </w:tc>
        <w:tc>
          <w:tcPr>
            <w:tcW w:w="1399" w:type="dxa"/>
            <w:tcBorders>
              <w:top w:val="single" w:sz="4" w:space="0" w:color="000000"/>
            </w:tcBorders>
          </w:tcPr>
          <w:p>
            <w:pPr>
              <w:pStyle w:val="TableParagraph"/>
              <w:spacing w:line="269" w:lineRule="exact" w:before="6"/>
              <w:ind w:left="40" w:right="5"/>
              <w:rPr>
                <w:sz w:val="24"/>
              </w:rPr>
            </w:pPr>
            <w:r>
              <w:rPr>
                <w:spacing w:val="-5"/>
                <w:sz w:val="24"/>
              </w:rPr>
              <w:t>33</w:t>
            </w:r>
          </w:p>
        </w:tc>
        <w:tc>
          <w:tcPr>
            <w:tcW w:w="1339" w:type="dxa"/>
            <w:tcBorders>
              <w:top w:val="single" w:sz="4" w:space="0" w:color="000000"/>
            </w:tcBorders>
          </w:tcPr>
          <w:p>
            <w:pPr>
              <w:pStyle w:val="TableParagraph"/>
              <w:spacing w:line="269" w:lineRule="exact" w:before="6"/>
              <w:ind w:left="19" w:right="5"/>
              <w:rPr>
                <w:sz w:val="24"/>
              </w:rPr>
            </w:pPr>
            <w:r>
              <w:rPr>
                <w:spacing w:val="-5"/>
                <w:sz w:val="24"/>
              </w:rPr>
              <w:t>19</w:t>
            </w:r>
          </w:p>
        </w:tc>
        <w:tc>
          <w:tcPr>
            <w:tcW w:w="1241" w:type="dxa"/>
            <w:tcBorders>
              <w:top w:val="single" w:sz="4" w:space="0" w:color="000000"/>
            </w:tcBorders>
          </w:tcPr>
          <w:p>
            <w:pPr>
              <w:pStyle w:val="TableParagraph"/>
              <w:spacing w:line="269" w:lineRule="exact" w:before="6"/>
              <w:ind w:left="79" w:right="5"/>
              <w:rPr>
                <w:sz w:val="24"/>
              </w:rPr>
            </w:pPr>
            <w:r>
              <w:rPr>
                <w:spacing w:val="-5"/>
                <w:sz w:val="24"/>
              </w:rPr>
              <w:t>59</w:t>
            </w:r>
          </w:p>
        </w:tc>
        <w:tc>
          <w:tcPr>
            <w:tcW w:w="2469" w:type="dxa"/>
            <w:tcBorders>
              <w:top w:val="single" w:sz="4" w:space="0" w:color="000000"/>
            </w:tcBorders>
          </w:tcPr>
          <w:p>
            <w:pPr>
              <w:pStyle w:val="TableParagraph"/>
              <w:spacing w:line="269" w:lineRule="exact" w:before="6"/>
              <w:ind w:left="563"/>
              <w:jc w:val="left"/>
              <w:rPr>
                <w:sz w:val="24"/>
              </w:rPr>
            </w:pPr>
            <w:r>
              <w:rPr>
                <w:spacing w:val="-5"/>
                <w:sz w:val="24"/>
              </w:rPr>
              <w:t>153</w:t>
            </w:r>
          </w:p>
        </w:tc>
      </w:tr>
    </w:tbl>
    <w:p>
      <w:pPr>
        <w:pStyle w:val="BodyText"/>
        <w:spacing w:before="28"/>
        <w:rPr>
          <w:b/>
          <w:sz w:val="20"/>
        </w:rPr>
      </w:pPr>
      <w:r>
        <w:rPr/>
        <mc:AlternateContent>
          <mc:Choice Requires="wps">
            <w:drawing>
              <wp:anchor distT="0" distB="0" distL="0" distR="0" allowOverlap="1" layoutInCell="1" locked="0" behindDoc="1" simplePos="0" relativeHeight="487596032">
                <wp:simplePos x="0" y="0"/>
                <wp:positionH relativeFrom="page">
                  <wp:posOffset>835152</wp:posOffset>
                </wp:positionH>
                <wp:positionV relativeFrom="paragraph">
                  <wp:posOffset>188049</wp:posOffset>
                </wp:positionV>
                <wp:extent cx="6093460"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4.807023pt;width:479.760023pt;height:.48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rPr>
      </w:pPr>
    </w:p>
    <w:p>
      <w:pPr>
        <w:spacing w:before="0"/>
        <w:ind w:left="828" w:right="0" w:firstLine="0"/>
        <w:jc w:val="left"/>
        <w:rPr>
          <w:b/>
          <w:sz w:val="22"/>
        </w:rPr>
      </w:pPr>
      <w:r>
        <w:rPr>
          <w:b/>
          <w:sz w:val="22"/>
        </w:rPr>
        <w:t>Table</w:t>
      </w:r>
      <w:r>
        <w:rPr>
          <w:b/>
          <w:spacing w:val="-8"/>
          <w:sz w:val="22"/>
        </w:rPr>
        <w:t> </w:t>
      </w:r>
      <w:r>
        <w:rPr>
          <w:b/>
          <w:sz w:val="22"/>
        </w:rPr>
        <w:t>4.4:</w:t>
      </w:r>
      <w:r>
        <w:rPr>
          <w:b/>
          <w:spacing w:val="-4"/>
          <w:sz w:val="22"/>
        </w:rPr>
        <w:t> </w:t>
      </w:r>
      <w:r>
        <w:rPr>
          <w:b/>
          <w:sz w:val="22"/>
        </w:rPr>
        <w:t>Distribution</w:t>
      </w:r>
      <w:r>
        <w:rPr>
          <w:b/>
          <w:spacing w:val="-4"/>
          <w:sz w:val="22"/>
        </w:rPr>
        <w:t> </w:t>
      </w:r>
      <w:r>
        <w:rPr>
          <w:b/>
          <w:sz w:val="22"/>
        </w:rPr>
        <w:t>of</w:t>
      </w:r>
      <w:r>
        <w:rPr>
          <w:b/>
          <w:spacing w:val="-3"/>
          <w:sz w:val="22"/>
        </w:rPr>
        <w:t> </w:t>
      </w:r>
      <w:r>
        <w:rPr>
          <w:b/>
          <w:sz w:val="22"/>
        </w:rPr>
        <w:t>Organisms</w:t>
      </w:r>
      <w:r>
        <w:rPr>
          <w:b/>
          <w:spacing w:val="-5"/>
          <w:sz w:val="22"/>
        </w:rPr>
        <w:t> </w:t>
      </w:r>
      <w:r>
        <w:rPr>
          <w:b/>
          <w:sz w:val="22"/>
        </w:rPr>
        <w:t>in</w:t>
      </w:r>
      <w:r>
        <w:rPr>
          <w:b/>
          <w:spacing w:val="-4"/>
          <w:sz w:val="22"/>
        </w:rPr>
        <w:t> </w:t>
      </w:r>
      <w:r>
        <w:rPr>
          <w:b/>
          <w:sz w:val="22"/>
        </w:rPr>
        <w:t>Milk</w:t>
      </w:r>
      <w:r>
        <w:rPr>
          <w:b/>
          <w:spacing w:val="-5"/>
          <w:sz w:val="22"/>
        </w:rPr>
        <w:t> </w:t>
      </w:r>
      <w:r>
        <w:rPr>
          <w:b/>
          <w:sz w:val="22"/>
        </w:rPr>
        <w:t>Samples</w:t>
      </w:r>
      <w:r>
        <w:rPr>
          <w:b/>
          <w:spacing w:val="-2"/>
          <w:sz w:val="22"/>
        </w:rPr>
        <w:t> </w:t>
      </w:r>
      <w:r>
        <w:rPr>
          <w:b/>
          <w:sz w:val="22"/>
        </w:rPr>
        <w:t>based</w:t>
      </w:r>
      <w:r>
        <w:rPr>
          <w:b/>
          <w:spacing w:val="-3"/>
          <w:sz w:val="22"/>
        </w:rPr>
        <w:t> </w:t>
      </w:r>
      <w:r>
        <w:rPr>
          <w:b/>
          <w:sz w:val="22"/>
        </w:rPr>
        <w:t>on</w:t>
      </w:r>
      <w:r>
        <w:rPr>
          <w:b/>
          <w:spacing w:val="-4"/>
          <w:sz w:val="22"/>
        </w:rPr>
        <w:t> </w:t>
      </w:r>
      <w:r>
        <w:rPr>
          <w:b/>
          <w:sz w:val="22"/>
        </w:rPr>
        <w:t>Sampling</w:t>
      </w:r>
      <w:r>
        <w:rPr>
          <w:b/>
          <w:spacing w:val="-4"/>
          <w:sz w:val="22"/>
        </w:rPr>
        <w:t> </w:t>
      </w:r>
      <w:r>
        <w:rPr>
          <w:b/>
          <w:sz w:val="22"/>
        </w:rPr>
        <w:t>Locations</w:t>
      </w:r>
      <w:r>
        <w:rPr>
          <w:b/>
          <w:spacing w:val="-6"/>
          <w:sz w:val="22"/>
        </w:rPr>
        <w:t> </w:t>
      </w:r>
      <w:r>
        <w:rPr>
          <w:b/>
          <w:sz w:val="22"/>
        </w:rPr>
        <w:t>in</w:t>
      </w:r>
      <w:r>
        <w:rPr>
          <w:b/>
          <w:spacing w:val="-3"/>
          <w:sz w:val="22"/>
        </w:rPr>
        <w:t> </w:t>
      </w:r>
      <w:r>
        <w:rPr>
          <w:b/>
          <w:spacing w:val="-2"/>
          <w:sz w:val="22"/>
        </w:rPr>
        <w:t>Zaria</w:t>
      </w:r>
    </w:p>
    <w:p>
      <w:pPr>
        <w:pStyle w:val="BodyText"/>
        <w:spacing w:before="23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1312"/>
        <w:gridCol w:w="1497"/>
        <w:gridCol w:w="1658"/>
        <w:gridCol w:w="1530"/>
        <w:gridCol w:w="1593"/>
      </w:tblGrid>
      <w:tr>
        <w:trPr>
          <w:trHeight w:val="585" w:hRule="atLeast"/>
        </w:trPr>
        <w:tc>
          <w:tcPr>
            <w:tcW w:w="1990"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2"/>
                <w:sz w:val="24"/>
              </w:rPr>
              <w:t>Isolates</w:t>
            </w:r>
          </w:p>
        </w:tc>
        <w:tc>
          <w:tcPr>
            <w:tcW w:w="1312" w:type="dxa"/>
            <w:tcBorders>
              <w:top w:val="single" w:sz="4" w:space="0" w:color="000000"/>
              <w:bottom w:val="single" w:sz="4" w:space="0" w:color="000000"/>
            </w:tcBorders>
          </w:tcPr>
          <w:p>
            <w:pPr>
              <w:pStyle w:val="TableParagraph"/>
              <w:spacing w:line="240" w:lineRule="auto" w:before="1"/>
              <w:jc w:val="left"/>
              <w:rPr>
                <w:b/>
                <w:sz w:val="24"/>
              </w:rPr>
            </w:pPr>
          </w:p>
          <w:p>
            <w:pPr>
              <w:pStyle w:val="TableParagraph"/>
              <w:spacing w:line="271" w:lineRule="exact"/>
              <w:ind w:left="2" w:right="66"/>
              <w:rPr>
                <w:b/>
                <w:sz w:val="24"/>
              </w:rPr>
            </w:pPr>
            <w:r>
              <w:rPr>
                <w:b/>
                <w:spacing w:val="-2"/>
                <w:sz w:val="24"/>
              </w:rPr>
              <w:t>Samaru</w:t>
            </w:r>
          </w:p>
        </w:tc>
        <w:tc>
          <w:tcPr>
            <w:tcW w:w="1497" w:type="dxa"/>
            <w:tcBorders>
              <w:top w:val="single" w:sz="4" w:space="0" w:color="000000"/>
              <w:bottom w:val="single" w:sz="4" w:space="0" w:color="000000"/>
            </w:tcBorders>
          </w:tcPr>
          <w:p>
            <w:pPr>
              <w:pStyle w:val="TableParagraph"/>
              <w:spacing w:line="290" w:lineRule="atLeast"/>
              <w:ind w:left="240" w:right="178" w:firstLine="225"/>
              <w:jc w:val="left"/>
              <w:rPr>
                <w:b/>
                <w:sz w:val="24"/>
              </w:rPr>
            </w:pPr>
            <w:r>
              <w:rPr>
                <w:b/>
                <w:spacing w:val="-2"/>
                <w:sz w:val="24"/>
              </w:rPr>
              <w:t>Location </w:t>
            </w:r>
            <w:r>
              <w:rPr>
                <w:b/>
                <w:sz w:val="24"/>
              </w:rPr>
              <w:t>Sabo Gari</w:t>
            </w:r>
          </w:p>
        </w:tc>
        <w:tc>
          <w:tcPr>
            <w:tcW w:w="1658" w:type="dxa"/>
            <w:tcBorders>
              <w:top w:val="single" w:sz="4" w:space="0" w:color="000000"/>
              <w:bottom w:val="single" w:sz="4" w:space="0" w:color="000000"/>
            </w:tcBorders>
          </w:tcPr>
          <w:p>
            <w:pPr>
              <w:pStyle w:val="TableParagraph"/>
              <w:spacing w:line="240" w:lineRule="auto" w:before="1"/>
              <w:jc w:val="left"/>
              <w:rPr>
                <w:b/>
                <w:sz w:val="24"/>
              </w:rPr>
            </w:pPr>
          </w:p>
          <w:p>
            <w:pPr>
              <w:pStyle w:val="TableParagraph"/>
              <w:spacing w:line="271" w:lineRule="exact"/>
              <w:ind w:left="7" w:right="40"/>
              <w:rPr>
                <w:b/>
                <w:sz w:val="24"/>
              </w:rPr>
            </w:pPr>
            <w:r>
              <w:rPr>
                <w:b/>
                <w:spacing w:val="-2"/>
                <w:sz w:val="24"/>
              </w:rPr>
              <w:t>Tudun-</w:t>
            </w:r>
            <w:r>
              <w:rPr>
                <w:b/>
                <w:spacing w:val="-4"/>
                <w:sz w:val="24"/>
              </w:rPr>
              <w:t>wada</w:t>
            </w:r>
          </w:p>
        </w:tc>
        <w:tc>
          <w:tcPr>
            <w:tcW w:w="1530" w:type="dxa"/>
            <w:tcBorders>
              <w:top w:val="single" w:sz="4" w:space="0" w:color="000000"/>
              <w:bottom w:val="single" w:sz="4" w:space="0" w:color="000000"/>
            </w:tcBorders>
          </w:tcPr>
          <w:p>
            <w:pPr>
              <w:pStyle w:val="TableParagraph"/>
              <w:spacing w:line="240" w:lineRule="auto" w:before="1"/>
              <w:jc w:val="left"/>
              <w:rPr>
                <w:b/>
                <w:sz w:val="24"/>
              </w:rPr>
            </w:pPr>
          </w:p>
          <w:p>
            <w:pPr>
              <w:pStyle w:val="TableParagraph"/>
              <w:spacing w:line="271" w:lineRule="exact"/>
              <w:ind w:left="7" w:right="51"/>
              <w:rPr>
                <w:b/>
                <w:sz w:val="24"/>
              </w:rPr>
            </w:pPr>
            <w:r>
              <w:rPr>
                <w:b/>
                <w:spacing w:val="-2"/>
                <w:sz w:val="24"/>
              </w:rPr>
              <w:t>Wusasa</w:t>
            </w:r>
          </w:p>
        </w:tc>
        <w:tc>
          <w:tcPr>
            <w:tcW w:w="1593" w:type="dxa"/>
            <w:tcBorders>
              <w:top w:val="single" w:sz="4" w:space="0" w:color="000000"/>
              <w:bottom w:val="single" w:sz="4" w:space="0" w:color="000000"/>
            </w:tcBorders>
          </w:tcPr>
          <w:p>
            <w:pPr>
              <w:pStyle w:val="TableParagraph"/>
              <w:spacing w:line="240" w:lineRule="auto" w:before="1"/>
              <w:jc w:val="left"/>
              <w:rPr>
                <w:b/>
                <w:sz w:val="24"/>
              </w:rPr>
            </w:pPr>
          </w:p>
          <w:p>
            <w:pPr>
              <w:pStyle w:val="TableParagraph"/>
              <w:spacing w:line="271" w:lineRule="exact"/>
              <w:ind w:left="3" w:right="6"/>
              <w:rPr>
                <w:b/>
                <w:sz w:val="24"/>
              </w:rPr>
            </w:pPr>
            <w:r>
              <w:rPr>
                <w:b/>
                <w:spacing w:val="-2"/>
                <w:sz w:val="24"/>
              </w:rPr>
              <w:t>Zaria-</w:t>
            </w:r>
            <w:r>
              <w:rPr>
                <w:b/>
                <w:spacing w:val="-4"/>
                <w:sz w:val="24"/>
              </w:rPr>
              <w:t>city</w:t>
            </w:r>
          </w:p>
        </w:tc>
      </w:tr>
      <w:tr>
        <w:trPr>
          <w:trHeight w:val="461" w:hRule="atLeast"/>
        </w:trPr>
        <w:tc>
          <w:tcPr>
            <w:tcW w:w="1990" w:type="dxa"/>
            <w:tcBorders>
              <w:top w:val="single" w:sz="4" w:space="0" w:color="000000"/>
            </w:tcBorders>
          </w:tcPr>
          <w:p>
            <w:pPr>
              <w:pStyle w:val="TableParagraph"/>
              <w:spacing w:line="240" w:lineRule="auto" w:before="1"/>
              <w:ind w:left="110"/>
              <w:jc w:val="left"/>
              <w:rPr>
                <w:i/>
                <w:sz w:val="24"/>
              </w:rPr>
            </w:pPr>
            <w:r>
              <w:rPr>
                <w:i/>
                <w:sz w:val="24"/>
              </w:rPr>
              <w:t>E.</w:t>
            </w:r>
            <w:r>
              <w:rPr>
                <w:i/>
                <w:spacing w:val="-4"/>
                <w:sz w:val="24"/>
              </w:rPr>
              <w:t> coli</w:t>
            </w:r>
          </w:p>
        </w:tc>
        <w:tc>
          <w:tcPr>
            <w:tcW w:w="1312" w:type="dxa"/>
            <w:tcBorders>
              <w:top w:val="single" w:sz="4" w:space="0" w:color="000000"/>
            </w:tcBorders>
          </w:tcPr>
          <w:p>
            <w:pPr>
              <w:pStyle w:val="TableParagraph"/>
              <w:spacing w:line="240" w:lineRule="auto" w:before="1"/>
              <w:ind w:left="5" w:right="66"/>
              <w:rPr>
                <w:sz w:val="24"/>
              </w:rPr>
            </w:pPr>
            <w:r>
              <w:rPr>
                <w:spacing w:val="-10"/>
                <w:sz w:val="24"/>
              </w:rPr>
              <w:t>3</w:t>
            </w:r>
          </w:p>
        </w:tc>
        <w:tc>
          <w:tcPr>
            <w:tcW w:w="1497" w:type="dxa"/>
            <w:tcBorders>
              <w:top w:val="single" w:sz="4" w:space="0" w:color="000000"/>
            </w:tcBorders>
          </w:tcPr>
          <w:p>
            <w:pPr>
              <w:pStyle w:val="TableParagraph"/>
              <w:spacing w:line="240" w:lineRule="auto" w:before="1"/>
              <w:ind w:left="4" w:right="63"/>
              <w:rPr>
                <w:sz w:val="24"/>
              </w:rPr>
            </w:pPr>
            <w:r>
              <w:rPr>
                <w:spacing w:val="-10"/>
                <w:sz w:val="24"/>
              </w:rPr>
              <w:t>_</w:t>
            </w:r>
          </w:p>
        </w:tc>
        <w:tc>
          <w:tcPr>
            <w:tcW w:w="1658" w:type="dxa"/>
            <w:tcBorders>
              <w:top w:val="single" w:sz="4" w:space="0" w:color="000000"/>
            </w:tcBorders>
          </w:tcPr>
          <w:p>
            <w:pPr>
              <w:pStyle w:val="TableParagraph"/>
              <w:spacing w:line="240" w:lineRule="auto" w:before="1"/>
              <w:ind w:left="4" w:right="40"/>
              <w:rPr>
                <w:sz w:val="24"/>
              </w:rPr>
            </w:pPr>
            <w:r>
              <w:rPr>
                <w:spacing w:val="-10"/>
                <w:sz w:val="24"/>
              </w:rPr>
              <w:t>3</w:t>
            </w:r>
          </w:p>
        </w:tc>
        <w:tc>
          <w:tcPr>
            <w:tcW w:w="1530" w:type="dxa"/>
            <w:tcBorders>
              <w:top w:val="single" w:sz="4" w:space="0" w:color="000000"/>
            </w:tcBorders>
          </w:tcPr>
          <w:p>
            <w:pPr>
              <w:pStyle w:val="TableParagraph"/>
              <w:spacing w:line="240" w:lineRule="auto" w:before="1"/>
              <w:ind w:left="6" w:right="51"/>
              <w:rPr>
                <w:sz w:val="24"/>
              </w:rPr>
            </w:pPr>
            <w:r>
              <w:rPr>
                <w:spacing w:val="-10"/>
                <w:sz w:val="24"/>
              </w:rPr>
              <w:t>6</w:t>
            </w:r>
          </w:p>
        </w:tc>
        <w:tc>
          <w:tcPr>
            <w:tcW w:w="1593" w:type="dxa"/>
            <w:tcBorders>
              <w:top w:val="single" w:sz="4" w:space="0" w:color="000000"/>
            </w:tcBorders>
          </w:tcPr>
          <w:p>
            <w:pPr>
              <w:pStyle w:val="TableParagraph"/>
              <w:spacing w:line="240" w:lineRule="auto" w:before="1"/>
              <w:ind w:left="6" w:right="6"/>
              <w:rPr>
                <w:sz w:val="24"/>
              </w:rPr>
            </w:pPr>
            <w:r>
              <w:rPr>
                <w:spacing w:val="-10"/>
                <w:sz w:val="24"/>
              </w:rPr>
              <w:t>8</w:t>
            </w:r>
          </w:p>
        </w:tc>
      </w:tr>
      <w:tr>
        <w:trPr>
          <w:trHeight w:val="585" w:hRule="atLeast"/>
        </w:trPr>
        <w:tc>
          <w:tcPr>
            <w:tcW w:w="1990" w:type="dxa"/>
          </w:tcPr>
          <w:p>
            <w:pPr>
              <w:pStyle w:val="TableParagraph"/>
              <w:spacing w:line="240" w:lineRule="auto" w:before="124"/>
              <w:ind w:left="110"/>
              <w:jc w:val="left"/>
              <w:rPr>
                <w:i/>
                <w:sz w:val="24"/>
              </w:rPr>
            </w:pPr>
            <w:r>
              <w:rPr>
                <w:i/>
                <w:sz w:val="24"/>
              </w:rPr>
              <w:t>Proteus</w:t>
            </w:r>
            <w:r>
              <w:rPr>
                <w:i/>
                <w:spacing w:val="-10"/>
                <w:sz w:val="24"/>
              </w:rPr>
              <w:t> </w:t>
            </w:r>
            <w:r>
              <w:rPr>
                <w:i/>
                <w:spacing w:val="-5"/>
                <w:sz w:val="24"/>
              </w:rPr>
              <w:t>spp</w:t>
            </w:r>
          </w:p>
        </w:tc>
        <w:tc>
          <w:tcPr>
            <w:tcW w:w="1312" w:type="dxa"/>
          </w:tcPr>
          <w:p>
            <w:pPr>
              <w:pStyle w:val="TableParagraph"/>
              <w:spacing w:line="240" w:lineRule="auto" w:before="124"/>
              <w:ind w:left="5" w:right="66"/>
              <w:rPr>
                <w:sz w:val="24"/>
              </w:rPr>
            </w:pPr>
            <w:r>
              <w:rPr>
                <w:spacing w:val="-10"/>
                <w:sz w:val="24"/>
              </w:rPr>
              <w:t>4</w:t>
            </w:r>
          </w:p>
        </w:tc>
        <w:tc>
          <w:tcPr>
            <w:tcW w:w="1497" w:type="dxa"/>
          </w:tcPr>
          <w:p>
            <w:pPr>
              <w:pStyle w:val="TableParagraph"/>
              <w:spacing w:line="240" w:lineRule="auto" w:before="124"/>
              <w:ind w:left="4" w:right="63"/>
              <w:rPr>
                <w:sz w:val="24"/>
              </w:rPr>
            </w:pPr>
            <w:r>
              <w:rPr>
                <w:spacing w:val="-10"/>
                <w:sz w:val="24"/>
              </w:rPr>
              <w:t>_</w:t>
            </w:r>
          </w:p>
        </w:tc>
        <w:tc>
          <w:tcPr>
            <w:tcW w:w="1658" w:type="dxa"/>
          </w:tcPr>
          <w:p>
            <w:pPr>
              <w:pStyle w:val="TableParagraph"/>
              <w:spacing w:line="240" w:lineRule="auto" w:before="124"/>
              <w:ind w:left="3" w:right="40"/>
              <w:rPr>
                <w:sz w:val="24"/>
              </w:rPr>
            </w:pPr>
            <w:r>
              <w:rPr>
                <w:spacing w:val="-10"/>
                <w:sz w:val="24"/>
              </w:rPr>
              <w:t>_</w:t>
            </w:r>
          </w:p>
        </w:tc>
        <w:tc>
          <w:tcPr>
            <w:tcW w:w="1530" w:type="dxa"/>
          </w:tcPr>
          <w:p>
            <w:pPr>
              <w:pStyle w:val="TableParagraph"/>
              <w:spacing w:line="240" w:lineRule="auto" w:before="124"/>
              <w:ind w:left="4" w:right="51"/>
              <w:rPr>
                <w:sz w:val="24"/>
              </w:rPr>
            </w:pPr>
            <w:r>
              <w:rPr>
                <w:spacing w:val="-10"/>
                <w:sz w:val="24"/>
              </w:rPr>
              <w:t>_</w:t>
            </w:r>
          </w:p>
        </w:tc>
        <w:tc>
          <w:tcPr>
            <w:tcW w:w="1593" w:type="dxa"/>
          </w:tcPr>
          <w:p>
            <w:pPr>
              <w:pStyle w:val="TableParagraph"/>
              <w:spacing w:line="240" w:lineRule="auto" w:before="124"/>
              <w:ind w:left="4" w:right="6"/>
              <w:rPr>
                <w:sz w:val="24"/>
              </w:rPr>
            </w:pPr>
            <w:r>
              <w:rPr>
                <w:spacing w:val="-10"/>
                <w:sz w:val="24"/>
              </w:rPr>
              <w:t>_</w:t>
            </w:r>
          </w:p>
        </w:tc>
      </w:tr>
      <w:tr>
        <w:trPr>
          <w:trHeight w:val="585" w:hRule="atLeast"/>
        </w:trPr>
        <w:tc>
          <w:tcPr>
            <w:tcW w:w="1990" w:type="dxa"/>
          </w:tcPr>
          <w:p>
            <w:pPr>
              <w:pStyle w:val="TableParagraph"/>
              <w:spacing w:line="240" w:lineRule="auto" w:before="124"/>
              <w:ind w:left="110"/>
              <w:jc w:val="left"/>
              <w:rPr>
                <w:i/>
                <w:sz w:val="24"/>
              </w:rPr>
            </w:pPr>
            <w:r>
              <w:rPr>
                <w:i/>
                <w:spacing w:val="-2"/>
                <w:sz w:val="24"/>
              </w:rPr>
              <w:t>Salmonella</w:t>
            </w:r>
            <w:r>
              <w:rPr>
                <w:i/>
                <w:spacing w:val="6"/>
                <w:sz w:val="24"/>
              </w:rPr>
              <w:t> </w:t>
            </w:r>
            <w:r>
              <w:rPr>
                <w:i/>
                <w:spacing w:val="-5"/>
                <w:sz w:val="24"/>
              </w:rPr>
              <w:t>spp</w:t>
            </w:r>
          </w:p>
        </w:tc>
        <w:tc>
          <w:tcPr>
            <w:tcW w:w="1312" w:type="dxa"/>
          </w:tcPr>
          <w:p>
            <w:pPr>
              <w:pStyle w:val="TableParagraph"/>
              <w:spacing w:line="240" w:lineRule="auto" w:before="124"/>
              <w:ind w:left="5" w:right="66"/>
              <w:rPr>
                <w:sz w:val="24"/>
              </w:rPr>
            </w:pPr>
            <w:r>
              <w:rPr>
                <w:spacing w:val="-10"/>
                <w:sz w:val="24"/>
              </w:rPr>
              <w:t>1</w:t>
            </w:r>
          </w:p>
        </w:tc>
        <w:tc>
          <w:tcPr>
            <w:tcW w:w="1497" w:type="dxa"/>
          </w:tcPr>
          <w:p>
            <w:pPr>
              <w:pStyle w:val="TableParagraph"/>
              <w:spacing w:line="240" w:lineRule="auto" w:before="124"/>
              <w:ind w:left="4" w:right="63"/>
              <w:rPr>
                <w:sz w:val="24"/>
              </w:rPr>
            </w:pPr>
            <w:r>
              <w:rPr>
                <w:spacing w:val="-10"/>
                <w:sz w:val="24"/>
              </w:rPr>
              <w:t>_</w:t>
            </w:r>
          </w:p>
        </w:tc>
        <w:tc>
          <w:tcPr>
            <w:tcW w:w="1658" w:type="dxa"/>
          </w:tcPr>
          <w:p>
            <w:pPr>
              <w:pStyle w:val="TableParagraph"/>
              <w:spacing w:line="240" w:lineRule="auto" w:before="124"/>
              <w:ind w:left="3" w:right="40"/>
              <w:rPr>
                <w:sz w:val="24"/>
              </w:rPr>
            </w:pPr>
            <w:r>
              <w:rPr>
                <w:spacing w:val="-10"/>
                <w:sz w:val="24"/>
              </w:rPr>
              <w:t>_</w:t>
            </w:r>
          </w:p>
        </w:tc>
        <w:tc>
          <w:tcPr>
            <w:tcW w:w="1530" w:type="dxa"/>
          </w:tcPr>
          <w:p>
            <w:pPr>
              <w:pStyle w:val="TableParagraph"/>
              <w:spacing w:line="240" w:lineRule="auto" w:before="124"/>
              <w:ind w:left="4" w:right="51"/>
              <w:rPr>
                <w:sz w:val="24"/>
              </w:rPr>
            </w:pPr>
            <w:r>
              <w:rPr>
                <w:spacing w:val="-10"/>
                <w:sz w:val="24"/>
              </w:rPr>
              <w:t>_</w:t>
            </w:r>
          </w:p>
        </w:tc>
        <w:tc>
          <w:tcPr>
            <w:tcW w:w="1593" w:type="dxa"/>
          </w:tcPr>
          <w:p>
            <w:pPr>
              <w:pStyle w:val="TableParagraph"/>
              <w:spacing w:line="240" w:lineRule="auto" w:before="124"/>
              <w:ind w:left="4" w:right="6"/>
              <w:rPr>
                <w:sz w:val="24"/>
              </w:rPr>
            </w:pPr>
            <w:r>
              <w:rPr>
                <w:spacing w:val="-10"/>
                <w:sz w:val="24"/>
              </w:rPr>
              <w:t>_</w:t>
            </w:r>
          </w:p>
        </w:tc>
      </w:tr>
      <w:tr>
        <w:trPr>
          <w:trHeight w:val="585" w:hRule="atLeast"/>
        </w:trPr>
        <w:tc>
          <w:tcPr>
            <w:tcW w:w="1990" w:type="dxa"/>
          </w:tcPr>
          <w:p>
            <w:pPr>
              <w:pStyle w:val="TableParagraph"/>
              <w:spacing w:line="240" w:lineRule="auto" w:before="124"/>
              <w:ind w:left="110"/>
              <w:jc w:val="left"/>
              <w:rPr>
                <w:i/>
                <w:sz w:val="24"/>
              </w:rPr>
            </w:pPr>
            <w:r>
              <w:rPr>
                <w:i/>
                <w:spacing w:val="-2"/>
                <w:sz w:val="24"/>
              </w:rPr>
              <w:t>Providencia</w:t>
            </w:r>
            <w:r>
              <w:rPr>
                <w:i/>
                <w:spacing w:val="4"/>
                <w:sz w:val="24"/>
              </w:rPr>
              <w:t> </w:t>
            </w:r>
            <w:r>
              <w:rPr>
                <w:i/>
                <w:spacing w:val="-5"/>
                <w:sz w:val="24"/>
              </w:rPr>
              <w:t>spp</w:t>
            </w:r>
          </w:p>
        </w:tc>
        <w:tc>
          <w:tcPr>
            <w:tcW w:w="1312" w:type="dxa"/>
          </w:tcPr>
          <w:p>
            <w:pPr>
              <w:pStyle w:val="TableParagraph"/>
              <w:spacing w:line="240" w:lineRule="auto" w:before="124"/>
              <w:ind w:left="5" w:right="66"/>
              <w:rPr>
                <w:sz w:val="24"/>
              </w:rPr>
            </w:pPr>
            <w:r>
              <w:rPr>
                <w:spacing w:val="-10"/>
                <w:sz w:val="24"/>
              </w:rPr>
              <w:t>2</w:t>
            </w:r>
          </w:p>
        </w:tc>
        <w:tc>
          <w:tcPr>
            <w:tcW w:w="1497" w:type="dxa"/>
          </w:tcPr>
          <w:p>
            <w:pPr>
              <w:pStyle w:val="TableParagraph"/>
              <w:spacing w:line="240" w:lineRule="auto" w:before="124"/>
              <w:ind w:left="6" w:right="63"/>
              <w:rPr>
                <w:sz w:val="24"/>
              </w:rPr>
            </w:pPr>
            <w:r>
              <w:rPr>
                <w:spacing w:val="-10"/>
                <w:sz w:val="24"/>
              </w:rPr>
              <w:t>2</w:t>
            </w:r>
          </w:p>
        </w:tc>
        <w:tc>
          <w:tcPr>
            <w:tcW w:w="1658" w:type="dxa"/>
          </w:tcPr>
          <w:p>
            <w:pPr>
              <w:pStyle w:val="TableParagraph"/>
              <w:spacing w:line="240" w:lineRule="auto" w:before="124"/>
              <w:ind w:left="3" w:right="40"/>
              <w:rPr>
                <w:sz w:val="24"/>
              </w:rPr>
            </w:pPr>
            <w:r>
              <w:rPr>
                <w:spacing w:val="-10"/>
                <w:sz w:val="24"/>
              </w:rPr>
              <w:t>_</w:t>
            </w:r>
          </w:p>
        </w:tc>
        <w:tc>
          <w:tcPr>
            <w:tcW w:w="1530" w:type="dxa"/>
          </w:tcPr>
          <w:p>
            <w:pPr>
              <w:pStyle w:val="TableParagraph"/>
              <w:spacing w:line="240" w:lineRule="auto" w:before="124"/>
              <w:ind w:left="6" w:right="51"/>
              <w:rPr>
                <w:sz w:val="24"/>
              </w:rPr>
            </w:pPr>
            <w:r>
              <w:rPr>
                <w:spacing w:val="-10"/>
                <w:sz w:val="24"/>
              </w:rPr>
              <w:t>1</w:t>
            </w:r>
          </w:p>
        </w:tc>
        <w:tc>
          <w:tcPr>
            <w:tcW w:w="1593" w:type="dxa"/>
          </w:tcPr>
          <w:p>
            <w:pPr>
              <w:pStyle w:val="TableParagraph"/>
              <w:spacing w:line="240" w:lineRule="auto" w:before="124"/>
              <w:ind w:left="4" w:right="6"/>
              <w:rPr>
                <w:sz w:val="24"/>
              </w:rPr>
            </w:pPr>
            <w:r>
              <w:rPr>
                <w:spacing w:val="-10"/>
                <w:sz w:val="24"/>
              </w:rPr>
              <w:t>_</w:t>
            </w:r>
          </w:p>
        </w:tc>
      </w:tr>
      <w:tr>
        <w:trPr>
          <w:trHeight w:val="587" w:hRule="atLeast"/>
        </w:trPr>
        <w:tc>
          <w:tcPr>
            <w:tcW w:w="1990" w:type="dxa"/>
          </w:tcPr>
          <w:p>
            <w:pPr>
              <w:pStyle w:val="TableParagraph"/>
              <w:spacing w:line="240" w:lineRule="auto" w:before="124"/>
              <w:ind w:left="110"/>
              <w:jc w:val="left"/>
              <w:rPr>
                <w:i/>
                <w:sz w:val="24"/>
              </w:rPr>
            </w:pPr>
            <w:r>
              <w:rPr>
                <w:i/>
                <w:spacing w:val="-2"/>
                <w:sz w:val="24"/>
              </w:rPr>
              <w:t>Enterobacter</w:t>
            </w:r>
            <w:r>
              <w:rPr>
                <w:i/>
                <w:spacing w:val="8"/>
                <w:sz w:val="24"/>
              </w:rPr>
              <w:t> </w:t>
            </w:r>
            <w:r>
              <w:rPr>
                <w:i/>
                <w:spacing w:val="-5"/>
                <w:sz w:val="24"/>
              </w:rPr>
              <w:t>spp</w:t>
            </w:r>
          </w:p>
        </w:tc>
        <w:tc>
          <w:tcPr>
            <w:tcW w:w="1312" w:type="dxa"/>
          </w:tcPr>
          <w:p>
            <w:pPr>
              <w:pStyle w:val="TableParagraph"/>
              <w:spacing w:line="240" w:lineRule="auto" w:before="124"/>
              <w:ind w:right="66"/>
              <w:rPr>
                <w:sz w:val="24"/>
              </w:rPr>
            </w:pPr>
            <w:r>
              <w:rPr>
                <w:spacing w:val="-5"/>
                <w:sz w:val="24"/>
              </w:rPr>
              <w:t>11</w:t>
            </w:r>
          </w:p>
        </w:tc>
        <w:tc>
          <w:tcPr>
            <w:tcW w:w="1497" w:type="dxa"/>
          </w:tcPr>
          <w:p>
            <w:pPr>
              <w:pStyle w:val="TableParagraph"/>
              <w:spacing w:line="240" w:lineRule="auto" w:before="124"/>
              <w:ind w:left="6" w:right="63"/>
              <w:rPr>
                <w:sz w:val="24"/>
              </w:rPr>
            </w:pPr>
            <w:r>
              <w:rPr>
                <w:spacing w:val="-10"/>
                <w:sz w:val="24"/>
              </w:rPr>
              <w:t>1</w:t>
            </w:r>
          </w:p>
        </w:tc>
        <w:tc>
          <w:tcPr>
            <w:tcW w:w="1658" w:type="dxa"/>
          </w:tcPr>
          <w:p>
            <w:pPr>
              <w:pStyle w:val="TableParagraph"/>
              <w:spacing w:line="240" w:lineRule="auto" w:before="124"/>
              <w:ind w:left="1" w:right="40"/>
              <w:rPr>
                <w:sz w:val="24"/>
              </w:rPr>
            </w:pPr>
            <w:r>
              <w:rPr>
                <w:spacing w:val="-5"/>
                <w:sz w:val="24"/>
              </w:rPr>
              <w:t>16</w:t>
            </w:r>
          </w:p>
        </w:tc>
        <w:tc>
          <w:tcPr>
            <w:tcW w:w="1530" w:type="dxa"/>
          </w:tcPr>
          <w:p>
            <w:pPr>
              <w:pStyle w:val="TableParagraph"/>
              <w:spacing w:line="240" w:lineRule="auto" w:before="124"/>
              <w:ind w:left="1" w:right="51"/>
              <w:rPr>
                <w:sz w:val="24"/>
              </w:rPr>
            </w:pPr>
            <w:r>
              <w:rPr>
                <w:spacing w:val="-5"/>
                <w:sz w:val="24"/>
              </w:rPr>
              <w:t>16</w:t>
            </w:r>
          </w:p>
        </w:tc>
        <w:tc>
          <w:tcPr>
            <w:tcW w:w="1593" w:type="dxa"/>
          </w:tcPr>
          <w:p>
            <w:pPr>
              <w:pStyle w:val="TableParagraph"/>
              <w:spacing w:line="240" w:lineRule="auto" w:before="124"/>
              <w:ind w:left="1" w:right="6"/>
              <w:rPr>
                <w:sz w:val="24"/>
              </w:rPr>
            </w:pPr>
            <w:r>
              <w:rPr>
                <w:spacing w:val="-5"/>
                <w:sz w:val="24"/>
              </w:rPr>
              <w:t>12</w:t>
            </w:r>
          </w:p>
        </w:tc>
      </w:tr>
      <w:tr>
        <w:trPr>
          <w:trHeight w:val="587" w:hRule="atLeast"/>
        </w:trPr>
        <w:tc>
          <w:tcPr>
            <w:tcW w:w="1990" w:type="dxa"/>
          </w:tcPr>
          <w:p>
            <w:pPr>
              <w:pStyle w:val="TableParagraph"/>
              <w:spacing w:line="240" w:lineRule="auto" w:before="126"/>
              <w:ind w:left="110"/>
              <w:jc w:val="left"/>
              <w:rPr>
                <w:i/>
                <w:sz w:val="24"/>
              </w:rPr>
            </w:pPr>
            <w:r>
              <w:rPr>
                <w:i/>
                <w:sz w:val="24"/>
              </w:rPr>
              <w:t>Citrobacter</w:t>
            </w:r>
            <w:r>
              <w:rPr>
                <w:i/>
                <w:spacing w:val="-13"/>
                <w:sz w:val="24"/>
              </w:rPr>
              <w:t> </w:t>
            </w:r>
            <w:r>
              <w:rPr>
                <w:i/>
                <w:spacing w:val="-4"/>
                <w:sz w:val="24"/>
              </w:rPr>
              <w:t>spp.</w:t>
            </w:r>
          </w:p>
        </w:tc>
        <w:tc>
          <w:tcPr>
            <w:tcW w:w="1312" w:type="dxa"/>
          </w:tcPr>
          <w:p>
            <w:pPr>
              <w:pStyle w:val="TableParagraph"/>
              <w:spacing w:line="240" w:lineRule="auto" w:before="126"/>
              <w:ind w:left="3" w:right="66"/>
              <w:rPr>
                <w:sz w:val="24"/>
              </w:rPr>
            </w:pPr>
            <w:r>
              <w:rPr>
                <w:spacing w:val="-10"/>
                <w:sz w:val="24"/>
              </w:rPr>
              <w:t>_</w:t>
            </w:r>
          </w:p>
        </w:tc>
        <w:tc>
          <w:tcPr>
            <w:tcW w:w="1497" w:type="dxa"/>
          </w:tcPr>
          <w:p>
            <w:pPr>
              <w:pStyle w:val="TableParagraph"/>
              <w:spacing w:line="240" w:lineRule="auto" w:before="126"/>
              <w:ind w:left="4" w:right="63"/>
              <w:rPr>
                <w:sz w:val="24"/>
              </w:rPr>
            </w:pPr>
            <w:r>
              <w:rPr>
                <w:spacing w:val="-10"/>
                <w:sz w:val="24"/>
              </w:rPr>
              <w:t>_</w:t>
            </w:r>
          </w:p>
        </w:tc>
        <w:tc>
          <w:tcPr>
            <w:tcW w:w="1658" w:type="dxa"/>
          </w:tcPr>
          <w:p>
            <w:pPr>
              <w:pStyle w:val="TableParagraph"/>
              <w:spacing w:line="240" w:lineRule="auto" w:before="126"/>
              <w:ind w:left="4" w:right="40"/>
              <w:rPr>
                <w:sz w:val="24"/>
              </w:rPr>
            </w:pPr>
            <w:r>
              <w:rPr>
                <w:spacing w:val="-10"/>
                <w:sz w:val="24"/>
              </w:rPr>
              <w:t>1</w:t>
            </w:r>
          </w:p>
        </w:tc>
        <w:tc>
          <w:tcPr>
            <w:tcW w:w="1530" w:type="dxa"/>
          </w:tcPr>
          <w:p>
            <w:pPr>
              <w:pStyle w:val="TableParagraph"/>
              <w:spacing w:line="240" w:lineRule="auto" w:before="126"/>
              <w:ind w:left="4" w:right="51"/>
              <w:rPr>
                <w:sz w:val="24"/>
              </w:rPr>
            </w:pPr>
            <w:r>
              <w:rPr>
                <w:spacing w:val="-10"/>
                <w:sz w:val="24"/>
              </w:rPr>
              <w:t>_</w:t>
            </w:r>
          </w:p>
        </w:tc>
        <w:tc>
          <w:tcPr>
            <w:tcW w:w="1593" w:type="dxa"/>
          </w:tcPr>
          <w:p>
            <w:pPr>
              <w:pStyle w:val="TableParagraph"/>
              <w:spacing w:line="240" w:lineRule="auto" w:before="126"/>
              <w:ind w:left="4" w:right="6"/>
              <w:rPr>
                <w:sz w:val="24"/>
              </w:rPr>
            </w:pPr>
            <w:r>
              <w:rPr>
                <w:spacing w:val="-10"/>
                <w:sz w:val="24"/>
              </w:rPr>
              <w:t>_</w:t>
            </w:r>
          </w:p>
        </w:tc>
      </w:tr>
      <w:tr>
        <w:trPr>
          <w:trHeight w:val="585" w:hRule="atLeast"/>
        </w:trPr>
        <w:tc>
          <w:tcPr>
            <w:tcW w:w="1990" w:type="dxa"/>
          </w:tcPr>
          <w:p>
            <w:pPr>
              <w:pStyle w:val="TableParagraph"/>
              <w:spacing w:line="240" w:lineRule="auto" w:before="124"/>
              <w:ind w:left="110"/>
              <w:jc w:val="left"/>
              <w:rPr>
                <w:i/>
                <w:sz w:val="24"/>
              </w:rPr>
            </w:pPr>
            <w:r>
              <w:rPr>
                <w:i/>
                <w:spacing w:val="-2"/>
                <w:sz w:val="24"/>
              </w:rPr>
              <w:t>Klebsiella</w:t>
            </w:r>
            <w:r>
              <w:rPr>
                <w:i/>
                <w:spacing w:val="1"/>
                <w:sz w:val="24"/>
              </w:rPr>
              <w:t> </w:t>
            </w:r>
            <w:r>
              <w:rPr>
                <w:i/>
                <w:spacing w:val="-4"/>
                <w:sz w:val="24"/>
              </w:rPr>
              <w:t>spp.</w:t>
            </w:r>
          </w:p>
        </w:tc>
        <w:tc>
          <w:tcPr>
            <w:tcW w:w="1312" w:type="dxa"/>
          </w:tcPr>
          <w:p>
            <w:pPr>
              <w:pStyle w:val="TableParagraph"/>
              <w:spacing w:line="240" w:lineRule="auto" w:before="124"/>
              <w:ind w:left="3" w:right="66"/>
              <w:rPr>
                <w:sz w:val="24"/>
              </w:rPr>
            </w:pPr>
            <w:r>
              <w:rPr>
                <w:spacing w:val="-10"/>
                <w:sz w:val="24"/>
              </w:rPr>
              <w:t>_</w:t>
            </w:r>
          </w:p>
        </w:tc>
        <w:tc>
          <w:tcPr>
            <w:tcW w:w="1497" w:type="dxa"/>
          </w:tcPr>
          <w:p>
            <w:pPr>
              <w:pStyle w:val="TableParagraph"/>
              <w:spacing w:line="240" w:lineRule="auto" w:before="124"/>
              <w:ind w:left="4" w:right="63"/>
              <w:rPr>
                <w:sz w:val="24"/>
              </w:rPr>
            </w:pPr>
            <w:r>
              <w:rPr>
                <w:spacing w:val="-10"/>
                <w:sz w:val="24"/>
              </w:rPr>
              <w:t>_</w:t>
            </w:r>
          </w:p>
        </w:tc>
        <w:tc>
          <w:tcPr>
            <w:tcW w:w="1658" w:type="dxa"/>
          </w:tcPr>
          <w:p>
            <w:pPr>
              <w:pStyle w:val="TableParagraph"/>
              <w:spacing w:line="240" w:lineRule="auto" w:before="124"/>
              <w:ind w:left="3" w:right="40"/>
              <w:rPr>
                <w:sz w:val="24"/>
              </w:rPr>
            </w:pPr>
            <w:r>
              <w:rPr>
                <w:spacing w:val="-10"/>
                <w:sz w:val="24"/>
              </w:rPr>
              <w:t>_</w:t>
            </w:r>
          </w:p>
        </w:tc>
        <w:tc>
          <w:tcPr>
            <w:tcW w:w="1530" w:type="dxa"/>
          </w:tcPr>
          <w:p>
            <w:pPr>
              <w:pStyle w:val="TableParagraph"/>
              <w:spacing w:line="240" w:lineRule="auto" w:before="124"/>
              <w:ind w:left="6" w:right="51"/>
              <w:rPr>
                <w:sz w:val="24"/>
              </w:rPr>
            </w:pPr>
            <w:r>
              <w:rPr>
                <w:spacing w:val="-10"/>
                <w:sz w:val="24"/>
              </w:rPr>
              <w:t>1</w:t>
            </w:r>
          </w:p>
        </w:tc>
        <w:tc>
          <w:tcPr>
            <w:tcW w:w="1593" w:type="dxa"/>
          </w:tcPr>
          <w:p>
            <w:pPr>
              <w:pStyle w:val="TableParagraph"/>
              <w:spacing w:line="240" w:lineRule="auto" w:before="124"/>
              <w:ind w:left="6" w:right="6"/>
              <w:rPr>
                <w:sz w:val="24"/>
              </w:rPr>
            </w:pPr>
            <w:r>
              <w:rPr>
                <w:spacing w:val="-10"/>
                <w:sz w:val="24"/>
              </w:rPr>
              <w:t>1</w:t>
            </w:r>
          </w:p>
        </w:tc>
      </w:tr>
      <w:tr>
        <w:trPr>
          <w:trHeight w:val="585" w:hRule="atLeast"/>
        </w:trPr>
        <w:tc>
          <w:tcPr>
            <w:tcW w:w="1990" w:type="dxa"/>
          </w:tcPr>
          <w:p>
            <w:pPr>
              <w:pStyle w:val="TableParagraph"/>
              <w:spacing w:line="240" w:lineRule="auto" w:before="124"/>
              <w:ind w:left="110"/>
              <w:jc w:val="left"/>
              <w:rPr>
                <w:i/>
                <w:sz w:val="24"/>
              </w:rPr>
            </w:pPr>
            <w:r>
              <w:rPr>
                <w:i/>
                <w:spacing w:val="-2"/>
                <w:sz w:val="24"/>
              </w:rPr>
              <w:t>Yersinia</w:t>
            </w:r>
            <w:r>
              <w:rPr>
                <w:i/>
                <w:spacing w:val="2"/>
                <w:sz w:val="24"/>
              </w:rPr>
              <w:t> </w:t>
            </w:r>
            <w:r>
              <w:rPr>
                <w:i/>
                <w:spacing w:val="-4"/>
                <w:sz w:val="24"/>
              </w:rPr>
              <w:t>spp.</w:t>
            </w:r>
          </w:p>
        </w:tc>
        <w:tc>
          <w:tcPr>
            <w:tcW w:w="1312" w:type="dxa"/>
          </w:tcPr>
          <w:p>
            <w:pPr>
              <w:pStyle w:val="TableParagraph"/>
              <w:spacing w:line="240" w:lineRule="auto" w:before="124"/>
              <w:ind w:left="5" w:right="66"/>
              <w:rPr>
                <w:sz w:val="24"/>
              </w:rPr>
            </w:pPr>
            <w:r>
              <w:rPr>
                <w:spacing w:val="-10"/>
                <w:sz w:val="24"/>
              </w:rPr>
              <w:t>1</w:t>
            </w:r>
          </w:p>
        </w:tc>
        <w:tc>
          <w:tcPr>
            <w:tcW w:w="1497" w:type="dxa"/>
          </w:tcPr>
          <w:p>
            <w:pPr>
              <w:pStyle w:val="TableParagraph"/>
              <w:spacing w:line="240" w:lineRule="auto" w:before="124"/>
              <w:ind w:left="4" w:right="63"/>
              <w:rPr>
                <w:sz w:val="24"/>
              </w:rPr>
            </w:pPr>
            <w:r>
              <w:rPr>
                <w:spacing w:val="-10"/>
                <w:sz w:val="24"/>
              </w:rPr>
              <w:t>_</w:t>
            </w:r>
          </w:p>
        </w:tc>
        <w:tc>
          <w:tcPr>
            <w:tcW w:w="1658" w:type="dxa"/>
          </w:tcPr>
          <w:p>
            <w:pPr>
              <w:pStyle w:val="TableParagraph"/>
              <w:spacing w:line="240" w:lineRule="auto" w:before="124"/>
              <w:ind w:left="3" w:right="40"/>
              <w:rPr>
                <w:sz w:val="24"/>
              </w:rPr>
            </w:pPr>
            <w:r>
              <w:rPr>
                <w:spacing w:val="-10"/>
                <w:sz w:val="24"/>
              </w:rPr>
              <w:t>_</w:t>
            </w:r>
          </w:p>
        </w:tc>
        <w:tc>
          <w:tcPr>
            <w:tcW w:w="1530" w:type="dxa"/>
          </w:tcPr>
          <w:p>
            <w:pPr>
              <w:pStyle w:val="TableParagraph"/>
              <w:spacing w:line="240" w:lineRule="auto" w:before="124"/>
              <w:ind w:left="4" w:right="51"/>
              <w:rPr>
                <w:sz w:val="24"/>
              </w:rPr>
            </w:pPr>
            <w:r>
              <w:rPr>
                <w:spacing w:val="-10"/>
                <w:sz w:val="24"/>
              </w:rPr>
              <w:t>_</w:t>
            </w:r>
          </w:p>
        </w:tc>
        <w:tc>
          <w:tcPr>
            <w:tcW w:w="1593" w:type="dxa"/>
          </w:tcPr>
          <w:p>
            <w:pPr>
              <w:pStyle w:val="TableParagraph"/>
              <w:spacing w:line="240" w:lineRule="auto" w:before="124"/>
              <w:ind w:left="4" w:right="6"/>
              <w:rPr>
                <w:sz w:val="24"/>
              </w:rPr>
            </w:pPr>
            <w:r>
              <w:rPr>
                <w:spacing w:val="-10"/>
                <w:sz w:val="24"/>
              </w:rPr>
              <w:t>_</w:t>
            </w:r>
          </w:p>
        </w:tc>
      </w:tr>
      <w:tr>
        <w:trPr>
          <w:trHeight w:val="585" w:hRule="atLeast"/>
        </w:trPr>
        <w:tc>
          <w:tcPr>
            <w:tcW w:w="1990" w:type="dxa"/>
          </w:tcPr>
          <w:p>
            <w:pPr>
              <w:pStyle w:val="TableParagraph"/>
              <w:spacing w:line="240" w:lineRule="auto" w:before="124"/>
              <w:ind w:left="110"/>
              <w:jc w:val="left"/>
              <w:rPr>
                <w:i/>
                <w:sz w:val="24"/>
              </w:rPr>
            </w:pPr>
            <w:r>
              <w:rPr>
                <w:i/>
                <w:spacing w:val="-2"/>
                <w:sz w:val="24"/>
              </w:rPr>
              <w:t>Pseudomonas</w:t>
            </w:r>
            <w:r>
              <w:rPr>
                <w:i/>
                <w:spacing w:val="5"/>
                <w:sz w:val="24"/>
              </w:rPr>
              <w:t> </w:t>
            </w:r>
            <w:r>
              <w:rPr>
                <w:i/>
                <w:spacing w:val="-5"/>
                <w:sz w:val="24"/>
              </w:rPr>
              <w:t>spp</w:t>
            </w:r>
          </w:p>
        </w:tc>
        <w:tc>
          <w:tcPr>
            <w:tcW w:w="1312" w:type="dxa"/>
          </w:tcPr>
          <w:p>
            <w:pPr>
              <w:pStyle w:val="TableParagraph"/>
              <w:spacing w:line="240" w:lineRule="auto" w:before="124"/>
              <w:ind w:right="66"/>
              <w:rPr>
                <w:sz w:val="24"/>
              </w:rPr>
            </w:pPr>
            <w:r>
              <w:rPr>
                <w:spacing w:val="-5"/>
                <w:sz w:val="24"/>
              </w:rPr>
              <w:t>26</w:t>
            </w:r>
          </w:p>
        </w:tc>
        <w:tc>
          <w:tcPr>
            <w:tcW w:w="1497" w:type="dxa"/>
          </w:tcPr>
          <w:p>
            <w:pPr>
              <w:pStyle w:val="TableParagraph"/>
              <w:spacing w:line="240" w:lineRule="auto" w:before="124"/>
              <w:ind w:left="1" w:right="63"/>
              <w:rPr>
                <w:sz w:val="24"/>
              </w:rPr>
            </w:pPr>
            <w:r>
              <w:rPr>
                <w:spacing w:val="-5"/>
                <w:sz w:val="24"/>
              </w:rPr>
              <w:t>16</w:t>
            </w:r>
          </w:p>
        </w:tc>
        <w:tc>
          <w:tcPr>
            <w:tcW w:w="1658" w:type="dxa"/>
          </w:tcPr>
          <w:p>
            <w:pPr>
              <w:pStyle w:val="TableParagraph"/>
              <w:spacing w:line="240" w:lineRule="auto" w:before="124"/>
              <w:ind w:left="4" w:right="40"/>
              <w:rPr>
                <w:sz w:val="24"/>
              </w:rPr>
            </w:pPr>
            <w:r>
              <w:rPr>
                <w:spacing w:val="-10"/>
                <w:sz w:val="24"/>
              </w:rPr>
              <w:t>8</w:t>
            </w:r>
          </w:p>
        </w:tc>
        <w:tc>
          <w:tcPr>
            <w:tcW w:w="1530" w:type="dxa"/>
          </w:tcPr>
          <w:p>
            <w:pPr>
              <w:pStyle w:val="TableParagraph"/>
              <w:spacing w:line="240" w:lineRule="auto" w:before="124"/>
              <w:ind w:left="6" w:right="51"/>
              <w:rPr>
                <w:sz w:val="24"/>
              </w:rPr>
            </w:pPr>
            <w:r>
              <w:rPr>
                <w:spacing w:val="-10"/>
                <w:sz w:val="24"/>
              </w:rPr>
              <w:t>6</w:t>
            </w:r>
          </w:p>
        </w:tc>
        <w:tc>
          <w:tcPr>
            <w:tcW w:w="1593" w:type="dxa"/>
          </w:tcPr>
          <w:p>
            <w:pPr>
              <w:pStyle w:val="TableParagraph"/>
              <w:spacing w:line="240" w:lineRule="auto" w:before="124"/>
              <w:ind w:left="6" w:right="6"/>
              <w:rPr>
                <w:sz w:val="24"/>
              </w:rPr>
            </w:pPr>
            <w:r>
              <w:rPr>
                <w:spacing w:val="-10"/>
                <w:sz w:val="24"/>
              </w:rPr>
              <w:t>2</w:t>
            </w:r>
          </w:p>
        </w:tc>
      </w:tr>
      <w:tr>
        <w:trPr>
          <w:trHeight w:val="707" w:hRule="atLeast"/>
        </w:trPr>
        <w:tc>
          <w:tcPr>
            <w:tcW w:w="1990" w:type="dxa"/>
            <w:tcBorders>
              <w:bottom w:val="single" w:sz="4" w:space="0" w:color="000000"/>
            </w:tcBorders>
          </w:tcPr>
          <w:p>
            <w:pPr>
              <w:pStyle w:val="TableParagraph"/>
              <w:spacing w:line="240" w:lineRule="auto" w:before="124"/>
              <w:ind w:left="110"/>
              <w:jc w:val="left"/>
              <w:rPr>
                <w:i/>
                <w:sz w:val="24"/>
              </w:rPr>
            </w:pPr>
            <w:r>
              <w:rPr>
                <w:i/>
                <w:sz w:val="24"/>
              </w:rPr>
              <w:t>S.</w:t>
            </w:r>
            <w:r>
              <w:rPr>
                <w:i/>
                <w:spacing w:val="-1"/>
                <w:sz w:val="24"/>
              </w:rPr>
              <w:t> </w:t>
            </w:r>
            <w:r>
              <w:rPr>
                <w:i/>
                <w:spacing w:val="-2"/>
                <w:sz w:val="24"/>
              </w:rPr>
              <w:t>aureus</w:t>
            </w:r>
          </w:p>
        </w:tc>
        <w:tc>
          <w:tcPr>
            <w:tcW w:w="1312" w:type="dxa"/>
            <w:tcBorders>
              <w:bottom w:val="single" w:sz="4" w:space="0" w:color="000000"/>
            </w:tcBorders>
          </w:tcPr>
          <w:p>
            <w:pPr>
              <w:pStyle w:val="TableParagraph"/>
              <w:spacing w:line="240" w:lineRule="auto" w:before="124"/>
              <w:ind w:left="5" w:right="66"/>
              <w:rPr>
                <w:sz w:val="24"/>
              </w:rPr>
            </w:pPr>
            <w:r>
              <w:rPr>
                <w:spacing w:val="-10"/>
                <w:sz w:val="24"/>
              </w:rPr>
              <w:t>3</w:t>
            </w:r>
          </w:p>
        </w:tc>
        <w:tc>
          <w:tcPr>
            <w:tcW w:w="1497" w:type="dxa"/>
            <w:tcBorders>
              <w:bottom w:val="single" w:sz="4" w:space="0" w:color="000000"/>
            </w:tcBorders>
          </w:tcPr>
          <w:p>
            <w:pPr>
              <w:pStyle w:val="TableParagraph"/>
              <w:spacing w:line="240" w:lineRule="auto" w:before="124"/>
              <w:ind w:left="4" w:right="63"/>
              <w:rPr>
                <w:sz w:val="24"/>
              </w:rPr>
            </w:pPr>
            <w:r>
              <w:rPr>
                <w:spacing w:val="-10"/>
                <w:sz w:val="24"/>
              </w:rPr>
              <w:t>_</w:t>
            </w:r>
          </w:p>
        </w:tc>
        <w:tc>
          <w:tcPr>
            <w:tcW w:w="1658" w:type="dxa"/>
            <w:tcBorders>
              <w:bottom w:val="single" w:sz="4" w:space="0" w:color="000000"/>
            </w:tcBorders>
          </w:tcPr>
          <w:p>
            <w:pPr>
              <w:pStyle w:val="TableParagraph"/>
              <w:spacing w:line="240" w:lineRule="auto" w:before="124"/>
              <w:ind w:left="4" w:right="40"/>
              <w:rPr>
                <w:sz w:val="24"/>
              </w:rPr>
            </w:pPr>
            <w:r>
              <w:rPr>
                <w:spacing w:val="-10"/>
                <w:sz w:val="24"/>
              </w:rPr>
              <w:t>1</w:t>
            </w:r>
          </w:p>
        </w:tc>
        <w:tc>
          <w:tcPr>
            <w:tcW w:w="1530" w:type="dxa"/>
            <w:tcBorders>
              <w:bottom w:val="single" w:sz="4" w:space="0" w:color="000000"/>
            </w:tcBorders>
          </w:tcPr>
          <w:p>
            <w:pPr>
              <w:pStyle w:val="TableParagraph"/>
              <w:spacing w:line="240" w:lineRule="auto" w:before="124"/>
              <w:ind w:left="4" w:right="51"/>
              <w:rPr>
                <w:sz w:val="24"/>
              </w:rPr>
            </w:pPr>
            <w:r>
              <w:rPr>
                <w:spacing w:val="-10"/>
                <w:sz w:val="24"/>
              </w:rPr>
              <w:t>_</w:t>
            </w:r>
          </w:p>
        </w:tc>
        <w:tc>
          <w:tcPr>
            <w:tcW w:w="1593" w:type="dxa"/>
            <w:tcBorders>
              <w:bottom w:val="single" w:sz="4" w:space="0" w:color="000000"/>
            </w:tcBorders>
          </w:tcPr>
          <w:p>
            <w:pPr>
              <w:pStyle w:val="TableParagraph"/>
              <w:spacing w:line="240" w:lineRule="auto" w:before="124"/>
              <w:ind w:left="6" w:right="6"/>
              <w:rPr>
                <w:sz w:val="24"/>
              </w:rPr>
            </w:pPr>
            <w:r>
              <w:rPr>
                <w:spacing w:val="-10"/>
                <w:sz w:val="24"/>
              </w:rPr>
              <w:t>1</w:t>
            </w:r>
          </w:p>
        </w:tc>
      </w:tr>
      <w:tr>
        <w:trPr>
          <w:trHeight w:val="290" w:hRule="atLeast"/>
        </w:trPr>
        <w:tc>
          <w:tcPr>
            <w:tcW w:w="1990" w:type="dxa"/>
            <w:tcBorders>
              <w:top w:val="single" w:sz="4" w:space="0" w:color="000000"/>
            </w:tcBorders>
          </w:tcPr>
          <w:p>
            <w:pPr>
              <w:pStyle w:val="TableParagraph"/>
              <w:spacing w:line="269" w:lineRule="exact" w:before="1"/>
              <w:ind w:left="110"/>
              <w:jc w:val="left"/>
              <w:rPr>
                <w:b/>
                <w:sz w:val="24"/>
              </w:rPr>
            </w:pPr>
            <w:r>
              <w:rPr>
                <w:b/>
                <w:spacing w:val="-2"/>
                <w:sz w:val="24"/>
              </w:rPr>
              <w:t>Total</w:t>
            </w:r>
          </w:p>
        </w:tc>
        <w:tc>
          <w:tcPr>
            <w:tcW w:w="1312" w:type="dxa"/>
            <w:tcBorders>
              <w:top w:val="single" w:sz="4" w:space="0" w:color="000000"/>
            </w:tcBorders>
          </w:tcPr>
          <w:p>
            <w:pPr>
              <w:pStyle w:val="TableParagraph"/>
              <w:spacing w:line="269" w:lineRule="exact" w:before="1"/>
              <w:ind w:left="4" w:right="66"/>
              <w:rPr>
                <w:sz w:val="24"/>
              </w:rPr>
            </w:pPr>
            <w:r>
              <w:rPr>
                <w:spacing w:val="-2"/>
                <w:sz w:val="24"/>
              </w:rPr>
              <w:t>51(33.3%)</w:t>
            </w:r>
          </w:p>
        </w:tc>
        <w:tc>
          <w:tcPr>
            <w:tcW w:w="1497" w:type="dxa"/>
            <w:tcBorders>
              <w:top w:val="single" w:sz="4" w:space="0" w:color="000000"/>
            </w:tcBorders>
          </w:tcPr>
          <w:p>
            <w:pPr>
              <w:pStyle w:val="TableParagraph"/>
              <w:spacing w:line="269" w:lineRule="exact" w:before="1"/>
              <w:ind w:right="63"/>
              <w:rPr>
                <w:sz w:val="24"/>
              </w:rPr>
            </w:pPr>
            <w:r>
              <w:rPr>
                <w:sz w:val="24"/>
              </w:rPr>
              <w:t>19</w:t>
            </w:r>
            <w:r>
              <w:rPr>
                <w:spacing w:val="-8"/>
                <w:sz w:val="24"/>
              </w:rPr>
              <w:t> </w:t>
            </w:r>
            <w:r>
              <w:rPr>
                <w:spacing w:val="-2"/>
                <w:sz w:val="24"/>
              </w:rPr>
              <w:t>(12.4%)</w:t>
            </w:r>
          </w:p>
        </w:tc>
        <w:tc>
          <w:tcPr>
            <w:tcW w:w="1658" w:type="dxa"/>
            <w:tcBorders>
              <w:top w:val="single" w:sz="4" w:space="0" w:color="000000"/>
            </w:tcBorders>
          </w:tcPr>
          <w:p>
            <w:pPr>
              <w:pStyle w:val="TableParagraph"/>
              <w:spacing w:line="269" w:lineRule="exact" w:before="1"/>
              <w:ind w:right="40"/>
              <w:rPr>
                <w:sz w:val="24"/>
              </w:rPr>
            </w:pPr>
            <w:r>
              <w:rPr>
                <w:sz w:val="24"/>
              </w:rPr>
              <w:t>29</w:t>
            </w:r>
            <w:r>
              <w:rPr>
                <w:spacing w:val="-8"/>
                <w:sz w:val="24"/>
              </w:rPr>
              <w:t> </w:t>
            </w:r>
            <w:r>
              <w:rPr>
                <w:spacing w:val="-2"/>
                <w:sz w:val="24"/>
              </w:rPr>
              <w:t>(19%)</w:t>
            </w:r>
          </w:p>
        </w:tc>
        <w:tc>
          <w:tcPr>
            <w:tcW w:w="1530" w:type="dxa"/>
            <w:tcBorders>
              <w:top w:val="single" w:sz="4" w:space="0" w:color="000000"/>
            </w:tcBorders>
          </w:tcPr>
          <w:p>
            <w:pPr>
              <w:pStyle w:val="TableParagraph"/>
              <w:spacing w:line="269" w:lineRule="exact" w:before="1"/>
              <w:ind w:right="51"/>
              <w:rPr>
                <w:sz w:val="24"/>
              </w:rPr>
            </w:pPr>
            <w:r>
              <w:rPr>
                <w:sz w:val="24"/>
              </w:rPr>
              <w:t>30</w:t>
            </w:r>
            <w:r>
              <w:rPr>
                <w:spacing w:val="-8"/>
                <w:sz w:val="24"/>
              </w:rPr>
              <w:t> </w:t>
            </w:r>
            <w:r>
              <w:rPr>
                <w:spacing w:val="-2"/>
                <w:sz w:val="24"/>
              </w:rPr>
              <w:t>(19.6%)</w:t>
            </w:r>
          </w:p>
        </w:tc>
        <w:tc>
          <w:tcPr>
            <w:tcW w:w="1593" w:type="dxa"/>
            <w:tcBorders>
              <w:top w:val="single" w:sz="4" w:space="0" w:color="000000"/>
            </w:tcBorders>
          </w:tcPr>
          <w:p>
            <w:pPr>
              <w:pStyle w:val="TableParagraph"/>
              <w:spacing w:line="269" w:lineRule="exact" w:before="1"/>
              <w:ind w:right="6"/>
              <w:rPr>
                <w:sz w:val="24"/>
              </w:rPr>
            </w:pPr>
            <w:r>
              <w:rPr>
                <w:sz w:val="24"/>
              </w:rPr>
              <w:t>24</w:t>
            </w:r>
            <w:r>
              <w:rPr>
                <w:spacing w:val="-8"/>
                <w:sz w:val="24"/>
              </w:rPr>
              <w:t> </w:t>
            </w:r>
            <w:r>
              <w:rPr>
                <w:spacing w:val="-2"/>
                <w:sz w:val="24"/>
              </w:rPr>
              <w:t>(15.7%)</w:t>
            </w:r>
          </w:p>
        </w:tc>
      </w:tr>
    </w:tbl>
    <w:p>
      <w:pPr>
        <w:pStyle w:val="BodyText"/>
        <w:spacing w:before="29"/>
        <w:rPr>
          <w:b/>
          <w:sz w:val="20"/>
        </w:rPr>
      </w:pPr>
      <w:r>
        <w:rPr/>
        <mc:AlternateContent>
          <mc:Choice Requires="wps">
            <w:drawing>
              <wp:anchor distT="0" distB="0" distL="0" distR="0" allowOverlap="1" layoutInCell="1" locked="0" behindDoc="1" simplePos="0" relativeHeight="487596544">
                <wp:simplePos x="0" y="0"/>
                <wp:positionH relativeFrom="page">
                  <wp:posOffset>835152</wp:posOffset>
                </wp:positionH>
                <wp:positionV relativeFrom="paragraph">
                  <wp:posOffset>188684</wp:posOffset>
                </wp:positionV>
                <wp:extent cx="609346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4.857026pt;width:479.760023pt;height:.48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Heading5"/>
        <w:numPr>
          <w:ilvl w:val="1"/>
          <w:numId w:val="18"/>
        </w:numPr>
        <w:tabs>
          <w:tab w:pos="1244" w:val="left" w:leader="none"/>
        </w:tabs>
        <w:spacing w:line="240" w:lineRule="auto" w:before="37" w:after="0"/>
        <w:ind w:left="1244" w:right="0" w:hanging="324"/>
        <w:jc w:val="left"/>
        <w:rPr>
          <w:b w:val="0"/>
        </w:rPr>
      </w:pPr>
      <w:bookmarkStart w:name="_TOC_250011" w:id="80"/>
      <w:r>
        <w:rPr/>
        <w:t>ANTIBIOTICS</w:t>
      </w:r>
      <w:r>
        <w:rPr>
          <w:spacing w:val="-11"/>
        </w:rPr>
        <w:t> </w:t>
      </w:r>
      <w:r>
        <w:rPr/>
        <w:t>SUSCEPTIBILITY</w:t>
      </w:r>
      <w:r>
        <w:rPr>
          <w:spacing w:val="-10"/>
        </w:rPr>
        <w:t> </w:t>
      </w:r>
      <w:bookmarkEnd w:id="80"/>
      <w:r>
        <w:rPr>
          <w:spacing w:val="-2"/>
        </w:rPr>
        <w:t>TESTING</w:t>
      </w:r>
    </w:p>
    <w:p>
      <w:pPr>
        <w:pStyle w:val="BodyText"/>
        <w:spacing w:before="202"/>
        <w:rPr>
          <w:b/>
        </w:rPr>
      </w:pPr>
    </w:p>
    <w:p>
      <w:pPr>
        <w:pStyle w:val="BodyText"/>
        <w:spacing w:line="475" w:lineRule="auto"/>
        <w:ind w:left="920" w:right="1184"/>
        <w:jc w:val="both"/>
      </w:pPr>
      <w:r>
        <w:rPr/>
        <w:t>The susceptibility testing of the bacteria isolates (n = 153) showed that 99.3% of the examined bacteria isolates were sensitive to ofloxacin, 83% to gentamicin and 51.6% to nalidixic acid (Table 4.5).</w:t>
      </w:r>
    </w:p>
    <w:p>
      <w:pPr>
        <w:pStyle w:val="BodyText"/>
        <w:spacing w:line="480" w:lineRule="auto" w:before="208"/>
        <w:ind w:left="920" w:right="1176"/>
        <w:jc w:val="both"/>
      </w:pPr>
      <w:r>
        <w:rPr/>
        <w:t>The</w:t>
      </w:r>
      <w:r>
        <w:rPr>
          <w:spacing w:val="-3"/>
        </w:rPr>
        <w:t> </w:t>
      </w:r>
      <w:r>
        <w:rPr/>
        <w:t>frequency</w:t>
      </w:r>
      <w:r>
        <w:rPr>
          <w:spacing w:val="-2"/>
        </w:rPr>
        <w:t> </w:t>
      </w:r>
      <w:r>
        <w:rPr/>
        <w:t>of resistance</w:t>
      </w:r>
      <w:r>
        <w:rPr>
          <w:spacing w:val="-3"/>
        </w:rPr>
        <w:t> </w:t>
      </w:r>
      <w:r>
        <w:rPr/>
        <w:t>among</w:t>
      </w:r>
      <w:r>
        <w:rPr>
          <w:spacing w:val="-1"/>
        </w:rPr>
        <w:t> </w:t>
      </w:r>
      <w:r>
        <w:rPr/>
        <w:t>isolates</w:t>
      </w:r>
      <w:r>
        <w:rPr>
          <w:spacing w:val="-3"/>
        </w:rPr>
        <w:t> </w:t>
      </w:r>
      <w:r>
        <w:rPr/>
        <w:t>from</w:t>
      </w:r>
      <w:r>
        <w:rPr>
          <w:spacing w:val="-2"/>
        </w:rPr>
        <w:t> </w:t>
      </w:r>
      <w:r>
        <w:rPr/>
        <w:t>the</w:t>
      </w:r>
      <w:r>
        <w:rPr>
          <w:spacing w:val="-3"/>
        </w:rPr>
        <w:t> </w:t>
      </w:r>
      <w:r>
        <w:rPr/>
        <w:t>four</w:t>
      </w:r>
      <w:r>
        <w:rPr>
          <w:spacing w:val="-3"/>
        </w:rPr>
        <w:t> </w:t>
      </w:r>
      <w:r>
        <w:rPr/>
        <w:t>brands</w:t>
      </w:r>
      <w:r>
        <w:rPr>
          <w:spacing w:val="-3"/>
        </w:rPr>
        <w:t> </w:t>
      </w:r>
      <w:r>
        <w:rPr/>
        <w:t>of milk</w:t>
      </w:r>
      <w:r>
        <w:rPr>
          <w:spacing w:val="-3"/>
        </w:rPr>
        <w:t> </w:t>
      </w:r>
      <w:r>
        <w:rPr/>
        <w:t>sample</w:t>
      </w:r>
      <w:r>
        <w:rPr>
          <w:spacing w:val="-3"/>
        </w:rPr>
        <w:t> </w:t>
      </w:r>
      <w:r>
        <w:rPr/>
        <w:t>showed</w:t>
      </w:r>
      <w:r>
        <w:rPr>
          <w:spacing w:val="-4"/>
        </w:rPr>
        <w:t> </w:t>
      </w:r>
      <w:r>
        <w:rPr/>
        <w:t>that</w:t>
      </w:r>
      <w:r>
        <w:rPr>
          <w:spacing w:val="-5"/>
        </w:rPr>
        <w:t> </w:t>
      </w:r>
      <w:r>
        <w:rPr/>
        <w:t>brands</w:t>
      </w:r>
      <w:r>
        <w:rPr>
          <w:spacing w:val="-3"/>
        </w:rPr>
        <w:t> </w:t>
      </w:r>
      <w:r>
        <w:rPr/>
        <w:t>1,</w:t>
      </w:r>
      <w:r>
        <w:rPr>
          <w:spacing w:val="-1"/>
        </w:rPr>
        <w:t> </w:t>
      </w:r>
      <w:r>
        <w:rPr/>
        <w:t>2 and 4 were 100% resistant to cloxacillin (Table 4.6).</w:t>
      </w:r>
      <w:r>
        <w:rPr>
          <w:spacing w:val="40"/>
        </w:rPr>
        <w:t> </w:t>
      </w:r>
      <w:r>
        <w:rPr/>
        <w:t>Higher proportion of the bacterial isolates from brand 4 displayed more resistances to test antibiotics than those from other brands. However, bacterial isolates from brand 3 recorded lower proportion of resistance. From the data, there was no resistance</w:t>
      </w:r>
      <w:r>
        <w:rPr>
          <w:spacing w:val="40"/>
        </w:rPr>
        <w:t> </w:t>
      </w:r>
      <w:r>
        <w:rPr/>
        <w:t>to ofloxacin.</w:t>
      </w:r>
    </w:p>
    <w:p>
      <w:pPr>
        <w:pStyle w:val="BodyText"/>
        <w:spacing w:line="480" w:lineRule="auto" w:before="243"/>
        <w:ind w:left="920" w:right="1174"/>
        <w:jc w:val="both"/>
      </w:pPr>
      <w:r>
        <w:rPr/>
        <w:t>Observations also showed high frequency of resistance to cloxacillin among isolates from Samaru, Tudun-wada, Wusasa and Zaria-city. Furthermore, there was 100% resistance against erythromycin among bacterial isolates from Sabo-Gari and Zaria-city. However,</w:t>
      </w:r>
      <w:r>
        <w:rPr>
          <w:spacing w:val="-1"/>
        </w:rPr>
        <w:t> </w:t>
      </w:r>
      <w:r>
        <w:rPr/>
        <w:t>ofloxacin was observed to be effective against bacterial isolates obtained in the five locations (Table 4.7).</w:t>
      </w:r>
    </w:p>
    <w:p>
      <w:pPr>
        <w:pStyle w:val="BodyText"/>
        <w:spacing w:line="480" w:lineRule="auto" w:before="237"/>
        <w:ind w:left="920" w:right="1175"/>
        <w:jc w:val="both"/>
      </w:pPr>
      <w:r>
        <w:rPr/>
        <w:t>Table 4.8 shows that bacterial isolates from the milk sample were resistant to a wide range of</w:t>
      </w:r>
      <w:r>
        <w:rPr>
          <w:spacing w:val="40"/>
        </w:rPr>
        <w:t> </w:t>
      </w:r>
      <w:r>
        <w:rPr/>
        <w:t>antibiotics. All </w:t>
      </w:r>
      <w:r>
        <w:rPr>
          <w:i/>
        </w:rPr>
        <w:t>E. coli </w:t>
      </w:r>
      <w:r>
        <w:rPr/>
        <w:t>(100%) isolated were resistant to cloxacillin and erythromycin. High resistance was also recorded against amoxicillin (90%), tetracycline (90%), amoxicillin/clavulanic acid (85%) and cotrimoxazole (70%). </w:t>
      </w:r>
      <w:r>
        <w:rPr>
          <w:i/>
        </w:rPr>
        <w:t>Proteus spp </w:t>
      </w:r>
      <w:r>
        <w:rPr/>
        <w:t>were 100% resistant to amoxicillin, amoxicillin/clavulanic acid, cloxacillin, erythromycin and nitrofurantoin. </w:t>
      </w:r>
      <w:r>
        <w:rPr>
          <w:i/>
        </w:rPr>
        <w:t>Salmonella spp </w:t>
      </w:r>
      <w:r>
        <w:rPr/>
        <w:t>was resistant against chloramphenicol, cloxacillin, erythromycin and tetracycline but sensitive to other test antibiotics. </w:t>
      </w:r>
      <w:r>
        <w:rPr>
          <w:i/>
        </w:rPr>
        <w:t>Enterobacter spp </w:t>
      </w:r>
      <w:r>
        <w:rPr/>
        <w:t>recorded high resistance against the penicillins and erythromycin. However all the isolates were</w:t>
      </w:r>
      <w:r>
        <w:rPr>
          <w:spacing w:val="40"/>
        </w:rPr>
        <w:t> </w:t>
      </w:r>
      <w:r>
        <w:rPr/>
        <w:t>sensitive to ofloxacin.</w:t>
      </w:r>
    </w:p>
    <w:p>
      <w:pPr>
        <w:spacing w:after="0" w:line="480" w:lineRule="auto"/>
        <w:jc w:val="both"/>
        <w:sectPr>
          <w:pgSz w:w="12240" w:h="15840"/>
          <w:pgMar w:header="0" w:footer="1017" w:top="1400" w:bottom="1200" w:left="520" w:right="260"/>
        </w:sectPr>
      </w:pPr>
    </w:p>
    <w:p>
      <w:pPr>
        <w:spacing w:before="37"/>
        <w:ind w:left="920" w:right="0" w:firstLine="0"/>
        <w:jc w:val="left"/>
        <w:rPr>
          <w:b/>
          <w:sz w:val="22"/>
        </w:rPr>
      </w:pPr>
      <w:r>
        <w:rPr>
          <w:b/>
          <w:sz w:val="22"/>
        </w:rPr>
        <w:t>Table</w:t>
      </w:r>
      <w:r>
        <w:rPr>
          <w:b/>
          <w:spacing w:val="-7"/>
          <w:sz w:val="22"/>
        </w:rPr>
        <w:t> </w:t>
      </w:r>
      <w:r>
        <w:rPr>
          <w:b/>
          <w:sz w:val="22"/>
        </w:rPr>
        <w:t>4.5:</w:t>
      </w:r>
      <w:r>
        <w:rPr>
          <w:b/>
          <w:spacing w:val="-4"/>
          <w:sz w:val="22"/>
        </w:rPr>
        <w:t> </w:t>
      </w:r>
      <w:r>
        <w:rPr>
          <w:b/>
          <w:sz w:val="22"/>
        </w:rPr>
        <w:t>Antibiotics</w:t>
      </w:r>
      <w:r>
        <w:rPr>
          <w:b/>
          <w:spacing w:val="-6"/>
          <w:sz w:val="22"/>
        </w:rPr>
        <w:t> </w:t>
      </w:r>
      <w:r>
        <w:rPr>
          <w:b/>
          <w:sz w:val="22"/>
        </w:rPr>
        <w:t>Susceptibility</w:t>
      </w:r>
      <w:r>
        <w:rPr>
          <w:b/>
          <w:spacing w:val="-4"/>
          <w:sz w:val="22"/>
        </w:rPr>
        <w:t> </w:t>
      </w:r>
      <w:r>
        <w:rPr>
          <w:b/>
          <w:sz w:val="22"/>
        </w:rPr>
        <w:t>Pattern</w:t>
      </w:r>
      <w:r>
        <w:rPr>
          <w:b/>
          <w:spacing w:val="-4"/>
          <w:sz w:val="22"/>
        </w:rPr>
        <w:t> </w:t>
      </w:r>
      <w:r>
        <w:rPr>
          <w:b/>
          <w:sz w:val="22"/>
        </w:rPr>
        <w:t>of</w:t>
      </w:r>
      <w:r>
        <w:rPr>
          <w:b/>
          <w:spacing w:val="-4"/>
          <w:sz w:val="22"/>
        </w:rPr>
        <w:t> </w:t>
      </w:r>
      <w:r>
        <w:rPr>
          <w:b/>
          <w:sz w:val="22"/>
        </w:rPr>
        <w:t>Bacterial</w:t>
      </w:r>
      <w:r>
        <w:rPr>
          <w:b/>
          <w:spacing w:val="-7"/>
          <w:sz w:val="22"/>
        </w:rPr>
        <w:t> </w:t>
      </w:r>
      <w:r>
        <w:rPr>
          <w:b/>
          <w:sz w:val="22"/>
        </w:rPr>
        <w:t>Isolates</w:t>
      </w:r>
      <w:r>
        <w:rPr>
          <w:b/>
          <w:spacing w:val="-6"/>
          <w:sz w:val="22"/>
        </w:rPr>
        <w:t> </w:t>
      </w:r>
      <w:r>
        <w:rPr>
          <w:b/>
          <w:sz w:val="22"/>
        </w:rPr>
        <w:t>from</w:t>
      </w:r>
      <w:r>
        <w:rPr>
          <w:b/>
          <w:spacing w:val="-7"/>
          <w:sz w:val="22"/>
        </w:rPr>
        <w:t> </w:t>
      </w:r>
      <w:r>
        <w:rPr>
          <w:b/>
          <w:sz w:val="22"/>
        </w:rPr>
        <w:t>Milk</w:t>
      </w:r>
      <w:r>
        <w:rPr>
          <w:b/>
          <w:spacing w:val="-1"/>
          <w:sz w:val="22"/>
        </w:rPr>
        <w:t> </w:t>
      </w:r>
      <w:r>
        <w:rPr>
          <w:b/>
          <w:spacing w:val="-2"/>
          <w:sz w:val="22"/>
        </w:rPr>
        <w:t>Sample</w:t>
      </w:r>
    </w:p>
    <w:p>
      <w:pPr>
        <w:pStyle w:val="BodyText"/>
        <w:spacing w:before="205"/>
        <w:rPr>
          <w:b/>
          <w:sz w:val="20"/>
        </w:rPr>
      </w:pPr>
      <w:r>
        <w:rPr/>
        <mc:AlternateContent>
          <mc:Choice Requires="wps">
            <w:drawing>
              <wp:anchor distT="0" distB="0" distL="0" distR="0" allowOverlap="1" layoutInCell="1" locked="0" behindDoc="1" simplePos="0" relativeHeight="487597056">
                <wp:simplePos x="0" y="0"/>
                <wp:positionH relativeFrom="page">
                  <wp:posOffset>844296</wp:posOffset>
                </wp:positionH>
                <wp:positionV relativeFrom="paragraph">
                  <wp:posOffset>300764</wp:posOffset>
                </wp:positionV>
                <wp:extent cx="6083935"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6083935" cy="6350"/>
                        </a:xfrm>
                        <a:custGeom>
                          <a:avLst/>
                          <a:gdLst/>
                          <a:ahLst/>
                          <a:cxnLst/>
                          <a:rect l="l" t="t" r="r" b="b"/>
                          <a:pathLst>
                            <a:path w="6083935" h="6350">
                              <a:moveTo>
                                <a:pt x="6083808" y="0"/>
                              </a:moveTo>
                              <a:lnTo>
                                <a:pt x="3633216" y="0"/>
                              </a:lnTo>
                              <a:lnTo>
                                <a:pt x="3627120" y="0"/>
                              </a:lnTo>
                              <a:lnTo>
                                <a:pt x="0" y="0"/>
                              </a:lnTo>
                              <a:lnTo>
                                <a:pt x="0" y="6096"/>
                              </a:lnTo>
                              <a:lnTo>
                                <a:pt x="3627120" y="6096"/>
                              </a:lnTo>
                              <a:lnTo>
                                <a:pt x="3633216"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80003pt;margin-top:23.682234pt;width:479.05pt;height:.5pt;mso-position-horizontal-relative:page;mso-position-vertical-relative:paragraph;z-index:-15719424;mso-wrap-distance-left:0;mso-wrap-distance-right:0" id="docshape20" coordorigin="1330,474" coordsize="9581,10" path="m10910,474l7051,474,7042,474,1330,474,1330,483,7042,483,7051,483,10910,483,10910,474xe" filled="true" fillcolor="#000000" stroked="false">
                <v:path arrowok="t"/>
                <v:fill type="solid"/>
                <w10:wrap type="topAndBottom"/>
              </v:shape>
            </w:pict>
          </mc:Fallback>
        </mc:AlternateContent>
      </w:r>
    </w:p>
    <w:p>
      <w:pPr>
        <w:pStyle w:val="Heading3"/>
        <w:tabs>
          <w:tab w:pos="7236" w:val="left" w:leader="none"/>
        </w:tabs>
        <w:spacing w:before="2"/>
        <w:ind w:left="920"/>
        <w:rPr>
          <w:rFonts w:ascii="Calibri"/>
        </w:rPr>
      </w:pPr>
      <w:r>
        <w:rPr>
          <w:rFonts w:ascii="Calibri"/>
          <w:spacing w:val="-2"/>
        </w:rPr>
        <w:t>Antibiotics</w:t>
      </w:r>
      <w:r>
        <w:rPr>
          <w:rFonts w:ascii="Calibri"/>
        </w:rPr>
        <w:tab/>
        <w:t>%</w:t>
      </w:r>
      <w:r>
        <w:rPr>
          <w:rFonts w:ascii="Calibri"/>
          <w:spacing w:val="-10"/>
        </w:rPr>
        <w:t> </w:t>
      </w:r>
      <w:r>
        <w:rPr>
          <w:rFonts w:ascii="Calibri"/>
        </w:rPr>
        <w:t>Susceptibility</w:t>
      </w:r>
      <w:r>
        <w:rPr>
          <w:rFonts w:ascii="Calibri"/>
          <w:spacing w:val="-6"/>
        </w:rPr>
        <w:t> </w:t>
      </w:r>
      <w:r>
        <w:rPr>
          <w:rFonts w:ascii="Calibri"/>
        </w:rPr>
        <w:t>(n=</w:t>
      </w:r>
      <w:r>
        <w:rPr>
          <w:rFonts w:ascii="Calibri"/>
          <w:spacing w:val="-8"/>
        </w:rPr>
        <w:t> </w:t>
      </w:r>
      <w:r>
        <w:rPr>
          <w:rFonts w:ascii="Calibri"/>
          <w:spacing w:val="-4"/>
        </w:rPr>
        <w:t>153)</w:t>
      </w:r>
    </w:p>
    <w:p>
      <w:pPr>
        <w:pStyle w:val="BodyText"/>
        <w:rPr>
          <w:b/>
          <w:sz w:val="20"/>
        </w:rPr>
      </w:pPr>
    </w:p>
    <w:p>
      <w:pPr>
        <w:pStyle w:val="BodyText"/>
        <w:rPr>
          <w:b/>
          <w:sz w:val="20"/>
        </w:rPr>
      </w:pPr>
    </w:p>
    <w:p>
      <w:pPr>
        <w:pStyle w:val="BodyText"/>
        <w:spacing w:before="76"/>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8"/>
        <w:gridCol w:w="5013"/>
      </w:tblGrid>
      <w:tr>
        <w:trPr>
          <w:trHeight w:val="467" w:hRule="atLeast"/>
        </w:trPr>
        <w:tc>
          <w:tcPr>
            <w:tcW w:w="4568" w:type="dxa"/>
            <w:tcBorders>
              <w:top w:val="single" w:sz="4" w:space="0" w:color="000000"/>
            </w:tcBorders>
          </w:tcPr>
          <w:p>
            <w:pPr>
              <w:pStyle w:val="TableParagraph"/>
              <w:spacing w:line="240" w:lineRule="auto" w:before="6"/>
              <w:ind w:left="110"/>
              <w:jc w:val="left"/>
              <w:rPr>
                <w:sz w:val="24"/>
              </w:rPr>
            </w:pPr>
            <w:r>
              <w:rPr>
                <w:spacing w:val="-2"/>
                <w:sz w:val="24"/>
              </w:rPr>
              <w:t>Amoxicillin</w:t>
            </w:r>
          </w:p>
        </w:tc>
        <w:tc>
          <w:tcPr>
            <w:tcW w:w="5013" w:type="dxa"/>
            <w:tcBorders>
              <w:top w:val="single" w:sz="4" w:space="0" w:color="000000"/>
            </w:tcBorders>
          </w:tcPr>
          <w:p>
            <w:pPr>
              <w:pStyle w:val="TableParagraph"/>
              <w:spacing w:line="240" w:lineRule="auto" w:before="6"/>
              <w:ind w:right="1667"/>
              <w:jc w:val="right"/>
              <w:rPr>
                <w:sz w:val="24"/>
              </w:rPr>
            </w:pPr>
            <w:r>
              <w:rPr>
                <w:spacing w:val="-2"/>
                <w:sz w:val="24"/>
              </w:rPr>
              <w:t>15.03</w:t>
            </w:r>
          </w:p>
        </w:tc>
      </w:tr>
      <w:tr>
        <w:trPr>
          <w:trHeight w:val="585" w:hRule="atLeast"/>
        </w:trPr>
        <w:tc>
          <w:tcPr>
            <w:tcW w:w="4568" w:type="dxa"/>
          </w:tcPr>
          <w:p>
            <w:pPr>
              <w:pStyle w:val="TableParagraph"/>
              <w:spacing w:line="240" w:lineRule="auto" w:before="124"/>
              <w:ind w:left="110"/>
              <w:jc w:val="left"/>
              <w:rPr>
                <w:sz w:val="24"/>
              </w:rPr>
            </w:pPr>
            <w:r>
              <w:rPr>
                <w:spacing w:val="-2"/>
                <w:sz w:val="24"/>
              </w:rPr>
              <w:t>Amox/clav</w:t>
            </w:r>
          </w:p>
        </w:tc>
        <w:tc>
          <w:tcPr>
            <w:tcW w:w="5013" w:type="dxa"/>
          </w:tcPr>
          <w:p>
            <w:pPr>
              <w:pStyle w:val="TableParagraph"/>
              <w:spacing w:line="240" w:lineRule="auto" w:before="124"/>
              <w:ind w:right="1667"/>
              <w:jc w:val="right"/>
              <w:rPr>
                <w:sz w:val="24"/>
              </w:rPr>
            </w:pPr>
            <w:r>
              <w:rPr>
                <w:spacing w:val="-2"/>
                <w:sz w:val="24"/>
              </w:rPr>
              <w:t>16.34</w:t>
            </w:r>
          </w:p>
        </w:tc>
      </w:tr>
      <w:tr>
        <w:trPr>
          <w:trHeight w:val="585" w:hRule="atLeast"/>
        </w:trPr>
        <w:tc>
          <w:tcPr>
            <w:tcW w:w="4568" w:type="dxa"/>
          </w:tcPr>
          <w:p>
            <w:pPr>
              <w:pStyle w:val="TableParagraph"/>
              <w:spacing w:line="240" w:lineRule="auto" w:before="124"/>
              <w:ind w:left="110"/>
              <w:jc w:val="left"/>
              <w:rPr>
                <w:sz w:val="24"/>
              </w:rPr>
            </w:pPr>
            <w:r>
              <w:rPr>
                <w:spacing w:val="-2"/>
                <w:sz w:val="24"/>
              </w:rPr>
              <w:t>Chloramphenicol</w:t>
            </w:r>
          </w:p>
        </w:tc>
        <w:tc>
          <w:tcPr>
            <w:tcW w:w="5013" w:type="dxa"/>
          </w:tcPr>
          <w:p>
            <w:pPr>
              <w:pStyle w:val="TableParagraph"/>
              <w:spacing w:line="240" w:lineRule="auto" w:before="124"/>
              <w:ind w:right="1724"/>
              <w:jc w:val="right"/>
              <w:rPr>
                <w:sz w:val="24"/>
              </w:rPr>
            </w:pPr>
            <w:r>
              <w:rPr>
                <w:spacing w:val="-4"/>
                <w:sz w:val="24"/>
              </w:rPr>
              <w:t>7.20</w:t>
            </w:r>
          </w:p>
        </w:tc>
      </w:tr>
      <w:tr>
        <w:trPr>
          <w:trHeight w:val="585" w:hRule="atLeast"/>
        </w:trPr>
        <w:tc>
          <w:tcPr>
            <w:tcW w:w="4568" w:type="dxa"/>
          </w:tcPr>
          <w:p>
            <w:pPr>
              <w:pStyle w:val="TableParagraph"/>
              <w:spacing w:line="240" w:lineRule="auto" w:before="124"/>
              <w:ind w:left="110"/>
              <w:jc w:val="left"/>
              <w:rPr>
                <w:sz w:val="24"/>
              </w:rPr>
            </w:pPr>
            <w:r>
              <w:rPr>
                <w:spacing w:val="-4"/>
                <w:sz w:val="24"/>
              </w:rPr>
              <w:t>Co-</w:t>
            </w:r>
            <w:r>
              <w:rPr>
                <w:spacing w:val="-2"/>
                <w:sz w:val="24"/>
              </w:rPr>
              <w:t>trimoxazole</w:t>
            </w:r>
          </w:p>
        </w:tc>
        <w:tc>
          <w:tcPr>
            <w:tcW w:w="5013" w:type="dxa"/>
          </w:tcPr>
          <w:p>
            <w:pPr>
              <w:pStyle w:val="TableParagraph"/>
              <w:spacing w:line="240" w:lineRule="auto" w:before="124"/>
              <w:ind w:right="1638"/>
              <w:jc w:val="right"/>
              <w:rPr>
                <w:sz w:val="24"/>
              </w:rPr>
            </w:pPr>
            <w:r>
              <w:rPr>
                <w:spacing w:val="-2"/>
                <w:sz w:val="24"/>
              </w:rPr>
              <w:t>32.00</w:t>
            </w:r>
          </w:p>
        </w:tc>
      </w:tr>
      <w:tr>
        <w:trPr>
          <w:trHeight w:val="585" w:hRule="atLeast"/>
        </w:trPr>
        <w:tc>
          <w:tcPr>
            <w:tcW w:w="4568" w:type="dxa"/>
          </w:tcPr>
          <w:p>
            <w:pPr>
              <w:pStyle w:val="TableParagraph"/>
              <w:spacing w:line="240" w:lineRule="auto" w:before="124"/>
              <w:ind w:left="110"/>
              <w:jc w:val="left"/>
              <w:rPr>
                <w:sz w:val="24"/>
              </w:rPr>
            </w:pPr>
            <w:r>
              <w:rPr>
                <w:spacing w:val="-2"/>
                <w:sz w:val="24"/>
              </w:rPr>
              <w:t>Cloxacillin</w:t>
            </w:r>
          </w:p>
        </w:tc>
        <w:tc>
          <w:tcPr>
            <w:tcW w:w="5013" w:type="dxa"/>
          </w:tcPr>
          <w:p>
            <w:pPr>
              <w:pStyle w:val="TableParagraph"/>
              <w:spacing w:line="240" w:lineRule="auto" w:before="124"/>
              <w:ind w:right="1724"/>
              <w:jc w:val="right"/>
              <w:rPr>
                <w:sz w:val="24"/>
              </w:rPr>
            </w:pPr>
            <w:r>
              <w:rPr>
                <w:spacing w:val="-4"/>
                <w:sz w:val="24"/>
              </w:rPr>
              <w:t>0.00</w:t>
            </w:r>
          </w:p>
        </w:tc>
      </w:tr>
      <w:tr>
        <w:trPr>
          <w:trHeight w:val="585" w:hRule="atLeast"/>
        </w:trPr>
        <w:tc>
          <w:tcPr>
            <w:tcW w:w="4568" w:type="dxa"/>
          </w:tcPr>
          <w:p>
            <w:pPr>
              <w:pStyle w:val="TableParagraph"/>
              <w:spacing w:line="240" w:lineRule="auto" w:before="124"/>
              <w:ind w:left="110"/>
              <w:jc w:val="left"/>
              <w:rPr>
                <w:sz w:val="24"/>
              </w:rPr>
            </w:pPr>
            <w:r>
              <w:rPr>
                <w:spacing w:val="-2"/>
                <w:sz w:val="24"/>
              </w:rPr>
              <w:t>Cefuroxime</w:t>
            </w:r>
          </w:p>
        </w:tc>
        <w:tc>
          <w:tcPr>
            <w:tcW w:w="5013" w:type="dxa"/>
          </w:tcPr>
          <w:p>
            <w:pPr>
              <w:pStyle w:val="TableParagraph"/>
              <w:spacing w:line="240" w:lineRule="auto" w:before="124"/>
              <w:ind w:right="1638"/>
              <w:jc w:val="right"/>
              <w:rPr>
                <w:sz w:val="24"/>
              </w:rPr>
            </w:pPr>
            <w:r>
              <w:rPr>
                <w:spacing w:val="-2"/>
                <w:sz w:val="24"/>
              </w:rPr>
              <w:t>17.64</w:t>
            </w:r>
          </w:p>
        </w:tc>
      </w:tr>
      <w:tr>
        <w:trPr>
          <w:trHeight w:val="585" w:hRule="atLeast"/>
        </w:trPr>
        <w:tc>
          <w:tcPr>
            <w:tcW w:w="4568" w:type="dxa"/>
          </w:tcPr>
          <w:p>
            <w:pPr>
              <w:pStyle w:val="TableParagraph"/>
              <w:spacing w:line="240" w:lineRule="auto" w:before="124"/>
              <w:ind w:left="110"/>
              <w:jc w:val="left"/>
              <w:rPr>
                <w:sz w:val="24"/>
              </w:rPr>
            </w:pPr>
            <w:r>
              <w:rPr>
                <w:spacing w:val="-2"/>
                <w:sz w:val="24"/>
              </w:rPr>
              <w:t>Erythromycin</w:t>
            </w:r>
          </w:p>
        </w:tc>
        <w:tc>
          <w:tcPr>
            <w:tcW w:w="5013" w:type="dxa"/>
          </w:tcPr>
          <w:p>
            <w:pPr>
              <w:pStyle w:val="TableParagraph"/>
              <w:spacing w:line="240" w:lineRule="auto" w:before="124"/>
              <w:ind w:right="1700"/>
              <w:jc w:val="right"/>
              <w:rPr>
                <w:sz w:val="24"/>
              </w:rPr>
            </w:pPr>
            <w:r>
              <w:rPr>
                <w:spacing w:val="-4"/>
                <w:sz w:val="24"/>
              </w:rPr>
              <w:t>0.00</w:t>
            </w:r>
          </w:p>
        </w:tc>
      </w:tr>
      <w:tr>
        <w:trPr>
          <w:trHeight w:val="585" w:hRule="atLeast"/>
        </w:trPr>
        <w:tc>
          <w:tcPr>
            <w:tcW w:w="4568" w:type="dxa"/>
          </w:tcPr>
          <w:p>
            <w:pPr>
              <w:pStyle w:val="TableParagraph"/>
              <w:spacing w:line="240" w:lineRule="auto" w:before="124"/>
              <w:ind w:left="110"/>
              <w:jc w:val="left"/>
              <w:rPr>
                <w:sz w:val="24"/>
              </w:rPr>
            </w:pPr>
            <w:r>
              <w:rPr>
                <w:spacing w:val="-2"/>
                <w:sz w:val="24"/>
              </w:rPr>
              <w:t>Gentamicin</w:t>
            </w:r>
          </w:p>
        </w:tc>
        <w:tc>
          <w:tcPr>
            <w:tcW w:w="5013" w:type="dxa"/>
          </w:tcPr>
          <w:p>
            <w:pPr>
              <w:pStyle w:val="TableParagraph"/>
              <w:spacing w:line="240" w:lineRule="auto" w:before="124"/>
              <w:ind w:right="1638"/>
              <w:jc w:val="right"/>
              <w:rPr>
                <w:sz w:val="24"/>
              </w:rPr>
            </w:pPr>
            <w:r>
              <w:rPr>
                <w:spacing w:val="-2"/>
                <w:sz w:val="24"/>
              </w:rPr>
              <w:t>83.00</w:t>
            </w:r>
          </w:p>
        </w:tc>
      </w:tr>
      <w:tr>
        <w:trPr>
          <w:trHeight w:val="585" w:hRule="atLeast"/>
        </w:trPr>
        <w:tc>
          <w:tcPr>
            <w:tcW w:w="4568" w:type="dxa"/>
          </w:tcPr>
          <w:p>
            <w:pPr>
              <w:pStyle w:val="TableParagraph"/>
              <w:spacing w:line="240" w:lineRule="auto" w:before="124"/>
              <w:ind w:left="110"/>
              <w:jc w:val="left"/>
              <w:rPr>
                <w:sz w:val="24"/>
              </w:rPr>
            </w:pPr>
            <w:r>
              <w:rPr>
                <w:spacing w:val="-2"/>
                <w:sz w:val="24"/>
              </w:rPr>
              <w:t>Nalidixic </w:t>
            </w:r>
            <w:r>
              <w:rPr>
                <w:spacing w:val="-4"/>
                <w:sz w:val="24"/>
              </w:rPr>
              <w:t>acid</w:t>
            </w:r>
          </w:p>
        </w:tc>
        <w:tc>
          <w:tcPr>
            <w:tcW w:w="5013" w:type="dxa"/>
          </w:tcPr>
          <w:p>
            <w:pPr>
              <w:pStyle w:val="TableParagraph"/>
              <w:spacing w:line="240" w:lineRule="auto" w:before="124"/>
              <w:ind w:right="1638"/>
              <w:jc w:val="right"/>
              <w:rPr>
                <w:sz w:val="24"/>
              </w:rPr>
            </w:pPr>
            <w:r>
              <w:rPr>
                <w:spacing w:val="-2"/>
                <w:sz w:val="24"/>
              </w:rPr>
              <w:t>51.63</w:t>
            </w:r>
          </w:p>
        </w:tc>
      </w:tr>
      <w:tr>
        <w:trPr>
          <w:trHeight w:val="585" w:hRule="atLeast"/>
        </w:trPr>
        <w:tc>
          <w:tcPr>
            <w:tcW w:w="4568" w:type="dxa"/>
          </w:tcPr>
          <w:p>
            <w:pPr>
              <w:pStyle w:val="TableParagraph"/>
              <w:spacing w:line="240" w:lineRule="auto" w:before="124"/>
              <w:ind w:left="110"/>
              <w:jc w:val="left"/>
              <w:rPr>
                <w:sz w:val="24"/>
              </w:rPr>
            </w:pPr>
            <w:r>
              <w:rPr>
                <w:spacing w:val="-2"/>
                <w:sz w:val="24"/>
              </w:rPr>
              <w:t>Nitrofurantoin</w:t>
            </w:r>
          </w:p>
        </w:tc>
        <w:tc>
          <w:tcPr>
            <w:tcW w:w="5013" w:type="dxa"/>
          </w:tcPr>
          <w:p>
            <w:pPr>
              <w:pStyle w:val="TableParagraph"/>
              <w:spacing w:line="240" w:lineRule="auto" w:before="124"/>
              <w:ind w:right="1638"/>
              <w:jc w:val="right"/>
              <w:rPr>
                <w:sz w:val="24"/>
              </w:rPr>
            </w:pPr>
            <w:r>
              <w:rPr>
                <w:spacing w:val="-2"/>
                <w:sz w:val="24"/>
              </w:rPr>
              <w:t>25.49</w:t>
            </w:r>
          </w:p>
        </w:tc>
      </w:tr>
      <w:tr>
        <w:trPr>
          <w:trHeight w:val="585" w:hRule="atLeast"/>
        </w:trPr>
        <w:tc>
          <w:tcPr>
            <w:tcW w:w="4568" w:type="dxa"/>
          </w:tcPr>
          <w:p>
            <w:pPr>
              <w:pStyle w:val="TableParagraph"/>
              <w:spacing w:line="240" w:lineRule="auto" w:before="124"/>
              <w:ind w:left="110"/>
              <w:jc w:val="left"/>
              <w:rPr>
                <w:sz w:val="24"/>
              </w:rPr>
            </w:pPr>
            <w:r>
              <w:rPr>
                <w:spacing w:val="-2"/>
                <w:sz w:val="24"/>
              </w:rPr>
              <w:t>Ofloxacin</w:t>
            </w:r>
          </w:p>
        </w:tc>
        <w:tc>
          <w:tcPr>
            <w:tcW w:w="5013" w:type="dxa"/>
          </w:tcPr>
          <w:p>
            <w:pPr>
              <w:pStyle w:val="TableParagraph"/>
              <w:spacing w:line="240" w:lineRule="auto" w:before="124"/>
              <w:ind w:right="1638"/>
              <w:jc w:val="right"/>
              <w:rPr>
                <w:sz w:val="24"/>
              </w:rPr>
            </w:pPr>
            <w:r>
              <w:rPr>
                <w:spacing w:val="-2"/>
                <w:sz w:val="24"/>
              </w:rPr>
              <w:t>99.30</w:t>
            </w:r>
          </w:p>
        </w:tc>
      </w:tr>
      <w:tr>
        <w:trPr>
          <w:trHeight w:val="412" w:hRule="atLeast"/>
        </w:trPr>
        <w:tc>
          <w:tcPr>
            <w:tcW w:w="4568" w:type="dxa"/>
          </w:tcPr>
          <w:p>
            <w:pPr>
              <w:pStyle w:val="TableParagraph"/>
              <w:spacing w:line="269" w:lineRule="exact" w:before="124"/>
              <w:ind w:left="110"/>
              <w:jc w:val="left"/>
              <w:rPr>
                <w:sz w:val="24"/>
              </w:rPr>
            </w:pPr>
            <w:r>
              <w:rPr>
                <w:spacing w:val="-2"/>
                <w:sz w:val="24"/>
              </w:rPr>
              <w:t>Tetracycline</w:t>
            </w:r>
          </w:p>
        </w:tc>
        <w:tc>
          <w:tcPr>
            <w:tcW w:w="5013" w:type="dxa"/>
          </w:tcPr>
          <w:p>
            <w:pPr>
              <w:pStyle w:val="TableParagraph"/>
              <w:spacing w:line="269" w:lineRule="exact" w:before="124"/>
              <w:ind w:right="1700"/>
              <w:jc w:val="right"/>
              <w:rPr>
                <w:sz w:val="24"/>
              </w:rPr>
            </w:pPr>
            <w:r>
              <w:rPr>
                <w:spacing w:val="-4"/>
                <w:sz w:val="24"/>
              </w:rPr>
              <w:t>9.80</w:t>
            </w:r>
          </w:p>
        </w:tc>
      </w:tr>
    </w:tbl>
    <w:p>
      <w:pPr>
        <w:pStyle w:val="BodyText"/>
        <w:spacing w:before="29"/>
        <w:rPr>
          <w:b/>
          <w:sz w:val="20"/>
        </w:rPr>
      </w:pPr>
      <w:r>
        <w:rPr/>
        <mc:AlternateContent>
          <mc:Choice Requires="wps">
            <w:drawing>
              <wp:anchor distT="0" distB="0" distL="0" distR="0" allowOverlap="1" layoutInCell="1" locked="0" behindDoc="1" simplePos="0" relativeHeight="487597568">
                <wp:simplePos x="0" y="0"/>
                <wp:positionH relativeFrom="page">
                  <wp:posOffset>835152</wp:posOffset>
                </wp:positionH>
                <wp:positionV relativeFrom="paragraph">
                  <wp:posOffset>188684</wp:posOffset>
                </wp:positionV>
                <wp:extent cx="6093460"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6093460" cy="6350"/>
                        </a:xfrm>
                        <a:custGeom>
                          <a:avLst/>
                          <a:gdLst/>
                          <a:ahLst/>
                          <a:cxnLst/>
                          <a:rect l="l" t="t" r="r" b="b"/>
                          <a:pathLst>
                            <a:path w="6093460" h="6350">
                              <a:moveTo>
                                <a:pt x="6092952" y="0"/>
                              </a:moveTo>
                              <a:lnTo>
                                <a:pt x="3636264" y="0"/>
                              </a:lnTo>
                              <a:lnTo>
                                <a:pt x="3633216" y="0"/>
                              </a:lnTo>
                              <a:lnTo>
                                <a:pt x="3627120" y="0"/>
                              </a:lnTo>
                              <a:lnTo>
                                <a:pt x="0" y="0"/>
                              </a:lnTo>
                              <a:lnTo>
                                <a:pt x="0" y="6096"/>
                              </a:lnTo>
                              <a:lnTo>
                                <a:pt x="3627120" y="6096"/>
                              </a:lnTo>
                              <a:lnTo>
                                <a:pt x="3633216" y="6096"/>
                              </a:lnTo>
                              <a:lnTo>
                                <a:pt x="3636264"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760002pt;margin-top:14.857018pt;width:479.8pt;height:.5pt;mso-position-horizontal-relative:page;mso-position-vertical-relative:paragraph;z-index:-15718912;mso-wrap-distance-left:0;mso-wrap-distance-right:0" id="docshape21" coordorigin="1315,297" coordsize="9596,10" path="m10910,297l7042,297,7037,297,7027,297,1315,297,1315,307,7027,307,7037,307,7042,307,10910,307,10910,297xe" filled="true" fillcolor="#000000" stroked="false">
                <v:path arrowok="t"/>
                <v:fill type="solid"/>
                <w10:wrap type="topAndBottom"/>
              </v:shape>
            </w:pict>
          </mc:Fallback>
        </mc:AlternateContent>
      </w:r>
    </w:p>
    <w:p>
      <w:pPr>
        <w:spacing w:after="0"/>
        <w:rPr>
          <w:sz w:val="20"/>
        </w:rPr>
        <w:sectPr>
          <w:pgSz w:w="12240" w:h="15840"/>
          <w:pgMar w:header="0" w:footer="1017" w:top="1400" w:bottom="1200" w:left="520" w:right="260"/>
        </w:sectPr>
      </w:pPr>
    </w:p>
    <w:p>
      <w:pPr>
        <w:pStyle w:val="BodyText"/>
        <w:rPr>
          <w:b/>
        </w:rPr>
      </w:pPr>
    </w:p>
    <w:p>
      <w:pPr>
        <w:pStyle w:val="BodyText"/>
        <w:rPr>
          <w:b/>
        </w:rPr>
      </w:pPr>
    </w:p>
    <w:p>
      <w:pPr>
        <w:pStyle w:val="BodyText"/>
        <w:rPr>
          <w:b/>
        </w:rPr>
      </w:pPr>
    </w:p>
    <w:p>
      <w:pPr>
        <w:pStyle w:val="BodyText"/>
        <w:spacing w:before="16"/>
        <w:rPr>
          <w:b/>
        </w:rPr>
      </w:pPr>
    </w:p>
    <w:p>
      <w:pPr>
        <w:spacing w:before="0"/>
        <w:ind w:left="920" w:right="0" w:firstLine="0"/>
        <w:jc w:val="left"/>
        <w:rPr>
          <w:b/>
          <w:sz w:val="22"/>
        </w:rPr>
      </w:pPr>
      <w:r>
        <w:rPr>
          <w:b/>
          <w:sz w:val="22"/>
        </w:rPr>
        <w:t>Table</w:t>
      </w:r>
      <w:r>
        <w:rPr>
          <w:b/>
          <w:spacing w:val="-5"/>
          <w:sz w:val="22"/>
        </w:rPr>
        <w:t> </w:t>
      </w:r>
      <w:r>
        <w:rPr>
          <w:b/>
          <w:sz w:val="22"/>
        </w:rPr>
        <w:t>4.6:</w:t>
      </w:r>
      <w:r>
        <w:rPr>
          <w:b/>
          <w:spacing w:val="-3"/>
          <w:sz w:val="22"/>
        </w:rPr>
        <w:t> </w:t>
      </w:r>
      <w:r>
        <w:rPr>
          <w:b/>
          <w:sz w:val="22"/>
        </w:rPr>
        <w:t>Frequency</w:t>
      </w:r>
      <w:r>
        <w:rPr>
          <w:b/>
          <w:spacing w:val="-3"/>
          <w:sz w:val="22"/>
        </w:rPr>
        <w:t> </w:t>
      </w:r>
      <w:r>
        <w:rPr>
          <w:b/>
          <w:sz w:val="22"/>
        </w:rPr>
        <w:t>of</w:t>
      </w:r>
      <w:r>
        <w:rPr>
          <w:b/>
          <w:spacing w:val="-3"/>
          <w:sz w:val="22"/>
        </w:rPr>
        <w:t> </w:t>
      </w:r>
      <w:r>
        <w:rPr>
          <w:b/>
          <w:sz w:val="22"/>
        </w:rPr>
        <w:t>Antibiotics</w:t>
      </w:r>
      <w:r>
        <w:rPr>
          <w:b/>
          <w:spacing w:val="-5"/>
          <w:sz w:val="22"/>
        </w:rPr>
        <w:t> </w:t>
      </w:r>
      <w:r>
        <w:rPr>
          <w:b/>
          <w:sz w:val="22"/>
        </w:rPr>
        <w:t>Resistance</w:t>
      </w:r>
      <w:r>
        <w:rPr>
          <w:b/>
          <w:spacing w:val="-4"/>
          <w:sz w:val="22"/>
        </w:rPr>
        <w:t> </w:t>
      </w:r>
      <w:r>
        <w:rPr>
          <w:b/>
          <w:sz w:val="22"/>
        </w:rPr>
        <w:t>among</w:t>
      </w:r>
      <w:r>
        <w:rPr>
          <w:b/>
          <w:spacing w:val="-3"/>
          <w:sz w:val="22"/>
        </w:rPr>
        <w:t> </w:t>
      </w:r>
      <w:r>
        <w:rPr>
          <w:b/>
          <w:sz w:val="22"/>
        </w:rPr>
        <w:t>Isolates</w:t>
      </w:r>
      <w:r>
        <w:rPr>
          <w:b/>
          <w:spacing w:val="-5"/>
          <w:sz w:val="22"/>
        </w:rPr>
        <w:t> </w:t>
      </w:r>
      <w:r>
        <w:rPr>
          <w:b/>
          <w:sz w:val="22"/>
        </w:rPr>
        <w:t>based</w:t>
      </w:r>
      <w:r>
        <w:rPr>
          <w:b/>
          <w:spacing w:val="-3"/>
          <w:sz w:val="22"/>
        </w:rPr>
        <w:t> </w:t>
      </w:r>
      <w:r>
        <w:rPr>
          <w:b/>
          <w:sz w:val="22"/>
        </w:rPr>
        <w:t>on</w:t>
      </w:r>
      <w:r>
        <w:rPr>
          <w:b/>
          <w:spacing w:val="-3"/>
          <w:sz w:val="22"/>
        </w:rPr>
        <w:t> </w:t>
      </w:r>
      <w:r>
        <w:rPr>
          <w:b/>
          <w:sz w:val="22"/>
        </w:rPr>
        <w:t>the</w:t>
      </w:r>
      <w:r>
        <w:rPr>
          <w:b/>
          <w:spacing w:val="-4"/>
          <w:sz w:val="22"/>
        </w:rPr>
        <w:t> </w:t>
      </w:r>
      <w:r>
        <w:rPr>
          <w:b/>
          <w:sz w:val="22"/>
        </w:rPr>
        <w:t>Brands</w:t>
      </w:r>
      <w:r>
        <w:rPr>
          <w:b/>
          <w:spacing w:val="-5"/>
          <w:sz w:val="22"/>
        </w:rPr>
        <w:t> </w:t>
      </w:r>
      <w:r>
        <w:rPr>
          <w:b/>
          <w:sz w:val="22"/>
        </w:rPr>
        <w:t>of</w:t>
      </w:r>
      <w:r>
        <w:rPr>
          <w:b/>
          <w:spacing w:val="-2"/>
          <w:sz w:val="22"/>
        </w:rPr>
        <w:t> </w:t>
      </w:r>
      <w:r>
        <w:rPr>
          <w:b/>
          <w:spacing w:val="-4"/>
          <w:sz w:val="22"/>
        </w:rPr>
        <w:t>Milk</w:t>
      </w:r>
    </w:p>
    <w:p>
      <w:pPr>
        <w:pStyle w:val="BodyText"/>
        <w:spacing w:before="205"/>
        <w:rPr>
          <w:b/>
          <w:sz w:val="20"/>
        </w:rPr>
      </w:pPr>
      <w:r>
        <w:rPr/>
        <mc:AlternateContent>
          <mc:Choice Requires="wps">
            <w:drawing>
              <wp:anchor distT="0" distB="0" distL="0" distR="0" allowOverlap="1" layoutInCell="1" locked="0" behindDoc="1" simplePos="0" relativeHeight="487598080">
                <wp:simplePos x="0" y="0"/>
                <wp:positionH relativeFrom="page">
                  <wp:posOffset>844296</wp:posOffset>
                </wp:positionH>
                <wp:positionV relativeFrom="paragraph">
                  <wp:posOffset>301006</wp:posOffset>
                </wp:positionV>
                <wp:extent cx="6083935" cy="63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083935" cy="6350"/>
                        </a:xfrm>
                        <a:custGeom>
                          <a:avLst/>
                          <a:gdLst/>
                          <a:ahLst/>
                          <a:cxnLst/>
                          <a:rect l="l" t="t" r="r" b="b"/>
                          <a:pathLst>
                            <a:path w="6083935" h="6350">
                              <a:moveTo>
                                <a:pt x="6083808" y="0"/>
                              </a:moveTo>
                              <a:lnTo>
                                <a:pt x="6083808" y="0"/>
                              </a:lnTo>
                              <a:lnTo>
                                <a:pt x="0" y="0"/>
                              </a:lnTo>
                              <a:lnTo>
                                <a:pt x="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6.480003pt;margin-top:23.7013pt;width:479.040023pt;height:.48pt;mso-position-horizontal-relative:page;mso-position-vertical-relative:paragraph;z-index:-15718400;mso-wrap-distance-left:0;mso-wrap-distance-right:0" id="docshape22" filled="true" fillcolor="#000000" stroked="false">
                <v:fill type="solid"/>
                <w10:wrap type="topAndBottom"/>
              </v:rect>
            </w:pict>
          </mc:Fallback>
        </mc:AlternateContent>
      </w:r>
    </w:p>
    <w:p>
      <w:pPr>
        <w:tabs>
          <w:tab w:pos="4362" w:val="left" w:leader="none"/>
          <w:tab w:pos="5105" w:val="left" w:leader="none"/>
          <w:tab w:pos="6843" w:val="left" w:leader="none"/>
        </w:tabs>
        <w:spacing w:before="2" w:after="48"/>
        <w:ind w:left="3382" w:right="0" w:firstLine="0"/>
        <w:jc w:val="left"/>
        <w:rPr>
          <w:sz w:val="24"/>
        </w:rPr>
      </w:pPr>
      <w:r>
        <w:rPr>
          <w:sz w:val="24"/>
        </w:rPr>
        <w:t>No.</w:t>
      </w:r>
      <w:r>
        <w:rPr>
          <w:spacing w:val="-7"/>
          <w:sz w:val="24"/>
        </w:rPr>
        <w:t> </w:t>
      </w:r>
      <w:r>
        <w:rPr>
          <w:spacing w:val="-5"/>
          <w:sz w:val="24"/>
        </w:rPr>
        <w:t>(%)</w:t>
      </w:r>
      <w:r>
        <w:rPr>
          <w:sz w:val="24"/>
        </w:rPr>
        <w:tab/>
      </w:r>
      <w:r>
        <w:rPr>
          <w:spacing w:val="-5"/>
          <w:sz w:val="24"/>
        </w:rPr>
        <w:t>of</w:t>
      </w:r>
      <w:r>
        <w:rPr>
          <w:sz w:val="24"/>
        </w:rPr>
        <w:tab/>
      </w:r>
      <w:r>
        <w:rPr>
          <w:spacing w:val="-2"/>
          <w:sz w:val="24"/>
        </w:rPr>
        <w:t>Resistant</w:t>
      </w:r>
      <w:r>
        <w:rPr>
          <w:sz w:val="24"/>
        </w:rPr>
        <w:tab/>
      </w:r>
      <w:r>
        <w:rPr>
          <w:spacing w:val="-2"/>
          <w:sz w:val="24"/>
        </w:rPr>
        <w:t>Isolates</w:t>
      </w: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8"/>
        <w:gridCol w:w="1984"/>
        <w:gridCol w:w="1838"/>
        <w:gridCol w:w="1828"/>
        <w:gridCol w:w="1830"/>
      </w:tblGrid>
      <w:tr>
        <w:trPr>
          <w:trHeight w:val="242" w:hRule="atLeast"/>
        </w:trPr>
        <w:tc>
          <w:tcPr>
            <w:tcW w:w="2098" w:type="dxa"/>
            <w:tcBorders>
              <w:bottom w:val="single" w:sz="4" w:space="0" w:color="000000"/>
            </w:tcBorders>
          </w:tcPr>
          <w:p>
            <w:pPr>
              <w:pStyle w:val="TableParagraph"/>
              <w:spacing w:line="222" w:lineRule="exact"/>
              <w:ind w:left="590"/>
              <w:jc w:val="left"/>
              <w:rPr>
                <w:b/>
                <w:sz w:val="24"/>
              </w:rPr>
            </w:pPr>
            <w:r>
              <w:rPr>
                <w:b/>
                <w:spacing w:val="-2"/>
                <w:sz w:val="24"/>
              </w:rPr>
              <w:t>Antibiotics</w:t>
            </w:r>
          </w:p>
        </w:tc>
        <w:tc>
          <w:tcPr>
            <w:tcW w:w="1984" w:type="dxa"/>
            <w:tcBorders>
              <w:bottom w:val="single" w:sz="4" w:space="0" w:color="000000"/>
            </w:tcBorders>
          </w:tcPr>
          <w:p>
            <w:pPr>
              <w:pStyle w:val="TableParagraph"/>
              <w:spacing w:line="222" w:lineRule="exact"/>
              <w:ind w:left="200" w:right="57"/>
              <w:rPr>
                <w:b/>
                <w:sz w:val="24"/>
              </w:rPr>
            </w:pPr>
            <w:r>
              <w:rPr>
                <w:b/>
                <w:sz w:val="24"/>
              </w:rPr>
              <w:t>Brand</w:t>
            </w:r>
            <w:r>
              <w:rPr>
                <w:b/>
                <w:spacing w:val="-4"/>
                <w:sz w:val="24"/>
              </w:rPr>
              <w:t> </w:t>
            </w:r>
            <w:r>
              <w:rPr>
                <w:b/>
                <w:sz w:val="24"/>
              </w:rPr>
              <w:t>1</w:t>
            </w:r>
            <w:r>
              <w:rPr>
                <w:b/>
                <w:spacing w:val="-6"/>
                <w:sz w:val="24"/>
              </w:rPr>
              <w:t> </w:t>
            </w:r>
            <w:r>
              <w:rPr>
                <w:b/>
                <w:spacing w:val="-2"/>
                <w:sz w:val="24"/>
              </w:rPr>
              <w:t>(n=42)</w:t>
            </w:r>
          </w:p>
        </w:tc>
        <w:tc>
          <w:tcPr>
            <w:tcW w:w="1838" w:type="dxa"/>
            <w:tcBorders>
              <w:bottom w:val="single" w:sz="4" w:space="0" w:color="000000"/>
            </w:tcBorders>
          </w:tcPr>
          <w:p>
            <w:pPr>
              <w:pStyle w:val="TableParagraph"/>
              <w:spacing w:line="222" w:lineRule="exact"/>
              <w:ind w:left="60" w:right="52"/>
              <w:rPr>
                <w:b/>
                <w:sz w:val="24"/>
              </w:rPr>
            </w:pPr>
            <w:r>
              <w:rPr>
                <w:b/>
                <w:sz w:val="24"/>
              </w:rPr>
              <w:t>Brand</w:t>
            </w:r>
            <w:r>
              <w:rPr>
                <w:b/>
                <w:spacing w:val="-3"/>
                <w:sz w:val="24"/>
              </w:rPr>
              <w:t> </w:t>
            </w:r>
            <w:r>
              <w:rPr>
                <w:b/>
                <w:sz w:val="24"/>
              </w:rPr>
              <w:t>2</w:t>
            </w:r>
            <w:r>
              <w:rPr>
                <w:b/>
                <w:spacing w:val="-6"/>
                <w:sz w:val="24"/>
              </w:rPr>
              <w:t> </w:t>
            </w:r>
            <w:r>
              <w:rPr>
                <w:b/>
                <w:spacing w:val="-2"/>
                <w:sz w:val="24"/>
              </w:rPr>
              <w:t>(n=33)</w:t>
            </w:r>
          </w:p>
        </w:tc>
        <w:tc>
          <w:tcPr>
            <w:tcW w:w="1828" w:type="dxa"/>
            <w:tcBorders>
              <w:bottom w:val="single" w:sz="4" w:space="0" w:color="000000"/>
            </w:tcBorders>
          </w:tcPr>
          <w:p>
            <w:pPr>
              <w:pStyle w:val="TableParagraph"/>
              <w:spacing w:line="222" w:lineRule="exact"/>
              <w:ind w:left="61" w:right="52"/>
              <w:rPr>
                <w:b/>
                <w:sz w:val="24"/>
              </w:rPr>
            </w:pPr>
            <w:r>
              <w:rPr>
                <w:b/>
                <w:sz w:val="24"/>
              </w:rPr>
              <w:t>Brand</w:t>
            </w:r>
            <w:r>
              <w:rPr>
                <w:b/>
                <w:spacing w:val="-4"/>
                <w:sz w:val="24"/>
              </w:rPr>
              <w:t> </w:t>
            </w:r>
            <w:r>
              <w:rPr>
                <w:b/>
                <w:sz w:val="24"/>
              </w:rPr>
              <w:t>3</w:t>
            </w:r>
            <w:r>
              <w:rPr>
                <w:b/>
                <w:spacing w:val="-6"/>
                <w:sz w:val="24"/>
              </w:rPr>
              <w:t> </w:t>
            </w:r>
            <w:r>
              <w:rPr>
                <w:b/>
                <w:spacing w:val="-2"/>
                <w:sz w:val="24"/>
              </w:rPr>
              <w:t>(n=19)</w:t>
            </w:r>
          </w:p>
        </w:tc>
        <w:tc>
          <w:tcPr>
            <w:tcW w:w="1830" w:type="dxa"/>
            <w:tcBorders>
              <w:bottom w:val="single" w:sz="4" w:space="0" w:color="000000"/>
            </w:tcBorders>
          </w:tcPr>
          <w:p>
            <w:pPr>
              <w:pStyle w:val="TableParagraph"/>
              <w:spacing w:line="222" w:lineRule="exact"/>
              <w:ind w:left="56" w:right="56"/>
              <w:rPr>
                <w:b/>
                <w:sz w:val="24"/>
              </w:rPr>
            </w:pPr>
            <w:r>
              <w:rPr>
                <w:b/>
                <w:sz w:val="24"/>
              </w:rPr>
              <w:t>Brand</w:t>
            </w:r>
            <w:r>
              <w:rPr>
                <w:b/>
                <w:spacing w:val="-4"/>
                <w:sz w:val="24"/>
              </w:rPr>
              <w:t> </w:t>
            </w:r>
            <w:r>
              <w:rPr>
                <w:b/>
                <w:sz w:val="24"/>
              </w:rPr>
              <w:t>4</w:t>
            </w:r>
            <w:r>
              <w:rPr>
                <w:b/>
                <w:spacing w:val="-6"/>
                <w:sz w:val="24"/>
              </w:rPr>
              <w:t> </w:t>
            </w:r>
            <w:r>
              <w:rPr>
                <w:b/>
                <w:spacing w:val="-2"/>
                <w:sz w:val="24"/>
              </w:rPr>
              <w:t>(n=59)</w:t>
            </w:r>
          </w:p>
        </w:tc>
      </w:tr>
      <w:tr>
        <w:trPr>
          <w:trHeight w:val="462" w:hRule="atLeast"/>
        </w:trPr>
        <w:tc>
          <w:tcPr>
            <w:tcW w:w="2098" w:type="dxa"/>
            <w:tcBorders>
              <w:top w:val="single" w:sz="4" w:space="0" w:color="000000"/>
            </w:tcBorders>
          </w:tcPr>
          <w:p>
            <w:pPr>
              <w:pStyle w:val="TableParagraph"/>
              <w:spacing w:line="240" w:lineRule="auto" w:before="1"/>
              <w:ind w:left="110"/>
              <w:jc w:val="left"/>
              <w:rPr>
                <w:sz w:val="24"/>
              </w:rPr>
            </w:pPr>
            <w:r>
              <w:rPr>
                <w:spacing w:val="-2"/>
                <w:sz w:val="24"/>
              </w:rPr>
              <w:t>Amoxicillin</w:t>
            </w:r>
          </w:p>
        </w:tc>
        <w:tc>
          <w:tcPr>
            <w:tcW w:w="1984" w:type="dxa"/>
            <w:tcBorders>
              <w:top w:val="single" w:sz="4" w:space="0" w:color="000000"/>
            </w:tcBorders>
          </w:tcPr>
          <w:p>
            <w:pPr>
              <w:pStyle w:val="TableParagraph"/>
              <w:spacing w:line="240" w:lineRule="auto" w:before="1"/>
              <w:ind w:left="200" w:right="5"/>
              <w:rPr>
                <w:sz w:val="24"/>
              </w:rPr>
            </w:pPr>
            <w:r>
              <w:rPr>
                <w:spacing w:val="-4"/>
                <w:sz w:val="24"/>
              </w:rPr>
              <w:t>90.5</w:t>
            </w:r>
          </w:p>
        </w:tc>
        <w:tc>
          <w:tcPr>
            <w:tcW w:w="1838" w:type="dxa"/>
            <w:tcBorders>
              <w:top w:val="single" w:sz="4" w:space="0" w:color="000000"/>
            </w:tcBorders>
          </w:tcPr>
          <w:p>
            <w:pPr>
              <w:pStyle w:val="TableParagraph"/>
              <w:spacing w:line="240" w:lineRule="auto" w:before="1"/>
              <w:ind w:left="60"/>
              <w:rPr>
                <w:sz w:val="24"/>
              </w:rPr>
            </w:pPr>
            <w:r>
              <w:rPr>
                <w:spacing w:val="-4"/>
                <w:sz w:val="24"/>
              </w:rPr>
              <w:t>72.7</w:t>
            </w:r>
          </w:p>
        </w:tc>
        <w:tc>
          <w:tcPr>
            <w:tcW w:w="1828" w:type="dxa"/>
            <w:tcBorders>
              <w:top w:val="single" w:sz="4" w:space="0" w:color="000000"/>
            </w:tcBorders>
          </w:tcPr>
          <w:p>
            <w:pPr>
              <w:pStyle w:val="TableParagraph"/>
              <w:spacing w:line="240" w:lineRule="auto" w:before="1"/>
              <w:ind w:left="61" w:right="58"/>
              <w:rPr>
                <w:sz w:val="24"/>
              </w:rPr>
            </w:pPr>
            <w:r>
              <w:rPr>
                <w:spacing w:val="-4"/>
                <w:sz w:val="24"/>
              </w:rPr>
              <w:t>57.9</w:t>
            </w:r>
          </w:p>
        </w:tc>
        <w:tc>
          <w:tcPr>
            <w:tcW w:w="1830" w:type="dxa"/>
            <w:tcBorders>
              <w:top w:val="single" w:sz="4" w:space="0" w:color="000000"/>
            </w:tcBorders>
          </w:tcPr>
          <w:p>
            <w:pPr>
              <w:pStyle w:val="TableParagraph"/>
              <w:spacing w:line="240" w:lineRule="auto" w:before="1"/>
              <w:ind w:left="56" w:right="53"/>
              <w:rPr>
                <w:sz w:val="24"/>
              </w:rPr>
            </w:pPr>
            <w:r>
              <w:rPr>
                <w:spacing w:val="-4"/>
                <w:sz w:val="24"/>
              </w:rPr>
              <w:t>91.5</w:t>
            </w:r>
          </w:p>
        </w:tc>
      </w:tr>
      <w:tr>
        <w:trPr>
          <w:trHeight w:val="585" w:hRule="atLeast"/>
        </w:trPr>
        <w:tc>
          <w:tcPr>
            <w:tcW w:w="2098" w:type="dxa"/>
          </w:tcPr>
          <w:p>
            <w:pPr>
              <w:pStyle w:val="TableParagraph"/>
              <w:spacing w:line="240" w:lineRule="auto" w:before="124"/>
              <w:ind w:left="110"/>
              <w:jc w:val="left"/>
              <w:rPr>
                <w:sz w:val="24"/>
              </w:rPr>
            </w:pPr>
            <w:r>
              <w:rPr>
                <w:spacing w:val="-2"/>
                <w:sz w:val="24"/>
              </w:rPr>
              <w:t>Amox/clav</w:t>
            </w:r>
          </w:p>
        </w:tc>
        <w:tc>
          <w:tcPr>
            <w:tcW w:w="1984" w:type="dxa"/>
          </w:tcPr>
          <w:p>
            <w:pPr>
              <w:pStyle w:val="TableParagraph"/>
              <w:spacing w:line="240" w:lineRule="auto" w:before="124"/>
              <w:ind w:left="200" w:right="5"/>
              <w:rPr>
                <w:sz w:val="24"/>
              </w:rPr>
            </w:pPr>
            <w:r>
              <w:rPr>
                <w:spacing w:val="-4"/>
                <w:sz w:val="24"/>
              </w:rPr>
              <w:t>92.9</w:t>
            </w:r>
          </w:p>
        </w:tc>
        <w:tc>
          <w:tcPr>
            <w:tcW w:w="1838" w:type="dxa"/>
          </w:tcPr>
          <w:p>
            <w:pPr>
              <w:pStyle w:val="TableParagraph"/>
              <w:spacing w:line="240" w:lineRule="auto" w:before="124"/>
              <w:ind w:left="60"/>
              <w:rPr>
                <w:sz w:val="24"/>
              </w:rPr>
            </w:pPr>
            <w:r>
              <w:rPr>
                <w:spacing w:val="-4"/>
                <w:sz w:val="24"/>
              </w:rPr>
              <w:t>63.6</w:t>
            </w:r>
          </w:p>
        </w:tc>
        <w:tc>
          <w:tcPr>
            <w:tcW w:w="1828" w:type="dxa"/>
          </w:tcPr>
          <w:p>
            <w:pPr>
              <w:pStyle w:val="TableParagraph"/>
              <w:spacing w:line="240" w:lineRule="auto" w:before="124"/>
              <w:ind w:left="61" w:right="58"/>
              <w:rPr>
                <w:sz w:val="24"/>
              </w:rPr>
            </w:pPr>
            <w:r>
              <w:rPr>
                <w:spacing w:val="-4"/>
                <w:sz w:val="24"/>
              </w:rPr>
              <w:t>36.8</w:t>
            </w:r>
          </w:p>
        </w:tc>
        <w:tc>
          <w:tcPr>
            <w:tcW w:w="1830" w:type="dxa"/>
          </w:tcPr>
          <w:p>
            <w:pPr>
              <w:pStyle w:val="TableParagraph"/>
              <w:spacing w:line="240" w:lineRule="auto" w:before="124"/>
              <w:ind w:left="56" w:right="53"/>
              <w:rPr>
                <w:sz w:val="24"/>
              </w:rPr>
            </w:pPr>
            <w:r>
              <w:rPr>
                <w:spacing w:val="-4"/>
                <w:sz w:val="24"/>
              </w:rPr>
              <w:t>86.4</w:t>
            </w:r>
          </w:p>
        </w:tc>
      </w:tr>
      <w:tr>
        <w:trPr>
          <w:trHeight w:val="585" w:hRule="atLeast"/>
        </w:trPr>
        <w:tc>
          <w:tcPr>
            <w:tcW w:w="2098" w:type="dxa"/>
          </w:tcPr>
          <w:p>
            <w:pPr>
              <w:pStyle w:val="TableParagraph"/>
              <w:spacing w:line="240" w:lineRule="auto" w:before="124"/>
              <w:ind w:left="110"/>
              <w:jc w:val="left"/>
              <w:rPr>
                <w:sz w:val="24"/>
              </w:rPr>
            </w:pPr>
            <w:r>
              <w:rPr>
                <w:spacing w:val="-2"/>
                <w:sz w:val="24"/>
              </w:rPr>
              <w:t>Chloramphenicol</w:t>
            </w:r>
          </w:p>
        </w:tc>
        <w:tc>
          <w:tcPr>
            <w:tcW w:w="1984" w:type="dxa"/>
          </w:tcPr>
          <w:p>
            <w:pPr>
              <w:pStyle w:val="TableParagraph"/>
              <w:spacing w:line="240" w:lineRule="auto" w:before="124"/>
              <w:ind w:left="200" w:right="5"/>
              <w:rPr>
                <w:sz w:val="24"/>
              </w:rPr>
            </w:pPr>
            <w:r>
              <w:rPr>
                <w:spacing w:val="-4"/>
                <w:sz w:val="24"/>
              </w:rPr>
              <w:t>92.9</w:t>
            </w:r>
          </w:p>
        </w:tc>
        <w:tc>
          <w:tcPr>
            <w:tcW w:w="1838" w:type="dxa"/>
          </w:tcPr>
          <w:p>
            <w:pPr>
              <w:pStyle w:val="TableParagraph"/>
              <w:spacing w:line="240" w:lineRule="auto" w:before="124"/>
              <w:ind w:left="60" w:right="58"/>
              <w:rPr>
                <w:sz w:val="24"/>
              </w:rPr>
            </w:pPr>
            <w:r>
              <w:rPr>
                <w:spacing w:val="-4"/>
                <w:sz w:val="24"/>
              </w:rPr>
              <w:t>84.4</w:t>
            </w:r>
          </w:p>
        </w:tc>
        <w:tc>
          <w:tcPr>
            <w:tcW w:w="1828" w:type="dxa"/>
          </w:tcPr>
          <w:p>
            <w:pPr>
              <w:pStyle w:val="TableParagraph"/>
              <w:spacing w:line="240" w:lineRule="auto" w:before="124"/>
              <w:ind w:left="61" w:right="58"/>
              <w:rPr>
                <w:sz w:val="24"/>
              </w:rPr>
            </w:pPr>
            <w:r>
              <w:rPr>
                <w:spacing w:val="-4"/>
                <w:sz w:val="24"/>
              </w:rPr>
              <w:t>73.7</w:t>
            </w:r>
          </w:p>
        </w:tc>
        <w:tc>
          <w:tcPr>
            <w:tcW w:w="1830" w:type="dxa"/>
          </w:tcPr>
          <w:p>
            <w:pPr>
              <w:pStyle w:val="TableParagraph"/>
              <w:spacing w:line="240" w:lineRule="auto" w:before="124"/>
              <w:ind w:left="56" w:right="5"/>
              <w:rPr>
                <w:sz w:val="24"/>
              </w:rPr>
            </w:pPr>
            <w:r>
              <w:rPr>
                <w:spacing w:val="-4"/>
                <w:sz w:val="24"/>
              </w:rPr>
              <w:t>77.9</w:t>
            </w:r>
          </w:p>
        </w:tc>
      </w:tr>
      <w:tr>
        <w:trPr>
          <w:trHeight w:val="585" w:hRule="atLeast"/>
        </w:trPr>
        <w:tc>
          <w:tcPr>
            <w:tcW w:w="2098" w:type="dxa"/>
          </w:tcPr>
          <w:p>
            <w:pPr>
              <w:pStyle w:val="TableParagraph"/>
              <w:spacing w:line="240" w:lineRule="auto" w:before="124"/>
              <w:ind w:left="110"/>
              <w:jc w:val="left"/>
              <w:rPr>
                <w:sz w:val="24"/>
              </w:rPr>
            </w:pPr>
            <w:r>
              <w:rPr>
                <w:spacing w:val="-4"/>
                <w:sz w:val="24"/>
              </w:rPr>
              <w:t>Co-</w:t>
            </w:r>
            <w:r>
              <w:rPr>
                <w:spacing w:val="-2"/>
                <w:sz w:val="24"/>
              </w:rPr>
              <w:t>trimoxazole</w:t>
            </w:r>
          </w:p>
        </w:tc>
        <w:tc>
          <w:tcPr>
            <w:tcW w:w="1984" w:type="dxa"/>
          </w:tcPr>
          <w:p>
            <w:pPr>
              <w:pStyle w:val="TableParagraph"/>
              <w:spacing w:line="240" w:lineRule="auto" w:before="124"/>
              <w:ind w:left="200" w:right="5"/>
              <w:rPr>
                <w:sz w:val="24"/>
              </w:rPr>
            </w:pPr>
            <w:r>
              <w:rPr>
                <w:spacing w:val="-4"/>
                <w:sz w:val="24"/>
              </w:rPr>
              <w:t>83.3</w:t>
            </w:r>
          </w:p>
        </w:tc>
        <w:tc>
          <w:tcPr>
            <w:tcW w:w="1838" w:type="dxa"/>
          </w:tcPr>
          <w:p>
            <w:pPr>
              <w:pStyle w:val="TableParagraph"/>
              <w:spacing w:line="240" w:lineRule="auto" w:before="124"/>
              <w:ind w:left="60" w:right="58"/>
              <w:rPr>
                <w:sz w:val="24"/>
              </w:rPr>
            </w:pPr>
            <w:r>
              <w:rPr>
                <w:spacing w:val="-4"/>
                <w:sz w:val="24"/>
              </w:rPr>
              <w:t>66.7</w:t>
            </w:r>
          </w:p>
        </w:tc>
        <w:tc>
          <w:tcPr>
            <w:tcW w:w="1828" w:type="dxa"/>
          </w:tcPr>
          <w:p>
            <w:pPr>
              <w:pStyle w:val="TableParagraph"/>
              <w:spacing w:line="240" w:lineRule="auto" w:before="124"/>
              <w:ind w:left="61" w:right="58"/>
              <w:rPr>
                <w:sz w:val="24"/>
              </w:rPr>
            </w:pPr>
            <w:r>
              <w:rPr>
                <w:spacing w:val="-4"/>
                <w:sz w:val="24"/>
              </w:rPr>
              <w:t>36.8</w:t>
            </w:r>
          </w:p>
        </w:tc>
        <w:tc>
          <w:tcPr>
            <w:tcW w:w="1830" w:type="dxa"/>
          </w:tcPr>
          <w:p>
            <w:pPr>
              <w:pStyle w:val="TableParagraph"/>
              <w:spacing w:line="240" w:lineRule="auto" w:before="124"/>
              <w:ind w:left="56" w:right="53"/>
              <w:rPr>
                <w:sz w:val="24"/>
              </w:rPr>
            </w:pPr>
            <w:r>
              <w:rPr>
                <w:spacing w:val="-4"/>
                <w:sz w:val="24"/>
              </w:rPr>
              <w:t>57.6</w:t>
            </w:r>
          </w:p>
        </w:tc>
      </w:tr>
      <w:tr>
        <w:trPr>
          <w:trHeight w:val="585" w:hRule="atLeast"/>
        </w:trPr>
        <w:tc>
          <w:tcPr>
            <w:tcW w:w="2098" w:type="dxa"/>
          </w:tcPr>
          <w:p>
            <w:pPr>
              <w:pStyle w:val="TableParagraph"/>
              <w:spacing w:line="240" w:lineRule="auto" w:before="124"/>
              <w:ind w:left="110"/>
              <w:jc w:val="left"/>
              <w:rPr>
                <w:sz w:val="24"/>
              </w:rPr>
            </w:pPr>
            <w:r>
              <w:rPr>
                <w:spacing w:val="-2"/>
                <w:sz w:val="24"/>
              </w:rPr>
              <w:t>Cloxacillin</w:t>
            </w:r>
          </w:p>
        </w:tc>
        <w:tc>
          <w:tcPr>
            <w:tcW w:w="1984" w:type="dxa"/>
          </w:tcPr>
          <w:p>
            <w:pPr>
              <w:pStyle w:val="TableParagraph"/>
              <w:spacing w:line="240" w:lineRule="auto" w:before="124"/>
              <w:ind w:left="200"/>
              <w:rPr>
                <w:sz w:val="24"/>
              </w:rPr>
            </w:pPr>
            <w:r>
              <w:rPr>
                <w:spacing w:val="-2"/>
                <w:sz w:val="24"/>
              </w:rPr>
              <w:t>100.0</w:t>
            </w:r>
          </w:p>
        </w:tc>
        <w:tc>
          <w:tcPr>
            <w:tcW w:w="1838" w:type="dxa"/>
          </w:tcPr>
          <w:p>
            <w:pPr>
              <w:pStyle w:val="TableParagraph"/>
              <w:spacing w:line="240" w:lineRule="auto" w:before="124"/>
              <w:ind w:left="60" w:right="53"/>
              <w:rPr>
                <w:sz w:val="24"/>
              </w:rPr>
            </w:pPr>
            <w:r>
              <w:rPr>
                <w:spacing w:val="-2"/>
                <w:sz w:val="24"/>
              </w:rPr>
              <w:t>100.0</w:t>
            </w:r>
          </w:p>
        </w:tc>
        <w:tc>
          <w:tcPr>
            <w:tcW w:w="1828" w:type="dxa"/>
          </w:tcPr>
          <w:p>
            <w:pPr>
              <w:pStyle w:val="TableParagraph"/>
              <w:spacing w:line="240" w:lineRule="auto" w:before="124"/>
              <w:ind w:left="61" w:right="58"/>
              <w:rPr>
                <w:sz w:val="24"/>
              </w:rPr>
            </w:pPr>
            <w:r>
              <w:rPr>
                <w:spacing w:val="-4"/>
                <w:sz w:val="24"/>
              </w:rPr>
              <w:t>94.7</w:t>
            </w:r>
          </w:p>
        </w:tc>
        <w:tc>
          <w:tcPr>
            <w:tcW w:w="1830" w:type="dxa"/>
          </w:tcPr>
          <w:p>
            <w:pPr>
              <w:pStyle w:val="TableParagraph"/>
              <w:spacing w:line="240" w:lineRule="auto" w:before="124"/>
              <w:ind w:left="56"/>
              <w:rPr>
                <w:sz w:val="24"/>
              </w:rPr>
            </w:pPr>
            <w:r>
              <w:rPr>
                <w:spacing w:val="-2"/>
                <w:sz w:val="24"/>
              </w:rPr>
              <w:t>100.0</w:t>
            </w:r>
          </w:p>
        </w:tc>
      </w:tr>
      <w:tr>
        <w:trPr>
          <w:trHeight w:val="585" w:hRule="atLeast"/>
        </w:trPr>
        <w:tc>
          <w:tcPr>
            <w:tcW w:w="2098" w:type="dxa"/>
          </w:tcPr>
          <w:p>
            <w:pPr>
              <w:pStyle w:val="TableParagraph"/>
              <w:spacing w:line="240" w:lineRule="auto" w:before="124"/>
              <w:ind w:left="110"/>
              <w:jc w:val="left"/>
              <w:rPr>
                <w:sz w:val="24"/>
              </w:rPr>
            </w:pPr>
            <w:r>
              <w:rPr>
                <w:spacing w:val="-2"/>
                <w:sz w:val="24"/>
              </w:rPr>
              <w:t>Cefuroxime</w:t>
            </w:r>
          </w:p>
        </w:tc>
        <w:tc>
          <w:tcPr>
            <w:tcW w:w="1984" w:type="dxa"/>
          </w:tcPr>
          <w:p>
            <w:pPr>
              <w:pStyle w:val="TableParagraph"/>
              <w:spacing w:line="240" w:lineRule="auto" w:before="124"/>
              <w:ind w:left="200" w:right="5"/>
              <w:rPr>
                <w:sz w:val="24"/>
              </w:rPr>
            </w:pPr>
            <w:r>
              <w:rPr>
                <w:spacing w:val="-4"/>
                <w:sz w:val="24"/>
              </w:rPr>
              <w:t>80.9</w:t>
            </w:r>
          </w:p>
        </w:tc>
        <w:tc>
          <w:tcPr>
            <w:tcW w:w="1838" w:type="dxa"/>
          </w:tcPr>
          <w:p>
            <w:pPr>
              <w:pStyle w:val="TableParagraph"/>
              <w:spacing w:line="240" w:lineRule="auto" w:before="124"/>
              <w:ind w:left="60"/>
              <w:rPr>
                <w:sz w:val="24"/>
              </w:rPr>
            </w:pPr>
            <w:r>
              <w:rPr>
                <w:spacing w:val="-4"/>
                <w:sz w:val="24"/>
              </w:rPr>
              <w:t>54.5</w:t>
            </w:r>
          </w:p>
        </w:tc>
        <w:tc>
          <w:tcPr>
            <w:tcW w:w="1828" w:type="dxa"/>
          </w:tcPr>
          <w:p>
            <w:pPr>
              <w:pStyle w:val="TableParagraph"/>
              <w:spacing w:line="240" w:lineRule="auto" w:before="124"/>
              <w:ind w:left="61"/>
              <w:rPr>
                <w:sz w:val="24"/>
              </w:rPr>
            </w:pPr>
            <w:r>
              <w:rPr>
                <w:spacing w:val="-4"/>
                <w:sz w:val="24"/>
              </w:rPr>
              <w:t>31.6</w:t>
            </w:r>
          </w:p>
        </w:tc>
        <w:tc>
          <w:tcPr>
            <w:tcW w:w="1830" w:type="dxa"/>
          </w:tcPr>
          <w:p>
            <w:pPr>
              <w:pStyle w:val="TableParagraph"/>
              <w:spacing w:line="240" w:lineRule="auto" w:before="124"/>
              <w:ind w:left="56" w:right="53"/>
              <w:rPr>
                <w:sz w:val="24"/>
              </w:rPr>
            </w:pPr>
            <w:r>
              <w:rPr>
                <w:spacing w:val="-4"/>
                <w:sz w:val="24"/>
              </w:rPr>
              <w:t>61.0</w:t>
            </w:r>
          </w:p>
        </w:tc>
      </w:tr>
      <w:tr>
        <w:trPr>
          <w:trHeight w:val="585" w:hRule="atLeast"/>
        </w:trPr>
        <w:tc>
          <w:tcPr>
            <w:tcW w:w="2098" w:type="dxa"/>
          </w:tcPr>
          <w:p>
            <w:pPr>
              <w:pStyle w:val="TableParagraph"/>
              <w:spacing w:line="240" w:lineRule="auto" w:before="124"/>
              <w:ind w:left="110"/>
              <w:jc w:val="left"/>
              <w:rPr>
                <w:sz w:val="24"/>
              </w:rPr>
            </w:pPr>
            <w:r>
              <w:rPr>
                <w:spacing w:val="-2"/>
                <w:sz w:val="24"/>
              </w:rPr>
              <w:t>Erythromycin</w:t>
            </w:r>
          </w:p>
        </w:tc>
        <w:tc>
          <w:tcPr>
            <w:tcW w:w="1984" w:type="dxa"/>
          </w:tcPr>
          <w:p>
            <w:pPr>
              <w:pStyle w:val="TableParagraph"/>
              <w:spacing w:line="240" w:lineRule="auto" w:before="124"/>
              <w:ind w:left="200" w:right="5"/>
              <w:rPr>
                <w:sz w:val="24"/>
              </w:rPr>
            </w:pPr>
            <w:r>
              <w:rPr>
                <w:spacing w:val="-4"/>
                <w:sz w:val="24"/>
              </w:rPr>
              <w:t>97.6</w:t>
            </w:r>
          </w:p>
        </w:tc>
        <w:tc>
          <w:tcPr>
            <w:tcW w:w="1838" w:type="dxa"/>
          </w:tcPr>
          <w:p>
            <w:pPr>
              <w:pStyle w:val="TableParagraph"/>
              <w:spacing w:line="240" w:lineRule="auto" w:before="124"/>
              <w:ind w:left="60" w:right="53"/>
              <w:rPr>
                <w:sz w:val="24"/>
              </w:rPr>
            </w:pPr>
            <w:r>
              <w:rPr>
                <w:spacing w:val="-5"/>
                <w:sz w:val="24"/>
              </w:rPr>
              <w:t>100</w:t>
            </w:r>
          </w:p>
        </w:tc>
        <w:tc>
          <w:tcPr>
            <w:tcW w:w="1828" w:type="dxa"/>
          </w:tcPr>
          <w:p>
            <w:pPr>
              <w:pStyle w:val="TableParagraph"/>
              <w:spacing w:line="240" w:lineRule="auto" w:before="124"/>
              <w:ind w:left="61"/>
              <w:rPr>
                <w:sz w:val="24"/>
              </w:rPr>
            </w:pPr>
            <w:r>
              <w:rPr>
                <w:spacing w:val="-4"/>
                <w:sz w:val="24"/>
              </w:rPr>
              <w:t>94.7</w:t>
            </w:r>
          </w:p>
        </w:tc>
        <w:tc>
          <w:tcPr>
            <w:tcW w:w="1830" w:type="dxa"/>
          </w:tcPr>
          <w:p>
            <w:pPr>
              <w:pStyle w:val="TableParagraph"/>
              <w:spacing w:line="240" w:lineRule="auto" w:before="124"/>
              <w:ind w:left="56" w:right="53"/>
              <w:rPr>
                <w:sz w:val="24"/>
              </w:rPr>
            </w:pPr>
            <w:r>
              <w:rPr>
                <w:spacing w:val="-4"/>
                <w:sz w:val="24"/>
              </w:rPr>
              <w:t>98.3</w:t>
            </w:r>
          </w:p>
        </w:tc>
      </w:tr>
      <w:tr>
        <w:trPr>
          <w:trHeight w:val="585" w:hRule="atLeast"/>
        </w:trPr>
        <w:tc>
          <w:tcPr>
            <w:tcW w:w="2098" w:type="dxa"/>
          </w:tcPr>
          <w:p>
            <w:pPr>
              <w:pStyle w:val="TableParagraph"/>
              <w:spacing w:line="240" w:lineRule="auto" w:before="124"/>
              <w:ind w:left="110"/>
              <w:jc w:val="left"/>
              <w:rPr>
                <w:sz w:val="24"/>
              </w:rPr>
            </w:pPr>
            <w:r>
              <w:rPr>
                <w:spacing w:val="-2"/>
                <w:sz w:val="24"/>
              </w:rPr>
              <w:t>Gentamicin</w:t>
            </w:r>
          </w:p>
        </w:tc>
        <w:tc>
          <w:tcPr>
            <w:tcW w:w="1984" w:type="dxa"/>
          </w:tcPr>
          <w:p>
            <w:pPr>
              <w:pStyle w:val="TableParagraph"/>
              <w:spacing w:line="240" w:lineRule="auto" w:before="124"/>
              <w:ind w:left="200" w:right="48"/>
              <w:rPr>
                <w:sz w:val="24"/>
              </w:rPr>
            </w:pPr>
            <w:r>
              <w:rPr>
                <w:spacing w:val="-5"/>
                <w:sz w:val="24"/>
              </w:rPr>
              <w:t>7.1</w:t>
            </w:r>
          </w:p>
        </w:tc>
        <w:tc>
          <w:tcPr>
            <w:tcW w:w="1838" w:type="dxa"/>
          </w:tcPr>
          <w:p>
            <w:pPr>
              <w:pStyle w:val="TableParagraph"/>
              <w:spacing w:line="240" w:lineRule="auto" w:before="124"/>
              <w:ind w:left="60" w:right="5"/>
              <w:rPr>
                <w:sz w:val="24"/>
              </w:rPr>
            </w:pPr>
            <w:r>
              <w:rPr>
                <w:spacing w:val="-5"/>
                <w:sz w:val="24"/>
              </w:rPr>
              <w:t>9.1</w:t>
            </w:r>
          </w:p>
        </w:tc>
        <w:tc>
          <w:tcPr>
            <w:tcW w:w="1828" w:type="dxa"/>
          </w:tcPr>
          <w:p>
            <w:pPr>
              <w:pStyle w:val="TableParagraph"/>
              <w:spacing w:line="240" w:lineRule="auto" w:before="124"/>
              <w:ind w:left="61" w:right="5"/>
              <w:rPr>
                <w:sz w:val="24"/>
              </w:rPr>
            </w:pPr>
            <w:r>
              <w:rPr>
                <w:spacing w:val="-5"/>
                <w:sz w:val="24"/>
              </w:rPr>
              <w:t>5.3</w:t>
            </w:r>
          </w:p>
        </w:tc>
        <w:tc>
          <w:tcPr>
            <w:tcW w:w="1830" w:type="dxa"/>
          </w:tcPr>
          <w:p>
            <w:pPr>
              <w:pStyle w:val="TableParagraph"/>
              <w:spacing w:line="240" w:lineRule="auto" w:before="124"/>
              <w:ind w:left="56" w:right="48"/>
              <w:rPr>
                <w:sz w:val="24"/>
              </w:rPr>
            </w:pPr>
            <w:r>
              <w:rPr>
                <w:spacing w:val="-5"/>
                <w:sz w:val="24"/>
              </w:rPr>
              <w:t>1.7</w:t>
            </w:r>
          </w:p>
        </w:tc>
      </w:tr>
      <w:tr>
        <w:trPr>
          <w:trHeight w:val="587" w:hRule="atLeast"/>
        </w:trPr>
        <w:tc>
          <w:tcPr>
            <w:tcW w:w="2098" w:type="dxa"/>
          </w:tcPr>
          <w:p>
            <w:pPr>
              <w:pStyle w:val="TableParagraph"/>
              <w:spacing w:line="240" w:lineRule="auto" w:before="124"/>
              <w:ind w:left="110"/>
              <w:jc w:val="left"/>
              <w:rPr>
                <w:sz w:val="24"/>
              </w:rPr>
            </w:pPr>
            <w:r>
              <w:rPr>
                <w:spacing w:val="-2"/>
                <w:sz w:val="24"/>
              </w:rPr>
              <w:t>Nalidixic </w:t>
            </w:r>
            <w:r>
              <w:rPr>
                <w:spacing w:val="-4"/>
                <w:sz w:val="24"/>
              </w:rPr>
              <w:t>acid</w:t>
            </w:r>
          </w:p>
        </w:tc>
        <w:tc>
          <w:tcPr>
            <w:tcW w:w="1984" w:type="dxa"/>
          </w:tcPr>
          <w:p>
            <w:pPr>
              <w:pStyle w:val="TableParagraph"/>
              <w:spacing w:line="240" w:lineRule="auto" w:before="124"/>
              <w:ind w:left="200" w:right="5"/>
              <w:rPr>
                <w:sz w:val="24"/>
              </w:rPr>
            </w:pPr>
            <w:r>
              <w:rPr>
                <w:spacing w:val="-4"/>
                <w:sz w:val="24"/>
              </w:rPr>
              <w:t>76.2</w:t>
            </w:r>
          </w:p>
        </w:tc>
        <w:tc>
          <w:tcPr>
            <w:tcW w:w="1838" w:type="dxa"/>
          </w:tcPr>
          <w:p>
            <w:pPr>
              <w:pStyle w:val="TableParagraph"/>
              <w:spacing w:line="240" w:lineRule="auto" w:before="124"/>
              <w:ind w:left="60" w:right="58"/>
              <w:rPr>
                <w:sz w:val="24"/>
              </w:rPr>
            </w:pPr>
            <w:r>
              <w:rPr>
                <w:spacing w:val="-4"/>
                <w:sz w:val="24"/>
              </w:rPr>
              <w:t>18.1</w:t>
            </w:r>
          </w:p>
        </w:tc>
        <w:tc>
          <w:tcPr>
            <w:tcW w:w="1828" w:type="dxa"/>
          </w:tcPr>
          <w:p>
            <w:pPr>
              <w:pStyle w:val="TableParagraph"/>
              <w:spacing w:line="240" w:lineRule="auto" w:before="124"/>
              <w:ind w:left="61"/>
              <w:rPr>
                <w:sz w:val="24"/>
              </w:rPr>
            </w:pPr>
            <w:r>
              <w:rPr>
                <w:spacing w:val="-4"/>
                <w:sz w:val="24"/>
              </w:rPr>
              <w:t>26.3</w:t>
            </w:r>
          </w:p>
        </w:tc>
        <w:tc>
          <w:tcPr>
            <w:tcW w:w="1830" w:type="dxa"/>
          </w:tcPr>
          <w:p>
            <w:pPr>
              <w:pStyle w:val="TableParagraph"/>
              <w:spacing w:line="240" w:lineRule="auto" w:before="124"/>
              <w:ind w:left="56" w:right="53"/>
              <w:rPr>
                <w:sz w:val="24"/>
              </w:rPr>
            </w:pPr>
            <w:r>
              <w:rPr>
                <w:spacing w:val="-4"/>
                <w:sz w:val="24"/>
              </w:rPr>
              <w:t>35.6</w:t>
            </w:r>
          </w:p>
        </w:tc>
      </w:tr>
      <w:tr>
        <w:trPr>
          <w:trHeight w:val="588" w:hRule="atLeast"/>
        </w:trPr>
        <w:tc>
          <w:tcPr>
            <w:tcW w:w="2098" w:type="dxa"/>
          </w:tcPr>
          <w:p>
            <w:pPr>
              <w:pStyle w:val="TableParagraph"/>
              <w:spacing w:line="240" w:lineRule="auto" w:before="126"/>
              <w:ind w:left="110"/>
              <w:jc w:val="left"/>
              <w:rPr>
                <w:sz w:val="24"/>
              </w:rPr>
            </w:pPr>
            <w:r>
              <w:rPr>
                <w:spacing w:val="-2"/>
                <w:sz w:val="24"/>
              </w:rPr>
              <w:t>Nitrofurantoin</w:t>
            </w:r>
          </w:p>
        </w:tc>
        <w:tc>
          <w:tcPr>
            <w:tcW w:w="1984" w:type="dxa"/>
          </w:tcPr>
          <w:p>
            <w:pPr>
              <w:pStyle w:val="TableParagraph"/>
              <w:spacing w:line="240" w:lineRule="auto" w:before="126"/>
              <w:ind w:left="200" w:right="53"/>
              <w:rPr>
                <w:sz w:val="24"/>
              </w:rPr>
            </w:pPr>
            <w:r>
              <w:rPr>
                <w:spacing w:val="-4"/>
                <w:sz w:val="24"/>
              </w:rPr>
              <w:t>76.2</w:t>
            </w:r>
          </w:p>
        </w:tc>
        <w:tc>
          <w:tcPr>
            <w:tcW w:w="1838" w:type="dxa"/>
          </w:tcPr>
          <w:p>
            <w:pPr>
              <w:pStyle w:val="TableParagraph"/>
              <w:spacing w:line="240" w:lineRule="auto" w:before="126"/>
              <w:ind w:left="60" w:right="58"/>
              <w:rPr>
                <w:sz w:val="24"/>
              </w:rPr>
            </w:pPr>
            <w:r>
              <w:rPr>
                <w:spacing w:val="-4"/>
                <w:sz w:val="24"/>
              </w:rPr>
              <w:t>66.7</w:t>
            </w:r>
          </w:p>
        </w:tc>
        <w:tc>
          <w:tcPr>
            <w:tcW w:w="1828" w:type="dxa"/>
          </w:tcPr>
          <w:p>
            <w:pPr>
              <w:pStyle w:val="TableParagraph"/>
              <w:spacing w:line="240" w:lineRule="auto" w:before="126"/>
              <w:ind w:left="61"/>
              <w:rPr>
                <w:sz w:val="24"/>
              </w:rPr>
            </w:pPr>
            <w:r>
              <w:rPr>
                <w:spacing w:val="-4"/>
                <w:sz w:val="24"/>
              </w:rPr>
              <w:t>57.9</w:t>
            </w:r>
          </w:p>
        </w:tc>
        <w:tc>
          <w:tcPr>
            <w:tcW w:w="1830" w:type="dxa"/>
          </w:tcPr>
          <w:p>
            <w:pPr>
              <w:pStyle w:val="TableParagraph"/>
              <w:spacing w:line="240" w:lineRule="auto" w:before="126"/>
              <w:ind w:left="56" w:right="53"/>
              <w:rPr>
                <w:sz w:val="24"/>
              </w:rPr>
            </w:pPr>
            <w:r>
              <w:rPr>
                <w:spacing w:val="-4"/>
                <w:sz w:val="24"/>
              </w:rPr>
              <w:t>72.9</w:t>
            </w:r>
          </w:p>
        </w:tc>
      </w:tr>
      <w:tr>
        <w:trPr>
          <w:trHeight w:val="585" w:hRule="atLeast"/>
        </w:trPr>
        <w:tc>
          <w:tcPr>
            <w:tcW w:w="2098" w:type="dxa"/>
          </w:tcPr>
          <w:p>
            <w:pPr>
              <w:pStyle w:val="TableParagraph"/>
              <w:spacing w:line="240" w:lineRule="auto" w:before="124"/>
              <w:ind w:left="110"/>
              <w:jc w:val="left"/>
              <w:rPr>
                <w:sz w:val="24"/>
              </w:rPr>
            </w:pPr>
            <w:r>
              <w:rPr>
                <w:spacing w:val="-2"/>
                <w:sz w:val="24"/>
              </w:rPr>
              <w:t>Ofloxacin</w:t>
            </w:r>
          </w:p>
        </w:tc>
        <w:tc>
          <w:tcPr>
            <w:tcW w:w="1984" w:type="dxa"/>
          </w:tcPr>
          <w:p>
            <w:pPr>
              <w:pStyle w:val="TableParagraph"/>
              <w:spacing w:line="240" w:lineRule="auto" w:before="124"/>
              <w:ind w:left="200" w:right="48"/>
              <w:rPr>
                <w:sz w:val="24"/>
              </w:rPr>
            </w:pPr>
            <w:r>
              <w:rPr>
                <w:spacing w:val="-5"/>
                <w:sz w:val="24"/>
              </w:rPr>
              <w:t>0.0</w:t>
            </w:r>
          </w:p>
        </w:tc>
        <w:tc>
          <w:tcPr>
            <w:tcW w:w="1838" w:type="dxa"/>
          </w:tcPr>
          <w:p>
            <w:pPr>
              <w:pStyle w:val="TableParagraph"/>
              <w:spacing w:line="240" w:lineRule="auto" w:before="124"/>
              <w:ind w:left="60" w:right="53"/>
              <w:rPr>
                <w:sz w:val="24"/>
              </w:rPr>
            </w:pPr>
            <w:r>
              <w:rPr>
                <w:spacing w:val="-5"/>
                <w:sz w:val="24"/>
              </w:rPr>
              <w:t>0.0</w:t>
            </w:r>
          </w:p>
        </w:tc>
        <w:tc>
          <w:tcPr>
            <w:tcW w:w="1828" w:type="dxa"/>
          </w:tcPr>
          <w:p>
            <w:pPr>
              <w:pStyle w:val="TableParagraph"/>
              <w:spacing w:line="240" w:lineRule="auto" w:before="124"/>
              <w:ind w:left="61" w:right="53"/>
              <w:rPr>
                <w:sz w:val="24"/>
              </w:rPr>
            </w:pPr>
            <w:r>
              <w:rPr>
                <w:spacing w:val="-5"/>
                <w:sz w:val="24"/>
              </w:rPr>
              <w:t>0.0</w:t>
            </w:r>
          </w:p>
        </w:tc>
        <w:tc>
          <w:tcPr>
            <w:tcW w:w="1830" w:type="dxa"/>
          </w:tcPr>
          <w:p>
            <w:pPr>
              <w:pStyle w:val="TableParagraph"/>
              <w:spacing w:line="240" w:lineRule="auto" w:before="124"/>
              <w:ind w:left="56" w:right="48"/>
              <w:rPr>
                <w:sz w:val="24"/>
              </w:rPr>
            </w:pPr>
            <w:r>
              <w:rPr>
                <w:spacing w:val="-5"/>
                <w:sz w:val="24"/>
              </w:rPr>
              <w:t>0.0</w:t>
            </w:r>
          </w:p>
        </w:tc>
      </w:tr>
      <w:tr>
        <w:trPr>
          <w:trHeight w:val="412" w:hRule="atLeast"/>
        </w:trPr>
        <w:tc>
          <w:tcPr>
            <w:tcW w:w="2098" w:type="dxa"/>
          </w:tcPr>
          <w:p>
            <w:pPr>
              <w:pStyle w:val="TableParagraph"/>
              <w:spacing w:line="269" w:lineRule="exact" w:before="124"/>
              <w:ind w:left="110"/>
              <w:jc w:val="left"/>
              <w:rPr>
                <w:sz w:val="24"/>
              </w:rPr>
            </w:pPr>
            <w:r>
              <w:rPr>
                <w:spacing w:val="-2"/>
                <w:sz w:val="24"/>
              </w:rPr>
              <w:t>Tetracycline</w:t>
            </w:r>
          </w:p>
        </w:tc>
        <w:tc>
          <w:tcPr>
            <w:tcW w:w="1984" w:type="dxa"/>
          </w:tcPr>
          <w:p>
            <w:pPr>
              <w:pStyle w:val="TableParagraph"/>
              <w:spacing w:line="269" w:lineRule="exact" w:before="124"/>
              <w:ind w:left="200" w:right="5"/>
              <w:rPr>
                <w:sz w:val="24"/>
              </w:rPr>
            </w:pPr>
            <w:r>
              <w:rPr>
                <w:spacing w:val="-4"/>
                <w:sz w:val="24"/>
              </w:rPr>
              <w:t>57.1</w:t>
            </w:r>
          </w:p>
        </w:tc>
        <w:tc>
          <w:tcPr>
            <w:tcW w:w="1838" w:type="dxa"/>
          </w:tcPr>
          <w:p>
            <w:pPr>
              <w:pStyle w:val="TableParagraph"/>
              <w:spacing w:line="269" w:lineRule="exact" w:before="124"/>
              <w:ind w:left="60"/>
              <w:rPr>
                <w:sz w:val="24"/>
              </w:rPr>
            </w:pPr>
            <w:r>
              <w:rPr>
                <w:spacing w:val="-4"/>
                <w:sz w:val="24"/>
              </w:rPr>
              <w:t>87.9</w:t>
            </w:r>
          </w:p>
        </w:tc>
        <w:tc>
          <w:tcPr>
            <w:tcW w:w="1828" w:type="dxa"/>
          </w:tcPr>
          <w:p>
            <w:pPr>
              <w:pStyle w:val="TableParagraph"/>
              <w:spacing w:line="269" w:lineRule="exact" w:before="124"/>
              <w:ind w:left="61"/>
              <w:rPr>
                <w:sz w:val="24"/>
              </w:rPr>
            </w:pPr>
            <w:r>
              <w:rPr>
                <w:spacing w:val="-4"/>
                <w:sz w:val="24"/>
              </w:rPr>
              <w:t>78.9</w:t>
            </w:r>
          </w:p>
        </w:tc>
        <w:tc>
          <w:tcPr>
            <w:tcW w:w="1830" w:type="dxa"/>
          </w:tcPr>
          <w:p>
            <w:pPr>
              <w:pStyle w:val="TableParagraph"/>
              <w:spacing w:line="269" w:lineRule="exact" w:before="124"/>
              <w:ind w:left="56" w:right="53"/>
              <w:rPr>
                <w:sz w:val="24"/>
              </w:rPr>
            </w:pPr>
            <w:r>
              <w:rPr>
                <w:spacing w:val="-4"/>
                <w:sz w:val="24"/>
              </w:rPr>
              <w:t>96.6</w:t>
            </w:r>
          </w:p>
        </w:tc>
      </w:tr>
    </w:tbl>
    <w:p>
      <w:pPr>
        <w:pStyle w:val="BodyText"/>
        <w:spacing w:before="34"/>
        <w:rPr>
          <w:sz w:val="20"/>
        </w:rPr>
      </w:pPr>
      <w:r>
        <w:rPr/>
        <mc:AlternateContent>
          <mc:Choice Requires="wps">
            <w:drawing>
              <wp:anchor distT="0" distB="0" distL="0" distR="0" allowOverlap="1" layoutInCell="1" locked="0" behindDoc="1" simplePos="0" relativeHeight="487598592">
                <wp:simplePos x="0" y="0"/>
                <wp:positionH relativeFrom="page">
                  <wp:posOffset>835152</wp:posOffset>
                </wp:positionH>
                <wp:positionV relativeFrom="paragraph">
                  <wp:posOffset>191871</wp:posOffset>
                </wp:positionV>
                <wp:extent cx="6093460"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093460" cy="6350"/>
                        </a:xfrm>
                        <a:custGeom>
                          <a:avLst/>
                          <a:gdLst/>
                          <a:ahLst/>
                          <a:cxnLst/>
                          <a:rect l="l" t="t" r="r" b="b"/>
                          <a:pathLst>
                            <a:path w="6093460" h="6350">
                              <a:moveTo>
                                <a:pt x="6092952" y="0"/>
                              </a:moveTo>
                              <a:lnTo>
                                <a:pt x="6092952" y="0"/>
                              </a:lnTo>
                              <a:lnTo>
                                <a:pt x="0" y="0"/>
                              </a:lnTo>
                              <a:lnTo>
                                <a:pt x="0" y="6083"/>
                              </a:lnTo>
                              <a:lnTo>
                                <a:pt x="6092952" y="6083"/>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5.108021pt;width:479.760023pt;height:.479pt;mso-position-horizontal-relative:page;mso-position-vertical-relative:paragraph;z-index:-15717888;mso-wrap-distance-left:0;mso-wrap-distance-right:0" id="docshape23"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pStyle w:val="Heading6"/>
        <w:ind w:left="920" w:firstLine="0"/>
      </w:pPr>
      <w:r>
        <w:rPr/>
        <w:t>Table</w:t>
      </w:r>
      <w:r>
        <w:rPr>
          <w:spacing w:val="-7"/>
        </w:rPr>
        <w:t> </w:t>
      </w:r>
      <w:r>
        <w:rPr/>
        <w:t>4.7:</w:t>
      </w:r>
      <w:r>
        <w:rPr>
          <w:spacing w:val="-3"/>
        </w:rPr>
        <w:t> </w:t>
      </w:r>
      <w:r>
        <w:rPr/>
        <w:t>Antibiotics</w:t>
      </w:r>
      <w:r>
        <w:rPr>
          <w:spacing w:val="-5"/>
        </w:rPr>
        <w:t> </w:t>
      </w:r>
      <w:r>
        <w:rPr/>
        <w:t>Resistance</w:t>
      </w:r>
      <w:r>
        <w:rPr>
          <w:spacing w:val="-5"/>
        </w:rPr>
        <w:t> </w:t>
      </w:r>
      <w:r>
        <w:rPr/>
        <w:t>Profile</w:t>
      </w:r>
      <w:r>
        <w:rPr>
          <w:spacing w:val="-5"/>
        </w:rPr>
        <w:t> </w:t>
      </w:r>
      <w:r>
        <w:rPr/>
        <w:t>of</w:t>
      </w:r>
      <w:r>
        <w:rPr>
          <w:spacing w:val="-2"/>
        </w:rPr>
        <w:t> </w:t>
      </w:r>
      <w:r>
        <w:rPr/>
        <w:t>Bacterial</w:t>
      </w:r>
      <w:r>
        <w:rPr>
          <w:spacing w:val="-5"/>
        </w:rPr>
        <w:t> </w:t>
      </w:r>
      <w:r>
        <w:rPr/>
        <w:t>Isolates</w:t>
      </w:r>
      <w:r>
        <w:rPr>
          <w:spacing w:val="-5"/>
        </w:rPr>
        <w:t> </w:t>
      </w:r>
      <w:r>
        <w:rPr/>
        <w:t>from</w:t>
      </w:r>
      <w:r>
        <w:rPr>
          <w:spacing w:val="-6"/>
        </w:rPr>
        <w:t> </w:t>
      </w:r>
      <w:r>
        <w:rPr/>
        <w:t>Five</w:t>
      </w:r>
      <w:r>
        <w:rPr>
          <w:spacing w:val="-4"/>
        </w:rPr>
        <w:t> </w:t>
      </w:r>
      <w:r>
        <w:rPr>
          <w:spacing w:val="-2"/>
        </w:rPr>
        <w:t>Locations</w:t>
      </w:r>
    </w:p>
    <w:p>
      <w:pPr>
        <w:pStyle w:val="BodyText"/>
        <w:spacing w:before="230"/>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1482"/>
        <w:gridCol w:w="1468"/>
        <w:gridCol w:w="1669"/>
        <w:gridCol w:w="1309"/>
        <w:gridCol w:w="1495"/>
      </w:tblGrid>
      <w:tr>
        <w:trPr>
          <w:trHeight w:val="319" w:hRule="atLeast"/>
        </w:trPr>
        <w:tc>
          <w:tcPr>
            <w:tcW w:w="2161" w:type="dxa"/>
            <w:tcBorders>
              <w:top w:val="single" w:sz="4" w:space="0" w:color="000000"/>
            </w:tcBorders>
          </w:tcPr>
          <w:p>
            <w:pPr>
              <w:pStyle w:val="TableParagraph"/>
              <w:spacing w:line="240" w:lineRule="auto"/>
              <w:jc w:val="left"/>
              <w:rPr>
                <w:rFonts w:ascii="Times New Roman"/>
                <w:sz w:val="22"/>
              </w:rPr>
            </w:pPr>
          </w:p>
        </w:tc>
        <w:tc>
          <w:tcPr>
            <w:tcW w:w="1482" w:type="dxa"/>
            <w:tcBorders>
              <w:top w:val="single" w:sz="4" w:space="0" w:color="000000"/>
            </w:tcBorders>
          </w:tcPr>
          <w:p>
            <w:pPr>
              <w:pStyle w:val="TableParagraph"/>
              <w:spacing w:line="240" w:lineRule="auto" w:before="1"/>
              <w:ind w:left="120" w:right="58"/>
              <w:rPr>
                <w:sz w:val="24"/>
              </w:rPr>
            </w:pPr>
            <w:r>
              <w:rPr>
                <w:sz w:val="24"/>
              </w:rPr>
              <w:t>No.</w:t>
            </w:r>
            <w:r>
              <w:rPr>
                <w:spacing w:val="-7"/>
                <w:sz w:val="24"/>
              </w:rPr>
              <w:t> </w:t>
            </w:r>
            <w:r>
              <w:rPr>
                <w:spacing w:val="-5"/>
                <w:sz w:val="24"/>
              </w:rPr>
              <w:t>(%)</w:t>
            </w:r>
          </w:p>
        </w:tc>
        <w:tc>
          <w:tcPr>
            <w:tcW w:w="1468" w:type="dxa"/>
            <w:tcBorders>
              <w:top w:val="single" w:sz="4" w:space="0" w:color="000000"/>
            </w:tcBorders>
          </w:tcPr>
          <w:p>
            <w:pPr>
              <w:pStyle w:val="TableParagraph"/>
              <w:spacing w:line="240" w:lineRule="auto" w:before="1"/>
              <w:ind w:left="175" w:right="47"/>
              <w:rPr>
                <w:sz w:val="24"/>
              </w:rPr>
            </w:pPr>
            <w:r>
              <w:rPr>
                <w:spacing w:val="-2"/>
                <w:sz w:val="24"/>
              </w:rPr>
              <w:t>Resistant</w:t>
            </w:r>
          </w:p>
        </w:tc>
        <w:tc>
          <w:tcPr>
            <w:tcW w:w="1669" w:type="dxa"/>
            <w:tcBorders>
              <w:top w:val="single" w:sz="4" w:space="0" w:color="000000"/>
            </w:tcBorders>
          </w:tcPr>
          <w:p>
            <w:pPr>
              <w:pStyle w:val="TableParagraph"/>
              <w:spacing w:line="240" w:lineRule="auto" w:before="1"/>
              <w:ind w:left="447"/>
              <w:jc w:val="left"/>
              <w:rPr>
                <w:sz w:val="24"/>
              </w:rPr>
            </w:pPr>
            <w:r>
              <w:rPr>
                <w:spacing w:val="-2"/>
                <w:sz w:val="24"/>
              </w:rPr>
              <w:t>Isolates</w:t>
            </w:r>
          </w:p>
        </w:tc>
        <w:tc>
          <w:tcPr>
            <w:tcW w:w="2804" w:type="dxa"/>
            <w:gridSpan w:val="2"/>
            <w:tcBorders>
              <w:top w:val="single" w:sz="4" w:space="0" w:color="000000"/>
            </w:tcBorders>
          </w:tcPr>
          <w:p>
            <w:pPr>
              <w:pStyle w:val="TableParagraph"/>
              <w:spacing w:line="240" w:lineRule="auto"/>
              <w:jc w:val="left"/>
              <w:rPr>
                <w:rFonts w:ascii="Times New Roman"/>
                <w:sz w:val="22"/>
              </w:rPr>
            </w:pPr>
          </w:p>
        </w:tc>
      </w:tr>
      <w:tr>
        <w:trPr>
          <w:trHeight w:val="563" w:hRule="atLeast"/>
        </w:trPr>
        <w:tc>
          <w:tcPr>
            <w:tcW w:w="2161" w:type="dxa"/>
            <w:tcBorders>
              <w:bottom w:val="single" w:sz="4" w:space="0" w:color="000000"/>
            </w:tcBorders>
          </w:tcPr>
          <w:p>
            <w:pPr>
              <w:pStyle w:val="TableParagraph"/>
              <w:spacing w:line="273" w:lineRule="exact"/>
              <w:ind w:left="110"/>
              <w:jc w:val="left"/>
              <w:rPr>
                <w:b/>
                <w:sz w:val="24"/>
              </w:rPr>
            </w:pPr>
            <w:r>
              <w:rPr>
                <w:b/>
                <w:spacing w:val="-2"/>
                <w:sz w:val="24"/>
              </w:rPr>
              <w:t>Antibiotics</w:t>
            </w:r>
          </w:p>
        </w:tc>
        <w:tc>
          <w:tcPr>
            <w:tcW w:w="1482" w:type="dxa"/>
            <w:tcBorders>
              <w:bottom w:val="single" w:sz="4" w:space="0" w:color="000000"/>
            </w:tcBorders>
          </w:tcPr>
          <w:p>
            <w:pPr>
              <w:pStyle w:val="TableParagraph"/>
              <w:spacing w:line="273" w:lineRule="exact"/>
              <w:ind w:left="392"/>
              <w:jc w:val="left"/>
              <w:rPr>
                <w:b/>
                <w:sz w:val="24"/>
              </w:rPr>
            </w:pPr>
            <w:r>
              <w:rPr>
                <w:b/>
                <w:spacing w:val="-2"/>
                <w:sz w:val="24"/>
              </w:rPr>
              <w:t>Samaru</w:t>
            </w:r>
          </w:p>
          <w:p>
            <w:pPr>
              <w:pStyle w:val="TableParagraph"/>
              <w:spacing w:line="271" w:lineRule="exact"/>
              <w:ind w:left="455"/>
              <w:jc w:val="left"/>
              <w:rPr>
                <w:b/>
                <w:sz w:val="24"/>
              </w:rPr>
            </w:pPr>
            <w:r>
              <w:rPr>
                <w:b/>
                <w:spacing w:val="-2"/>
                <w:sz w:val="24"/>
              </w:rPr>
              <w:t>(n=51)</w:t>
            </w:r>
          </w:p>
        </w:tc>
        <w:tc>
          <w:tcPr>
            <w:tcW w:w="1468" w:type="dxa"/>
            <w:tcBorders>
              <w:bottom w:val="single" w:sz="4" w:space="0" w:color="000000"/>
            </w:tcBorders>
          </w:tcPr>
          <w:p>
            <w:pPr>
              <w:pStyle w:val="TableParagraph"/>
              <w:spacing w:line="273" w:lineRule="exact"/>
              <w:ind w:left="175" w:right="49"/>
              <w:rPr>
                <w:b/>
                <w:sz w:val="24"/>
              </w:rPr>
            </w:pPr>
            <w:r>
              <w:rPr>
                <w:b/>
                <w:spacing w:val="-2"/>
                <w:sz w:val="24"/>
              </w:rPr>
              <w:t>Sabo-</w:t>
            </w:r>
            <w:r>
              <w:rPr>
                <w:b/>
                <w:spacing w:val="-4"/>
                <w:sz w:val="24"/>
              </w:rPr>
              <w:t>gari</w:t>
            </w:r>
          </w:p>
          <w:p>
            <w:pPr>
              <w:pStyle w:val="TableParagraph"/>
              <w:spacing w:line="271" w:lineRule="exact"/>
              <w:ind w:left="175" w:right="52"/>
              <w:rPr>
                <w:b/>
                <w:sz w:val="24"/>
              </w:rPr>
            </w:pPr>
            <w:r>
              <w:rPr>
                <w:b/>
                <w:spacing w:val="-2"/>
                <w:sz w:val="24"/>
              </w:rPr>
              <w:t>(n=19)</w:t>
            </w:r>
          </w:p>
        </w:tc>
        <w:tc>
          <w:tcPr>
            <w:tcW w:w="1669" w:type="dxa"/>
            <w:tcBorders>
              <w:bottom w:val="single" w:sz="4" w:space="0" w:color="000000"/>
            </w:tcBorders>
          </w:tcPr>
          <w:p>
            <w:pPr>
              <w:pStyle w:val="TableParagraph"/>
              <w:spacing w:line="273" w:lineRule="exact"/>
              <w:ind w:left="81" w:right="103"/>
              <w:rPr>
                <w:b/>
                <w:sz w:val="24"/>
              </w:rPr>
            </w:pPr>
            <w:r>
              <w:rPr>
                <w:b/>
                <w:spacing w:val="-2"/>
                <w:sz w:val="24"/>
              </w:rPr>
              <w:t>Tudun-</w:t>
            </w:r>
          </w:p>
          <w:p>
            <w:pPr>
              <w:pStyle w:val="TableParagraph"/>
              <w:spacing w:line="271" w:lineRule="exact"/>
              <w:ind w:left="73" w:right="103"/>
              <w:rPr>
                <w:b/>
                <w:sz w:val="24"/>
              </w:rPr>
            </w:pPr>
            <w:r>
              <w:rPr>
                <w:b/>
                <w:sz w:val="24"/>
              </w:rPr>
              <w:t>wada</w:t>
            </w:r>
            <w:r>
              <w:rPr>
                <w:b/>
                <w:spacing w:val="-5"/>
                <w:sz w:val="24"/>
              </w:rPr>
              <w:t> </w:t>
            </w:r>
            <w:r>
              <w:rPr>
                <w:b/>
                <w:spacing w:val="-2"/>
                <w:sz w:val="24"/>
              </w:rPr>
              <w:t>(n=29)</w:t>
            </w:r>
          </w:p>
        </w:tc>
        <w:tc>
          <w:tcPr>
            <w:tcW w:w="1309" w:type="dxa"/>
            <w:tcBorders>
              <w:bottom w:val="single" w:sz="4" w:space="0" w:color="000000"/>
            </w:tcBorders>
          </w:tcPr>
          <w:p>
            <w:pPr>
              <w:pStyle w:val="TableParagraph"/>
              <w:spacing w:line="273" w:lineRule="exact"/>
              <w:ind w:left="228"/>
              <w:jc w:val="left"/>
              <w:rPr>
                <w:b/>
                <w:sz w:val="24"/>
              </w:rPr>
            </w:pPr>
            <w:r>
              <w:rPr>
                <w:b/>
                <w:spacing w:val="-2"/>
                <w:sz w:val="24"/>
              </w:rPr>
              <w:t>Wusasa</w:t>
            </w:r>
          </w:p>
          <w:p>
            <w:pPr>
              <w:pStyle w:val="TableParagraph"/>
              <w:spacing w:line="271" w:lineRule="exact"/>
              <w:ind w:left="295"/>
              <w:jc w:val="left"/>
              <w:rPr>
                <w:b/>
                <w:sz w:val="24"/>
              </w:rPr>
            </w:pPr>
            <w:r>
              <w:rPr>
                <w:b/>
                <w:spacing w:val="-2"/>
                <w:sz w:val="24"/>
              </w:rPr>
              <w:t>(n=30)</w:t>
            </w:r>
          </w:p>
        </w:tc>
        <w:tc>
          <w:tcPr>
            <w:tcW w:w="1495" w:type="dxa"/>
            <w:tcBorders>
              <w:bottom w:val="single" w:sz="4" w:space="0" w:color="000000"/>
            </w:tcBorders>
          </w:tcPr>
          <w:p>
            <w:pPr>
              <w:pStyle w:val="TableParagraph"/>
              <w:spacing w:line="273" w:lineRule="exact"/>
              <w:ind w:left="88" w:right="56"/>
              <w:rPr>
                <w:b/>
                <w:sz w:val="24"/>
              </w:rPr>
            </w:pPr>
            <w:r>
              <w:rPr>
                <w:b/>
                <w:spacing w:val="-2"/>
                <w:sz w:val="24"/>
              </w:rPr>
              <w:t>Zaria-</w:t>
            </w:r>
            <w:r>
              <w:rPr>
                <w:b/>
                <w:spacing w:val="-4"/>
                <w:sz w:val="24"/>
              </w:rPr>
              <w:t>city</w:t>
            </w:r>
          </w:p>
          <w:p>
            <w:pPr>
              <w:pStyle w:val="TableParagraph"/>
              <w:spacing w:line="271" w:lineRule="exact"/>
              <w:ind w:left="88" w:right="52"/>
              <w:rPr>
                <w:b/>
                <w:sz w:val="24"/>
              </w:rPr>
            </w:pPr>
            <w:r>
              <w:rPr>
                <w:b/>
                <w:spacing w:val="-2"/>
                <w:sz w:val="24"/>
              </w:rPr>
              <w:t>(n=24)</w:t>
            </w:r>
          </w:p>
        </w:tc>
      </w:tr>
      <w:tr>
        <w:trPr>
          <w:trHeight w:val="462" w:hRule="atLeast"/>
        </w:trPr>
        <w:tc>
          <w:tcPr>
            <w:tcW w:w="2161" w:type="dxa"/>
            <w:tcBorders>
              <w:top w:val="single" w:sz="4" w:space="0" w:color="000000"/>
            </w:tcBorders>
          </w:tcPr>
          <w:p>
            <w:pPr>
              <w:pStyle w:val="TableParagraph"/>
              <w:spacing w:line="240" w:lineRule="auto" w:before="1"/>
              <w:ind w:left="110"/>
              <w:jc w:val="left"/>
              <w:rPr>
                <w:sz w:val="24"/>
              </w:rPr>
            </w:pPr>
            <w:r>
              <w:rPr>
                <w:spacing w:val="-2"/>
                <w:sz w:val="24"/>
              </w:rPr>
              <w:t>Amoxicillin</w:t>
            </w:r>
          </w:p>
        </w:tc>
        <w:tc>
          <w:tcPr>
            <w:tcW w:w="1482" w:type="dxa"/>
            <w:tcBorders>
              <w:top w:val="single" w:sz="4" w:space="0" w:color="000000"/>
            </w:tcBorders>
          </w:tcPr>
          <w:p>
            <w:pPr>
              <w:pStyle w:val="TableParagraph"/>
              <w:spacing w:line="240" w:lineRule="auto" w:before="1"/>
              <w:ind w:left="120" w:right="58"/>
              <w:rPr>
                <w:sz w:val="24"/>
              </w:rPr>
            </w:pPr>
            <w:r>
              <w:rPr>
                <w:spacing w:val="-4"/>
                <w:sz w:val="24"/>
              </w:rPr>
              <w:t>88.2</w:t>
            </w:r>
          </w:p>
        </w:tc>
        <w:tc>
          <w:tcPr>
            <w:tcW w:w="1468" w:type="dxa"/>
            <w:tcBorders>
              <w:top w:val="single" w:sz="4" w:space="0" w:color="000000"/>
            </w:tcBorders>
          </w:tcPr>
          <w:p>
            <w:pPr>
              <w:pStyle w:val="TableParagraph"/>
              <w:spacing w:line="240" w:lineRule="auto" w:before="1"/>
              <w:ind w:left="175" w:right="58"/>
              <w:rPr>
                <w:sz w:val="24"/>
              </w:rPr>
            </w:pPr>
            <w:r>
              <w:rPr>
                <w:spacing w:val="-4"/>
                <w:sz w:val="24"/>
              </w:rPr>
              <w:t>78.9</w:t>
            </w:r>
          </w:p>
        </w:tc>
        <w:tc>
          <w:tcPr>
            <w:tcW w:w="1669" w:type="dxa"/>
            <w:tcBorders>
              <w:top w:val="single" w:sz="4" w:space="0" w:color="000000"/>
            </w:tcBorders>
          </w:tcPr>
          <w:p>
            <w:pPr>
              <w:pStyle w:val="TableParagraph"/>
              <w:spacing w:line="240" w:lineRule="auto" w:before="1"/>
              <w:ind w:left="72" w:right="103"/>
              <w:rPr>
                <w:sz w:val="24"/>
              </w:rPr>
            </w:pPr>
            <w:r>
              <w:rPr>
                <w:spacing w:val="-4"/>
                <w:sz w:val="24"/>
              </w:rPr>
              <w:t>55.2</w:t>
            </w:r>
          </w:p>
        </w:tc>
        <w:tc>
          <w:tcPr>
            <w:tcW w:w="1309" w:type="dxa"/>
            <w:tcBorders>
              <w:top w:val="single" w:sz="4" w:space="0" w:color="000000"/>
            </w:tcBorders>
          </w:tcPr>
          <w:p>
            <w:pPr>
              <w:pStyle w:val="TableParagraph"/>
              <w:spacing w:line="240" w:lineRule="auto" w:before="1"/>
              <w:ind w:left="4" w:right="76"/>
              <w:rPr>
                <w:sz w:val="24"/>
              </w:rPr>
            </w:pPr>
            <w:r>
              <w:rPr>
                <w:spacing w:val="-4"/>
                <w:sz w:val="24"/>
              </w:rPr>
              <w:t>90.0</w:t>
            </w:r>
          </w:p>
        </w:tc>
        <w:tc>
          <w:tcPr>
            <w:tcW w:w="1495" w:type="dxa"/>
            <w:tcBorders>
              <w:top w:val="single" w:sz="4" w:space="0" w:color="000000"/>
            </w:tcBorders>
          </w:tcPr>
          <w:p>
            <w:pPr>
              <w:pStyle w:val="TableParagraph"/>
              <w:spacing w:line="240" w:lineRule="auto" w:before="1"/>
              <w:ind w:left="88" w:right="53"/>
              <w:rPr>
                <w:sz w:val="24"/>
              </w:rPr>
            </w:pPr>
            <w:r>
              <w:rPr>
                <w:spacing w:val="-2"/>
                <w:sz w:val="24"/>
              </w:rPr>
              <w:t>100.0</w:t>
            </w:r>
          </w:p>
        </w:tc>
      </w:tr>
      <w:tr>
        <w:trPr>
          <w:trHeight w:val="585" w:hRule="atLeast"/>
        </w:trPr>
        <w:tc>
          <w:tcPr>
            <w:tcW w:w="2161" w:type="dxa"/>
          </w:tcPr>
          <w:p>
            <w:pPr>
              <w:pStyle w:val="TableParagraph"/>
              <w:spacing w:line="240" w:lineRule="auto" w:before="124"/>
              <w:ind w:left="110"/>
              <w:jc w:val="left"/>
              <w:rPr>
                <w:sz w:val="24"/>
              </w:rPr>
            </w:pPr>
            <w:r>
              <w:rPr>
                <w:spacing w:val="-2"/>
                <w:sz w:val="24"/>
              </w:rPr>
              <w:t>Amox/clav</w:t>
            </w:r>
          </w:p>
        </w:tc>
        <w:tc>
          <w:tcPr>
            <w:tcW w:w="1482" w:type="dxa"/>
          </w:tcPr>
          <w:p>
            <w:pPr>
              <w:pStyle w:val="TableParagraph"/>
              <w:spacing w:line="240" w:lineRule="auto" w:before="124"/>
              <w:ind w:left="120"/>
              <w:rPr>
                <w:sz w:val="24"/>
              </w:rPr>
            </w:pPr>
            <w:r>
              <w:rPr>
                <w:spacing w:val="-4"/>
                <w:sz w:val="24"/>
              </w:rPr>
              <w:t>66.7</w:t>
            </w:r>
          </w:p>
        </w:tc>
        <w:tc>
          <w:tcPr>
            <w:tcW w:w="1468" w:type="dxa"/>
          </w:tcPr>
          <w:p>
            <w:pPr>
              <w:pStyle w:val="TableParagraph"/>
              <w:spacing w:line="240" w:lineRule="auto" w:before="124"/>
              <w:ind w:left="175" w:right="58"/>
              <w:rPr>
                <w:sz w:val="24"/>
              </w:rPr>
            </w:pPr>
            <w:r>
              <w:rPr>
                <w:spacing w:val="-4"/>
                <w:sz w:val="24"/>
              </w:rPr>
              <w:t>84.2</w:t>
            </w:r>
          </w:p>
        </w:tc>
        <w:tc>
          <w:tcPr>
            <w:tcW w:w="1669" w:type="dxa"/>
          </w:tcPr>
          <w:p>
            <w:pPr>
              <w:pStyle w:val="TableParagraph"/>
              <w:spacing w:line="240" w:lineRule="auto" w:before="124"/>
              <w:ind w:left="72" w:right="103"/>
              <w:rPr>
                <w:sz w:val="24"/>
              </w:rPr>
            </w:pPr>
            <w:r>
              <w:rPr>
                <w:spacing w:val="-4"/>
                <w:sz w:val="24"/>
              </w:rPr>
              <w:t>69.0</w:t>
            </w:r>
          </w:p>
        </w:tc>
        <w:tc>
          <w:tcPr>
            <w:tcW w:w="1309" w:type="dxa"/>
          </w:tcPr>
          <w:p>
            <w:pPr>
              <w:pStyle w:val="TableParagraph"/>
              <w:spacing w:line="240" w:lineRule="auto" w:before="124"/>
              <w:ind w:left="4" w:right="76"/>
              <w:rPr>
                <w:sz w:val="24"/>
              </w:rPr>
            </w:pPr>
            <w:r>
              <w:rPr>
                <w:spacing w:val="-4"/>
                <w:sz w:val="24"/>
              </w:rPr>
              <w:t>90.0</w:t>
            </w:r>
          </w:p>
        </w:tc>
        <w:tc>
          <w:tcPr>
            <w:tcW w:w="1495" w:type="dxa"/>
          </w:tcPr>
          <w:p>
            <w:pPr>
              <w:pStyle w:val="TableParagraph"/>
              <w:spacing w:line="240" w:lineRule="auto" w:before="124"/>
              <w:ind w:left="88" w:right="58"/>
              <w:rPr>
                <w:sz w:val="24"/>
              </w:rPr>
            </w:pPr>
            <w:r>
              <w:rPr>
                <w:spacing w:val="-4"/>
                <w:sz w:val="24"/>
              </w:rPr>
              <w:t>87.5</w:t>
            </w:r>
          </w:p>
        </w:tc>
      </w:tr>
      <w:tr>
        <w:trPr>
          <w:trHeight w:val="585" w:hRule="atLeast"/>
        </w:trPr>
        <w:tc>
          <w:tcPr>
            <w:tcW w:w="2161" w:type="dxa"/>
          </w:tcPr>
          <w:p>
            <w:pPr>
              <w:pStyle w:val="TableParagraph"/>
              <w:spacing w:line="240" w:lineRule="auto" w:before="124"/>
              <w:ind w:left="110"/>
              <w:jc w:val="left"/>
              <w:rPr>
                <w:sz w:val="24"/>
              </w:rPr>
            </w:pPr>
            <w:r>
              <w:rPr>
                <w:spacing w:val="-2"/>
                <w:sz w:val="24"/>
              </w:rPr>
              <w:t>Chloramphenicol</w:t>
            </w:r>
          </w:p>
        </w:tc>
        <w:tc>
          <w:tcPr>
            <w:tcW w:w="1482" w:type="dxa"/>
          </w:tcPr>
          <w:p>
            <w:pPr>
              <w:pStyle w:val="TableParagraph"/>
              <w:spacing w:line="240" w:lineRule="auto" w:before="124"/>
              <w:ind w:left="120" w:right="58"/>
              <w:rPr>
                <w:sz w:val="24"/>
              </w:rPr>
            </w:pPr>
            <w:r>
              <w:rPr>
                <w:spacing w:val="-4"/>
                <w:sz w:val="24"/>
              </w:rPr>
              <w:t>96.1</w:t>
            </w:r>
          </w:p>
        </w:tc>
        <w:tc>
          <w:tcPr>
            <w:tcW w:w="1468" w:type="dxa"/>
          </w:tcPr>
          <w:p>
            <w:pPr>
              <w:pStyle w:val="TableParagraph"/>
              <w:spacing w:line="240" w:lineRule="auto" w:before="124"/>
              <w:ind w:left="175" w:right="58"/>
              <w:rPr>
                <w:sz w:val="24"/>
              </w:rPr>
            </w:pPr>
            <w:r>
              <w:rPr>
                <w:spacing w:val="-4"/>
                <w:sz w:val="24"/>
              </w:rPr>
              <w:t>68.4</w:t>
            </w:r>
          </w:p>
        </w:tc>
        <w:tc>
          <w:tcPr>
            <w:tcW w:w="1669" w:type="dxa"/>
          </w:tcPr>
          <w:p>
            <w:pPr>
              <w:pStyle w:val="TableParagraph"/>
              <w:spacing w:line="240" w:lineRule="auto" w:before="124"/>
              <w:ind w:left="72" w:right="103"/>
              <w:rPr>
                <w:sz w:val="24"/>
              </w:rPr>
            </w:pPr>
            <w:r>
              <w:rPr>
                <w:spacing w:val="-4"/>
                <w:sz w:val="24"/>
              </w:rPr>
              <w:t>82.8</w:t>
            </w:r>
          </w:p>
        </w:tc>
        <w:tc>
          <w:tcPr>
            <w:tcW w:w="1309" w:type="dxa"/>
          </w:tcPr>
          <w:p>
            <w:pPr>
              <w:pStyle w:val="TableParagraph"/>
              <w:spacing w:line="240" w:lineRule="auto" w:before="124"/>
              <w:ind w:left="4" w:right="76"/>
              <w:rPr>
                <w:sz w:val="24"/>
              </w:rPr>
            </w:pPr>
            <w:r>
              <w:rPr>
                <w:spacing w:val="-4"/>
                <w:sz w:val="24"/>
              </w:rPr>
              <w:t>76.7</w:t>
            </w:r>
          </w:p>
        </w:tc>
        <w:tc>
          <w:tcPr>
            <w:tcW w:w="1495" w:type="dxa"/>
          </w:tcPr>
          <w:p>
            <w:pPr>
              <w:pStyle w:val="TableParagraph"/>
              <w:spacing w:line="240" w:lineRule="auto" w:before="124"/>
              <w:ind w:left="88" w:right="58"/>
              <w:rPr>
                <w:sz w:val="24"/>
              </w:rPr>
            </w:pPr>
            <w:r>
              <w:rPr>
                <w:spacing w:val="-4"/>
                <w:sz w:val="24"/>
              </w:rPr>
              <w:t>75.0</w:t>
            </w:r>
          </w:p>
        </w:tc>
      </w:tr>
      <w:tr>
        <w:trPr>
          <w:trHeight w:val="585" w:hRule="atLeast"/>
        </w:trPr>
        <w:tc>
          <w:tcPr>
            <w:tcW w:w="2161" w:type="dxa"/>
          </w:tcPr>
          <w:p>
            <w:pPr>
              <w:pStyle w:val="TableParagraph"/>
              <w:spacing w:line="240" w:lineRule="auto" w:before="124"/>
              <w:ind w:left="110"/>
              <w:jc w:val="left"/>
              <w:rPr>
                <w:sz w:val="24"/>
              </w:rPr>
            </w:pPr>
            <w:r>
              <w:rPr>
                <w:spacing w:val="-4"/>
                <w:sz w:val="24"/>
              </w:rPr>
              <w:t>Co-</w:t>
            </w:r>
            <w:r>
              <w:rPr>
                <w:spacing w:val="-2"/>
                <w:sz w:val="24"/>
              </w:rPr>
              <w:t>trimoxazole</w:t>
            </w:r>
          </w:p>
        </w:tc>
        <w:tc>
          <w:tcPr>
            <w:tcW w:w="1482" w:type="dxa"/>
          </w:tcPr>
          <w:p>
            <w:pPr>
              <w:pStyle w:val="TableParagraph"/>
              <w:spacing w:line="240" w:lineRule="auto" w:before="124"/>
              <w:ind w:left="120" w:right="58"/>
              <w:rPr>
                <w:sz w:val="24"/>
              </w:rPr>
            </w:pPr>
            <w:r>
              <w:rPr>
                <w:spacing w:val="-4"/>
                <w:sz w:val="24"/>
              </w:rPr>
              <w:t>70.6</w:t>
            </w:r>
          </w:p>
        </w:tc>
        <w:tc>
          <w:tcPr>
            <w:tcW w:w="1468" w:type="dxa"/>
          </w:tcPr>
          <w:p>
            <w:pPr>
              <w:pStyle w:val="TableParagraph"/>
              <w:spacing w:line="240" w:lineRule="auto" w:before="124"/>
              <w:ind w:left="175" w:right="58"/>
              <w:rPr>
                <w:sz w:val="24"/>
              </w:rPr>
            </w:pPr>
            <w:r>
              <w:rPr>
                <w:spacing w:val="-4"/>
                <w:sz w:val="24"/>
              </w:rPr>
              <w:t>26.3</w:t>
            </w:r>
          </w:p>
        </w:tc>
        <w:tc>
          <w:tcPr>
            <w:tcW w:w="1669" w:type="dxa"/>
          </w:tcPr>
          <w:p>
            <w:pPr>
              <w:pStyle w:val="TableParagraph"/>
              <w:spacing w:line="240" w:lineRule="auto" w:before="124"/>
              <w:ind w:left="72" w:right="103"/>
              <w:rPr>
                <w:sz w:val="24"/>
              </w:rPr>
            </w:pPr>
            <w:r>
              <w:rPr>
                <w:spacing w:val="-4"/>
                <w:sz w:val="24"/>
              </w:rPr>
              <w:t>62.1</w:t>
            </w:r>
          </w:p>
        </w:tc>
        <w:tc>
          <w:tcPr>
            <w:tcW w:w="1309" w:type="dxa"/>
          </w:tcPr>
          <w:p>
            <w:pPr>
              <w:pStyle w:val="TableParagraph"/>
              <w:spacing w:line="240" w:lineRule="auto" w:before="124"/>
              <w:ind w:left="4" w:right="76"/>
              <w:rPr>
                <w:sz w:val="24"/>
              </w:rPr>
            </w:pPr>
            <w:r>
              <w:rPr>
                <w:spacing w:val="-4"/>
                <w:sz w:val="24"/>
              </w:rPr>
              <w:t>60.0</w:t>
            </w:r>
          </w:p>
        </w:tc>
        <w:tc>
          <w:tcPr>
            <w:tcW w:w="1495" w:type="dxa"/>
          </w:tcPr>
          <w:p>
            <w:pPr>
              <w:pStyle w:val="TableParagraph"/>
              <w:spacing w:line="240" w:lineRule="auto" w:before="124"/>
              <w:ind w:left="88" w:right="58"/>
              <w:rPr>
                <w:sz w:val="24"/>
              </w:rPr>
            </w:pPr>
            <w:r>
              <w:rPr>
                <w:spacing w:val="-4"/>
                <w:sz w:val="24"/>
              </w:rPr>
              <w:t>87.5</w:t>
            </w:r>
          </w:p>
        </w:tc>
      </w:tr>
      <w:tr>
        <w:trPr>
          <w:trHeight w:val="585" w:hRule="atLeast"/>
        </w:trPr>
        <w:tc>
          <w:tcPr>
            <w:tcW w:w="2161" w:type="dxa"/>
          </w:tcPr>
          <w:p>
            <w:pPr>
              <w:pStyle w:val="TableParagraph"/>
              <w:spacing w:line="240" w:lineRule="auto" w:before="124"/>
              <w:ind w:left="110"/>
              <w:jc w:val="left"/>
              <w:rPr>
                <w:sz w:val="24"/>
              </w:rPr>
            </w:pPr>
            <w:r>
              <w:rPr>
                <w:spacing w:val="-2"/>
                <w:sz w:val="24"/>
              </w:rPr>
              <w:t>Cloxacillin</w:t>
            </w:r>
          </w:p>
        </w:tc>
        <w:tc>
          <w:tcPr>
            <w:tcW w:w="1482" w:type="dxa"/>
          </w:tcPr>
          <w:p>
            <w:pPr>
              <w:pStyle w:val="TableParagraph"/>
              <w:spacing w:line="240" w:lineRule="auto" w:before="124"/>
              <w:ind w:left="120" w:right="53"/>
              <w:rPr>
                <w:sz w:val="24"/>
              </w:rPr>
            </w:pPr>
            <w:r>
              <w:rPr>
                <w:spacing w:val="-2"/>
                <w:sz w:val="24"/>
              </w:rPr>
              <w:t>100.0</w:t>
            </w:r>
          </w:p>
        </w:tc>
        <w:tc>
          <w:tcPr>
            <w:tcW w:w="1468" w:type="dxa"/>
          </w:tcPr>
          <w:p>
            <w:pPr>
              <w:pStyle w:val="TableParagraph"/>
              <w:spacing w:line="240" w:lineRule="auto" w:before="124"/>
              <w:ind w:left="175" w:right="58"/>
              <w:rPr>
                <w:sz w:val="24"/>
              </w:rPr>
            </w:pPr>
            <w:r>
              <w:rPr>
                <w:spacing w:val="-4"/>
                <w:sz w:val="24"/>
              </w:rPr>
              <w:t>94.7</w:t>
            </w:r>
          </w:p>
        </w:tc>
        <w:tc>
          <w:tcPr>
            <w:tcW w:w="1669" w:type="dxa"/>
          </w:tcPr>
          <w:p>
            <w:pPr>
              <w:pStyle w:val="TableParagraph"/>
              <w:spacing w:line="240" w:lineRule="auto" w:before="124"/>
              <w:ind w:left="543"/>
              <w:jc w:val="left"/>
              <w:rPr>
                <w:sz w:val="24"/>
              </w:rPr>
            </w:pPr>
            <w:r>
              <w:rPr>
                <w:spacing w:val="-2"/>
                <w:sz w:val="24"/>
              </w:rPr>
              <w:t>100.0</w:t>
            </w:r>
          </w:p>
        </w:tc>
        <w:tc>
          <w:tcPr>
            <w:tcW w:w="1309" w:type="dxa"/>
          </w:tcPr>
          <w:p>
            <w:pPr>
              <w:pStyle w:val="TableParagraph"/>
              <w:spacing w:line="240" w:lineRule="auto" w:before="124"/>
              <w:ind w:right="76"/>
              <w:rPr>
                <w:sz w:val="24"/>
              </w:rPr>
            </w:pPr>
            <w:r>
              <w:rPr>
                <w:spacing w:val="-2"/>
                <w:sz w:val="24"/>
              </w:rPr>
              <w:t>100.0</w:t>
            </w:r>
          </w:p>
        </w:tc>
        <w:tc>
          <w:tcPr>
            <w:tcW w:w="1495" w:type="dxa"/>
          </w:tcPr>
          <w:p>
            <w:pPr>
              <w:pStyle w:val="TableParagraph"/>
              <w:spacing w:line="240" w:lineRule="auto" w:before="124"/>
              <w:ind w:left="88" w:right="53"/>
              <w:rPr>
                <w:sz w:val="24"/>
              </w:rPr>
            </w:pPr>
            <w:r>
              <w:rPr>
                <w:spacing w:val="-2"/>
                <w:sz w:val="24"/>
              </w:rPr>
              <w:t>100.0</w:t>
            </w:r>
          </w:p>
        </w:tc>
      </w:tr>
      <w:tr>
        <w:trPr>
          <w:trHeight w:val="585" w:hRule="atLeast"/>
        </w:trPr>
        <w:tc>
          <w:tcPr>
            <w:tcW w:w="2161" w:type="dxa"/>
          </w:tcPr>
          <w:p>
            <w:pPr>
              <w:pStyle w:val="TableParagraph"/>
              <w:spacing w:line="240" w:lineRule="auto" w:before="124"/>
              <w:ind w:left="110"/>
              <w:jc w:val="left"/>
              <w:rPr>
                <w:sz w:val="24"/>
              </w:rPr>
            </w:pPr>
            <w:r>
              <w:rPr>
                <w:spacing w:val="-2"/>
                <w:sz w:val="24"/>
              </w:rPr>
              <w:t>Cefuroxime</w:t>
            </w:r>
          </w:p>
        </w:tc>
        <w:tc>
          <w:tcPr>
            <w:tcW w:w="1482" w:type="dxa"/>
          </w:tcPr>
          <w:p>
            <w:pPr>
              <w:pStyle w:val="TableParagraph"/>
              <w:spacing w:line="240" w:lineRule="auto" w:before="124"/>
              <w:ind w:left="120" w:right="58"/>
              <w:rPr>
                <w:sz w:val="24"/>
              </w:rPr>
            </w:pPr>
            <w:r>
              <w:rPr>
                <w:spacing w:val="-4"/>
                <w:sz w:val="24"/>
              </w:rPr>
              <w:t>94.1</w:t>
            </w:r>
          </w:p>
        </w:tc>
        <w:tc>
          <w:tcPr>
            <w:tcW w:w="1468" w:type="dxa"/>
          </w:tcPr>
          <w:p>
            <w:pPr>
              <w:pStyle w:val="TableParagraph"/>
              <w:spacing w:line="240" w:lineRule="auto" w:before="124"/>
              <w:ind w:left="175" w:right="58"/>
              <w:rPr>
                <w:sz w:val="24"/>
              </w:rPr>
            </w:pPr>
            <w:r>
              <w:rPr>
                <w:spacing w:val="-4"/>
                <w:sz w:val="24"/>
              </w:rPr>
              <w:t>36.8</w:t>
            </w:r>
          </w:p>
        </w:tc>
        <w:tc>
          <w:tcPr>
            <w:tcW w:w="1669" w:type="dxa"/>
          </w:tcPr>
          <w:p>
            <w:pPr>
              <w:pStyle w:val="TableParagraph"/>
              <w:spacing w:line="240" w:lineRule="auto" w:before="124"/>
              <w:ind w:left="72" w:right="103"/>
              <w:rPr>
                <w:sz w:val="24"/>
              </w:rPr>
            </w:pPr>
            <w:r>
              <w:rPr>
                <w:spacing w:val="-4"/>
                <w:sz w:val="24"/>
              </w:rPr>
              <w:t>62.1</w:t>
            </w:r>
          </w:p>
        </w:tc>
        <w:tc>
          <w:tcPr>
            <w:tcW w:w="1309" w:type="dxa"/>
          </w:tcPr>
          <w:p>
            <w:pPr>
              <w:pStyle w:val="TableParagraph"/>
              <w:spacing w:line="240" w:lineRule="auto" w:before="124"/>
              <w:ind w:left="4" w:right="76"/>
              <w:rPr>
                <w:sz w:val="24"/>
              </w:rPr>
            </w:pPr>
            <w:r>
              <w:rPr>
                <w:spacing w:val="-4"/>
                <w:sz w:val="24"/>
              </w:rPr>
              <w:t>33.3</w:t>
            </w:r>
          </w:p>
        </w:tc>
        <w:tc>
          <w:tcPr>
            <w:tcW w:w="1495" w:type="dxa"/>
          </w:tcPr>
          <w:p>
            <w:pPr>
              <w:pStyle w:val="TableParagraph"/>
              <w:spacing w:line="240" w:lineRule="auto" w:before="124"/>
              <w:ind w:left="88" w:right="58"/>
              <w:rPr>
                <w:sz w:val="24"/>
              </w:rPr>
            </w:pPr>
            <w:r>
              <w:rPr>
                <w:spacing w:val="-4"/>
                <w:sz w:val="24"/>
              </w:rPr>
              <w:t>45.8</w:t>
            </w:r>
          </w:p>
        </w:tc>
      </w:tr>
      <w:tr>
        <w:trPr>
          <w:trHeight w:val="585" w:hRule="atLeast"/>
        </w:trPr>
        <w:tc>
          <w:tcPr>
            <w:tcW w:w="2161" w:type="dxa"/>
          </w:tcPr>
          <w:p>
            <w:pPr>
              <w:pStyle w:val="TableParagraph"/>
              <w:spacing w:line="240" w:lineRule="auto" w:before="124"/>
              <w:ind w:left="110"/>
              <w:jc w:val="left"/>
              <w:rPr>
                <w:sz w:val="24"/>
              </w:rPr>
            </w:pPr>
            <w:r>
              <w:rPr>
                <w:spacing w:val="-2"/>
                <w:sz w:val="24"/>
              </w:rPr>
              <w:t>Erythromycin</w:t>
            </w:r>
          </w:p>
        </w:tc>
        <w:tc>
          <w:tcPr>
            <w:tcW w:w="1482" w:type="dxa"/>
          </w:tcPr>
          <w:p>
            <w:pPr>
              <w:pStyle w:val="TableParagraph"/>
              <w:spacing w:line="240" w:lineRule="auto" w:before="124"/>
              <w:ind w:left="120"/>
              <w:rPr>
                <w:sz w:val="24"/>
              </w:rPr>
            </w:pPr>
            <w:r>
              <w:rPr>
                <w:spacing w:val="-4"/>
                <w:sz w:val="24"/>
              </w:rPr>
              <w:t>98.0</w:t>
            </w:r>
          </w:p>
        </w:tc>
        <w:tc>
          <w:tcPr>
            <w:tcW w:w="1468" w:type="dxa"/>
          </w:tcPr>
          <w:p>
            <w:pPr>
              <w:pStyle w:val="TableParagraph"/>
              <w:spacing w:line="240" w:lineRule="auto" w:before="124"/>
              <w:ind w:left="175" w:right="53"/>
              <w:rPr>
                <w:sz w:val="24"/>
              </w:rPr>
            </w:pPr>
            <w:r>
              <w:rPr>
                <w:spacing w:val="-2"/>
                <w:sz w:val="24"/>
              </w:rPr>
              <w:t>100.0</w:t>
            </w:r>
          </w:p>
        </w:tc>
        <w:tc>
          <w:tcPr>
            <w:tcW w:w="1669" w:type="dxa"/>
          </w:tcPr>
          <w:p>
            <w:pPr>
              <w:pStyle w:val="TableParagraph"/>
              <w:spacing w:line="240" w:lineRule="auto" w:before="124"/>
              <w:ind w:left="72" w:right="103"/>
              <w:rPr>
                <w:sz w:val="24"/>
              </w:rPr>
            </w:pPr>
            <w:r>
              <w:rPr>
                <w:spacing w:val="-4"/>
                <w:sz w:val="24"/>
              </w:rPr>
              <w:t>96.6</w:t>
            </w:r>
          </w:p>
        </w:tc>
        <w:tc>
          <w:tcPr>
            <w:tcW w:w="1309" w:type="dxa"/>
          </w:tcPr>
          <w:p>
            <w:pPr>
              <w:pStyle w:val="TableParagraph"/>
              <w:spacing w:line="240" w:lineRule="auto" w:before="124"/>
              <w:ind w:left="4" w:right="76"/>
              <w:rPr>
                <w:sz w:val="24"/>
              </w:rPr>
            </w:pPr>
            <w:r>
              <w:rPr>
                <w:spacing w:val="-4"/>
                <w:sz w:val="24"/>
              </w:rPr>
              <w:t>96.7</w:t>
            </w:r>
          </w:p>
        </w:tc>
        <w:tc>
          <w:tcPr>
            <w:tcW w:w="1495" w:type="dxa"/>
          </w:tcPr>
          <w:p>
            <w:pPr>
              <w:pStyle w:val="TableParagraph"/>
              <w:spacing w:line="240" w:lineRule="auto" w:before="124"/>
              <w:ind w:left="88" w:right="53"/>
              <w:rPr>
                <w:sz w:val="24"/>
              </w:rPr>
            </w:pPr>
            <w:r>
              <w:rPr>
                <w:spacing w:val="-2"/>
                <w:sz w:val="24"/>
              </w:rPr>
              <w:t>100.0</w:t>
            </w:r>
          </w:p>
        </w:tc>
      </w:tr>
      <w:tr>
        <w:trPr>
          <w:trHeight w:val="585" w:hRule="atLeast"/>
        </w:trPr>
        <w:tc>
          <w:tcPr>
            <w:tcW w:w="2161" w:type="dxa"/>
          </w:tcPr>
          <w:p>
            <w:pPr>
              <w:pStyle w:val="TableParagraph"/>
              <w:spacing w:line="240" w:lineRule="auto" w:before="124"/>
              <w:ind w:left="110"/>
              <w:jc w:val="left"/>
              <w:rPr>
                <w:sz w:val="24"/>
              </w:rPr>
            </w:pPr>
            <w:r>
              <w:rPr>
                <w:spacing w:val="-2"/>
                <w:sz w:val="24"/>
              </w:rPr>
              <w:t>Gentamicin</w:t>
            </w:r>
          </w:p>
        </w:tc>
        <w:tc>
          <w:tcPr>
            <w:tcW w:w="1482" w:type="dxa"/>
          </w:tcPr>
          <w:p>
            <w:pPr>
              <w:pStyle w:val="TableParagraph"/>
              <w:spacing w:line="240" w:lineRule="auto" w:before="124"/>
              <w:ind w:left="120" w:right="53"/>
              <w:rPr>
                <w:sz w:val="24"/>
              </w:rPr>
            </w:pPr>
            <w:r>
              <w:rPr>
                <w:spacing w:val="-5"/>
                <w:sz w:val="24"/>
              </w:rPr>
              <w:t>5.9</w:t>
            </w:r>
          </w:p>
        </w:tc>
        <w:tc>
          <w:tcPr>
            <w:tcW w:w="1468" w:type="dxa"/>
          </w:tcPr>
          <w:p>
            <w:pPr>
              <w:pStyle w:val="TableParagraph"/>
              <w:spacing w:line="240" w:lineRule="auto" w:before="124"/>
              <w:ind w:left="175" w:right="53"/>
              <w:rPr>
                <w:sz w:val="24"/>
              </w:rPr>
            </w:pPr>
            <w:r>
              <w:rPr>
                <w:spacing w:val="-5"/>
                <w:sz w:val="24"/>
              </w:rPr>
              <w:t>5.3</w:t>
            </w:r>
          </w:p>
        </w:tc>
        <w:tc>
          <w:tcPr>
            <w:tcW w:w="1669" w:type="dxa"/>
          </w:tcPr>
          <w:p>
            <w:pPr>
              <w:pStyle w:val="TableParagraph"/>
              <w:spacing w:line="240" w:lineRule="auto" w:before="124"/>
              <w:ind w:left="72" w:right="103"/>
              <w:rPr>
                <w:sz w:val="24"/>
              </w:rPr>
            </w:pPr>
            <w:r>
              <w:rPr>
                <w:spacing w:val="-4"/>
                <w:sz w:val="24"/>
              </w:rPr>
              <w:t>10.3</w:t>
            </w:r>
          </w:p>
        </w:tc>
        <w:tc>
          <w:tcPr>
            <w:tcW w:w="1309" w:type="dxa"/>
          </w:tcPr>
          <w:p>
            <w:pPr>
              <w:pStyle w:val="TableParagraph"/>
              <w:spacing w:line="240" w:lineRule="auto" w:before="124"/>
              <w:ind w:left="9" w:right="76"/>
              <w:rPr>
                <w:sz w:val="24"/>
              </w:rPr>
            </w:pPr>
            <w:r>
              <w:rPr>
                <w:spacing w:val="-5"/>
                <w:sz w:val="24"/>
              </w:rPr>
              <w:t>0.0</w:t>
            </w:r>
          </w:p>
        </w:tc>
        <w:tc>
          <w:tcPr>
            <w:tcW w:w="1495" w:type="dxa"/>
          </w:tcPr>
          <w:p>
            <w:pPr>
              <w:pStyle w:val="TableParagraph"/>
              <w:spacing w:line="240" w:lineRule="auto" w:before="124"/>
              <w:ind w:left="88" w:right="53"/>
              <w:rPr>
                <w:sz w:val="24"/>
              </w:rPr>
            </w:pPr>
            <w:r>
              <w:rPr>
                <w:spacing w:val="-5"/>
                <w:sz w:val="24"/>
              </w:rPr>
              <w:t>4.2</w:t>
            </w:r>
          </w:p>
        </w:tc>
      </w:tr>
      <w:tr>
        <w:trPr>
          <w:trHeight w:val="585" w:hRule="atLeast"/>
        </w:trPr>
        <w:tc>
          <w:tcPr>
            <w:tcW w:w="2161" w:type="dxa"/>
          </w:tcPr>
          <w:p>
            <w:pPr>
              <w:pStyle w:val="TableParagraph"/>
              <w:spacing w:line="240" w:lineRule="auto" w:before="124"/>
              <w:ind w:left="110"/>
              <w:jc w:val="left"/>
              <w:rPr>
                <w:sz w:val="24"/>
              </w:rPr>
            </w:pPr>
            <w:r>
              <w:rPr>
                <w:spacing w:val="-2"/>
                <w:sz w:val="24"/>
              </w:rPr>
              <w:t>Nalidixic </w:t>
            </w:r>
            <w:r>
              <w:rPr>
                <w:spacing w:val="-4"/>
                <w:sz w:val="24"/>
              </w:rPr>
              <w:t>acid</w:t>
            </w:r>
          </w:p>
        </w:tc>
        <w:tc>
          <w:tcPr>
            <w:tcW w:w="1482" w:type="dxa"/>
          </w:tcPr>
          <w:p>
            <w:pPr>
              <w:pStyle w:val="TableParagraph"/>
              <w:spacing w:line="240" w:lineRule="auto" w:before="124"/>
              <w:ind w:left="120" w:right="58"/>
              <w:rPr>
                <w:sz w:val="24"/>
              </w:rPr>
            </w:pPr>
            <w:r>
              <w:rPr>
                <w:spacing w:val="-4"/>
                <w:sz w:val="24"/>
              </w:rPr>
              <w:t>60.8</w:t>
            </w:r>
          </w:p>
        </w:tc>
        <w:tc>
          <w:tcPr>
            <w:tcW w:w="1468" w:type="dxa"/>
          </w:tcPr>
          <w:p>
            <w:pPr>
              <w:pStyle w:val="TableParagraph"/>
              <w:spacing w:line="240" w:lineRule="auto" w:before="124"/>
              <w:ind w:left="175"/>
              <w:rPr>
                <w:sz w:val="24"/>
              </w:rPr>
            </w:pPr>
            <w:r>
              <w:rPr>
                <w:spacing w:val="-4"/>
                <w:sz w:val="24"/>
              </w:rPr>
              <w:t>42.0</w:t>
            </w:r>
          </w:p>
        </w:tc>
        <w:tc>
          <w:tcPr>
            <w:tcW w:w="1669" w:type="dxa"/>
          </w:tcPr>
          <w:p>
            <w:pPr>
              <w:pStyle w:val="TableParagraph"/>
              <w:spacing w:line="240" w:lineRule="auto" w:before="124"/>
              <w:ind w:left="72" w:right="103"/>
              <w:rPr>
                <w:sz w:val="24"/>
              </w:rPr>
            </w:pPr>
            <w:r>
              <w:rPr>
                <w:spacing w:val="-4"/>
                <w:sz w:val="24"/>
              </w:rPr>
              <w:t>27.6</w:t>
            </w:r>
          </w:p>
        </w:tc>
        <w:tc>
          <w:tcPr>
            <w:tcW w:w="1309" w:type="dxa"/>
          </w:tcPr>
          <w:p>
            <w:pPr>
              <w:pStyle w:val="TableParagraph"/>
              <w:spacing w:line="240" w:lineRule="auto" w:before="124"/>
              <w:ind w:left="4" w:right="76"/>
              <w:rPr>
                <w:sz w:val="24"/>
              </w:rPr>
            </w:pPr>
            <w:r>
              <w:rPr>
                <w:spacing w:val="-4"/>
                <w:sz w:val="24"/>
              </w:rPr>
              <w:t>20.0</w:t>
            </w:r>
          </w:p>
        </w:tc>
        <w:tc>
          <w:tcPr>
            <w:tcW w:w="1495" w:type="dxa"/>
          </w:tcPr>
          <w:p>
            <w:pPr>
              <w:pStyle w:val="TableParagraph"/>
              <w:spacing w:line="240" w:lineRule="auto" w:before="124"/>
              <w:ind w:left="88"/>
              <w:rPr>
                <w:sz w:val="24"/>
              </w:rPr>
            </w:pPr>
            <w:r>
              <w:rPr>
                <w:spacing w:val="-4"/>
                <w:sz w:val="24"/>
              </w:rPr>
              <w:t>45.8</w:t>
            </w:r>
          </w:p>
        </w:tc>
      </w:tr>
      <w:tr>
        <w:trPr>
          <w:trHeight w:val="585" w:hRule="atLeast"/>
        </w:trPr>
        <w:tc>
          <w:tcPr>
            <w:tcW w:w="2161" w:type="dxa"/>
          </w:tcPr>
          <w:p>
            <w:pPr>
              <w:pStyle w:val="TableParagraph"/>
              <w:spacing w:line="240" w:lineRule="auto" w:before="124"/>
              <w:ind w:left="110"/>
              <w:jc w:val="left"/>
              <w:rPr>
                <w:sz w:val="24"/>
              </w:rPr>
            </w:pPr>
            <w:r>
              <w:rPr>
                <w:spacing w:val="-2"/>
                <w:sz w:val="24"/>
              </w:rPr>
              <w:t>Nitrofurantoin</w:t>
            </w:r>
          </w:p>
        </w:tc>
        <w:tc>
          <w:tcPr>
            <w:tcW w:w="1482" w:type="dxa"/>
          </w:tcPr>
          <w:p>
            <w:pPr>
              <w:pStyle w:val="TableParagraph"/>
              <w:spacing w:line="240" w:lineRule="auto" w:before="124"/>
              <w:ind w:left="120" w:right="58"/>
              <w:rPr>
                <w:sz w:val="24"/>
              </w:rPr>
            </w:pPr>
            <w:r>
              <w:rPr>
                <w:spacing w:val="-4"/>
                <w:sz w:val="24"/>
              </w:rPr>
              <w:t>84.3</w:t>
            </w:r>
          </w:p>
        </w:tc>
        <w:tc>
          <w:tcPr>
            <w:tcW w:w="1468" w:type="dxa"/>
          </w:tcPr>
          <w:p>
            <w:pPr>
              <w:pStyle w:val="TableParagraph"/>
              <w:spacing w:line="240" w:lineRule="auto" w:before="124"/>
              <w:ind w:left="175" w:right="58"/>
              <w:rPr>
                <w:sz w:val="24"/>
              </w:rPr>
            </w:pPr>
            <w:r>
              <w:rPr>
                <w:spacing w:val="-4"/>
                <w:sz w:val="24"/>
              </w:rPr>
              <w:t>52.6</w:t>
            </w:r>
          </w:p>
        </w:tc>
        <w:tc>
          <w:tcPr>
            <w:tcW w:w="1669" w:type="dxa"/>
          </w:tcPr>
          <w:p>
            <w:pPr>
              <w:pStyle w:val="TableParagraph"/>
              <w:spacing w:line="240" w:lineRule="auto" w:before="124"/>
              <w:ind w:left="19" w:right="122"/>
              <w:rPr>
                <w:sz w:val="24"/>
              </w:rPr>
            </w:pPr>
            <w:r>
              <w:rPr>
                <w:spacing w:val="-4"/>
                <w:sz w:val="24"/>
              </w:rPr>
              <w:t>58.6</w:t>
            </w:r>
          </w:p>
        </w:tc>
        <w:tc>
          <w:tcPr>
            <w:tcW w:w="1309" w:type="dxa"/>
          </w:tcPr>
          <w:p>
            <w:pPr>
              <w:pStyle w:val="TableParagraph"/>
              <w:spacing w:line="240" w:lineRule="auto" w:before="124"/>
              <w:ind w:left="4" w:right="76"/>
              <w:rPr>
                <w:sz w:val="24"/>
              </w:rPr>
            </w:pPr>
            <w:r>
              <w:rPr>
                <w:spacing w:val="-4"/>
                <w:sz w:val="24"/>
              </w:rPr>
              <w:t>53.3</w:t>
            </w:r>
          </w:p>
        </w:tc>
        <w:tc>
          <w:tcPr>
            <w:tcW w:w="1495" w:type="dxa"/>
          </w:tcPr>
          <w:p>
            <w:pPr>
              <w:pStyle w:val="TableParagraph"/>
              <w:spacing w:line="240" w:lineRule="auto" w:before="124"/>
              <w:ind w:left="88" w:right="58"/>
              <w:rPr>
                <w:sz w:val="24"/>
              </w:rPr>
            </w:pPr>
            <w:r>
              <w:rPr>
                <w:spacing w:val="-4"/>
                <w:sz w:val="24"/>
              </w:rPr>
              <w:t>91.7</w:t>
            </w:r>
          </w:p>
        </w:tc>
      </w:tr>
      <w:tr>
        <w:trPr>
          <w:trHeight w:val="585" w:hRule="atLeast"/>
        </w:trPr>
        <w:tc>
          <w:tcPr>
            <w:tcW w:w="2161" w:type="dxa"/>
          </w:tcPr>
          <w:p>
            <w:pPr>
              <w:pStyle w:val="TableParagraph"/>
              <w:spacing w:line="240" w:lineRule="auto" w:before="124"/>
              <w:ind w:left="110"/>
              <w:jc w:val="left"/>
              <w:rPr>
                <w:sz w:val="24"/>
              </w:rPr>
            </w:pPr>
            <w:r>
              <w:rPr>
                <w:spacing w:val="-2"/>
                <w:sz w:val="24"/>
              </w:rPr>
              <w:t>Ofloxacin</w:t>
            </w:r>
          </w:p>
        </w:tc>
        <w:tc>
          <w:tcPr>
            <w:tcW w:w="1482" w:type="dxa"/>
          </w:tcPr>
          <w:p>
            <w:pPr>
              <w:pStyle w:val="TableParagraph"/>
              <w:spacing w:line="240" w:lineRule="auto" w:before="124"/>
              <w:ind w:left="120" w:right="5"/>
              <w:rPr>
                <w:sz w:val="24"/>
              </w:rPr>
            </w:pPr>
            <w:r>
              <w:rPr>
                <w:spacing w:val="-5"/>
                <w:sz w:val="24"/>
              </w:rPr>
              <w:t>0.0</w:t>
            </w:r>
          </w:p>
        </w:tc>
        <w:tc>
          <w:tcPr>
            <w:tcW w:w="1468" w:type="dxa"/>
          </w:tcPr>
          <w:p>
            <w:pPr>
              <w:pStyle w:val="TableParagraph"/>
              <w:spacing w:line="240" w:lineRule="auto" w:before="124"/>
              <w:ind w:left="175" w:right="53"/>
              <w:rPr>
                <w:sz w:val="24"/>
              </w:rPr>
            </w:pPr>
            <w:r>
              <w:rPr>
                <w:spacing w:val="-5"/>
                <w:sz w:val="24"/>
              </w:rPr>
              <w:t>0.0</w:t>
            </w:r>
          </w:p>
        </w:tc>
        <w:tc>
          <w:tcPr>
            <w:tcW w:w="1669" w:type="dxa"/>
          </w:tcPr>
          <w:p>
            <w:pPr>
              <w:pStyle w:val="TableParagraph"/>
              <w:spacing w:line="240" w:lineRule="auto" w:before="124"/>
              <w:ind w:left="122" w:right="103"/>
              <w:rPr>
                <w:sz w:val="24"/>
              </w:rPr>
            </w:pPr>
            <w:r>
              <w:rPr>
                <w:spacing w:val="-5"/>
                <w:sz w:val="24"/>
              </w:rPr>
              <w:t>0.0</w:t>
            </w:r>
          </w:p>
        </w:tc>
        <w:tc>
          <w:tcPr>
            <w:tcW w:w="1309" w:type="dxa"/>
          </w:tcPr>
          <w:p>
            <w:pPr>
              <w:pStyle w:val="TableParagraph"/>
              <w:spacing w:line="240" w:lineRule="auto" w:before="124"/>
              <w:ind w:left="57" w:right="76"/>
              <w:rPr>
                <w:sz w:val="24"/>
              </w:rPr>
            </w:pPr>
            <w:r>
              <w:rPr>
                <w:spacing w:val="-5"/>
                <w:sz w:val="24"/>
              </w:rPr>
              <w:t>0.0</w:t>
            </w:r>
          </w:p>
        </w:tc>
        <w:tc>
          <w:tcPr>
            <w:tcW w:w="1495" w:type="dxa"/>
          </w:tcPr>
          <w:p>
            <w:pPr>
              <w:pStyle w:val="TableParagraph"/>
              <w:spacing w:line="240" w:lineRule="auto" w:before="124"/>
              <w:ind w:left="88" w:right="53"/>
              <w:rPr>
                <w:sz w:val="24"/>
              </w:rPr>
            </w:pPr>
            <w:r>
              <w:rPr>
                <w:spacing w:val="-5"/>
                <w:sz w:val="24"/>
              </w:rPr>
              <w:t>0.0</w:t>
            </w:r>
          </w:p>
        </w:tc>
      </w:tr>
      <w:tr>
        <w:trPr>
          <w:trHeight w:val="412" w:hRule="atLeast"/>
        </w:trPr>
        <w:tc>
          <w:tcPr>
            <w:tcW w:w="2161" w:type="dxa"/>
          </w:tcPr>
          <w:p>
            <w:pPr>
              <w:pStyle w:val="TableParagraph"/>
              <w:spacing w:line="269" w:lineRule="exact" w:before="124"/>
              <w:ind w:left="110"/>
              <w:jc w:val="left"/>
              <w:rPr>
                <w:sz w:val="24"/>
              </w:rPr>
            </w:pPr>
            <w:r>
              <w:rPr>
                <w:spacing w:val="-2"/>
                <w:sz w:val="24"/>
              </w:rPr>
              <w:t>Tetracycline</w:t>
            </w:r>
          </w:p>
        </w:tc>
        <w:tc>
          <w:tcPr>
            <w:tcW w:w="1482" w:type="dxa"/>
          </w:tcPr>
          <w:p>
            <w:pPr>
              <w:pStyle w:val="TableParagraph"/>
              <w:spacing w:line="269" w:lineRule="exact" w:before="124"/>
              <w:ind w:left="120" w:right="58"/>
              <w:rPr>
                <w:sz w:val="24"/>
              </w:rPr>
            </w:pPr>
            <w:r>
              <w:rPr>
                <w:spacing w:val="-4"/>
                <w:sz w:val="24"/>
              </w:rPr>
              <w:t>82.4</w:t>
            </w:r>
          </w:p>
        </w:tc>
        <w:tc>
          <w:tcPr>
            <w:tcW w:w="1468" w:type="dxa"/>
          </w:tcPr>
          <w:p>
            <w:pPr>
              <w:pStyle w:val="TableParagraph"/>
              <w:spacing w:line="269" w:lineRule="exact" w:before="124"/>
              <w:ind w:left="175" w:right="58"/>
              <w:rPr>
                <w:sz w:val="24"/>
              </w:rPr>
            </w:pPr>
            <w:r>
              <w:rPr>
                <w:spacing w:val="-4"/>
                <w:sz w:val="24"/>
              </w:rPr>
              <w:t>68.4</w:t>
            </w:r>
          </w:p>
        </w:tc>
        <w:tc>
          <w:tcPr>
            <w:tcW w:w="1669" w:type="dxa"/>
          </w:tcPr>
          <w:p>
            <w:pPr>
              <w:pStyle w:val="TableParagraph"/>
              <w:spacing w:line="269" w:lineRule="exact" w:before="124"/>
              <w:ind w:left="72" w:right="103"/>
              <w:rPr>
                <w:sz w:val="24"/>
              </w:rPr>
            </w:pPr>
            <w:r>
              <w:rPr>
                <w:spacing w:val="-4"/>
                <w:sz w:val="24"/>
              </w:rPr>
              <w:t>69.0</w:t>
            </w:r>
          </w:p>
        </w:tc>
        <w:tc>
          <w:tcPr>
            <w:tcW w:w="1309" w:type="dxa"/>
          </w:tcPr>
          <w:p>
            <w:pPr>
              <w:pStyle w:val="TableParagraph"/>
              <w:spacing w:line="269" w:lineRule="exact" w:before="124"/>
              <w:ind w:left="4" w:right="76"/>
              <w:rPr>
                <w:sz w:val="24"/>
              </w:rPr>
            </w:pPr>
            <w:r>
              <w:rPr>
                <w:spacing w:val="-4"/>
                <w:sz w:val="24"/>
              </w:rPr>
              <w:t>66.7</w:t>
            </w:r>
          </w:p>
        </w:tc>
        <w:tc>
          <w:tcPr>
            <w:tcW w:w="1495" w:type="dxa"/>
          </w:tcPr>
          <w:p>
            <w:pPr>
              <w:pStyle w:val="TableParagraph"/>
              <w:spacing w:line="269" w:lineRule="exact" w:before="124"/>
              <w:ind w:left="88" w:right="53"/>
              <w:rPr>
                <w:sz w:val="24"/>
              </w:rPr>
            </w:pPr>
            <w:r>
              <w:rPr>
                <w:spacing w:val="-2"/>
                <w:sz w:val="24"/>
              </w:rPr>
              <w:t>100.0</w:t>
            </w:r>
          </w:p>
        </w:tc>
      </w:tr>
    </w:tbl>
    <w:p>
      <w:pPr>
        <w:pStyle w:val="BodyText"/>
        <w:spacing w:before="35"/>
        <w:rPr>
          <w:b/>
          <w:sz w:val="20"/>
        </w:rPr>
      </w:pPr>
      <w:r>
        <w:rPr/>
        <mc:AlternateContent>
          <mc:Choice Requires="wps">
            <w:drawing>
              <wp:anchor distT="0" distB="0" distL="0" distR="0" allowOverlap="1" layoutInCell="1" locked="0" behindDoc="1" simplePos="0" relativeHeight="487599104">
                <wp:simplePos x="0" y="0"/>
                <wp:positionH relativeFrom="page">
                  <wp:posOffset>835152</wp:posOffset>
                </wp:positionH>
                <wp:positionV relativeFrom="paragraph">
                  <wp:posOffset>192494</wp:posOffset>
                </wp:positionV>
                <wp:extent cx="6093460" cy="63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5.157026pt;width:479.760023pt;height:.48pt;mso-position-horizontal-relative:page;mso-position-vertical-relative:paragraph;z-index:-15717376;mso-wrap-distance-left:0;mso-wrap-distance-right:0" id="docshape24"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spacing w:line="480" w:lineRule="auto" w:before="37"/>
        <w:ind w:left="2268" w:right="1181" w:hanging="1349"/>
        <w:jc w:val="left"/>
        <w:rPr>
          <w:b/>
          <w:sz w:val="22"/>
        </w:rPr>
      </w:pPr>
      <w:r>
        <w:rPr/>
        <mc:AlternateContent>
          <mc:Choice Requires="wps">
            <w:drawing>
              <wp:anchor distT="0" distB="0" distL="0" distR="0" allowOverlap="1" layoutInCell="1" locked="0" behindDoc="0" simplePos="0" relativeHeight="15741440">
                <wp:simplePos x="0" y="0"/>
                <wp:positionH relativeFrom="page">
                  <wp:posOffset>930657</wp:posOffset>
                </wp:positionH>
                <wp:positionV relativeFrom="paragraph">
                  <wp:posOffset>1024563</wp:posOffset>
                </wp:positionV>
                <wp:extent cx="177800" cy="702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77800" cy="702310"/>
                        </a:xfrm>
                        <a:prstGeom prst="rect">
                          <a:avLst/>
                        </a:prstGeom>
                      </wps:spPr>
                      <wps:txbx>
                        <w:txbxContent>
                          <w:p>
                            <w:pPr>
                              <w:spacing w:line="264" w:lineRule="exact" w:before="0"/>
                              <w:ind w:left="20" w:right="0" w:firstLine="0"/>
                              <w:jc w:val="left"/>
                              <w:rPr>
                                <w:b/>
                                <w:sz w:val="24"/>
                              </w:rPr>
                            </w:pPr>
                            <w:r>
                              <w:rPr>
                                <w:b/>
                                <w:spacing w:val="-2"/>
                                <w:sz w:val="24"/>
                              </w:rPr>
                              <w:t>Antibiotics</w:t>
                            </w:r>
                          </w:p>
                        </w:txbxContent>
                      </wps:txbx>
                      <wps:bodyPr wrap="square" lIns="0" tIns="0" rIns="0" bIns="0" rtlCol="0" vert="vert270">
                        <a:noAutofit/>
                      </wps:bodyPr>
                    </wps:wsp>
                  </a:graphicData>
                </a:graphic>
              </wp:anchor>
            </w:drawing>
          </mc:Choice>
          <mc:Fallback>
            <w:pict>
              <v:shape style="position:absolute;margin-left:73.28009pt;margin-top:80.674324pt;width:14pt;height:55.3pt;mso-position-horizontal-relative:page;mso-position-vertical-relative:paragraph;z-index:15741440" type="#_x0000_t202" id="docshape25" filled="false" stroked="false">
                <v:textbox inset="0,0,0,0" style="layout-flow:vertical;mso-layout-flow-alt:bottom-to-top">
                  <w:txbxContent>
                    <w:p>
                      <w:pPr>
                        <w:spacing w:line="264" w:lineRule="exact" w:before="0"/>
                        <w:ind w:left="20" w:right="0" w:firstLine="0"/>
                        <w:jc w:val="left"/>
                        <w:rPr>
                          <w:b/>
                          <w:sz w:val="24"/>
                        </w:rPr>
                      </w:pPr>
                      <w:r>
                        <w:rPr>
                          <w:b/>
                          <w:spacing w:val="-2"/>
                          <w:sz w:val="24"/>
                        </w:rPr>
                        <w:t>Antibiotics</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1485393</wp:posOffset>
                </wp:positionH>
                <wp:positionV relativeFrom="paragraph">
                  <wp:posOffset>1179317</wp:posOffset>
                </wp:positionV>
                <wp:extent cx="177800" cy="39243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77800" cy="392430"/>
                        </a:xfrm>
                        <a:prstGeom prst="rect">
                          <a:avLst/>
                        </a:prstGeom>
                      </wps:spPr>
                      <wps:txbx>
                        <w:txbxContent>
                          <w:p>
                            <w:pPr>
                              <w:spacing w:line="264" w:lineRule="exact" w:before="0"/>
                              <w:ind w:left="20" w:right="0" w:firstLine="0"/>
                              <w:jc w:val="left"/>
                              <w:rPr>
                                <w:b/>
                                <w:i/>
                                <w:sz w:val="24"/>
                              </w:rPr>
                            </w:pPr>
                            <w:r>
                              <w:rPr>
                                <w:b/>
                                <w:i/>
                                <w:sz w:val="24"/>
                              </w:rPr>
                              <w:t>E.</w:t>
                            </w:r>
                            <w:r>
                              <w:rPr>
                                <w:b/>
                                <w:i/>
                                <w:spacing w:val="-7"/>
                                <w:sz w:val="24"/>
                              </w:rPr>
                              <w:t> </w:t>
                            </w:r>
                            <w:r>
                              <w:rPr>
                                <w:b/>
                                <w:i/>
                                <w:spacing w:val="-4"/>
                                <w:sz w:val="24"/>
                              </w:rPr>
                              <w:t>coli</w:t>
                            </w:r>
                          </w:p>
                        </w:txbxContent>
                      </wps:txbx>
                      <wps:bodyPr wrap="square" lIns="0" tIns="0" rIns="0" bIns="0" rtlCol="0" vert="vert270">
                        <a:noAutofit/>
                      </wps:bodyPr>
                    </wps:wsp>
                  </a:graphicData>
                </a:graphic>
              </wp:anchor>
            </w:drawing>
          </mc:Choice>
          <mc:Fallback>
            <w:pict>
              <v:shape style="position:absolute;margin-left:116.960091pt;margin-top:92.859673pt;width:14pt;height:30.9pt;mso-position-horizontal-relative:page;mso-position-vertical-relative:paragraph;z-index:15741952" type="#_x0000_t202" id="docshape26" filled="false" stroked="false">
                <v:textbox inset="0,0,0,0" style="layout-flow:vertical;mso-layout-flow-alt:bottom-to-top">
                  <w:txbxContent>
                    <w:p>
                      <w:pPr>
                        <w:spacing w:line="264" w:lineRule="exact" w:before="0"/>
                        <w:ind w:left="20" w:right="0" w:firstLine="0"/>
                        <w:jc w:val="left"/>
                        <w:rPr>
                          <w:b/>
                          <w:i/>
                          <w:sz w:val="24"/>
                        </w:rPr>
                      </w:pPr>
                      <w:r>
                        <w:rPr>
                          <w:b/>
                          <w:i/>
                          <w:sz w:val="24"/>
                        </w:rPr>
                        <w:t>E.</w:t>
                      </w:r>
                      <w:r>
                        <w:rPr>
                          <w:b/>
                          <w:i/>
                          <w:spacing w:val="-7"/>
                          <w:sz w:val="24"/>
                        </w:rPr>
                        <w:t> </w:t>
                      </w:r>
                      <w:r>
                        <w:rPr>
                          <w:b/>
                          <w:i/>
                          <w:spacing w:val="-4"/>
                          <w:sz w:val="24"/>
                        </w:rPr>
                        <w:t>coli</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2037081</wp:posOffset>
                </wp:positionH>
                <wp:positionV relativeFrom="paragraph">
                  <wp:posOffset>975201</wp:posOffset>
                </wp:positionV>
                <wp:extent cx="177800" cy="8039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77800" cy="803910"/>
                        </a:xfrm>
                        <a:prstGeom prst="rect">
                          <a:avLst/>
                        </a:prstGeom>
                      </wps:spPr>
                      <wps:txbx>
                        <w:txbxContent>
                          <w:p>
                            <w:pPr>
                              <w:spacing w:line="264" w:lineRule="exact" w:before="0"/>
                              <w:ind w:left="20" w:right="0" w:firstLine="0"/>
                              <w:jc w:val="left"/>
                              <w:rPr>
                                <w:b/>
                                <w:i/>
                                <w:sz w:val="24"/>
                              </w:rPr>
                            </w:pPr>
                            <w:r>
                              <w:rPr>
                                <w:b/>
                                <w:i/>
                                <w:sz w:val="24"/>
                              </w:rPr>
                              <w:t>Proteus</w:t>
                            </w:r>
                            <w:r>
                              <w:rPr>
                                <w:b/>
                                <w:i/>
                                <w:spacing w:val="-9"/>
                                <w:sz w:val="24"/>
                              </w:rPr>
                              <w:t> </w:t>
                            </w:r>
                            <w:r>
                              <w:rPr>
                                <w:b/>
                                <w:i/>
                                <w:spacing w:val="-4"/>
                                <w:sz w:val="24"/>
                              </w:rPr>
                              <w:t>spp.</w:t>
                            </w:r>
                          </w:p>
                        </w:txbxContent>
                      </wps:txbx>
                      <wps:bodyPr wrap="square" lIns="0" tIns="0" rIns="0" bIns="0" rtlCol="0" vert="vert270">
                        <a:noAutofit/>
                      </wps:bodyPr>
                    </wps:wsp>
                  </a:graphicData>
                </a:graphic>
              </wp:anchor>
            </w:drawing>
          </mc:Choice>
          <mc:Fallback>
            <w:pict>
              <v:shape style="position:absolute;margin-left:160.400085pt;margin-top:76.787521pt;width:14pt;height:63.3pt;mso-position-horizontal-relative:page;mso-position-vertical-relative:paragraph;z-index:15742464" type="#_x0000_t202" id="docshape27" filled="false" stroked="false">
                <v:textbox inset="0,0,0,0" style="layout-flow:vertical;mso-layout-flow-alt:bottom-to-top">
                  <w:txbxContent>
                    <w:p>
                      <w:pPr>
                        <w:spacing w:line="264" w:lineRule="exact" w:before="0"/>
                        <w:ind w:left="20" w:right="0" w:firstLine="0"/>
                        <w:jc w:val="left"/>
                        <w:rPr>
                          <w:b/>
                          <w:i/>
                          <w:sz w:val="24"/>
                        </w:rPr>
                      </w:pPr>
                      <w:r>
                        <w:rPr>
                          <w:b/>
                          <w:i/>
                          <w:sz w:val="24"/>
                        </w:rPr>
                        <w:t>Proteus</w:t>
                      </w:r>
                      <w:r>
                        <w:rPr>
                          <w:b/>
                          <w:i/>
                          <w:spacing w:val="-9"/>
                          <w:sz w:val="24"/>
                        </w:rPr>
                        <w:t> </w:t>
                      </w:r>
                      <w:r>
                        <w:rPr>
                          <w:b/>
                          <w:i/>
                          <w:spacing w:val="-4"/>
                          <w:sz w:val="24"/>
                        </w:rPr>
                        <w:t>spp.</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2591817</wp:posOffset>
                </wp:positionH>
                <wp:positionV relativeFrom="paragraph">
                  <wp:posOffset>1014257</wp:posOffset>
                </wp:positionV>
                <wp:extent cx="177800" cy="7251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77800" cy="725170"/>
                        </a:xfrm>
                        <a:prstGeom prst="rect">
                          <a:avLst/>
                        </a:prstGeom>
                      </wps:spPr>
                      <wps:txbx>
                        <w:txbxContent>
                          <w:p>
                            <w:pPr>
                              <w:spacing w:line="264" w:lineRule="exact" w:before="0"/>
                              <w:ind w:left="20" w:right="0" w:firstLine="0"/>
                              <w:jc w:val="left"/>
                              <w:rPr>
                                <w:b/>
                                <w:i/>
                                <w:sz w:val="24"/>
                              </w:rPr>
                            </w:pPr>
                            <w:r>
                              <w:rPr>
                                <w:b/>
                                <w:i/>
                                <w:spacing w:val="-2"/>
                                <w:sz w:val="24"/>
                              </w:rPr>
                              <w:t>Salmonella</w:t>
                            </w:r>
                          </w:p>
                        </w:txbxContent>
                      </wps:txbx>
                      <wps:bodyPr wrap="square" lIns="0" tIns="0" rIns="0" bIns="0" rtlCol="0" vert="vert270">
                        <a:noAutofit/>
                      </wps:bodyPr>
                    </wps:wsp>
                  </a:graphicData>
                </a:graphic>
              </wp:anchor>
            </w:drawing>
          </mc:Choice>
          <mc:Fallback>
            <w:pict>
              <v:shape style="position:absolute;margin-left:204.080093pt;margin-top:79.862823pt;width:14pt;height:57.1pt;mso-position-horizontal-relative:page;mso-position-vertical-relative:paragraph;z-index:15742976" type="#_x0000_t202" id="docshape28"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Salmonella</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3146553</wp:posOffset>
                </wp:positionH>
                <wp:positionV relativeFrom="paragraph">
                  <wp:posOffset>993301</wp:posOffset>
                </wp:positionV>
                <wp:extent cx="177800" cy="76390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77800" cy="763905"/>
                        </a:xfrm>
                        <a:prstGeom prst="rect">
                          <a:avLst/>
                        </a:prstGeom>
                      </wps:spPr>
                      <wps:txbx>
                        <w:txbxContent>
                          <w:p>
                            <w:pPr>
                              <w:spacing w:line="264" w:lineRule="exact" w:before="0"/>
                              <w:ind w:left="20" w:right="0" w:firstLine="0"/>
                              <w:jc w:val="left"/>
                              <w:rPr>
                                <w:b/>
                                <w:i/>
                                <w:sz w:val="24"/>
                              </w:rPr>
                            </w:pPr>
                            <w:r>
                              <w:rPr>
                                <w:b/>
                                <w:i/>
                                <w:spacing w:val="-2"/>
                                <w:sz w:val="24"/>
                              </w:rPr>
                              <w:t>Providencia</w:t>
                            </w:r>
                          </w:p>
                        </w:txbxContent>
                      </wps:txbx>
                      <wps:bodyPr wrap="square" lIns="0" tIns="0" rIns="0" bIns="0" rtlCol="0" vert="vert270">
                        <a:noAutofit/>
                      </wps:bodyPr>
                    </wps:wsp>
                  </a:graphicData>
                </a:graphic>
              </wp:anchor>
            </w:drawing>
          </mc:Choice>
          <mc:Fallback>
            <w:pict>
              <v:shape style="position:absolute;margin-left:247.760086pt;margin-top:78.2127pt;width:14pt;height:60.15pt;mso-position-horizontal-relative:page;mso-position-vertical-relative:paragraph;z-index:15743488" type="#_x0000_t202" id="docshape29"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Providencia</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3698241</wp:posOffset>
                </wp:positionH>
                <wp:positionV relativeFrom="paragraph">
                  <wp:posOffset>953186</wp:posOffset>
                </wp:positionV>
                <wp:extent cx="177800" cy="84391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77800" cy="843915"/>
                        </a:xfrm>
                        <a:prstGeom prst="rect">
                          <a:avLst/>
                        </a:prstGeom>
                      </wps:spPr>
                      <wps:txbx>
                        <w:txbxContent>
                          <w:p>
                            <w:pPr>
                              <w:spacing w:line="264" w:lineRule="exact" w:before="0"/>
                              <w:ind w:left="20" w:right="0" w:firstLine="0"/>
                              <w:jc w:val="left"/>
                              <w:rPr>
                                <w:b/>
                                <w:i/>
                                <w:sz w:val="24"/>
                              </w:rPr>
                            </w:pPr>
                            <w:r>
                              <w:rPr>
                                <w:b/>
                                <w:i/>
                                <w:spacing w:val="-2"/>
                                <w:sz w:val="24"/>
                              </w:rPr>
                              <w:t>Enterobacter</w:t>
                            </w:r>
                          </w:p>
                        </w:txbxContent>
                      </wps:txbx>
                      <wps:bodyPr wrap="square" lIns="0" tIns="0" rIns="0" bIns="0" rtlCol="0" vert="vert270">
                        <a:noAutofit/>
                      </wps:bodyPr>
                    </wps:wsp>
                  </a:graphicData>
                </a:graphic>
              </wp:anchor>
            </w:drawing>
          </mc:Choice>
          <mc:Fallback>
            <w:pict>
              <v:shape style="position:absolute;margin-left:291.200104pt;margin-top:75.054031pt;width:14pt;height:66.45pt;mso-position-horizontal-relative:page;mso-position-vertical-relative:paragraph;z-index:15744000" type="#_x0000_t202" id="docshape30"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Enterobacter</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4252977</wp:posOffset>
                </wp:positionH>
                <wp:positionV relativeFrom="paragraph">
                  <wp:posOffset>1035321</wp:posOffset>
                </wp:positionV>
                <wp:extent cx="177800" cy="6794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77800" cy="679450"/>
                        </a:xfrm>
                        <a:prstGeom prst="rect">
                          <a:avLst/>
                        </a:prstGeom>
                      </wps:spPr>
                      <wps:txbx>
                        <w:txbxContent>
                          <w:p>
                            <w:pPr>
                              <w:spacing w:line="264" w:lineRule="exact" w:before="0"/>
                              <w:ind w:left="20" w:right="0" w:firstLine="0"/>
                              <w:jc w:val="left"/>
                              <w:rPr>
                                <w:b/>
                                <w:i/>
                                <w:sz w:val="24"/>
                              </w:rPr>
                            </w:pPr>
                            <w:r>
                              <w:rPr>
                                <w:b/>
                                <w:i/>
                                <w:spacing w:val="-2"/>
                                <w:sz w:val="24"/>
                              </w:rPr>
                              <w:t>Citobacter</w:t>
                            </w:r>
                          </w:p>
                        </w:txbxContent>
                      </wps:txbx>
                      <wps:bodyPr wrap="square" lIns="0" tIns="0" rIns="0" bIns="0" rtlCol="0" vert="vert270">
                        <a:noAutofit/>
                      </wps:bodyPr>
                    </wps:wsp>
                  </a:graphicData>
                </a:graphic>
              </wp:anchor>
            </w:drawing>
          </mc:Choice>
          <mc:Fallback>
            <w:pict>
              <v:shape style="position:absolute;margin-left:334.880096pt;margin-top:81.521385pt;width:14pt;height:53.5pt;mso-position-horizontal-relative:page;mso-position-vertical-relative:paragraph;z-index:15744512" type="#_x0000_t202" id="docshape31"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Citobacter</w:t>
                      </w:r>
                    </w:p>
                  </w:txbxContent>
                </v:textbox>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4804665</wp:posOffset>
                </wp:positionH>
                <wp:positionV relativeFrom="paragraph">
                  <wp:posOffset>935158</wp:posOffset>
                </wp:positionV>
                <wp:extent cx="177800" cy="88328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77800" cy="883285"/>
                        </a:xfrm>
                        <a:prstGeom prst="rect">
                          <a:avLst/>
                        </a:prstGeom>
                      </wps:spPr>
                      <wps:txbx>
                        <w:txbxContent>
                          <w:p>
                            <w:pPr>
                              <w:spacing w:line="264" w:lineRule="exact" w:before="0"/>
                              <w:ind w:left="20" w:right="0" w:firstLine="0"/>
                              <w:jc w:val="left"/>
                              <w:rPr>
                                <w:b/>
                                <w:i/>
                                <w:sz w:val="24"/>
                              </w:rPr>
                            </w:pPr>
                            <w:r>
                              <w:rPr>
                                <w:b/>
                                <w:i/>
                                <w:spacing w:val="-2"/>
                                <w:sz w:val="24"/>
                              </w:rPr>
                              <w:t>Klebsiella</w:t>
                            </w:r>
                            <w:r>
                              <w:rPr>
                                <w:b/>
                                <w:i/>
                                <w:sz w:val="24"/>
                              </w:rPr>
                              <w:t> </w:t>
                            </w:r>
                            <w:r>
                              <w:rPr>
                                <w:b/>
                                <w:i/>
                                <w:spacing w:val="-5"/>
                                <w:sz w:val="24"/>
                              </w:rPr>
                              <w:t>spp</w:t>
                            </w:r>
                          </w:p>
                        </w:txbxContent>
                      </wps:txbx>
                      <wps:bodyPr wrap="square" lIns="0" tIns="0" rIns="0" bIns="0" rtlCol="0" vert="vert270">
                        <a:noAutofit/>
                      </wps:bodyPr>
                    </wps:wsp>
                  </a:graphicData>
                </a:graphic>
              </wp:anchor>
            </w:drawing>
          </mc:Choice>
          <mc:Fallback>
            <w:pict>
              <v:shape style="position:absolute;margin-left:378.320099pt;margin-top:73.634552pt;width:14pt;height:69.55pt;mso-position-horizontal-relative:page;mso-position-vertical-relative:paragraph;z-index:15745024" type="#_x0000_t202" id="docshape32"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Klebsiella</w:t>
                      </w:r>
                      <w:r>
                        <w:rPr>
                          <w:b/>
                          <w:i/>
                          <w:sz w:val="24"/>
                        </w:rPr>
                        <w:t> </w:t>
                      </w:r>
                      <w:r>
                        <w:rPr>
                          <w:b/>
                          <w:i/>
                          <w:spacing w:val="-5"/>
                          <w:sz w:val="24"/>
                        </w:rPr>
                        <w:t>spp</w:t>
                      </w:r>
                    </w:p>
                  </w:txbxContent>
                </v:textbox>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5356353</wp:posOffset>
                </wp:positionH>
                <wp:positionV relativeFrom="paragraph">
                  <wp:posOffset>984447</wp:posOffset>
                </wp:positionV>
                <wp:extent cx="177800" cy="78232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77800" cy="782320"/>
                        </a:xfrm>
                        <a:prstGeom prst="rect">
                          <a:avLst/>
                        </a:prstGeom>
                      </wps:spPr>
                      <wps:txbx>
                        <w:txbxContent>
                          <w:p>
                            <w:pPr>
                              <w:spacing w:line="264" w:lineRule="exact" w:before="0"/>
                              <w:ind w:left="20" w:right="0" w:firstLine="0"/>
                              <w:jc w:val="left"/>
                              <w:rPr>
                                <w:b/>
                                <w:i/>
                                <w:sz w:val="24"/>
                              </w:rPr>
                            </w:pPr>
                            <w:r>
                              <w:rPr>
                                <w:b/>
                                <w:i/>
                                <w:spacing w:val="-2"/>
                                <w:sz w:val="24"/>
                              </w:rPr>
                              <w:t>Yersinia</w:t>
                            </w:r>
                            <w:r>
                              <w:rPr>
                                <w:b/>
                                <w:i/>
                                <w:spacing w:val="2"/>
                                <w:sz w:val="24"/>
                              </w:rPr>
                              <w:t> </w:t>
                            </w:r>
                            <w:r>
                              <w:rPr>
                                <w:b/>
                                <w:i/>
                                <w:spacing w:val="-5"/>
                                <w:sz w:val="24"/>
                              </w:rPr>
                              <w:t>spp</w:t>
                            </w:r>
                          </w:p>
                        </w:txbxContent>
                      </wps:txbx>
                      <wps:bodyPr wrap="square" lIns="0" tIns="0" rIns="0" bIns="0" rtlCol="0" vert="vert270">
                        <a:noAutofit/>
                      </wps:bodyPr>
                    </wps:wsp>
                  </a:graphicData>
                </a:graphic>
              </wp:anchor>
            </w:drawing>
          </mc:Choice>
          <mc:Fallback>
            <w:pict>
              <v:shape style="position:absolute;margin-left:421.760101pt;margin-top:77.515556pt;width:14pt;height:61.6pt;mso-position-horizontal-relative:page;mso-position-vertical-relative:paragraph;z-index:15745536" type="#_x0000_t202" id="docshape33"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Yersinia</w:t>
                      </w:r>
                      <w:r>
                        <w:rPr>
                          <w:b/>
                          <w:i/>
                          <w:spacing w:val="2"/>
                          <w:sz w:val="24"/>
                        </w:rPr>
                        <w:t> </w:t>
                      </w:r>
                      <w:r>
                        <w:rPr>
                          <w:b/>
                          <w:i/>
                          <w:spacing w:val="-5"/>
                          <w:sz w:val="24"/>
                        </w:rPr>
                        <w:t>spp</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5911089</wp:posOffset>
                </wp:positionH>
                <wp:positionV relativeFrom="paragraph">
                  <wp:posOffset>925256</wp:posOffset>
                </wp:positionV>
                <wp:extent cx="177800" cy="9023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77800" cy="902335"/>
                        </a:xfrm>
                        <a:prstGeom prst="rect">
                          <a:avLst/>
                        </a:prstGeom>
                      </wps:spPr>
                      <wps:txbx>
                        <w:txbxContent>
                          <w:p>
                            <w:pPr>
                              <w:spacing w:line="264" w:lineRule="exact" w:before="0"/>
                              <w:ind w:left="20" w:right="0" w:firstLine="0"/>
                              <w:jc w:val="left"/>
                              <w:rPr>
                                <w:b/>
                                <w:i/>
                                <w:sz w:val="24"/>
                              </w:rPr>
                            </w:pPr>
                            <w:r>
                              <w:rPr>
                                <w:b/>
                                <w:i/>
                                <w:spacing w:val="-2"/>
                                <w:sz w:val="24"/>
                              </w:rPr>
                              <w:t>Pseudomonas</w:t>
                            </w:r>
                          </w:p>
                        </w:txbxContent>
                      </wps:txbx>
                      <wps:bodyPr wrap="square" lIns="0" tIns="0" rIns="0" bIns="0" rtlCol="0" vert="vert270">
                        <a:noAutofit/>
                      </wps:bodyPr>
                    </wps:wsp>
                  </a:graphicData>
                </a:graphic>
              </wp:anchor>
            </w:drawing>
          </mc:Choice>
          <mc:Fallback>
            <w:pict>
              <v:shape style="position:absolute;margin-left:465.440094pt;margin-top:72.854881pt;width:14pt;height:71.05pt;mso-position-horizontal-relative:page;mso-position-vertical-relative:paragraph;z-index:15746048" type="#_x0000_t202" id="docshape34"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Pseudomonas</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6462777</wp:posOffset>
                </wp:positionH>
                <wp:positionV relativeFrom="paragraph">
                  <wp:posOffset>1074676</wp:posOffset>
                </wp:positionV>
                <wp:extent cx="177800" cy="6007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77800" cy="600710"/>
                        </a:xfrm>
                        <a:prstGeom prst="rect">
                          <a:avLst/>
                        </a:prstGeom>
                      </wps:spPr>
                      <wps:txbx>
                        <w:txbxContent>
                          <w:p>
                            <w:pPr>
                              <w:spacing w:line="264" w:lineRule="exact" w:before="0"/>
                              <w:ind w:left="20" w:right="0" w:firstLine="0"/>
                              <w:jc w:val="left"/>
                              <w:rPr>
                                <w:b/>
                                <w:i/>
                                <w:sz w:val="24"/>
                              </w:rPr>
                            </w:pPr>
                            <w:r>
                              <w:rPr>
                                <w:b/>
                                <w:i/>
                                <w:sz w:val="24"/>
                              </w:rPr>
                              <w:t>S.</w:t>
                            </w:r>
                            <w:r>
                              <w:rPr>
                                <w:b/>
                                <w:i/>
                                <w:spacing w:val="-8"/>
                                <w:sz w:val="24"/>
                              </w:rPr>
                              <w:t> </w:t>
                            </w:r>
                            <w:r>
                              <w:rPr>
                                <w:b/>
                                <w:i/>
                                <w:spacing w:val="-2"/>
                                <w:sz w:val="24"/>
                              </w:rPr>
                              <w:t>aureus</w:t>
                            </w:r>
                          </w:p>
                        </w:txbxContent>
                      </wps:txbx>
                      <wps:bodyPr wrap="square" lIns="0" tIns="0" rIns="0" bIns="0" rtlCol="0" vert="vert270">
                        <a:noAutofit/>
                      </wps:bodyPr>
                    </wps:wsp>
                  </a:graphicData>
                </a:graphic>
              </wp:anchor>
            </w:drawing>
          </mc:Choice>
          <mc:Fallback>
            <w:pict>
              <v:shape style="position:absolute;margin-left:508.880096pt;margin-top:84.620171pt;width:14pt;height:47.3pt;mso-position-horizontal-relative:page;mso-position-vertical-relative:paragraph;z-index:15746560" type="#_x0000_t202" id="docshape35" filled="false" stroked="false">
                <v:textbox inset="0,0,0,0" style="layout-flow:vertical;mso-layout-flow-alt:bottom-to-top">
                  <w:txbxContent>
                    <w:p>
                      <w:pPr>
                        <w:spacing w:line="264" w:lineRule="exact" w:before="0"/>
                        <w:ind w:left="20" w:right="0" w:firstLine="0"/>
                        <w:jc w:val="left"/>
                        <w:rPr>
                          <w:b/>
                          <w:i/>
                          <w:sz w:val="24"/>
                        </w:rPr>
                      </w:pPr>
                      <w:r>
                        <w:rPr>
                          <w:b/>
                          <w:i/>
                          <w:sz w:val="24"/>
                        </w:rPr>
                        <w:t>S.</w:t>
                      </w:r>
                      <w:r>
                        <w:rPr>
                          <w:b/>
                          <w:i/>
                          <w:spacing w:val="-8"/>
                          <w:sz w:val="24"/>
                        </w:rPr>
                        <w:t> </w:t>
                      </w:r>
                      <w:r>
                        <w:rPr>
                          <w:b/>
                          <w:i/>
                          <w:spacing w:val="-2"/>
                          <w:sz w:val="24"/>
                        </w:rPr>
                        <w:t>aureus</w:t>
                      </w:r>
                    </w:p>
                  </w:txbxContent>
                </v:textbox>
                <w10:wrap type="none"/>
              </v:shape>
            </w:pict>
          </mc:Fallback>
        </mc:AlternateContent>
      </w:r>
      <w:r>
        <w:rPr>
          <w:b/>
          <w:sz w:val="22"/>
        </w:rPr>
        <w:t>Table 4.8: Distribution of Bacterial Isolates Resistance Based on Zone of Inhibition Produced By Test</w:t>
      </w:r>
      <w:r>
        <w:rPr>
          <w:b/>
          <w:spacing w:val="40"/>
          <w:sz w:val="22"/>
        </w:rPr>
        <w:t> </w:t>
      </w:r>
      <w:r>
        <w:rPr>
          <w:b/>
          <w:sz w:val="22"/>
        </w:rPr>
        <w:t>Antibiotics (%)</w:t>
      </w:r>
    </w:p>
    <w:p>
      <w:pPr>
        <w:pStyle w:val="BodyText"/>
        <w:spacing w:before="5"/>
        <w:rPr>
          <w:b/>
          <w:sz w:val="14"/>
        </w:rPr>
      </w:pPr>
      <w:r>
        <w:rPr/>
        <mc:AlternateContent>
          <mc:Choice Requires="wps">
            <w:drawing>
              <wp:anchor distT="0" distB="0" distL="0" distR="0" allowOverlap="1" layoutInCell="1" locked="0" behindDoc="1" simplePos="0" relativeHeight="487599616">
                <wp:simplePos x="0" y="0"/>
                <wp:positionH relativeFrom="page">
                  <wp:posOffset>844296</wp:posOffset>
                </wp:positionH>
                <wp:positionV relativeFrom="paragraph">
                  <wp:posOffset>127495</wp:posOffset>
                </wp:positionV>
                <wp:extent cx="6083935"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083935" cy="6350"/>
                        </a:xfrm>
                        <a:custGeom>
                          <a:avLst/>
                          <a:gdLst/>
                          <a:ahLst/>
                          <a:cxnLst/>
                          <a:rect l="l" t="t" r="r" b="b"/>
                          <a:pathLst>
                            <a:path w="6083935" h="6350">
                              <a:moveTo>
                                <a:pt x="1664195" y="0"/>
                              </a:moveTo>
                              <a:lnTo>
                                <a:pt x="1664195" y="0"/>
                              </a:lnTo>
                              <a:lnTo>
                                <a:pt x="0" y="0"/>
                              </a:lnTo>
                              <a:lnTo>
                                <a:pt x="0" y="6096"/>
                              </a:lnTo>
                              <a:lnTo>
                                <a:pt x="1664195" y="6096"/>
                              </a:lnTo>
                              <a:lnTo>
                                <a:pt x="1664195" y="0"/>
                              </a:lnTo>
                              <a:close/>
                            </a:path>
                            <a:path w="6083935" h="6350">
                              <a:moveTo>
                                <a:pt x="6083808" y="0"/>
                              </a:moveTo>
                              <a:lnTo>
                                <a:pt x="6083808" y="0"/>
                              </a:lnTo>
                              <a:lnTo>
                                <a:pt x="1664208" y="0"/>
                              </a:lnTo>
                              <a:lnTo>
                                <a:pt x="1664208"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80003pt;margin-top:10.039031pt;width:479.05pt;height:.5pt;mso-position-horizontal-relative:page;mso-position-vertical-relative:paragraph;z-index:-15716864;mso-wrap-distance-left:0;mso-wrap-distance-right:0" id="docshape36" coordorigin="1330,201" coordsize="9581,10" path="m3950,201l3086,201,3077,201,2213,201,2203,201,1330,201,1330,210,2203,210,2213,210,3077,210,3086,210,3950,210,3950,201xm10910,201l10056,201,10046,201,9182,201,9173,201,8314,201,8304,201,7445,201,7435,201,6571,201,6562,201,5702,201,5693,201,4829,201,4819,201,3960,201,3950,201,3950,210,3960,210,4819,210,4829,210,5693,210,5702,210,6562,210,6571,210,7435,210,7445,210,8304,210,8314,210,9173,210,9182,210,10046,210,10056,210,10910,210,10910,201xe" filled="true" fillcolor="#000000" stroked="false">
                <v:path arrowok="t"/>
                <v:fill type="solid"/>
                <w10:wrap type="topAndBottom"/>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2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3"/>
        <w:gridCol w:w="995"/>
        <w:gridCol w:w="828"/>
        <w:gridCol w:w="871"/>
        <w:gridCol w:w="840"/>
        <w:gridCol w:w="931"/>
        <w:gridCol w:w="840"/>
        <w:gridCol w:w="869"/>
        <w:gridCol w:w="843"/>
        <w:gridCol w:w="932"/>
        <w:gridCol w:w="840"/>
      </w:tblGrid>
      <w:tr>
        <w:trPr>
          <w:trHeight w:val="463" w:hRule="atLeast"/>
        </w:trPr>
        <w:tc>
          <w:tcPr>
            <w:tcW w:w="793" w:type="dxa"/>
            <w:tcBorders>
              <w:top w:val="single" w:sz="4" w:space="0" w:color="000000"/>
            </w:tcBorders>
          </w:tcPr>
          <w:p>
            <w:pPr>
              <w:pStyle w:val="TableParagraph"/>
              <w:spacing w:line="240" w:lineRule="auto"/>
              <w:jc w:val="left"/>
              <w:rPr>
                <w:rFonts w:ascii="Times New Roman"/>
                <w:sz w:val="22"/>
              </w:rPr>
            </w:pPr>
          </w:p>
        </w:tc>
        <w:tc>
          <w:tcPr>
            <w:tcW w:w="995" w:type="dxa"/>
            <w:tcBorders>
              <w:top w:val="single" w:sz="4" w:space="0" w:color="000000"/>
            </w:tcBorders>
          </w:tcPr>
          <w:p>
            <w:pPr>
              <w:pStyle w:val="TableParagraph"/>
              <w:spacing w:line="240" w:lineRule="auto" w:before="1"/>
              <w:ind w:left="46" w:right="5"/>
              <w:rPr>
                <w:sz w:val="24"/>
              </w:rPr>
            </w:pPr>
            <w:r>
              <w:rPr>
                <w:sz w:val="24"/>
              </w:rPr>
              <w:t>n</w:t>
            </w:r>
            <w:r>
              <w:rPr>
                <w:spacing w:val="-5"/>
                <w:sz w:val="24"/>
              </w:rPr>
              <w:t> =20</w:t>
            </w:r>
          </w:p>
        </w:tc>
        <w:tc>
          <w:tcPr>
            <w:tcW w:w="828" w:type="dxa"/>
            <w:tcBorders>
              <w:top w:val="single" w:sz="4" w:space="0" w:color="000000"/>
            </w:tcBorders>
          </w:tcPr>
          <w:p>
            <w:pPr>
              <w:pStyle w:val="TableParagraph"/>
              <w:spacing w:line="240" w:lineRule="auto" w:before="1"/>
              <w:ind w:left="4" w:right="46"/>
              <w:rPr>
                <w:sz w:val="24"/>
              </w:rPr>
            </w:pPr>
            <w:r>
              <w:rPr>
                <w:spacing w:val="-5"/>
                <w:sz w:val="24"/>
              </w:rPr>
              <w:t>n=4</w:t>
            </w:r>
          </w:p>
        </w:tc>
        <w:tc>
          <w:tcPr>
            <w:tcW w:w="871" w:type="dxa"/>
            <w:tcBorders>
              <w:top w:val="single" w:sz="4" w:space="0" w:color="000000"/>
            </w:tcBorders>
          </w:tcPr>
          <w:p>
            <w:pPr>
              <w:pStyle w:val="TableParagraph"/>
              <w:spacing w:line="240" w:lineRule="auto" w:before="1"/>
              <w:ind w:left="8" w:right="5"/>
              <w:rPr>
                <w:sz w:val="24"/>
              </w:rPr>
            </w:pPr>
            <w:r>
              <w:rPr>
                <w:spacing w:val="-5"/>
                <w:sz w:val="24"/>
              </w:rPr>
              <w:t>n=1</w:t>
            </w:r>
          </w:p>
        </w:tc>
        <w:tc>
          <w:tcPr>
            <w:tcW w:w="840" w:type="dxa"/>
            <w:tcBorders>
              <w:top w:val="single" w:sz="4" w:space="0" w:color="000000"/>
            </w:tcBorders>
          </w:tcPr>
          <w:p>
            <w:pPr>
              <w:pStyle w:val="TableParagraph"/>
              <w:spacing w:line="240" w:lineRule="auto" w:before="1"/>
              <w:ind w:left="67" w:right="37"/>
              <w:rPr>
                <w:sz w:val="24"/>
              </w:rPr>
            </w:pPr>
            <w:r>
              <w:rPr>
                <w:spacing w:val="-5"/>
                <w:sz w:val="24"/>
              </w:rPr>
              <w:t>n=5</w:t>
            </w:r>
          </w:p>
        </w:tc>
        <w:tc>
          <w:tcPr>
            <w:tcW w:w="931" w:type="dxa"/>
            <w:tcBorders>
              <w:top w:val="single" w:sz="4" w:space="0" w:color="000000"/>
            </w:tcBorders>
          </w:tcPr>
          <w:p>
            <w:pPr>
              <w:pStyle w:val="TableParagraph"/>
              <w:spacing w:line="240" w:lineRule="auto" w:before="1"/>
              <w:ind w:left="2" w:right="1"/>
              <w:rPr>
                <w:sz w:val="24"/>
              </w:rPr>
            </w:pPr>
            <w:r>
              <w:rPr>
                <w:spacing w:val="-4"/>
                <w:sz w:val="24"/>
              </w:rPr>
              <w:t>n=56</w:t>
            </w:r>
          </w:p>
        </w:tc>
        <w:tc>
          <w:tcPr>
            <w:tcW w:w="840" w:type="dxa"/>
            <w:tcBorders>
              <w:top w:val="single" w:sz="4" w:space="0" w:color="000000"/>
            </w:tcBorders>
          </w:tcPr>
          <w:p>
            <w:pPr>
              <w:pStyle w:val="TableParagraph"/>
              <w:spacing w:line="240" w:lineRule="auto" w:before="1"/>
              <w:ind w:left="35" w:right="59"/>
              <w:rPr>
                <w:sz w:val="24"/>
              </w:rPr>
            </w:pPr>
            <w:r>
              <w:rPr>
                <w:spacing w:val="-5"/>
                <w:sz w:val="24"/>
              </w:rPr>
              <w:t>n=1</w:t>
            </w:r>
          </w:p>
        </w:tc>
        <w:tc>
          <w:tcPr>
            <w:tcW w:w="869" w:type="dxa"/>
            <w:tcBorders>
              <w:top w:val="single" w:sz="4" w:space="0" w:color="000000"/>
            </w:tcBorders>
          </w:tcPr>
          <w:p>
            <w:pPr>
              <w:pStyle w:val="TableParagraph"/>
              <w:spacing w:line="240" w:lineRule="auto" w:before="1"/>
              <w:ind w:left="6" w:right="5"/>
              <w:rPr>
                <w:sz w:val="24"/>
              </w:rPr>
            </w:pPr>
            <w:r>
              <w:rPr>
                <w:spacing w:val="-5"/>
                <w:sz w:val="24"/>
              </w:rPr>
              <w:t>n=2</w:t>
            </w:r>
          </w:p>
        </w:tc>
        <w:tc>
          <w:tcPr>
            <w:tcW w:w="843" w:type="dxa"/>
            <w:tcBorders>
              <w:top w:val="single" w:sz="4" w:space="0" w:color="000000"/>
            </w:tcBorders>
          </w:tcPr>
          <w:p>
            <w:pPr>
              <w:pStyle w:val="TableParagraph"/>
              <w:spacing w:line="240" w:lineRule="auto" w:before="1"/>
              <w:ind w:left="32" w:right="5"/>
              <w:rPr>
                <w:sz w:val="24"/>
              </w:rPr>
            </w:pPr>
            <w:r>
              <w:rPr>
                <w:spacing w:val="-5"/>
                <w:sz w:val="24"/>
              </w:rPr>
              <w:t>n=1</w:t>
            </w:r>
          </w:p>
        </w:tc>
        <w:tc>
          <w:tcPr>
            <w:tcW w:w="932" w:type="dxa"/>
            <w:tcBorders>
              <w:top w:val="single" w:sz="4" w:space="0" w:color="000000"/>
            </w:tcBorders>
          </w:tcPr>
          <w:p>
            <w:pPr>
              <w:pStyle w:val="TableParagraph"/>
              <w:spacing w:line="240" w:lineRule="auto" w:before="1"/>
              <w:ind w:left="46" w:right="42"/>
              <w:rPr>
                <w:sz w:val="24"/>
              </w:rPr>
            </w:pPr>
            <w:r>
              <w:rPr>
                <w:spacing w:val="-4"/>
                <w:sz w:val="24"/>
              </w:rPr>
              <w:t>n=58</w:t>
            </w:r>
          </w:p>
        </w:tc>
        <w:tc>
          <w:tcPr>
            <w:tcW w:w="840" w:type="dxa"/>
            <w:tcBorders>
              <w:top w:val="single" w:sz="4" w:space="0" w:color="000000"/>
            </w:tcBorders>
          </w:tcPr>
          <w:p>
            <w:pPr>
              <w:pStyle w:val="TableParagraph"/>
              <w:spacing w:line="240" w:lineRule="auto" w:before="1"/>
              <w:ind w:left="35" w:right="67"/>
              <w:rPr>
                <w:sz w:val="24"/>
              </w:rPr>
            </w:pPr>
            <w:r>
              <w:rPr>
                <w:spacing w:val="-5"/>
                <w:sz w:val="24"/>
              </w:rPr>
              <w:t>n=5</w:t>
            </w:r>
          </w:p>
        </w:tc>
      </w:tr>
      <w:tr>
        <w:trPr>
          <w:trHeight w:val="585" w:hRule="atLeast"/>
        </w:trPr>
        <w:tc>
          <w:tcPr>
            <w:tcW w:w="793" w:type="dxa"/>
          </w:tcPr>
          <w:p>
            <w:pPr>
              <w:pStyle w:val="TableParagraph"/>
              <w:spacing w:line="240" w:lineRule="auto" w:before="124"/>
              <w:ind w:left="110"/>
              <w:jc w:val="left"/>
              <w:rPr>
                <w:sz w:val="24"/>
              </w:rPr>
            </w:pPr>
            <w:r>
              <w:rPr>
                <w:spacing w:val="-5"/>
                <w:sz w:val="24"/>
              </w:rPr>
              <w:t>Amc</w:t>
            </w:r>
          </w:p>
        </w:tc>
        <w:tc>
          <w:tcPr>
            <w:tcW w:w="995" w:type="dxa"/>
          </w:tcPr>
          <w:p>
            <w:pPr>
              <w:pStyle w:val="TableParagraph"/>
              <w:spacing w:line="240" w:lineRule="auto" w:before="124"/>
              <w:ind w:left="46" w:right="5"/>
              <w:rPr>
                <w:sz w:val="24"/>
              </w:rPr>
            </w:pPr>
            <w:r>
              <w:rPr>
                <w:spacing w:val="-5"/>
                <w:sz w:val="24"/>
              </w:rPr>
              <w:t>85</w:t>
            </w:r>
          </w:p>
        </w:tc>
        <w:tc>
          <w:tcPr>
            <w:tcW w:w="828" w:type="dxa"/>
          </w:tcPr>
          <w:p>
            <w:pPr>
              <w:pStyle w:val="TableParagraph"/>
              <w:spacing w:line="240" w:lineRule="auto" w:before="124"/>
              <w:ind w:right="46"/>
              <w:rPr>
                <w:sz w:val="24"/>
              </w:rPr>
            </w:pPr>
            <w:r>
              <w:rPr>
                <w:spacing w:val="-5"/>
                <w:sz w:val="24"/>
              </w:rPr>
              <w:t>100</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80</w:t>
            </w:r>
          </w:p>
        </w:tc>
        <w:tc>
          <w:tcPr>
            <w:tcW w:w="931" w:type="dxa"/>
          </w:tcPr>
          <w:p>
            <w:pPr>
              <w:pStyle w:val="TableParagraph"/>
              <w:spacing w:line="240" w:lineRule="auto" w:before="124"/>
              <w:ind w:left="2" w:right="2"/>
              <w:rPr>
                <w:sz w:val="24"/>
              </w:rPr>
            </w:pPr>
            <w:r>
              <w:rPr>
                <w:spacing w:val="-5"/>
                <w:sz w:val="24"/>
              </w:rPr>
              <w:t>68</w:t>
            </w:r>
          </w:p>
        </w:tc>
        <w:tc>
          <w:tcPr>
            <w:tcW w:w="840" w:type="dxa"/>
          </w:tcPr>
          <w:p>
            <w:pPr>
              <w:pStyle w:val="TableParagraph"/>
              <w:spacing w:line="240" w:lineRule="auto" w:before="124"/>
              <w:ind w:left="35" w:right="54"/>
              <w:rPr>
                <w:sz w:val="24"/>
              </w:rPr>
            </w:pPr>
            <w:r>
              <w:rPr>
                <w:spacing w:val="-5"/>
                <w:sz w:val="24"/>
              </w:rPr>
              <w:t>100</w:t>
            </w:r>
          </w:p>
        </w:tc>
        <w:tc>
          <w:tcPr>
            <w:tcW w:w="869" w:type="dxa"/>
          </w:tcPr>
          <w:p>
            <w:pPr>
              <w:pStyle w:val="TableParagraph"/>
              <w:spacing w:line="240" w:lineRule="auto" w:before="124"/>
              <w:ind w:left="6"/>
              <w:rPr>
                <w:sz w:val="24"/>
              </w:rPr>
            </w:pPr>
            <w:r>
              <w:rPr>
                <w:spacing w:val="-5"/>
                <w:sz w:val="24"/>
              </w:rPr>
              <w:t>100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2" w:right="42"/>
              <w:rPr>
                <w:sz w:val="24"/>
              </w:rPr>
            </w:pPr>
            <w:r>
              <w:rPr>
                <w:spacing w:val="-4"/>
                <w:sz w:val="24"/>
              </w:rPr>
              <w:t>84.5</w:t>
            </w:r>
          </w:p>
        </w:tc>
        <w:tc>
          <w:tcPr>
            <w:tcW w:w="840" w:type="dxa"/>
          </w:tcPr>
          <w:p>
            <w:pPr>
              <w:pStyle w:val="TableParagraph"/>
              <w:spacing w:line="240" w:lineRule="auto" w:before="124"/>
              <w:ind w:left="35" w:right="67"/>
              <w:rPr>
                <w:sz w:val="24"/>
              </w:rPr>
            </w:pPr>
            <w:r>
              <w:rPr>
                <w:spacing w:val="-5"/>
                <w:sz w:val="24"/>
              </w:rPr>
              <w:t>60</w:t>
            </w:r>
          </w:p>
        </w:tc>
      </w:tr>
      <w:tr>
        <w:trPr>
          <w:trHeight w:val="585" w:hRule="atLeast"/>
        </w:trPr>
        <w:tc>
          <w:tcPr>
            <w:tcW w:w="793" w:type="dxa"/>
          </w:tcPr>
          <w:p>
            <w:pPr>
              <w:pStyle w:val="TableParagraph"/>
              <w:spacing w:line="240" w:lineRule="auto" w:before="124"/>
              <w:ind w:left="110"/>
              <w:jc w:val="left"/>
              <w:rPr>
                <w:sz w:val="24"/>
              </w:rPr>
            </w:pPr>
            <w:r>
              <w:rPr>
                <w:spacing w:val="-5"/>
                <w:sz w:val="24"/>
              </w:rPr>
              <w:t>Amx</w:t>
            </w:r>
          </w:p>
        </w:tc>
        <w:tc>
          <w:tcPr>
            <w:tcW w:w="995" w:type="dxa"/>
          </w:tcPr>
          <w:p>
            <w:pPr>
              <w:pStyle w:val="TableParagraph"/>
              <w:spacing w:line="240" w:lineRule="auto" w:before="124"/>
              <w:ind w:left="46" w:right="5"/>
              <w:rPr>
                <w:sz w:val="24"/>
              </w:rPr>
            </w:pPr>
            <w:r>
              <w:rPr>
                <w:spacing w:val="-5"/>
                <w:sz w:val="24"/>
              </w:rPr>
              <w:t>90</w:t>
            </w:r>
          </w:p>
        </w:tc>
        <w:tc>
          <w:tcPr>
            <w:tcW w:w="828" w:type="dxa"/>
          </w:tcPr>
          <w:p>
            <w:pPr>
              <w:pStyle w:val="TableParagraph"/>
              <w:spacing w:line="240" w:lineRule="auto" w:before="124"/>
              <w:ind w:right="46"/>
              <w:rPr>
                <w:sz w:val="24"/>
              </w:rPr>
            </w:pPr>
            <w:r>
              <w:rPr>
                <w:spacing w:val="-5"/>
                <w:sz w:val="24"/>
              </w:rPr>
              <w:t>100</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72" w:right="37"/>
              <w:rPr>
                <w:sz w:val="24"/>
              </w:rPr>
            </w:pPr>
            <w:r>
              <w:rPr>
                <w:spacing w:val="-5"/>
                <w:sz w:val="24"/>
              </w:rPr>
              <w:t>100</w:t>
            </w:r>
          </w:p>
        </w:tc>
        <w:tc>
          <w:tcPr>
            <w:tcW w:w="931" w:type="dxa"/>
          </w:tcPr>
          <w:p>
            <w:pPr>
              <w:pStyle w:val="TableParagraph"/>
              <w:spacing w:line="240" w:lineRule="auto" w:before="124"/>
              <w:ind w:left="2" w:right="2"/>
              <w:rPr>
                <w:sz w:val="24"/>
              </w:rPr>
            </w:pPr>
            <w:r>
              <w:rPr>
                <w:spacing w:val="-5"/>
                <w:sz w:val="24"/>
              </w:rPr>
              <w:t>73</w:t>
            </w:r>
          </w:p>
        </w:tc>
        <w:tc>
          <w:tcPr>
            <w:tcW w:w="840" w:type="dxa"/>
          </w:tcPr>
          <w:p>
            <w:pPr>
              <w:pStyle w:val="TableParagraph"/>
              <w:spacing w:line="240" w:lineRule="auto" w:before="124"/>
              <w:ind w:left="35" w:right="54"/>
              <w:rPr>
                <w:sz w:val="24"/>
              </w:rPr>
            </w:pPr>
            <w:r>
              <w:rPr>
                <w:spacing w:val="-5"/>
                <w:sz w:val="24"/>
              </w:rPr>
              <w:t>100</w:t>
            </w:r>
          </w:p>
        </w:tc>
        <w:tc>
          <w:tcPr>
            <w:tcW w:w="869" w:type="dxa"/>
          </w:tcPr>
          <w:p>
            <w:pPr>
              <w:pStyle w:val="TableParagraph"/>
              <w:spacing w:line="240" w:lineRule="auto" w:before="124"/>
              <w:ind w:left="6" w:right="4"/>
              <w:rPr>
                <w:sz w:val="24"/>
              </w:rPr>
            </w:pPr>
            <w:r>
              <w:rPr>
                <w:spacing w:val="-5"/>
                <w:sz w:val="24"/>
              </w:rPr>
              <w:t>50</w:t>
            </w:r>
          </w:p>
        </w:tc>
        <w:tc>
          <w:tcPr>
            <w:tcW w:w="843" w:type="dxa"/>
          </w:tcPr>
          <w:p>
            <w:pPr>
              <w:pStyle w:val="TableParagraph"/>
              <w:spacing w:line="240" w:lineRule="auto" w:before="124"/>
              <w:ind w:left="32"/>
              <w:rPr>
                <w:sz w:val="24"/>
              </w:rPr>
            </w:pPr>
            <w:r>
              <w:rPr>
                <w:spacing w:val="-5"/>
                <w:sz w:val="24"/>
              </w:rPr>
              <w:t>100</w:t>
            </w:r>
          </w:p>
        </w:tc>
        <w:tc>
          <w:tcPr>
            <w:tcW w:w="932" w:type="dxa"/>
          </w:tcPr>
          <w:p>
            <w:pPr>
              <w:pStyle w:val="TableParagraph"/>
              <w:spacing w:line="240" w:lineRule="auto" w:before="124"/>
              <w:ind w:left="42" w:right="42"/>
              <w:rPr>
                <w:sz w:val="24"/>
              </w:rPr>
            </w:pPr>
            <w:r>
              <w:rPr>
                <w:spacing w:val="-4"/>
                <w:sz w:val="24"/>
              </w:rPr>
              <w:t>87.9</w:t>
            </w:r>
          </w:p>
        </w:tc>
        <w:tc>
          <w:tcPr>
            <w:tcW w:w="840" w:type="dxa"/>
          </w:tcPr>
          <w:p>
            <w:pPr>
              <w:pStyle w:val="TableParagraph"/>
              <w:spacing w:line="240" w:lineRule="auto" w:before="124"/>
              <w:ind w:left="35" w:right="72"/>
              <w:rPr>
                <w:sz w:val="24"/>
              </w:rPr>
            </w:pPr>
            <w:r>
              <w:rPr>
                <w:spacing w:val="-5"/>
                <w:sz w:val="24"/>
              </w:rPr>
              <w:t>100</w:t>
            </w:r>
          </w:p>
        </w:tc>
      </w:tr>
      <w:tr>
        <w:trPr>
          <w:trHeight w:val="585" w:hRule="atLeast"/>
        </w:trPr>
        <w:tc>
          <w:tcPr>
            <w:tcW w:w="793" w:type="dxa"/>
          </w:tcPr>
          <w:p>
            <w:pPr>
              <w:pStyle w:val="TableParagraph"/>
              <w:spacing w:line="240" w:lineRule="auto" w:before="124"/>
              <w:ind w:left="110"/>
              <w:jc w:val="left"/>
              <w:rPr>
                <w:sz w:val="24"/>
              </w:rPr>
            </w:pPr>
            <w:r>
              <w:rPr>
                <w:spacing w:val="-5"/>
                <w:sz w:val="24"/>
              </w:rPr>
              <w:t>Chl</w:t>
            </w:r>
          </w:p>
        </w:tc>
        <w:tc>
          <w:tcPr>
            <w:tcW w:w="995" w:type="dxa"/>
          </w:tcPr>
          <w:p>
            <w:pPr>
              <w:pStyle w:val="TableParagraph"/>
              <w:spacing w:line="240" w:lineRule="auto" w:before="124"/>
              <w:ind w:left="46" w:right="5"/>
              <w:rPr>
                <w:sz w:val="24"/>
              </w:rPr>
            </w:pPr>
            <w:r>
              <w:rPr>
                <w:spacing w:val="-5"/>
                <w:sz w:val="24"/>
              </w:rPr>
              <w:t>65</w:t>
            </w:r>
          </w:p>
        </w:tc>
        <w:tc>
          <w:tcPr>
            <w:tcW w:w="828" w:type="dxa"/>
          </w:tcPr>
          <w:p>
            <w:pPr>
              <w:pStyle w:val="TableParagraph"/>
              <w:spacing w:line="240" w:lineRule="auto" w:before="124"/>
              <w:ind w:left="4" w:right="46"/>
              <w:rPr>
                <w:sz w:val="24"/>
              </w:rPr>
            </w:pPr>
            <w:r>
              <w:rPr>
                <w:spacing w:val="-5"/>
                <w:sz w:val="24"/>
              </w:rPr>
              <w:t>75</w:t>
            </w:r>
          </w:p>
        </w:tc>
        <w:tc>
          <w:tcPr>
            <w:tcW w:w="871" w:type="dxa"/>
          </w:tcPr>
          <w:p>
            <w:pPr>
              <w:pStyle w:val="TableParagraph"/>
              <w:spacing w:line="240" w:lineRule="auto" w:before="124"/>
              <w:ind w:left="8" w:right="8"/>
              <w:rPr>
                <w:sz w:val="24"/>
              </w:rPr>
            </w:pPr>
            <w:r>
              <w:rPr>
                <w:spacing w:val="-5"/>
                <w:sz w:val="24"/>
              </w:rPr>
              <w:t>100</w:t>
            </w:r>
          </w:p>
        </w:tc>
        <w:tc>
          <w:tcPr>
            <w:tcW w:w="840" w:type="dxa"/>
          </w:tcPr>
          <w:p>
            <w:pPr>
              <w:pStyle w:val="TableParagraph"/>
              <w:spacing w:line="240" w:lineRule="auto" w:before="124"/>
              <w:ind w:left="67" w:right="37"/>
              <w:rPr>
                <w:sz w:val="24"/>
              </w:rPr>
            </w:pPr>
            <w:r>
              <w:rPr>
                <w:spacing w:val="-5"/>
                <w:sz w:val="24"/>
              </w:rPr>
              <w:t>60</w:t>
            </w:r>
          </w:p>
        </w:tc>
        <w:tc>
          <w:tcPr>
            <w:tcW w:w="931" w:type="dxa"/>
          </w:tcPr>
          <w:p>
            <w:pPr>
              <w:pStyle w:val="TableParagraph"/>
              <w:spacing w:line="240" w:lineRule="auto" w:before="124"/>
              <w:ind w:left="2" w:right="2"/>
              <w:rPr>
                <w:sz w:val="24"/>
              </w:rPr>
            </w:pPr>
            <w:r>
              <w:rPr>
                <w:spacing w:val="-5"/>
                <w:sz w:val="24"/>
              </w:rPr>
              <w:t>82</w:t>
            </w:r>
          </w:p>
        </w:tc>
        <w:tc>
          <w:tcPr>
            <w:tcW w:w="840" w:type="dxa"/>
          </w:tcPr>
          <w:p>
            <w:pPr>
              <w:pStyle w:val="TableParagraph"/>
              <w:spacing w:line="240" w:lineRule="auto" w:before="124"/>
              <w:ind w:left="35" w:right="54"/>
              <w:rPr>
                <w:sz w:val="24"/>
              </w:rPr>
            </w:pPr>
            <w:r>
              <w:rPr>
                <w:spacing w:val="-5"/>
                <w:sz w:val="24"/>
              </w:rPr>
              <w:t>100</w:t>
            </w:r>
          </w:p>
        </w:tc>
        <w:tc>
          <w:tcPr>
            <w:tcW w:w="869" w:type="dxa"/>
          </w:tcPr>
          <w:p>
            <w:pPr>
              <w:pStyle w:val="TableParagraph"/>
              <w:spacing w:line="240" w:lineRule="auto" w:before="124"/>
              <w:ind w:left="6"/>
              <w:rPr>
                <w:sz w:val="24"/>
              </w:rPr>
            </w:pPr>
            <w:r>
              <w:rPr>
                <w:spacing w:val="-5"/>
                <w:sz w:val="24"/>
              </w:rPr>
              <w:t>100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2" w:right="42"/>
              <w:rPr>
                <w:sz w:val="24"/>
              </w:rPr>
            </w:pPr>
            <w:r>
              <w:rPr>
                <w:spacing w:val="-4"/>
                <w:sz w:val="24"/>
              </w:rPr>
              <w:t>94.8</w:t>
            </w:r>
          </w:p>
        </w:tc>
        <w:tc>
          <w:tcPr>
            <w:tcW w:w="840" w:type="dxa"/>
          </w:tcPr>
          <w:p>
            <w:pPr>
              <w:pStyle w:val="TableParagraph"/>
              <w:spacing w:line="240" w:lineRule="auto" w:before="124"/>
              <w:ind w:left="35" w:right="67"/>
              <w:rPr>
                <w:sz w:val="24"/>
              </w:rPr>
            </w:pPr>
            <w:r>
              <w:rPr>
                <w:spacing w:val="-5"/>
                <w:sz w:val="24"/>
              </w:rPr>
              <w:t>60</w:t>
            </w:r>
          </w:p>
        </w:tc>
      </w:tr>
      <w:tr>
        <w:trPr>
          <w:trHeight w:val="585" w:hRule="atLeast"/>
        </w:trPr>
        <w:tc>
          <w:tcPr>
            <w:tcW w:w="793" w:type="dxa"/>
          </w:tcPr>
          <w:p>
            <w:pPr>
              <w:pStyle w:val="TableParagraph"/>
              <w:spacing w:line="240" w:lineRule="auto" w:before="124"/>
              <w:ind w:left="110"/>
              <w:jc w:val="left"/>
              <w:rPr>
                <w:sz w:val="24"/>
              </w:rPr>
            </w:pPr>
            <w:r>
              <w:rPr>
                <w:spacing w:val="-5"/>
                <w:sz w:val="24"/>
              </w:rPr>
              <w:t>Cot</w:t>
            </w:r>
          </w:p>
        </w:tc>
        <w:tc>
          <w:tcPr>
            <w:tcW w:w="995" w:type="dxa"/>
          </w:tcPr>
          <w:p>
            <w:pPr>
              <w:pStyle w:val="TableParagraph"/>
              <w:spacing w:line="240" w:lineRule="auto" w:before="124"/>
              <w:ind w:left="46" w:right="5"/>
              <w:rPr>
                <w:sz w:val="24"/>
              </w:rPr>
            </w:pPr>
            <w:r>
              <w:rPr>
                <w:spacing w:val="-5"/>
                <w:sz w:val="24"/>
              </w:rPr>
              <w:t>70</w:t>
            </w:r>
          </w:p>
        </w:tc>
        <w:tc>
          <w:tcPr>
            <w:tcW w:w="828" w:type="dxa"/>
          </w:tcPr>
          <w:p>
            <w:pPr>
              <w:pStyle w:val="TableParagraph"/>
              <w:spacing w:line="240" w:lineRule="auto" w:before="124"/>
              <w:ind w:left="4" w:right="46"/>
              <w:rPr>
                <w:sz w:val="24"/>
              </w:rPr>
            </w:pPr>
            <w:r>
              <w:rPr>
                <w:spacing w:val="-5"/>
                <w:sz w:val="24"/>
              </w:rPr>
              <w:t>75</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60</w:t>
            </w:r>
          </w:p>
        </w:tc>
        <w:tc>
          <w:tcPr>
            <w:tcW w:w="931" w:type="dxa"/>
          </w:tcPr>
          <w:p>
            <w:pPr>
              <w:pStyle w:val="TableParagraph"/>
              <w:spacing w:line="240" w:lineRule="auto" w:before="124"/>
              <w:ind w:left="2" w:right="2"/>
              <w:rPr>
                <w:sz w:val="24"/>
              </w:rPr>
            </w:pPr>
            <w:r>
              <w:rPr>
                <w:spacing w:val="-5"/>
                <w:sz w:val="24"/>
              </w:rPr>
              <w:t>55</w:t>
            </w:r>
          </w:p>
        </w:tc>
        <w:tc>
          <w:tcPr>
            <w:tcW w:w="840" w:type="dxa"/>
          </w:tcPr>
          <w:p>
            <w:pPr>
              <w:pStyle w:val="TableParagraph"/>
              <w:spacing w:line="240" w:lineRule="auto" w:before="124"/>
              <w:ind w:left="35" w:right="54"/>
              <w:rPr>
                <w:sz w:val="24"/>
              </w:rPr>
            </w:pPr>
            <w:r>
              <w:rPr>
                <w:spacing w:val="-5"/>
                <w:sz w:val="24"/>
              </w:rPr>
              <w:t>100</w:t>
            </w:r>
          </w:p>
        </w:tc>
        <w:tc>
          <w:tcPr>
            <w:tcW w:w="869" w:type="dxa"/>
          </w:tcPr>
          <w:p>
            <w:pPr>
              <w:pStyle w:val="TableParagraph"/>
              <w:spacing w:line="240" w:lineRule="auto" w:before="124"/>
              <w:ind w:left="6"/>
              <w:rPr>
                <w:sz w:val="24"/>
              </w:rPr>
            </w:pPr>
            <w:r>
              <w:rPr>
                <w:spacing w:val="-5"/>
                <w:sz w:val="24"/>
              </w:rPr>
              <w:t>100</w:t>
            </w:r>
          </w:p>
        </w:tc>
        <w:tc>
          <w:tcPr>
            <w:tcW w:w="843" w:type="dxa"/>
          </w:tcPr>
          <w:p>
            <w:pPr>
              <w:pStyle w:val="TableParagraph"/>
              <w:spacing w:line="240" w:lineRule="auto" w:before="124"/>
              <w:ind w:left="32"/>
              <w:rPr>
                <w:sz w:val="24"/>
              </w:rPr>
            </w:pPr>
            <w:r>
              <w:rPr>
                <w:spacing w:val="-5"/>
                <w:sz w:val="24"/>
              </w:rPr>
              <w:t>100</w:t>
            </w:r>
          </w:p>
        </w:tc>
        <w:tc>
          <w:tcPr>
            <w:tcW w:w="932" w:type="dxa"/>
          </w:tcPr>
          <w:p>
            <w:pPr>
              <w:pStyle w:val="TableParagraph"/>
              <w:spacing w:line="240" w:lineRule="auto" w:before="124"/>
              <w:ind w:left="42" w:right="42"/>
              <w:rPr>
                <w:sz w:val="24"/>
              </w:rPr>
            </w:pPr>
            <w:r>
              <w:rPr>
                <w:spacing w:val="-4"/>
                <w:sz w:val="24"/>
              </w:rPr>
              <w:t>74.1</w:t>
            </w:r>
          </w:p>
        </w:tc>
        <w:tc>
          <w:tcPr>
            <w:tcW w:w="840" w:type="dxa"/>
          </w:tcPr>
          <w:p>
            <w:pPr>
              <w:pStyle w:val="TableParagraph"/>
              <w:spacing w:line="240" w:lineRule="auto" w:before="124"/>
              <w:ind w:left="35" w:right="62"/>
              <w:rPr>
                <w:sz w:val="24"/>
              </w:rPr>
            </w:pPr>
            <w:r>
              <w:rPr>
                <w:spacing w:val="-10"/>
                <w:sz w:val="24"/>
              </w:rPr>
              <w:t>0</w:t>
            </w:r>
          </w:p>
        </w:tc>
      </w:tr>
      <w:tr>
        <w:trPr>
          <w:trHeight w:val="585" w:hRule="atLeast"/>
        </w:trPr>
        <w:tc>
          <w:tcPr>
            <w:tcW w:w="793" w:type="dxa"/>
          </w:tcPr>
          <w:p>
            <w:pPr>
              <w:pStyle w:val="TableParagraph"/>
              <w:spacing w:line="240" w:lineRule="auto" w:before="124"/>
              <w:ind w:left="110"/>
              <w:jc w:val="left"/>
              <w:rPr>
                <w:sz w:val="24"/>
              </w:rPr>
            </w:pPr>
            <w:r>
              <w:rPr>
                <w:spacing w:val="-5"/>
                <w:sz w:val="24"/>
              </w:rPr>
              <w:t>Cxc</w:t>
            </w:r>
          </w:p>
        </w:tc>
        <w:tc>
          <w:tcPr>
            <w:tcW w:w="995" w:type="dxa"/>
          </w:tcPr>
          <w:p>
            <w:pPr>
              <w:pStyle w:val="TableParagraph"/>
              <w:spacing w:line="240" w:lineRule="auto" w:before="124"/>
              <w:ind w:left="46" w:right="10"/>
              <w:rPr>
                <w:sz w:val="24"/>
              </w:rPr>
            </w:pPr>
            <w:r>
              <w:rPr>
                <w:spacing w:val="-5"/>
                <w:sz w:val="24"/>
              </w:rPr>
              <w:t>100</w:t>
            </w:r>
          </w:p>
        </w:tc>
        <w:tc>
          <w:tcPr>
            <w:tcW w:w="828" w:type="dxa"/>
          </w:tcPr>
          <w:p>
            <w:pPr>
              <w:pStyle w:val="TableParagraph"/>
              <w:spacing w:line="240" w:lineRule="auto" w:before="124"/>
              <w:ind w:right="46"/>
              <w:rPr>
                <w:sz w:val="24"/>
              </w:rPr>
            </w:pPr>
            <w:r>
              <w:rPr>
                <w:spacing w:val="-5"/>
                <w:sz w:val="24"/>
              </w:rPr>
              <w:t>100</w:t>
            </w:r>
          </w:p>
        </w:tc>
        <w:tc>
          <w:tcPr>
            <w:tcW w:w="871" w:type="dxa"/>
          </w:tcPr>
          <w:p>
            <w:pPr>
              <w:pStyle w:val="TableParagraph"/>
              <w:spacing w:line="240" w:lineRule="auto" w:before="124"/>
              <w:ind w:left="8" w:right="8"/>
              <w:rPr>
                <w:sz w:val="24"/>
              </w:rPr>
            </w:pPr>
            <w:r>
              <w:rPr>
                <w:spacing w:val="-5"/>
                <w:sz w:val="24"/>
              </w:rPr>
              <w:t>100</w:t>
            </w:r>
          </w:p>
        </w:tc>
        <w:tc>
          <w:tcPr>
            <w:tcW w:w="840" w:type="dxa"/>
          </w:tcPr>
          <w:p>
            <w:pPr>
              <w:pStyle w:val="TableParagraph"/>
              <w:spacing w:line="240" w:lineRule="auto" w:before="124"/>
              <w:ind w:left="72" w:right="37"/>
              <w:rPr>
                <w:sz w:val="24"/>
              </w:rPr>
            </w:pPr>
            <w:r>
              <w:rPr>
                <w:spacing w:val="-5"/>
                <w:sz w:val="24"/>
              </w:rPr>
              <w:t>100</w:t>
            </w:r>
          </w:p>
        </w:tc>
        <w:tc>
          <w:tcPr>
            <w:tcW w:w="931" w:type="dxa"/>
          </w:tcPr>
          <w:p>
            <w:pPr>
              <w:pStyle w:val="TableParagraph"/>
              <w:spacing w:line="240" w:lineRule="auto" w:before="124"/>
              <w:ind w:left="2" w:right="2"/>
              <w:rPr>
                <w:sz w:val="24"/>
              </w:rPr>
            </w:pPr>
            <w:r>
              <w:rPr>
                <w:spacing w:val="-5"/>
                <w:sz w:val="24"/>
              </w:rPr>
              <w:t>98</w:t>
            </w:r>
          </w:p>
        </w:tc>
        <w:tc>
          <w:tcPr>
            <w:tcW w:w="840" w:type="dxa"/>
          </w:tcPr>
          <w:p>
            <w:pPr>
              <w:pStyle w:val="TableParagraph"/>
              <w:spacing w:line="240" w:lineRule="auto" w:before="124"/>
              <w:ind w:left="35" w:right="54"/>
              <w:rPr>
                <w:sz w:val="24"/>
              </w:rPr>
            </w:pPr>
            <w:r>
              <w:rPr>
                <w:spacing w:val="-5"/>
                <w:sz w:val="24"/>
              </w:rPr>
              <w:t>100</w:t>
            </w:r>
          </w:p>
        </w:tc>
        <w:tc>
          <w:tcPr>
            <w:tcW w:w="869" w:type="dxa"/>
          </w:tcPr>
          <w:p>
            <w:pPr>
              <w:pStyle w:val="TableParagraph"/>
              <w:spacing w:line="240" w:lineRule="auto" w:before="124"/>
              <w:ind w:left="6"/>
              <w:rPr>
                <w:sz w:val="24"/>
              </w:rPr>
            </w:pPr>
            <w:r>
              <w:rPr>
                <w:spacing w:val="-5"/>
                <w:sz w:val="24"/>
              </w:rPr>
              <w:t>100</w:t>
            </w:r>
          </w:p>
        </w:tc>
        <w:tc>
          <w:tcPr>
            <w:tcW w:w="843" w:type="dxa"/>
          </w:tcPr>
          <w:p>
            <w:pPr>
              <w:pStyle w:val="TableParagraph"/>
              <w:spacing w:line="240" w:lineRule="auto" w:before="124"/>
              <w:ind w:left="32"/>
              <w:rPr>
                <w:sz w:val="24"/>
              </w:rPr>
            </w:pPr>
            <w:r>
              <w:rPr>
                <w:spacing w:val="-5"/>
                <w:sz w:val="24"/>
              </w:rPr>
              <w:t>100</w:t>
            </w:r>
          </w:p>
        </w:tc>
        <w:tc>
          <w:tcPr>
            <w:tcW w:w="932" w:type="dxa"/>
          </w:tcPr>
          <w:p>
            <w:pPr>
              <w:pStyle w:val="TableParagraph"/>
              <w:spacing w:line="240" w:lineRule="auto" w:before="124"/>
              <w:ind w:left="46" w:right="42"/>
              <w:rPr>
                <w:sz w:val="24"/>
              </w:rPr>
            </w:pPr>
            <w:r>
              <w:rPr>
                <w:spacing w:val="-5"/>
                <w:sz w:val="24"/>
              </w:rPr>
              <w:t>100</w:t>
            </w:r>
          </w:p>
        </w:tc>
        <w:tc>
          <w:tcPr>
            <w:tcW w:w="840" w:type="dxa"/>
          </w:tcPr>
          <w:p>
            <w:pPr>
              <w:pStyle w:val="TableParagraph"/>
              <w:spacing w:line="240" w:lineRule="auto" w:before="124"/>
              <w:ind w:left="35" w:right="72"/>
              <w:rPr>
                <w:sz w:val="24"/>
              </w:rPr>
            </w:pPr>
            <w:r>
              <w:rPr>
                <w:spacing w:val="-5"/>
                <w:sz w:val="24"/>
              </w:rPr>
              <w:t>100</w:t>
            </w:r>
          </w:p>
        </w:tc>
      </w:tr>
      <w:tr>
        <w:trPr>
          <w:trHeight w:val="587" w:hRule="atLeast"/>
        </w:trPr>
        <w:tc>
          <w:tcPr>
            <w:tcW w:w="793" w:type="dxa"/>
          </w:tcPr>
          <w:p>
            <w:pPr>
              <w:pStyle w:val="TableParagraph"/>
              <w:spacing w:line="240" w:lineRule="auto" w:before="124"/>
              <w:ind w:left="110"/>
              <w:jc w:val="left"/>
              <w:rPr>
                <w:sz w:val="24"/>
              </w:rPr>
            </w:pPr>
            <w:r>
              <w:rPr>
                <w:spacing w:val="-5"/>
                <w:sz w:val="24"/>
              </w:rPr>
              <w:t>Cxm</w:t>
            </w:r>
          </w:p>
        </w:tc>
        <w:tc>
          <w:tcPr>
            <w:tcW w:w="995" w:type="dxa"/>
          </w:tcPr>
          <w:p>
            <w:pPr>
              <w:pStyle w:val="TableParagraph"/>
              <w:spacing w:line="240" w:lineRule="auto" w:before="124"/>
              <w:ind w:left="46" w:right="5"/>
              <w:rPr>
                <w:sz w:val="24"/>
              </w:rPr>
            </w:pPr>
            <w:r>
              <w:rPr>
                <w:spacing w:val="-5"/>
                <w:sz w:val="24"/>
              </w:rPr>
              <w:t>30</w:t>
            </w:r>
          </w:p>
        </w:tc>
        <w:tc>
          <w:tcPr>
            <w:tcW w:w="828" w:type="dxa"/>
          </w:tcPr>
          <w:p>
            <w:pPr>
              <w:pStyle w:val="TableParagraph"/>
              <w:spacing w:line="240" w:lineRule="auto" w:before="124"/>
              <w:ind w:left="4" w:right="46"/>
              <w:rPr>
                <w:sz w:val="24"/>
              </w:rPr>
            </w:pPr>
            <w:r>
              <w:rPr>
                <w:spacing w:val="-5"/>
                <w:sz w:val="24"/>
              </w:rPr>
              <w:t>75</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80</w:t>
            </w:r>
          </w:p>
        </w:tc>
        <w:tc>
          <w:tcPr>
            <w:tcW w:w="931" w:type="dxa"/>
          </w:tcPr>
          <w:p>
            <w:pPr>
              <w:pStyle w:val="TableParagraph"/>
              <w:spacing w:line="240" w:lineRule="auto" w:before="124"/>
              <w:ind w:left="2" w:right="2"/>
              <w:rPr>
                <w:sz w:val="24"/>
              </w:rPr>
            </w:pPr>
            <w:r>
              <w:rPr>
                <w:spacing w:val="-5"/>
                <w:sz w:val="24"/>
              </w:rPr>
              <w:t>45</w:t>
            </w:r>
          </w:p>
        </w:tc>
        <w:tc>
          <w:tcPr>
            <w:tcW w:w="840" w:type="dxa"/>
          </w:tcPr>
          <w:p>
            <w:pPr>
              <w:pStyle w:val="TableParagraph"/>
              <w:spacing w:line="240" w:lineRule="auto" w:before="124"/>
              <w:ind w:left="35" w:right="54"/>
              <w:rPr>
                <w:sz w:val="24"/>
              </w:rPr>
            </w:pPr>
            <w:r>
              <w:rPr>
                <w:spacing w:val="-10"/>
                <w:sz w:val="24"/>
              </w:rPr>
              <w:t>0</w:t>
            </w:r>
          </w:p>
        </w:tc>
        <w:tc>
          <w:tcPr>
            <w:tcW w:w="869" w:type="dxa"/>
          </w:tcPr>
          <w:p>
            <w:pPr>
              <w:pStyle w:val="TableParagraph"/>
              <w:spacing w:line="240" w:lineRule="auto" w:before="124"/>
              <w:ind w:left="6"/>
              <w:rPr>
                <w:sz w:val="24"/>
              </w:rPr>
            </w:pPr>
            <w:r>
              <w:rPr>
                <w:spacing w:val="-10"/>
                <w:sz w:val="24"/>
              </w:rPr>
              <w:t>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2" w:right="42"/>
              <w:rPr>
                <w:sz w:val="24"/>
              </w:rPr>
            </w:pPr>
            <w:r>
              <w:rPr>
                <w:spacing w:val="-5"/>
                <w:sz w:val="24"/>
              </w:rPr>
              <w:t>93</w:t>
            </w:r>
          </w:p>
        </w:tc>
        <w:tc>
          <w:tcPr>
            <w:tcW w:w="840" w:type="dxa"/>
          </w:tcPr>
          <w:p>
            <w:pPr>
              <w:pStyle w:val="TableParagraph"/>
              <w:spacing w:line="240" w:lineRule="auto" w:before="124"/>
              <w:ind w:left="35" w:right="67"/>
              <w:rPr>
                <w:sz w:val="24"/>
              </w:rPr>
            </w:pPr>
            <w:r>
              <w:rPr>
                <w:spacing w:val="-5"/>
                <w:sz w:val="24"/>
              </w:rPr>
              <w:t>40</w:t>
            </w:r>
          </w:p>
        </w:tc>
      </w:tr>
      <w:tr>
        <w:trPr>
          <w:trHeight w:val="587" w:hRule="atLeast"/>
        </w:trPr>
        <w:tc>
          <w:tcPr>
            <w:tcW w:w="793" w:type="dxa"/>
          </w:tcPr>
          <w:p>
            <w:pPr>
              <w:pStyle w:val="TableParagraph"/>
              <w:spacing w:line="240" w:lineRule="auto" w:before="126"/>
              <w:ind w:left="110"/>
              <w:jc w:val="left"/>
              <w:rPr>
                <w:sz w:val="24"/>
              </w:rPr>
            </w:pPr>
            <w:r>
              <w:rPr>
                <w:spacing w:val="-5"/>
                <w:sz w:val="24"/>
              </w:rPr>
              <w:t>Ery</w:t>
            </w:r>
          </w:p>
        </w:tc>
        <w:tc>
          <w:tcPr>
            <w:tcW w:w="995" w:type="dxa"/>
          </w:tcPr>
          <w:p>
            <w:pPr>
              <w:pStyle w:val="TableParagraph"/>
              <w:spacing w:line="240" w:lineRule="auto" w:before="126"/>
              <w:ind w:left="46" w:right="10"/>
              <w:rPr>
                <w:sz w:val="24"/>
              </w:rPr>
            </w:pPr>
            <w:r>
              <w:rPr>
                <w:spacing w:val="-5"/>
                <w:sz w:val="24"/>
              </w:rPr>
              <w:t>100</w:t>
            </w:r>
          </w:p>
        </w:tc>
        <w:tc>
          <w:tcPr>
            <w:tcW w:w="828" w:type="dxa"/>
          </w:tcPr>
          <w:p>
            <w:pPr>
              <w:pStyle w:val="TableParagraph"/>
              <w:spacing w:line="240" w:lineRule="auto" w:before="126"/>
              <w:ind w:right="46"/>
              <w:rPr>
                <w:sz w:val="24"/>
              </w:rPr>
            </w:pPr>
            <w:r>
              <w:rPr>
                <w:spacing w:val="-5"/>
                <w:sz w:val="24"/>
              </w:rPr>
              <w:t>100</w:t>
            </w:r>
          </w:p>
        </w:tc>
        <w:tc>
          <w:tcPr>
            <w:tcW w:w="871" w:type="dxa"/>
          </w:tcPr>
          <w:p>
            <w:pPr>
              <w:pStyle w:val="TableParagraph"/>
              <w:spacing w:line="240" w:lineRule="auto" w:before="126"/>
              <w:ind w:left="8" w:right="8"/>
              <w:rPr>
                <w:sz w:val="24"/>
              </w:rPr>
            </w:pPr>
            <w:r>
              <w:rPr>
                <w:spacing w:val="-5"/>
                <w:sz w:val="24"/>
              </w:rPr>
              <w:t>100</w:t>
            </w:r>
          </w:p>
        </w:tc>
        <w:tc>
          <w:tcPr>
            <w:tcW w:w="840" w:type="dxa"/>
          </w:tcPr>
          <w:p>
            <w:pPr>
              <w:pStyle w:val="TableParagraph"/>
              <w:spacing w:line="240" w:lineRule="auto" w:before="126"/>
              <w:ind w:left="72" w:right="37"/>
              <w:rPr>
                <w:sz w:val="24"/>
              </w:rPr>
            </w:pPr>
            <w:r>
              <w:rPr>
                <w:spacing w:val="-5"/>
                <w:sz w:val="24"/>
              </w:rPr>
              <w:t>100</w:t>
            </w:r>
          </w:p>
        </w:tc>
        <w:tc>
          <w:tcPr>
            <w:tcW w:w="931" w:type="dxa"/>
          </w:tcPr>
          <w:p>
            <w:pPr>
              <w:pStyle w:val="TableParagraph"/>
              <w:spacing w:line="240" w:lineRule="auto" w:before="126"/>
              <w:ind w:left="2"/>
              <w:rPr>
                <w:sz w:val="24"/>
              </w:rPr>
            </w:pPr>
            <w:r>
              <w:rPr>
                <w:spacing w:val="-5"/>
                <w:sz w:val="24"/>
              </w:rPr>
              <w:t>100</w:t>
            </w:r>
          </w:p>
        </w:tc>
        <w:tc>
          <w:tcPr>
            <w:tcW w:w="840" w:type="dxa"/>
          </w:tcPr>
          <w:p>
            <w:pPr>
              <w:pStyle w:val="TableParagraph"/>
              <w:spacing w:line="240" w:lineRule="auto" w:before="126"/>
              <w:ind w:left="35" w:right="54"/>
              <w:rPr>
                <w:sz w:val="24"/>
              </w:rPr>
            </w:pPr>
            <w:r>
              <w:rPr>
                <w:spacing w:val="-5"/>
                <w:sz w:val="24"/>
              </w:rPr>
              <w:t>100</w:t>
            </w:r>
          </w:p>
        </w:tc>
        <w:tc>
          <w:tcPr>
            <w:tcW w:w="869" w:type="dxa"/>
          </w:tcPr>
          <w:p>
            <w:pPr>
              <w:pStyle w:val="TableParagraph"/>
              <w:spacing w:line="240" w:lineRule="auto" w:before="126"/>
              <w:ind w:left="6"/>
              <w:rPr>
                <w:sz w:val="24"/>
              </w:rPr>
            </w:pPr>
            <w:r>
              <w:rPr>
                <w:spacing w:val="-5"/>
                <w:sz w:val="24"/>
              </w:rPr>
              <w:t>100</w:t>
            </w:r>
          </w:p>
        </w:tc>
        <w:tc>
          <w:tcPr>
            <w:tcW w:w="843" w:type="dxa"/>
          </w:tcPr>
          <w:p>
            <w:pPr>
              <w:pStyle w:val="TableParagraph"/>
              <w:spacing w:line="240" w:lineRule="auto" w:before="126"/>
              <w:ind w:left="32"/>
              <w:rPr>
                <w:sz w:val="24"/>
              </w:rPr>
            </w:pPr>
            <w:r>
              <w:rPr>
                <w:spacing w:val="-5"/>
                <w:sz w:val="24"/>
              </w:rPr>
              <w:t>100</w:t>
            </w:r>
          </w:p>
        </w:tc>
        <w:tc>
          <w:tcPr>
            <w:tcW w:w="932" w:type="dxa"/>
          </w:tcPr>
          <w:p>
            <w:pPr>
              <w:pStyle w:val="TableParagraph"/>
              <w:spacing w:line="240" w:lineRule="auto" w:before="126"/>
              <w:ind w:left="46" w:right="42"/>
              <w:rPr>
                <w:sz w:val="24"/>
              </w:rPr>
            </w:pPr>
            <w:r>
              <w:rPr>
                <w:spacing w:val="-5"/>
                <w:sz w:val="24"/>
              </w:rPr>
              <w:t>100</w:t>
            </w:r>
          </w:p>
        </w:tc>
        <w:tc>
          <w:tcPr>
            <w:tcW w:w="840" w:type="dxa"/>
          </w:tcPr>
          <w:p>
            <w:pPr>
              <w:pStyle w:val="TableParagraph"/>
              <w:spacing w:line="240" w:lineRule="auto" w:before="126"/>
              <w:ind w:left="35" w:right="67"/>
              <w:rPr>
                <w:sz w:val="24"/>
              </w:rPr>
            </w:pPr>
            <w:r>
              <w:rPr>
                <w:spacing w:val="-5"/>
                <w:sz w:val="24"/>
              </w:rPr>
              <w:t>40</w:t>
            </w:r>
          </w:p>
        </w:tc>
      </w:tr>
      <w:tr>
        <w:trPr>
          <w:trHeight w:val="585" w:hRule="atLeast"/>
        </w:trPr>
        <w:tc>
          <w:tcPr>
            <w:tcW w:w="793" w:type="dxa"/>
          </w:tcPr>
          <w:p>
            <w:pPr>
              <w:pStyle w:val="TableParagraph"/>
              <w:spacing w:line="240" w:lineRule="auto" w:before="124"/>
              <w:ind w:left="110"/>
              <w:jc w:val="left"/>
              <w:rPr>
                <w:sz w:val="24"/>
              </w:rPr>
            </w:pPr>
            <w:r>
              <w:rPr>
                <w:spacing w:val="-5"/>
                <w:sz w:val="24"/>
              </w:rPr>
              <w:t>Gen</w:t>
            </w:r>
          </w:p>
        </w:tc>
        <w:tc>
          <w:tcPr>
            <w:tcW w:w="995" w:type="dxa"/>
          </w:tcPr>
          <w:p>
            <w:pPr>
              <w:pStyle w:val="TableParagraph"/>
              <w:spacing w:line="240" w:lineRule="auto" w:before="124"/>
              <w:ind w:left="46"/>
              <w:rPr>
                <w:sz w:val="24"/>
              </w:rPr>
            </w:pPr>
            <w:r>
              <w:rPr>
                <w:spacing w:val="-10"/>
                <w:sz w:val="24"/>
              </w:rPr>
              <w:t>5</w:t>
            </w:r>
          </w:p>
        </w:tc>
        <w:tc>
          <w:tcPr>
            <w:tcW w:w="828" w:type="dxa"/>
          </w:tcPr>
          <w:p>
            <w:pPr>
              <w:pStyle w:val="TableParagraph"/>
              <w:spacing w:line="240" w:lineRule="auto" w:before="124"/>
              <w:ind w:left="9" w:right="46"/>
              <w:rPr>
                <w:sz w:val="24"/>
              </w:rPr>
            </w:pPr>
            <w:r>
              <w:rPr>
                <w:spacing w:val="-10"/>
                <w:sz w:val="24"/>
              </w:rPr>
              <w:t>0</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20</w:t>
            </w:r>
          </w:p>
        </w:tc>
        <w:tc>
          <w:tcPr>
            <w:tcW w:w="931" w:type="dxa"/>
          </w:tcPr>
          <w:p>
            <w:pPr>
              <w:pStyle w:val="TableParagraph"/>
              <w:spacing w:line="240" w:lineRule="auto" w:before="124"/>
              <w:ind w:left="2"/>
              <w:rPr>
                <w:sz w:val="24"/>
              </w:rPr>
            </w:pPr>
            <w:r>
              <w:rPr>
                <w:spacing w:val="-10"/>
                <w:sz w:val="24"/>
              </w:rPr>
              <w:t>4</w:t>
            </w:r>
          </w:p>
        </w:tc>
        <w:tc>
          <w:tcPr>
            <w:tcW w:w="840" w:type="dxa"/>
          </w:tcPr>
          <w:p>
            <w:pPr>
              <w:pStyle w:val="TableParagraph"/>
              <w:spacing w:line="240" w:lineRule="auto" w:before="124"/>
              <w:ind w:left="35" w:right="54"/>
              <w:rPr>
                <w:sz w:val="24"/>
              </w:rPr>
            </w:pPr>
            <w:r>
              <w:rPr>
                <w:spacing w:val="-10"/>
                <w:sz w:val="24"/>
              </w:rPr>
              <w:t>0</w:t>
            </w:r>
          </w:p>
        </w:tc>
        <w:tc>
          <w:tcPr>
            <w:tcW w:w="869" w:type="dxa"/>
          </w:tcPr>
          <w:p>
            <w:pPr>
              <w:pStyle w:val="TableParagraph"/>
              <w:spacing w:line="240" w:lineRule="auto" w:before="124"/>
              <w:ind w:left="6"/>
              <w:rPr>
                <w:sz w:val="24"/>
              </w:rPr>
            </w:pPr>
            <w:r>
              <w:rPr>
                <w:spacing w:val="-10"/>
                <w:sz w:val="24"/>
              </w:rPr>
              <w:t>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6" w:right="42"/>
              <w:rPr>
                <w:sz w:val="24"/>
              </w:rPr>
            </w:pPr>
            <w:r>
              <w:rPr>
                <w:spacing w:val="-5"/>
                <w:sz w:val="24"/>
              </w:rPr>
              <w:t>1.7</w:t>
            </w:r>
          </w:p>
        </w:tc>
        <w:tc>
          <w:tcPr>
            <w:tcW w:w="840" w:type="dxa"/>
          </w:tcPr>
          <w:p>
            <w:pPr>
              <w:pStyle w:val="TableParagraph"/>
              <w:spacing w:line="240" w:lineRule="auto" w:before="124"/>
              <w:ind w:left="35" w:right="67"/>
              <w:rPr>
                <w:sz w:val="24"/>
              </w:rPr>
            </w:pPr>
            <w:r>
              <w:rPr>
                <w:spacing w:val="-5"/>
                <w:sz w:val="24"/>
              </w:rPr>
              <w:t>60</w:t>
            </w:r>
          </w:p>
        </w:tc>
      </w:tr>
      <w:tr>
        <w:trPr>
          <w:trHeight w:val="585" w:hRule="atLeast"/>
        </w:trPr>
        <w:tc>
          <w:tcPr>
            <w:tcW w:w="793" w:type="dxa"/>
          </w:tcPr>
          <w:p>
            <w:pPr>
              <w:pStyle w:val="TableParagraph"/>
              <w:spacing w:line="240" w:lineRule="auto" w:before="124"/>
              <w:ind w:left="110"/>
              <w:jc w:val="left"/>
              <w:rPr>
                <w:sz w:val="24"/>
              </w:rPr>
            </w:pPr>
            <w:r>
              <w:rPr>
                <w:spacing w:val="-5"/>
                <w:sz w:val="24"/>
              </w:rPr>
              <w:t>Nal</w:t>
            </w:r>
          </w:p>
        </w:tc>
        <w:tc>
          <w:tcPr>
            <w:tcW w:w="995" w:type="dxa"/>
          </w:tcPr>
          <w:p>
            <w:pPr>
              <w:pStyle w:val="TableParagraph"/>
              <w:spacing w:line="240" w:lineRule="auto" w:before="124"/>
              <w:ind w:left="46" w:right="5"/>
              <w:rPr>
                <w:sz w:val="24"/>
              </w:rPr>
            </w:pPr>
            <w:r>
              <w:rPr>
                <w:spacing w:val="-5"/>
                <w:sz w:val="24"/>
              </w:rPr>
              <w:t>35</w:t>
            </w:r>
          </w:p>
        </w:tc>
        <w:tc>
          <w:tcPr>
            <w:tcW w:w="828" w:type="dxa"/>
          </w:tcPr>
          <w:p>
            <w:pPr>
              <w:pStyle w:val="TableParagraph"/>
              <w:spacing w:line="240" w:lineRule="auto" w:before="124"/>
              <w:ind w:left="4" w:right="46"/>
              <w:rPr>
                <w:sz w:val="24"/>
              </w:rPr>
            </w:pPr>
            <w:r>
              <w:rPr>
                <w:spacing w:val="-5"/>
                <w:sz w:val="24"/>
              </w:rPr>
              <w:t>75</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40</w:t>
            </w:r>
          </w:p>
        </w:tc>
        <w:tc>
          <w:tcPr>
            <w:tcW w:w="931" w:type="dxa"/>
          </w:tcPr>
          <w:p>
            <w:pPr>
              <w:pStyle w:val="TableParagraph"/>
              <w:spacing w:line="240" w:lineRule="auto" w:before="124"/>
              <w:ind w:left="2" w:right="2"/>
              <w:rPr>
                <w:sz w:val="24"/>
              </w:rPr>
            </w:pPr>
            <w:r>
              <w:rPr>
                <w:spacing w:val="-5"/>
                <w:sz w:val="24"/>
              </w:rPr>
              <w:t>14</w:t>
            </w:r>
          </w:p>
        </w:tc>
        <w:tc>
          <w:tcPr>
            <w:tcW w:w="840" w:type="dxa"/>
          </w:tcPr>
          <w:p>
            <w:pPr>
              <w:pStyle w:val="TableParagraph"/>
              <w:spacing w:line="240" w:lineRule="auto" w:before="124"/>
              <w:ind w:left="35" w:right="54"/>
              <w:rPr>
                <w:sz w:val="24"/>
              </w:rPr>
            </w:pPr>
            <w:r>
              <w:rPr>
                <w:spacing w:val="-10"/>
                <w:sz w:val="24"/>
              </w:rPr>
              <w:t>0</w:t>
            </w:r>
          </w:p>
        </w:tc>
        <w:tc>
          <w:tcPr>
            <w:tcW w:w="869" w:type="dxa"/>
          </w:tcPr>
          <w:p>
            <w:pPr>
              <w:pStyle w:val="TableParagraph"/>
              <w:spacing w:line="240" w:lineRule="auto" w:before="124"/>
              <w:ind w:left="6"/>
              <w:rPr>
                <w:sz w:val="24"/>
              </w:rPr>
            </w:pPr>
            <w:r>
              <w:rPr>
                <w:spacing w:val="-10"/>
                <w:sz w:val="24"/>
              </w:rPr>
              <w:t>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2" w:right="42"/>
              <w:rPr>
                <w:sz w:val="24"/>
              </w:rPr>
            </w:pPr>
            <w:r>
              <w:rPr>
                <w:spacing w:val="-4"/>
                <w:sz w:val="24"/>
              </w:rPr>
              <w:t>70.7</w:t>
            </w:r>
          </w:p>
        </w:tc>
        <w:tc>
          <w:tcPr>
            <w:tcW w:w="840" w:type="dxa"/>
          </w:tcPr>
          <w:p>
            <w:pPr>
              <w:pStyle w:val="TableParagraph"/>
              <w:spacing w:line="240" w:lineRule="auto" w:before="124"/>
              <w:ind w:left="35" w:right="67"/>
              <w:rPr>
                <w:sz w:val="24"/>
              </w:rPr>
            </w:pPr>
            <w:r>
              <w:rPr>
                <w:spacing w:val="-5"/>
                <w:sz w:val="24"/>
              </w:rPr>
              <w:t>80</w:t>
            </w:r>
          </w:p>
        </w:tc>
      </w:tr>
      <w:tr>
        <w:trPr>
          <w:trHeight w:val="585" w:hRule="atLeast"/>
        </w:trPr>
        <w:tc>
          <w:tcPr>
            <w:tcW w:w="793" w:type="dxa"/>
          </w:tcPr>
          <w:p>
            <w:pPr>
              <w:pStyle w:val="TableParagraph"/>
              <w:spacing w:line="240" w:lineRule="auto" w:before="124"/>
              <w:ind w:left="110"/>
              <w:jc w:val="left"/>
              <w:rPr>
                <w:sz w:val="24"/>
              </w:rPr>
            </w:pPr>
            <w:r>
              <w:rPr>
                <w:spacing w:val="-5"/>
                <w:sz w:val="24"/>
              </w:rPr>
              <w:t>Nit</w:t>
            </w:r>
          </w:p>
        </w:tc>
        <w:tc>
          <w:tcPr>
            <w:tcW w:w="995" w:type="dxa"/>
          </w:tcPr>
          <w:p>
            <w:pPr>
              <w:pStyle w:val="TableParagraph"/>
              <w:spacing w:line="240" w:lineRule="auto" w:before="124"/>
              <w:ind w:left="46" w:right="5"/>
              <w:rPr>
                <w:sz w:val="24"/>
              </w:rPr>
            </w:pPr>
            <w:r>
              <w:rPr>
                <w:spacing w:val="-5"/>
                <w:sz w:val="24"/>
              </w:rPr>
              <w:t>60</w:t>
            </w:r>
          </w:p>
        </w:tc>
        <w:tc>
          <w:tcPr>
            <w:tcW w:w="828" w:type="dxa"/>
          </w:tcPr>
          <w:p>
            <w:pPr>
              <w:pStyle w:val="TableParagraph"/>
              <w:spacing w:line="240" w:lineRule="auto" w:before="124"/>
              <w:ind w:right="46"/>
              <w:rPr>
                <w:sz w:val="24"/>
              </w:rPr>
            </w:pPr>
            <w:r>
              <w:rPr>
                <w:spacing w:val="-5"/>
                <w:sz w:val="24"/>
              </w:rPr>
              <w:t>100</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67" w:right="37"/>
              <w:rPr>
                <w:sz w:val="24"/>
              </w:rPr>
            </w:pPr>
            <w:r>
              <w:rPr>
                <w:spacing w:val="-5"/>
                <w:sz w:val="24"/>
              </w:rPr>
              <w:t>80</w:t>
            </w:r>
          </w:p>
        </w:tc>
        <w:tc>
          <w:tcPr>
            <w:tcW w:w="931" w:type="dxa"/>
          </w:tcPr>
          <w:p>
            <w:pPr>
              <w:pStyle w:val="TableParagraph"/>
              <w:spacing w:line="240" w:lineRule="auto" w:before="124"/>
              <w:ind w:left="2" w:right="2"/>
              <w:rPr>
                <w:sz w:val="24"/>
              </w:rPr>
            </w:pPr>
            <w:r>
              <w:rPr>
                <w:spacing w:val="-5"/>
                <w:sz w:val="24"/>
              </w:rPr>
              <w:t>55</w:t>
            </w:r>
          </w:p>
        </w:tc>
        <w:tc>
          <w:tcPr>
            <w:tcW w:w="840" w:type="dxa"/>
          </w:tcPr>
          <w:p>
            <w:pPr>
              <w:pStyle w:val="TableParagraph"/>
              <w:spacing w:line="240" w:lineRule="auto" w:before="124"/>
              <w:ind w:left="35" w:right="54"/>
              <w:rPr>
                <w:sz w:val="24"/>
              </w:rPr>
            </w:pPr>
            <w:r>
              <w:rPr>
                <w:spacing w:val="-10"/>
                <w:sz w:val="24"/>
              </w:rPr>
              <w:t>0</w:t>
            </w:r>
          </w:p>
        </w:tc>
        <w:tc>
          <w:tcPr>
            <w:tcW w:w="869" w:type="dxa"/>
          </w:tcPr>
          <w:p>
            <w:pPr>
              <w:pStyle w:val="TableParagraph"/>
              <w:spacing w:line="240" w:lineRule="auto" w:before="124"/>
              <w:ind w:left="6"/>
              <w:rPr>
                <w:sz w:val="24"/>
              </w:rPr>
            </w:pPr>
            <w:r>
              <w:rPr>
                <w:spacing w:val="-10"/>
                <w:sz w:val="24"/>
              </w:rPr>
              <w:t>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2" w:right="42"/>
              <w:rPr>
                <w:sz w:val="24"/>
              </w:rPr>
            </w:pPr>
            <w:r>
              <w:rPr>
                <w:spacing w:val="-4"/>
                <w:sz w:val="24"/>
              </w:rPr>
              <w:t>98.3</w:t>
            </w:r>
          </w:p>
        </w:tc>
        <w:tc>
          <w:tcPr>
            <w:tcW w:w="840" w:type="dxa"/>
          </w:tcPr>
          <w:p>
            <w:pPr>
              <w:pStyle w:val="TableParagraph"/>
              <w:spacing w:line="240" w:lineRule="auto" w:before="124"/>
              <w:ind w:left="35" w:right="62"/>
              <w:rPr>
                <w:sz w:val="24"/>
              </w:rPr>
            </w:pPr>
            <w:r>
              <w:rPr>
                <w:spacing w:val="-10"/>
                <w:sz w:val="24"/>
              </w:rPr>
              <w:t>0</w:t>
            </w:r>
          </w:p>
        </w:tc>
      </w:tr>
      <w:tr>
        <w:trPr>
          <w:trHeight w:val="585" w:hRule="atLeast"/>
        </w:trPr>
        <w:tc>
          <w:tcPr>
            <w:tcW w:w="793" w:type="dxa"/>
          </w:tcPr>
          <w:p>
            <w:pPr>
              <w:pStyle w:val="TableParagraph"/>
              <w:spacing w:line="240" w:lineRule="auto" w:before="124"/>
              <w:ind w:left="110"/>
              <w:jc w:val="left"/>
              <w:rPr>
                <w:sz w:val="24"/>
              </w:rPr>
            </w:pPr>
            <w:r>
              <w:rPr>
                <w:spacing w:val="-5"/>
                <w:sz w:val="24"/>
              </w:rPr>
              <w:t>Ofl</w:t>
            </w:r>
          </w:p>
        </w:tc>
        <w:tc>
          <w:tcPr>
            <w:tcW w:w="995" w:type="dxa"/>
          </w:tcPr>
          <w:p>
            <w:pPr>
              <w:pStyle w:val="TableParagraph"/>
              <w:spacing w:line="240" w:lineRule="auto" w:before="124"/>
              <w:ind w:left="46"/>
              <w:rPr>
                <w:sz w:val="24"/>
              </w:rPr>
            </w:pPr>
            <w:r>
              <w:rPr>
                <w:spacing w:val="-10"/>
                <w:sz w:val="24"/>
              </w:rPr>
              <w:t>0</w:t>
            </w:r>
          </w:p>
        </w:tc>
        <w:tc>
          <w:tcPr>
            <w:tcW w:w="828" w:type="dxa"/>
          </w:tcPr>
          <w:p>
            <w:pPr>
              <w:pStyle w:val="TableParagraph"/>
              <w:spacing w:line="240" w:lineRule="auto" w:before="124"/>
              <w:ind w:left="9" w:right="46"/>
              <w:rPr>
                <w:sz w:val="24"/>
              </w:rPr>
            </w:pPr>
            <w:r>
              <w:rPr>
                <w:spacing w:val="-10"/>
                <w:sz w:val="24"/>
              </w:rPr>
              <w:t>0</w:t>
            </w:r>
          </w:p>
        </w:tc>
        <w:tc>
          <w:tcPr>
            <w:tcW w:w="871" w:type="dxa"/>
          </w:tcPr>
          <w:p>
            <w:pPr>
              <w:pStyle w:val="TableParagraph"/>
              <w:spacing w:line="240" w:lineRule="auto" w:before="124"/>
              <w:ind w:left="8"/>
              <w:rPr>
                <w:sz w:val="24"/>
              </w:rPr>
            </w:pPr>
            <w:r>
              <w:rPr>
                <w:spacing w:val="-10"/>
                <w:sz w:val="24"/>
              </w:rPr>
              <w:t>0</w:t>
            </w:r>
          </w:p>
        </w:tc>
        <w:tc>
          <w:tcPr>
            <w:tcW w:w="840" w:type="dxa"/>
          </w:tcPr>
          <w:p>
            <w:pPr>
              <w:pStyle w:val="TableParagraph"/>
              <w:spacing w:line="240" w:lineRule="auto" w:before="124"/>
              <w:ind w:left="72" w:right="37"/>
              <w:rPr>
                <w:sz w:val="24"/>
              </w:rPr>
            </w:pPr>
            <w:r>
              <w:rPr>
                <w:spacing w:val="-10"/>
                <w:sz w:val="24"/>
              </w:rPr>
              <w:t>0</w:t>
            </w:r>
          </w:p>
        </w:tc>
        <w:tc>
          <w:tcPr>
            <w:tcW w:w="931" w:type="dxa"/>
          </w:tcPr>
          <w:p>
            <w:pPr>
              <w:pStyle w:val="TableParagraph"/>
              <w:spacing w:line="240" w:lineRule="auto" w:before="124"/>
              <w:ind w:left="2"/>
              <w:rPr>
                <w:sz w:val="24"/>
              </w:rPr>
            </w:pPr>
            <w:r>
              <w:rPr>
                <w:spacing w:val="-10"/>
                <w:sz w:val="24"/>
              </w:rPr>
              <w:t>0</w:t>
            </w:r>
          </w:p>
        </w:tc>
        <w:tc>
          <w:tcPr>
            <w:tcW w:w="840" w:type="dxa"/>
          </w:tcPr>
          <w:p>
            <w:pPr>
              <w:pStyle w:val="TableParagraph"/>
              <w:spacing w:line="240" w:lineRule="auto" w:before="124"/>
              <w:ind w:left="35" w:right="54"/>
              <w:rPr>
                <w:sz w:val="24"/>
              </w:rPr>
            </w:pPr>
            <w:r>
              <w:rPr>
                <w:spacing w:val="-10"/>
                <w:sz w:val="24"/>
              </w:rPr>
              <w:t>0</w:t>
            </w:r>
          </w:p>
        </w:tc>
        <w:tc>
          <w:tcPr>
            <w:tcW w:w="869" w:type="dxa"/>
          </w:tcPr>
          <w:p>
            <w:pPr>
              <w:pStyle w:val="TableParagraph"/>
              <w:spacing w:line="240" w:lineRule="auto" w:before="124"/>
              <w:ind w:left="6"/>
              <w:rPr>
                <w:sz w:val="24"/>
              </w:rPr>
            </w:pPr>
            <w:r>
              <w:rPr>
                <w:spacing w:val="-10"/>
                <w:sz w:val="24"/>
              </w:rPr>
              <w:t>0</w:t>
            </w:r>
          </w:p>
        </w:tc>
        <w:tc>
          <w:tcPr>
            <w:tcW w:w="843" w:type="dxa"/>
          </w:tcPr>
          <w:p>
            <w:pPr>
              <w:pStyle w:val="TableParagraph"/>
              <w:spacing w:line="240" w:lineRule="auto" w:before="124"/>
              <w:ind w:left="32"/>
              <w:rPr>
                <w:sz w:val="24"/>
              </w:rPr>
            </w:pPr>
            <w:r>
              <w:rPr>
                <w:spacing w:val="-10"/>
                <w:sz w:val="24"/>
              </w:rPr>
              <w:t>0</w:t>
            </w:r>
          </w:p>
        </w:tc>
        <w:tc>
          <w:tcPr>
            <w:tcW w:w="932" w:type="dxa"/>
          </w:tcPr>
          <w:p>
            <w:pPr>
              <w:pStyle w:val="TableParagraph"/>
              <w:spacing w:line="240" w:lineRule="auto" w:before="124"/>
              <w:ind w:left="46" w:right="42"/>
              <w:rPr>
                <w:sz w:val="24"/>
              </w:rPr>
            </w:pPr>
            <w:r>
              <w:rPr>
                <w:spacing w:val="-10"/>
                <w:sz w:val="24"/>
              </w:rPr>
              <w:t>0</w:t>
            </w:r>
          </w:p>
        </w:tc>
        <w:tc>
          <w:tcPr>
            <w:tcW w:w="840" w:type="dxa"/>
          </w:tcPr>
          <w:p>
            <w:pPr>
              <w:pStyle w:val="TableParagraph"/>
              <w:spacing w:line="240" w:lineRule="auto" w:before="124"/>
              <w:ind w:left="35" w:right="62"/>
              <w:rPr>
                <w:sz w:val="24"/>
              </w:rPr>
            </w:pPr>
            <w:r>
              <w:rPr>
                <w:spacing w:val="-10"/>
                <w:sz w:val="24"/>
              </w:rPr>
              <w:t>0</w:t>
            </w:r>
          </w:p>
        </w:tc>
      </w:tr>
      <w:tr>
        <w:trPr>
          <w:trHeight w:val="462" w:hRule="atLeast"/>
        </w:trPr>
        <w:tc>
          <w:tcPr>
            <w:tcW w:w="793" w:type="dxa"/>
          </w:tcPr>
          <w:p>
            <w:pPr>
              <w:pStyle w:val="TableParagraph"/>
              <w:spacing w:line="289" w:lineRule="exact" w:before="124"/>
              <w:ind w:left="110"/>
              <w:jc w:val="left"/>
              <w:rPr>
                <w:sz w:val="24"/>
              </w:rPr>
            </w:pPr>
            <w:r>
              <w:rPr>
                <w:spacing w:val="-5"/>
                <w:sz w:val="24"/>
              </w:rPr>
              <w:t>Tet</w:t>
            </w:r>
          </w:p>
        </w:tc>
        <w:tc>
          <w:tcPr>
            <w:tcW w:w="995" w:type="dxa"/>
          </w:tcPr>
          <w:p>
            <w:pPr>
              <w:pStyle w:val="TableParagraph"/>
              <w:spacing w:line="289" w:lineRule="exact" w:before="124"/>
              <w:ind w:left="46" w:right="5"/>
              <w:rPr>
                <w:sz w:val="24"/>
              </w:rPr>
            </w:pPr>
            <w:r>
              <w:rPr>
                <w:spacing w:val="-5"/>
                <w:sz w:val="24"/>
              </w:rPr>
              <w:t>90</w:t>
            </w:r>
          </w:p>
        </w:tc>
        <w:tc>
          <w:tcPr>
            <w:tcW w:w="828" w:type="dxa"/>
          </w:tcPr>
          <w:p>
            <w:pPr>
              <w:pStyle w:val="TableParagraph"/>
              <w:spacing w:line="289" w:lineRule="exact" w:before="124"/>
              <w:ind w:left="4" w:right="46"/>
              <w:rPr>
                <w:sz w:val="24"/>
              </w:rPr>
            </w:pPr>
            <w:r>
              <w:rPr>
                <w:spacing w:val="-5"/>
                <w:sz w:val="24"/>
              </w:rPr>
              <w:t>75</w:t>
            </w:r>
          </w:p>
        </w:tc>
        <w:tc>
          <w:tcPr>
            <w:tcW w:w="871" w:type="dxa"/>
          </w:tcPr>
          <w:p>
            <w:pPr>
              <w:pStyle w:val="TableParagraph"/>
              <w:spacing w:line="289" w:lineRule="exact" w:before="124"/>
              <w:ind w:left="8" w:right="8"/>
              <w:rPr>
                <w:sz w:val="24"/>
              </w:rPr>
            </w:pPr>
            <w:r>
              <w:rPr>
                <w:spacing w:val="-5"/>
                <w:sz w:val="24"/>
              </w:rPr>
              <w:t>100</w:t>
            </w:r>
          </w:p>
        </w:tc>
        <w:tc>
          <w:tcPr>
            <w:tcW w:w="840" w:type="dxa"/>
          </w:tcPr>
          <w:p>
            <w:pPr>
              <w:pStyle w:val="TableParagraph"/>
              <w:spacing w:line="289" w:lineRule="exact" w:before="124"/>
              <w:ind w:left="67" w:right="37"/>
              <w:rPr>
                <w:sz w:val="24"/>
              </w:rPr>
            </w:pPr>
            <w:r>
              <w:rPr>
                <w:spacing w:val="-5"/>
                <w:sz w:val="24"/>
              </w:rPr>
              <w:t>80</w:t>
            </w:r>
          </w:p>
        </w:tc>
        <w:tc>
          <w:tcPr>
            <w:tcW w:w="931" w:type="dxa"/>
          </w:tcPr>
          <w:p>
            <w:pPr>
              <w:pStyle w:val="TableParagraph"/>
              <w:spacing w:line="289" w:lineRule="exact" w:before="124"/>
              <w:ind w:left="2" w:right="2"/>
              <w:rPr>
                <w:sz w:val="24"/>
              </w:rPr>
            </w:pPr>
            <w:r>
              <w:rPr>
                <w:spacing w:val="-5"/>
                <w:sz w:val="24"/>
              </w:rPr>
              <w:t>73</w:t>
            </w:r>
          </w:p>
        </w:tc>
        <w:tc>
          <w:tcPr>
            <w:tcW w:w="840" w:type="dxa"/>
          </w:tcPr>
          <w:p>
            <w:pPr>
              <w:pStyle w:val="TableParagraph"/>
              <w:spacing w:line="289" w:lineRule="exact" w:before="124"/>
              <w:ind w:left="35" w:right="54"/>
              <w:rPr>
                <w:sz w:val="24"/>
              </w:rPr>
            </w:pPr>
            <w:r>
              <w:rPr>
                <w:spacing w:val="-5"/>
                <w:sz w:val="24"/>
              </w:rPr>
              <w:t>100</w:t>
            </w:r>
          </w:p>
        </w:tc>
        <w:tc>
          <w:tcPr>
            <w:tcW w:w="869" w:type="dxa"/>
          </w:tcPr>
          <w:p>
            <w:pPr>
              <w:pStyle w:val="TableParagraph"/>
              <w:spacing w:line="289" w:lineRule="exact" w:before="124"/>
              <w:ind w:left="6"/>
              <w:rPr>
                <w:sz w:val="24"/>
              </w:rPr>
            </w:pPr>
            <w:r>
              <w:rPr>
                <w:spacing w:val="-5"/>
                <w:sz w:val="24"/>
              </w:rPr>
              <w:t>100</w:t>
            </w:r>
          </w:p>
        </w:tc>
        <w:tc>
          <w:tcPr>
            <w:tcW w:w="843" w:type="dxa"/>
          </w:tcPr>
          <w:p>
            <w:pPr>
              <w:pStyle w:val="TableParagraph"/>
              <w:spacing w:line="289" w:lineRule="exact" w:before="124"/>
              <w:ind w:left="32"/>
              <w:rPr>
                <w:sz w:val="24"/>
              </w:rPr>
            </w:pPr>
            <w:r>
              <w:rPr>
                <w:spacing w:val="-5"/>
                <w:sz w:val="24"/>
              </w:rPr>
              <w:t>100</w:t>
            </w:r>
          </w:p>
        </w:tc>
        <w:tc>
          <w:tcPr>
            <w:tcW w:w="932" w:type="dxa"/>
          </w:tcPr>
          <w:p>
            <w:pPr>
              <w:pStyle w:val="TableParagraph"/>
              <w:spacing w:line="289" w:lineRule="exact" w:before="124"/>
              <w:ind w:left="42" w:right="42"/>
              <w:rPr>
                <w:sz w:val="24"/>
              </w:rPr>
            </w:pPr>
            <w:r>
              <w:rPr>
                <w:spacing w:val="-4"/>
                <w:sz w:val="24"/>
              </w:rPr>
              <w:t>86.2</w:t>
            </w:r>
          </w:p>
        </w:tc>
        <w:tc>
          <w:tcPr>
            <w:tcW w:w="840" w:type="dxa"/>
          </w:tcPr>
          <w:p>
            <w:pPr>
              <w:pStyle w:val="TableParagraph"/>
              <w:spacing w:line="289" w:lineRule="exact" w:before="124"/>
              <w:ind w:left="35" w:right="67"/>
              <w:rPr>
                <w:sz w:val="24"/>
              </w:rPr>
            </w:pPr>
            <w:r>
              <w:rPr>
                <w:spacing w:val="-5"/>
                <w:sz w:val="24"/>
              </w:rPr>
              <w:t>80</w:t>
            </w:r>
          </w:p>
        </w:tc>
      </w:tr>
    </w:tbl>
    <w:p>
      <w:pPr>
        <w:pStyle w:val="BodyText"/>
        <w:spacing w:before="4"/>
        <w:rPr>
          <w:b/>
          <w:sz w:val="18"/>
        </w:rPr>
      </w:pPr>
      <w:r>
        <w:rPr/>
        <mc:AlternateContent>
          <mc:Choice Requires="wps">
            <w:drawing>
              <wp:anchor distT="0" distB="0" distL="0" distR="0" allowOverlap="1" layoutInCell="1" locked="0" behindDoc="1" simplePos="0" relativeHeight="487600128">
                <wp:simplePos x="0" y="0"/>
                <wp:positionH relativeFrom="page">
                  <wp:posOffset>835152</wp:posOffset>
                </wp:positionH>
                <wp:positionV relativeFrom="paragraph">
                  <wp:posOffset>157733</wp:posOffset>
                </wp:positionV>
                <wp:extent cx="6093460"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2.419991pt;width:479.760023pt;height:.48pt;mso-position-horizontal-relative:page;mso-position-vertical-relative:paragraph;z-index:-15716352;mso-wrap-distance-left:0;mso-wrap-distance-right:0" id="docshape37" filled="true" fillcolor="#000000" stroked="false">
                <v:fill type="solid"/>
                <w10:wrap type="topAndBottom"/>
              </v:rect>
            </w:pict>
          </mc:Fallback>
        </mc:AlternateContent>
      </w:r>
    </w:p>
    <w:p>
      <w:pPr>
        <w:pStyle w:val="BodyText"/>
        <w:rPr>
          <w:b/>
        </w:rPr>
      </w:pPr>
    </w:p>
    <w:p>
      <w:pPr>
        <w:pStyle w:val="BodyText"/>
        <w:spacing w:before="199"/>
        <w:rPr>
          <w:b/>
        </w:rPr>
      </w:pPr>
    </w:p>
    <w:p>
      <w:pPr>
        <w:pStyle w:val="BodyText"/>
        <w:spacing w:line="477" w:lineRule="auto"/>
        <w:ind w:left="920" w:right="1172"/>
        <w:jc w:val="both"/>
      </w:pPr>
      <w:r>
        <w:rPr>
          <w:b/>
        </w:rPr>
        <w:t>KEY</w:t>
      </w:r>
      <w:r>
        <w:rPr/>
        <w:t>: Amx= Amoxicillin, Amc= Amoxicillin/clavulanic acid, Chl= Chloramphenicol, Cot= Cotrimoxazole, Cxc= Cloxacillin, Ery= Erythromycin, Gen= Gentamicin, Nal= Nalidixic acid, Nit= Nitrofurantoin, Ofl= Ofloxacin, Tet= Tetracycline.</w:t>
      </w:r>
    </w:p>
    <w:p>
      <w:pPr>
        <w:spacing w:after="0" w:line="477" w:lineRule="auto"/>
        <w:jc w:val="both"/>
        <w:sectPr>
          <w:pgSz w:w="12240" w:h="15840"/>
          <w:pgMar w:header="0" w:footer="1017" w:top="1400" w:bottom="1200" w:left="520" w:right="260"/>
        </w:sectPr>
      </w:pPr>
    </w:p>
    <w:p>
      <w:pPr>
        <w:pStyle w:val="BodyText"/>
        <w:spacing w:before="87"/>
      </w:pPr>
    </w:p>
    <w:p>
      <w:pPr>
        <w:pStyle w:val="Heading5"/>
        <w:numPr>
          <w:ilvl w:val="1"/>
          <w:numId w:val="18"/>
        </w:numPr>
        <w:tabs>
          <w:tab w:pos="1245" w:val="left" w:leader="none"/>
        </w:tabs>
        <w:spacing w:line="240" w:lineRule="auto" w:before="0" w:after="0"/>
        <w:ind w:left="1245" w:right="0" w:hanging="325"/>
        <w:jc w:val="left"/>
      </w:pPr>
      <w:r>
        <w:rPr/>
        <w:t>MINIMUM</w:t>
      </w:r>
      <w:r>
        <w:rPr>
          <w:spacing w:val="-9"/>
        </w:rPr>
        <w:t> </w:t>
      </w:r>
      <w:r>
        <w:rPr/>
        <w:t>INHIBITORY</w:t>
      </w:r>
      <w:r>
        <w:rPr>
          <w:spacing w:val="-5"/>
        </w:rPr>
        <w:t> </w:t>
      </w:r>
      <w:r>
        <w:rPr/>
        <w:t>CONCENTRATIONS</w:t>
      </w:r>
      <w:r>
        <w:rPr>
          <w:spacing w:val="-4"/>
        </w:rPr>
        <w:t> </w:t>
      </w:r>
      <w:r>
        <w:rPr/>
        <w:t>OF</w:t>
      </w:r>
      <w:r>
        <w:rPr>
          <w:spacing w:val="-5"/>
        </w:rPr>
        <w:t> </w:t>
      </w:r>
      <w:r>
        <w:rPr/>
        <w:t>SELECTED</w:t>
      </w:r>
      <w:r>
        <w:rPr>
          <w:spacing w:val="-5"/>
        </w:rPr>
        <w:t> </w:t>
      </w:r>
      <w:r>
        <w:rPr>
          <w:spacing w:val="-2"/>
        </w:rPr>
        <w:t>ANTIBIOTICS</w:t>
      </w:r>
    </w:p>
    <w:p>
      <w:pPr>
        <w:pStyle w:val="BodyText"/>
        <w:spacing w:before="197"/>
        <w:rPr>
          <w:b/>
        </w:rPr>
      </w:pPr>
    </w:p>
    <w:p>
      <w:pPr>
        <w:pStyle w:val="BodyText"/>
        <w:spacing w:line="480" w:lineRule="auto" w:before="1"/>
        <w:ind w:left="920" w:right="1176"/>
        <w:jc w:val="both"/>
      </w:pPr>
      <w:r>
        <w:rPr/>
        <w:t>Table 4.9 shows antibiotic resistance profile of twenty-six isolates based on Minimum Inhibitory Concencentrations determined. Peak plasma level of each tested antibiotics was used as breakpoint to determine resistance. Ofloxacin showed highest activity while isolates were highly resistant to</w:t>
      </w:r>
      <w:r>
        <w:rPr>
          <w:spacing w:val="40"/>
        </w:rPr>
        <w:t> </w:t>
      </w:r>
      <w:r>
        <w:rPr/>
        <w:t>amoxicillin (100%) followed by tetracycline (92%).</w:t>
      </w:r>
    </w:p>
    <w:p>
      <w:pPr>
        <w:pStyle w:val="BodyText"/>
        <w:spacing w:line="480" w:lineRule="auto" w:before="242"/>
        <w:ind w:left="920" w:right="1176"/>
        <w:jc w:val="both"/>
      </w:pPr>
      <w:r>
        <w:rPr/>
        <w:t>The result obtained in this study shows that all isolates from each study area were resistant to amoxicillin (100%). Bacterial isolates from milk samples that were bought from Zaria city were more resistant to chloramphenicol (60%) and tetracycline (80%) than those from the four other locations. Resistance to ofloxacin was generally low within Tudun wada and Wusasa and no resistance was recorded against isolates from Samaru, Sabo Gari and Zaria city (Table 4.10).</w:t>
      </w:r>
    </w:p>
    <w:p>
      <w:pPr>
        <w:pStyle w:val="BodyText"/>
        <w:spacing w:line="480" w:lineRule="auto" w:before="242"/>
        <w:ind w:left="920" w:right="1172"/>
        <w:jc w:val="both"/>
      </w:pPr>
      <w:r>
        <w:rPr/>
        <w:t>Table 4.11 shows that all the isolates were resistant to amoxicillin (100%). High resistance against chloramphenicol and tetracycline were seen to occur among </w:t>
      </w:r>
      <w:r>
        <w:rPr>
          <w:i/>
        </w:rPr>
        <w:t>E. coli </w:t>
      </w:r>
      <w:r>
        <w:rPr/>
        <w:t>and </w:t>
      </w:r>
      <w:r>
        <w:rPr>
          <w:i/>
        </w:rPr>
        <w:t>Enterobacter species </w:t>
      </w:r>
      <w:r>
        <w:rPr/>
        <w:t>while no resistance was recorded against </w:t>
      </w:r>
      <w:r>
        <w:rPr>
          <w:i/>
        </w:rPr>
        <w:t>Proteus spp </w:t>
      </w:r>
      <w:r>
        <w:rPr/>
        <w:t>and </w:t>
      </w:r>
      <w:r>
        <w:rPr>
          <w:i/>
        </w:rPr>
        <w:t>Providencia spp</w:t>
      </w:r>
      <w:r>
        <w:rPr/>
        <w:t>. Ofloxacin was more effective than other antibiotics tested.</w:t>
      </w:r>
    </w:p>
    <w:p>
      <w:pPr>
        <w:pStyle w:val="BodyText"/>
        <w:spacing w:line="480" w:lineRule="auto" w:before="237"/>
        <w:ind w:left="920" w:right="1176"/>
        <w:jc w:val="both"/>
      </w:pPr>
      <w:r>
        <w:rPr/>
        <w:t>Table 4.12 shows that isolates from the milk sample were found to be multi-resistant with MAR index of at least 0.2. 22.2% of the bacterial isolates had MAR index of 0.7, 16.7% had MAR index of 0.9, while Lower percentage of the isolates (2.2%) had MAR index of 1.0.</w:t>
      </w:r>
    </w:p>
    <w:p>
      <w:pPr>
        <w:spacing w:after="0" w:line="480" w:lineRule="auto"/>
        <w:jc w:val="both"/>
        <w:sectPr>
          <w:pgSz w:w="12240" w:h="15840"/>
          <w:pgMar w:header="0" w:footer="1017" w:top="1820" w:bottom="1200" w:left="520" w:right="260"/>
        </w:sectPr>
      </w:pPr>
    </w:p>
    <w:p>
      <w:pPr>
        <w:pStyle w:val="BodyText"/>
        <w:spacing w:before="87"/>
      </w:pPr>
    </w:p>
    <w:p>
      <w:pPr>
        <w:pStyle w:val="Heading6"/>
        <w:ind w:left="920" w:firstLine="0"/>
      </w:pPr>
      <w:r>
        <w:rPr/>
        <w:t>Table</w:t>
      </w:r>
      <w:r>
        <w:rPr>
          <w:spacing w:val="1"/>
        </w:rPr>
        <w:t> </w:t>
      </w:r>
      <w:r>
        <w:rPr/>
        <w:t>4.9:</w:t>
      </w:r>
      <w:r>
        <w:rPr>
          <w:spacing w:val="5"/>
        </w:rPr>
        <w:t> </w:t>
      </w:r>
      <w:r>
        <w:rPr/>
        <w:t>Antibiotics</w:t>
      </w:r>
      <w:r>
        <w:rPr>
          <w:spacing w:val="2"/>
        </w:rPr>
        <w:t> </w:t>
      </w:r>
      <w:r>
        <w:rPr/>
        <w:t>Susceptibility</w:t>
      </w:r>
      <w:r>
        <w:rPr>
          <w:spacing w:val="4"/>
        </w:rPr>
        <w:t> </w:t>
      </w:r>
      <w:r>
        <w:rPr/>
        <w:t>Profiles</w:t>
      </w:r>
      <w:r>
        <w:rPr>
          <w:spacing w:val="3"/>
        </w:rPr>
        <w:t> </w:t>
      </w:r>
      <w:r>
        <w:rPr/>
        <w:t>of</w:t>
      </w:r>
      <w:r>
        <w:rPr>
          <w:spacing w:val="5"/>
        </w:rPr>
        <w:t> </w:t>
      </w:r>
      <w:r>
        <w:rPr/>
        <w:t>Selected</w:t>
      </w:r>
      <w:r>
        <w:rPr>
          <w:spacing w:val="5"/>
        </w:rPr>
        <w:t> </w:t>
      </w:r>
      <w:r>
        <w:rPr/>
        <w:t>Isolates</w:t>
      </w:r>
      <w:r>
        <w:rPr>
          <w:spacing w:val="2"/>
        </w:rPr>
        <w:t> </w:t>
      </w:r>
      <w:r>
        <w:rPr/>
        <w:t>based</w:t>
      </w:r>
      <w:r>
        <w:rPr>
          <w:spacing w:val="5"/>
        </w:rPr>
        <w:t> </w:t>
      </w:r>
      <w:r>
        <w:rPr/>
        <w:t>on</w:t>
      </w:r>
      <w:r>
        <w:rPr>
          <w:spacing w:val="6"/>
        </w:rPr>
        <w:t> </w:t>
      </w:r>
      <w:r>
        <w:rPr/>
        <w:t>their</w:t>
      </w:r>
      <w:r>
        <w:rPr>
          <w:spacing w:val="2"/>
        </w:rPr>
        <w:t> </w:t>
      </w:r>
      <w:r>
        <w:rPr/>
        <w:t>M.I.C</w:t>
      </w:r>
      <w:r>
        <w:rPr>
          <w:spacing w:val="2"/>
        </w:rPr>
        <w:t> </w:t>
      </w:r>
      <w:r>
        <w:rPr/>
        <w:t>and</w:t>
      </w:r>
      <w:r>
        <w:rPr>
          <w:spacing w:val="5"/>
        </w:rPr>
        <w:t> </w:t>
      </w:r>
      <w:r>
        <w:rPr/>
        <w:t>Peak</w:t>
      </w:r>
      <w:r>
        <w:rPr>
          <w:spacing w:val="4"/>
        </w:rPr>
        <w:t> </w:t>
      </w:r>
      <w:r>
        <w:rPr>
          <w:spacing w:val="-2"/>
        </w:rPr>
        <w:t>Plasma</w:t>
      </w:r>
    </w:p>
    <w:p>
      <w:pPr>
        <w:pStyle w:val="BodyText"/>
        <w:spacing w:before="6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0"/>
        <w:gridCol w:w="1787"/>
        <w:gridCol w:w="1900"/>
        <w:gridCol w:w="1906"/>
        <w:gridCol w:w="1926"/>
      </w:tblGrid>
      <w:tr>
        <w:trPr>
          <w:trHeight w:val="698" w:hRule="atLeast"/>
        </w:trPr>
        <w:tc>
          <w:tcPr>
            <w:tcW w:w="2060" w:type="dxa"/>
            <w:tcBorders>
              <w:bottom w:val="single" w:sz="4" w:space="0" w:color="000000"/>
            </w:tcBorders>
          </w:tcPr>
          <w:p>
            <w:pPr>
              <w:pStyle w:val="TableParagraph"/>
              <w:ind w:left="1372"/>
              <w:jc w:val="left"/>
              <w:rPr>
                <w:b/>
                <w:sz w:val="22"/>
              </w:rPr>
            </w:pPr>
            <w:r>
              <w:rPr>
                <w:b/>
                <w:spacing w:val="-2"/>
                <w:sz w:val="22"/>
              </w:rPr>
              <w:t>Levels</w:t>
            </w:r>
          </w:p>
        </w:tc>
        <w:tc>
          <w:tcPr>
            <w:tcW w:w="7519" w:type="dxa"/>
            <w:gridSpan w:val="4"/>
            <w:tcBorders>
              <w:bottom w:val="single" w:sz="4" w:space="0" w:color="000000"/>
            </w:tcBorders>
          </w:tcPr>
          <w:p>
            <w:pPr>
              <w:pStyle w:val="TableParagraph"/>
              <w:spacing w:line="240" w:lineRule="auto"/>
              <w:jc w:val="left"/>
              <w:rPr>
                <w:rFonts w:ascii="Times New Roman"/>
                <w:sz w:val="22"/>
              </w:rPr>
            </w:pPr>
          </w:p>
        </w:tc>
      </w:tr>
      <w:tr>
        <w:trPr>
          <w:trHeight w:val="585" w:hRule="atLeast"/>
        </w:trPr>
        <w:tc>
          <w:tcPr>
            <w:tcW w:w="2060"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2"/>
                <w:sz w:val="24"/>
              </w:rPr>
              <w:t>Antbiotics</w:t>
            </w:r>
          </w:p>
        </w:tc>
        <w:tc>
          <w:tcPr>
            <w:tcW w:w="1787" w:type="dxa"/>
            <w:tcBorders>
              <w:top w:val="single" w:sz="4" w:space="0" w:color="000000"/>
              <w:bottom w:val="single" w:sz="4" w:space="0" w:color="000000"/>
            </w:tcBorders>
          </w:tcPr>
          <w:p>
            <w:pPr>
              <w:pStyle w:val="TableParagraph"/>
              <w:spacing w:line="240" w:lineRule="auto" w:before="1"/>
              <w:ind w:right="164"/>
              <w:rPr>
                <w:b/>
                <w:sz w:val="24"/>
              </w:rPr>
            </w:pPr>
            <w:r>
              <w:rPr>
                <w:b/>
                <w:sz w:val="24"/>
              </w:rPr>
              <w:t>No</w:t>
            </w:r>
            <w:r>
              <w:rPr>
                <w:b/>
                <w:spacing w:val="-4"/>
                <w:sz w:val="24"/>
              </w:rPr>
              <w:t> </w:t>
            </w:r>
            <w:r>
              <w:rPr>
                <w:b/>
                <w:sz w:val="24"/>
              </w:rPr>
              <w:t>of</w:t>
            </w:r>
            <w:r>
              <w:rPr>
                <w:b/>
                <w:spacing w:val="-3"/>
                <w:sz w:val="24"/>
              </w:rPr>
              <w:t> </w:t>
            </w:r>
            <w:r>
              <w:rPr>
                <w:b/>
                <w:spacing w:val="-2"/>
                <w:sz w:val="24"/>
              </w:rPr>
              <w:t>Isolates</w:t>
            </w:r>
          </w:p>
        </w:tc>
        <w:tc>
          <w:tcPr>
            <w:tcW w:w="1900" w:type="dxa"/>
            <w:tcBorders>
              <w:top w:val="single" w:sz="4" w:space="0" w:color="000000"/>
              <w:bottom w:val="single" w:sz="4" w:space="0" w:color="000000"/>
            </w:tcBorders>
          </w:tcPr>
          <w:p>
            <w:pPr>
              <w:pStyle w:val="TableParagraph"/>
              <w:spacing w:line="240" w:lineRule="auto" w:before="1"/>
              <w:ind w:left="2" w:right="19"/>
              <w:rPr>
                <w:b/>
                <w:sz w:val="24"/>
              </w:rPr>
            </w:pPr>
            <w:r>
              <w:rPr>
                <w:b/>
                <w:spacing w:val="-2"/>
                <w:sz w:val="24"/>
              </w:rPr>
              <w:t>Resistant</w:t>
            </w:r>
            <w:r>
              <w:rPr>
                <w:b/>
                <w:spacing w:val="1"/>
                <w:sz w:val="24"/>
              </w:rPr>
              <w:t> </w:t>
            </w:r>
            <w:r>
              <w:rPr>
                <w:b/>
                <w:spacing w:val="-5"/>
                <w:sz w:val="24"/>
              </w:rPr>
              <w:t>NO</w:t>
            </w:r>
          </w:p>
        </w:tc>
        <w:tc>
          <w:tcPr>
            <w:tcW w:w="1906" w:type="dxa"/>
            <w:tcBorders>
              <w:top w:val="single" w:sz="4" w:space="0" w:color="000000"/>
              <w:bottom w:val="single" w:sz="4" w:space="0" w:color="000000"/>
            </w:tcBorders>
          </w:tcPr>
          <w:p>
            <w:pPr>
              <w:pStyle w:val="TableParagraph"/>
              <w:spacing w:line="240" w:lineRule="auto" w:before="1"/>
              <w:ind w:left="11"/>
              <w:rPr>
                <w:b/>
                <w:sz w:val="24"/>
              </w:rPr>
            </w:pPr>
            <w:r>
              <w:rPr>
                <w:b/>
                <w:sz w:val="24"/>
              </w:rPr>
              <w:t>%</w:t>
            </w:r>
            <w:r>
              <w:rPr>
                <w:b/>
                <w:spacing w:val="-5"/>
                <w:sz w:val="24"/>
              </w:rPr>
              <w:t> </w:t>
            </w:r>
            <w:r>
              <w:rPr>
                <w:b/>
                <w:spacing w:val="-2"/>
                <w:sz w:val="24"/>
              </w:rPr>
              <w:t>Resistance</w:t>
            </w:r>
          </w:p>
        </w:tc>
        <w:tc>
          <w:tcPr>
            <w:tcW w:w="1926" w:type="dxa"/>
            <w:tcBorders>
              <w:top w:val="single" w:sz="4" w:space="0" w:color="000000"/>
              <w:bottom w:val="single" w:sz="4" w:space="0" w:color="000000"/>
            </w:tcBorders>
          </w:tcPr>
          <w:p>
            <w:pPr>
              <w:pStyle w:val="TableParagraph"/>
              <w:spacing w:line="240" w:lineRule="auto" w:before="1"/>
              <w:ind w:left="338"/>
              <w:jc w:val="left"/>
              <w:rPr>
                <w:b/>
                <w:sz w:val="24"/>
              </w:rPr>
            </w:pPr>
            <w:r>
              <w:rPr>
                <w:b/>
                <w:sz w:val="24"/>
              </w:rPr>
              <w:t>Peak</w:t>
            </w:r>
            <w:r>
              <w:rPr>
                <w:b/>
                <w:spacing w:val="-5"/>
                <w:sz w:val="24"/>
              </w:rPr>
              <w:t> </w:t>
            </w:r>
            <w:r>
              <w:rPr>
                <w:b/>
                <w:spacing w:val="-2"/>
                <w:sz w:val="24"/>
              </w:rPr>
              <w:t>Plasma</w:t>
            </w:r>
          </w:p>
          <w:p>
            <w:pPr>
              <w:pStyle w:val="TableParagraph"/>
              <w:spacing w:line="271" w:lineRule="exact"/>
              <w:ind w:left="305"/>
              <w:jc w:val="left"/>
              <w:rPr>
                <w:b/>
                <w:sz w:val="24"/>
              </w:rPr>
            </w:pPr>
            <w:r>
              <w:rPr>
                <w:b/>
                <w:sz w:val="24"/>
              </w:rPr>
              <w:t>Level</w:t>
            </w:r>
            <w:r>
              <w:rPr>
                <w:b/>
                <w:spacing w:val="-11"/>
                <w:sz w:val="24"/>
              </w:rPr>
              <w:t> </w:t>
            </w:r>
            <w:r>
              <w:rPr>
                <w:b/>
                <w:spacing w:val="-2"/>
                <w:sz w:val="24"/>
              </w:rPr>
              <w:t>(µg/ml)</w:t>
            </w:r>
          </w:p>
        </w:tc>
      </w:tr>
      <w:tr>
        <w:trPr>
          <w:trHeight w:val="561" w:hRule="atLeast"/>
        </w:trPr>
        <w:tc>
          <w:tcPr>
            <w:tcW w:w="2060" w:type="dxa"/>
            <w:tcBorders>
              <w:top w:val="single" w:sz="4" w:space="0" w:color="000000"/>
            </w:tcBorders>
          </w:tcPr>
          <w:p>
            <w:pPr>
              <w:pStyle w:val="TableParagraph"/>
              <w:spacing w:line="240" w:lineRule="auto" w:before="1"/>
              <w:ind w:left="110"/>
              <w:jc w:val="left"/>
              <w:rPr>
                <w:sz w:val="24"/>
              </w:rPr>
            </w:pPr>
            <w:r>
              <w:rPr>
                <w:spacing w:val="-2"/>
                <w:sz w:val="24"/>
              </w:rPr>
              <w:t>Amoxicillin</w:t>
            </w:r>
          </w:p>
        </w:tc>
        <w:tc>
          <w:tcPr>
            <w:tcW w:w="1787" w:type="dxa"/>
            <w:tcBorders>
              <w:top w:val="single" w:sz="4" w:space="0" w:color="000000"/>
            </w:tcBorders>
          </w:tcPr>
          <w:p>
            <w:pPr>
              <w:pStyle w:val="TableParagraph"/>
              <w:spacing w:line="240" w:lineRule="auto" w:before="1"/>
              <w:ind w:left="2" w:right="164"/>
              <w:rPr>
                <w:sz w:val="24"/>
              </w:rPr>
            </w:pPr>
            <w:r>
              <w:rPr>
                <w:spacing w:val="-5"/>
                <w:sz w:val="24"/>
              </w:rPr>
              <w:t>26</w:t>
            </w:r>
          </w:p>
        </w:tc>
        <w:tc>
          <w:tcPr>
            <w:tcW w:w="1900" w:type="dxa"/>
            <w:tcBorders>
              <w:top w:val="single" w:sz="4" w:space="0" w:color="000000"/>
            </w:tcBorders>
          </w:tcPr>
          <w:p>
            <w:pPr>
              <w:pStyle w:val="TableParagraph"/>
              <w:spacing w:line="240" w:lineRule="auto" w:before="1"/>
              <w:ind w:right="19"/>
              <w:rPr>
                <w:sz w:val="24"/>
              </w:rPr>
            </w:pPr>
            <w:r>
              <w:rPr>
                <w:spacing w:val="-5"/>
                <w:sz w:val="24"/>
              </w:rPr>
              <w:t>26</w:t>
            </w:r>
          </w:p>
        </w:tc>
        <w:tc>
          <w:tcPr>
            <w:tcW w:w="1906" w:type="dxa"/>
            <w:tcBorders>
              <w:top w:val="single" w:sz="4" w:space="0" w:color="000000"/>
            </w:tcBorders>
          </w:tcPr>
          <w:p>
            <w:pPr>
              <w:pStyle w:val="TableParagraph"/>
              <w:spacing w:line="240" w:lineRule="auto" w:before="1"/>
              <w:ind w:left="11" w:right="4"/>
              <w:rPr>
                <w:sz w:val="24"/>
              </w:rPr>
            </w:pPr>
            <w:r>
              <w:rPr>
                <w:spacing w:val="-5"/>
                <w:sz w:val="24"/>
              </w:rPr>
              <w:t>100</w:t>
            </w:r>
          </w:p>
        </w:tc>
        <w:tc>
          <w:tcPr>
            <w:tcW w:w="1926" w:type="dxa"/>
            <w:tcBorders>
              <w:top w:val="single" w:sz="4" w:space="0" w:color="000000"/>
            </w:tcBorders>
          </w:tcPr>
          <w:p>
            <w:pPr>
              <w:pStyle w:val="TableParagraph"/>
              <w:spacing w:line="240" w:lineRule="auto" w:before="1"/>
              <w:ind w:left="6"/>
              <w:rPr>
                <w:sz w:val="24"/>
              </w:rPr>
            </w:pPr>
            <w:r>
              <w:rPr>
                <w:spacing w:val="-10"/>
                <w:sz w:val="24"/>
              </w:rPr>
              <w:t>5</w:t>
            </w:r>
          </w:p>
        </w:tc>
      </w:tr>
      <w:tr>
        <w:trPr>
          <w:trHeight w:val="823" w:hRule="atLeast"/>
        </w:trPr>
        <w:tc>
          <w:tcPr>
            <w:tcW w:w="2060" w:type="dxa"/>
          </w:tcPr>
          <w:p>
            <w:pPr>
              <w:pStyle w:val="TableParagraph"/>
              <w:spacing w:line="240" w:lineRule="auto" w:before="222"/>
              <w:ind w:left="110"/>
              <w:jc w:val="left"/>
              <w:rPr>
                <w:sz w:val="24"/>
              </w:rPr>
            </w:pPr>
            <w:r>
              <w:rPr>
                <w:spacing w:val="-2"/>
                <w:sz w:val="24"/>
              </w:rPr>
              <w:t>Chloramphenicol</w:t>
            </w:r>
          </w:p>
        </w:tc>
        <w:tc>
          <w:tcPr>
            <w:tcW w:w="1787" w:type="dxa"/>
          </w:tcPr>
          <w:p>
            <w:pPr>
              <w:pStyle w:val="TableParagraph"/>
              <w:spacing w:line="240" w:lineRule="auto" w:before="222"/>
              <w:ind w:left="2" w:right="164"/>
              <w:rPr>
                <w:sz w:val="24"/>
              </w:rPr>
            </w:pPr>
            <w:r>
              <w:rPr>
                <w:spacing w:val="-5"/>
                <w:sz w:val="24"/>
              </w:rPr>
              <w:t>26</w:t>
            </w:r>
          </w:p>
        </w:tc>
        <w:tc>
          <w:tcPr>
            <w:tcW w:w="1900" w:type="dxa"/>
          </w:tcPr>
          <w:p>
            <w:pPr>
              <w:pStyle w:val="TableParagraph"/>
              <w:spacing w:line="240" w:lineRule="auto" w:before="222"/>
              <w:ind w:left="5" w:right="19"/>
              <w:rPr>
                <w:sz w:val="24"/>
              </w:rPr>
            </w:pPr>
            <w:r>
              <w:rPr>
                <w:spacing w:val="-10"/>
                <w:sz w:val="24"/>
              </w:rPr>
              <w:t>9</w:t>
            </w:r>
          </w:p>
        </w:tc>
        <w:tc>
          <w:tcPr>
            <w:tcW w:w="1906" w:type="dxa"/>
          </w:tcPr>
          <w:p>
            <w:pPr>
              <w:pStyle w:val="TableParagraph"/>
              <w:spacing w:line="240" w:lineRule="auto" w:before="222"/>
              <w:ind w:left="11" w:right="8"/>
              <w:rPr>
                <w:sz w:val="24"/>
              </w:rPr>
            </w:pPr>
            <w:r>
              <w:rPr>
                <w:spacing w:val="-5"/>
                <w:sz w:val="24"/>
              </w:rPr>
              <w:t>35</w:t>
            </w:r>
          </w:p>
        </w:tc>
        <w:tc>
          <w:tcPr>
            <w:tcW w:w="1926" w:type="dxa"/>
          </w:tcPr>
          <w:p>
            <w:pPr>
              <w:pStyle w:val="TableParagraph"/>
              <w:spacing w:line="240" w:lineRule="auto" w:before="222"/>
              <w:ind w:left="6" w:right="5"/>
              <w:rPr>
                <w:sz w:val="24"/>
              </w:rPr>
            </w:pPr>
            <w:r>
              <w:rPr>
                <w:sz w:val="24"/>
              </w:rPr>
              <w:t>10</w:t>
            </w:r>
            <w:r>
              <w:rPr>
                <w:spacing w:val="-6"/>
                <w:sz w:val="24"/>
              </w:rPr>
              <w:t> </w:t>
            </w:r>
            <w:r>
              <w:rPr>
                <w:sz w:val="24"/>
              </w:rPr>
              <w:t>–</w:t>
            </w:r>
            <w:r>
              <w:rPr>
                <w:spacing w:val="1"/>
                <w:sz w:val="24"/>
              </w:rPr>
              <w:t> </w:t>
            </w:r>
            <w:r>
              <w:rPr>
                <w:spacing w:val="-5"/>
                <w:sz w:val="24"/>
              </w:rPr>
              <w:t>25</w:t>
            </w:r>
          </w:p>
        </w:tc>
      </w:tr>
      <w:tr>
        <w:trPr>
          <w:trHeight w:val="844" w:hRule="atLeast"/>
        </w:trPr>
        <w:tc>
          <w:tcPr>
            <w:tcW w:w="2060" w:type="dxa"/>
          </w:tcPr>
          <w:p>
            <w:pPr>
              <w:pStyle w:val="TableParagraph"/>
              <w:spacing w:line="240" w:lineRule="auto" w:before="263"/>
              <w:ind w:left="110"/>
              <w:jc w:val="left"/>
              <w:rPr>
                <w:sz w:val="24"/>
              </w:rPr>
            </w:pPr>
            <w:r>
              <w:rPr>
                <w:spacing w:val="-2"/>
                <w:sz w:val="24"/>
              </w:rPr>
              <w:t>Ofloxacin</w:t>
            </w:r>
          </w:p>
        </w:tc>
        <w:tc>
          <w:tcPr>
            <w:tcW w:w="1787" w:type="dxa"/>
          </w:tcPr>
          <w:p>
            <w:pPr>
              <w:pStyle w:val="TableParagraph"/>
              <w:spacing w:line="240" w:lineRule="auto" w:before="263"/>
              <w:ind w:left="2" w:right="164"/>
              <w:rPr>
                <w:sz w:val="24"/>
              </w:rPr>
            </w:pPr>
            <w:r>
              <w:rPr>
                <w:spacing w:val="-5"/>
                <w:sz w:val="24"/>
              </w:rPr>
              <w:t>26</w:t>
            </w:r>
          </w:p>
        </w:tc>
        <w:tc>
          <w:tcPr>
            <w:tcW w:w="1900" w:type="dxa"/>
          </w:tcPr>
          <w:p>
            <w:pPr>
              <w:pStyle w:val="TableParagraph"/>
              <w:spacing w:line="240" w:lineRule="auto" w:before="263"/>
              <w:ind w:left="5" w:right="19"/>
              <w:rPr>
                <w:sz w:val="24"/>
              </w:rPr>
            </w:pPr>
            <w:r>
              <w:rPr>
                <w:spacing w:val="-10"/>
                <w:sz w:val="24"/>
              </w:rPr>
              <w:t>2</w:t>
            </w:r>
          </w:p>
        </w:tc>
        <w:tc>
          <w:tcPr>
            <w:tcW w:w="1906" w:type="dxa"/>
          </w:tcPr>
          <w:p>
            <w:pPr>
              <w:pStyle w:val="TableParagraph"/>
              <w:spacing w:line="240" w:lineRule="auto" w:before="263"/>
              <w:ind w:left="11" w:right="4"/>
              <w:rPr>
                <w:sz w:val="24"/>
              </w:rPr>
            </w:pPr>
            <w:r>
              <w:rPr>
                <w:spacing w:val="-10"/>
                <w:sz w:val="24"/>
              </w:rPr>
              <w:t>8</w:t>
            </w:r>
          </w:p>
        </w:tc>
        <w:tc>
          <w:tcPr>
            <w:tcW w:w="1926" w:type="dxa"/>
          </w:tcPr>
          <w:p>
            <w:pPr>
              <w:pStyle w:val="TableParagraph"/>
              <w:spacing w:line="240" w:lineRule="auto" w:before="263"/>
              <w:ind w:left="6"/>
              <w:rPr>
                <w:sz w:val="24"/>
              </w:rPr>
            </w:pPr>
            <w:r>
              <w:rPr>
                <w:sz w:val="24"/>
              </w:rPr>
              <w:t>3</w:t>
            </w:r>
            <w:r>
              <w:rPr>
                <w:spacing w:val="-5"/>
                <w:sz w:val="24"/>
              </w:rPr>
              <w:t> </w:t>
            </w:r>
            <w:r>
              <w:rPr>
                <w:sz w:val="24"/>
              </w:rPr>
              <w:t>–</w:t>
            </w:r>
            <w:r>
              <w:rPr>
                <w:spacing w:val="-2"/>
                <w:sz w:val="24"/>
              </w:rPr>
              <w:t> </w:t>
            </w:r>
            <w:r>
              <w:rPr>
                <w:spacing w:val="-10"/>
                <w:sz w:val="24"/>
              </w:rPr>
              <w:t>5</w:t>
            </w:r>
          </w:p>
        </w:tc>
      </w:tr>
      <w:tr>
        <w:trPr>
          <w:trHeight w:val="532" w:hRule="atLeast"/>
        </w:trPr>
        <w:tc>
          <w:tcPr>
            <w:tcW w:w="2060" w:type="dxa"/>
          </w:tcPr>
          <w:p>
            <w:pPr>
              <w:pStyle w:val="TableParagraph"/>
              <w:spacing w:line="269" w:lineRule="exact" w:before="244"/>
              <w:ind w:left="110"/>
              <w:jc w:val="left"/>
              <w:rPr>
                <w:sz w:val="24"/>
              </w:rPr>
            </w:pPr>
            <w:r>
              <w:rPr>
                <w:spacing w:val="-2"/>
                <w:sz w:val="24"/>
              </w:rPr>
              <w:t>Tetracycline</w:t>
            </w:r>
          </w:p>
        </w:tc>
        <w:tc>
          <w:tcPr>
            <w:tcW w:w="1787" w:type="dxa"/>
          </w:tcPr>
          <w:p>
            <w:pPr>
              <w:pStyle w:val="TableParagraph"/>
              <w:spacing w:line="269" w:lineRule="exact" w:before="244"/>
              <w:ind w:left="2" w:right="164"/>
              <w:rPr>
                <w:sz w:val="24"/>
              </w:rPr>
            </w:pPr>
            <w:r>
              <w:rPr>
                <w:spacing w:val="-5"/>
                <w:sz w:val="24"/>
              </w:rPr>
              <w:t>26</w:t>
            </w:r>
          </w:p>
        </w:tc>
        <w:tc>
          <w:tcPr>
            <w:tcW w:w="1900" w:type="dxa"/>
          </w:tcPr>
          <w:p>
            <w:pPr>
              <w:pStyle w:val="TableParagraph"/>
              <w:spacing w:line="269" w:lineRule="exact" w:before="244"/>
              <w:ind w:right="19"/>
              <w:rPr>
                <w:sz w:val="24"/>
              </w:rPr>
            </w:pPr>
            <w:r>
              <w:rPr>
                <w:spacing w:val="-5"/>
                <w:sz w:val="24"/>
              </w:rPr>
              <w:t>24</w:t>
            </w:r>
          </w:p>
        </w:tc>
        <w:tc>
          <w:tcPr>
            <w:tcW w:w="1906" w:type="dxa"/>
          </w:tcPr>
          <w:p>
            <w:pPr>
              <w:pStyle w:val="TableParagraph"/>
              <w:spacing w:line="269" w:lineRule="exact" w:before="244"/>
              <w:ind w:left="11" w:right="8"/>
              <w:rPr>
                <w:sz w:val="24"/>
              </w:rPr>
            </w:pPr>
            <w:r>
              <w:rPr>
                <w:spacing w:val="-5"/>
                <w:sz w:val="24"/>
              </w:rPr>
              <w:t>92</w:t>
            </w:r>
          </w:p>
        </w:tc>
        <w:tc>
          <w:tcPr>
            <w:tcW w:w="1926" w:type="dxa"/>
          </w:tcPr>
          <w:p>
            <w:pPr>
              <w:pStyle w:val="TableParagraph"/>
              <w:spacing w:line="269" w:lineRule="exact" w:before="244"/>
              <w:ind w:left="6"/>
              <w:rPr>
                <w:sz w:val="24"/>
              </w:rPr>
            </w:pPr>
            <w:r>
              <w:rPr>
                <w:sz w:val="24"/>
              </w:rPr>
              <w:t>4</w:t>
            </w:r>
            <w:r>
              <w:rPr>
                <w:spacing w:val="-5"/>
                <w:sz w:val="24"/>
              </w:rPr>
              <w:t> </w:t>
            </w:r>
            <w:r>
              <w:rPr>
                <w:sz w:val="24"/>
              </w:rPr>
              <w:t>–</w:t>
            </w:r>
            <w:r>
              <w:rPr>
                <w:spacing w:val="-2"/>
                <w:sz w:val="24"/>
              </w:rPr>
              <w:t> </w:t>
            </w:r>
            <w:r>
              <w:rPr>
                <w:spacing w:val="-10"/>
                <w:sz w:val="24"/>
              </w:rPr>
              <w:t>5</w:t>
            </w:r>
          </w:p>
        </w:tc>
      </w:tr>
    </w:tbl>
    <w:p>
      <w:pPr>
        <w:pStyle w:val="BodyText"/>
        <w:rPr>
          <w:b/>
          <w:sz w:val="20"/>
        </w:rPr>
      </w:pPr>
    </w:p>
    <w:p>
      <w:pPr>
        <w:pStyle w:val="BodyText"/>
        <w:spacing w:before="111"/>
        <w:rPr>
          <w:b/>
          <w:sz w:val="20"/>
        </w:rPr>
      </w:pPr>
      <w:r>
        <w:rPr/>
        <mc:AlternateContent>
          <mc:Choice Requires="wps">
            <w:drawing>
              <wp:anchor distT="0" distB="0" distL="0" distR="0" allowOverlap="1" layoutInCell="1" locked="0" behindDoc="1" simplePos="0" relativeHeight="487606272">
                <wp:simplePos x="0" y="0"/>
                <wp:positionH relativeFrom="page">
                  <wp:posOffset>835152</wp:posOffset>
                </wp:positionH>
                <wp:positionV relativeFrom="paragraph">
                  <wp:posOffset>241337</wp:posOffset>
                </wp:positionV>
                <wp:extent cx="6093460" cy="635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9.002949pt;width:479.760023pt;height:.48pt;mso-position-horizontal-relative:page;mso-position-vertical-relative:paragraph;z-index:-15710208;mso-wrap-distance-left:0;mso-wrap-distance-right:0" id="docshape39" filled="true" fillcolor="#000000" stroked="false">
                <v:fill type="solid"/>
                <w10:wrap type="topAndBottom"/>
              </v:rect>
            </w:pict>
          </mc:Fallback>
        </mc:AlternateContent>
      </w:r>
    </w:p>
    <w:p>
      <w:pPr>
        <w:pStyle w:val="BodyText"/>
        <w:rPr>
          <w:b/>
        </w:rPr>
      </w:pPr>
    </w:p>
    <w:p>
      <w:pPr>
        <w:pStyle w:val="BodyText"/>
        <w:spacing w:before="194"/>
        <w:rPr>
          <w:b/>
        </w:rPr>
      </w:pPr>
    </w:p>
    <w:p>
      <w:pPr>
        <w:pStyle w:val="BodyText"/>
        <w:ind w:left="920"/>
      </w:pPr>
      <w:r>
        <w:rPr/>
        <w:t>Peak</w:t>
      </w:r>
      <w:r>
        <w:rPr>
          <w:spacing w:val="-6"/>
        </w:rPr>
        <w:t> </w:t>
      </w:r>
      <w:r>
        <w:rPr/>
        <w:t>Plasma</w:t>
      </w:r>
      <w:r>
        <w:rPr>
          <w:spacing w:val="-4"/>
        </w:rPr>
        <w:t> </w:t>
      </w:r>
      <w:r>
        <w:rPr/>
        <w:t>level</w:t>
      </w:r>
      <w:r>
        <w:rPr>
          <w:spacing w:val="-2"/>
        </w:rPr>
        <w:t> </w:t>
      </w:r>
      <w:r>
        <w:rPr/>
        <w:t>obtained</w:t>
      </w:r>
      <w:r>
        <w:rPr>
          <w:spacing w:val="-5"/>
        </w:rPr>
        <w:t> </w:t>
      </w:r>
      <w:r>
        <w:rPr/>
        <w:t>from</w:t>
      </w:r>
      <w:r>
        <w:rPr>
          <w:spacing w:val="-3"/>
        </w:rPr>
        <w:t> </w:t>
      </w:r>
      <w:r>
        <w:rPr/>
        <w:t>Martindale:</w:t>
      </w:r>
      <w:r>
        <w:rPr>
          <w:spacing w:val="-5"/>
        </w:rPr>
        <w:t> </w:t>
      </w:r>
      <w:r>
        <w:rPr/>
        <w:t>The</w:t>
      </w:r>
      <w:r>
        <w:rPr>
          <w:spacing w:val="-3"/>
        </w:rPr>
        <w:t> </w:t>
      </w:r>
      <w:r>
        <w:rPr/>
        <w:t>Complete</w:t>
      </w:r>
      <w:r>
        <w:rPr>
          <w:spacing w:val="-4"/>
        </w:rPr>
        <w:t> </w:t>
      </w:r>
      <w:r>
        <w:rPr/>
        <w:t>Drug</w:t>
      </w:r>
      <w:r>
        <w:rPr>
          <w:spacing w:val="-2"/>
        </w:rPr>
        <w:t> </w:t>
      </w:r>
      <w:r>
        <w:rPr/>
        <w:t>Reference</w:t>
      </w:r>
      <w:r>
        <w:rPr>
          <w:spacing w:val="-4"/>
        </w:rPr>
        <w:t> </w:t>
      </w:r>
      <w:r>
        <w:rPr/>
        <w:t>(Sean,</w:t>
      </w:r>
      <w:r>
        <w:rPr>
          <w:spacing w:val="-6"/>
        </w:rPr>
        <w:t> </w:t>
      </w:r>
      <w:r>
        <w:rPr/>
        <w:t>C.S.,</w:t>
      </w:r>
      <w:r>
        <w:rPr>
          <w:spacing w:val="-5"/>
        </w:rPr>
        <w:t> </w:t>
      </w:r>
      <w:r>
        <w:rPr>
          <w:spacing w:val="-2"/>
        </w:rPr>
        <w:t>2011).</w:t>
      </w:r>
    </w:p>
    <w:p>
      <w:pPr>
        <w:spacing w:after="0"/>
        <w:sectPr>
          <w:footerReference w:type="default" r:id="rId6"/>
          <w:pgSz w:w="12240" w:h="15840"/>
          <w:pgMar w:header="0" w:footer="1017" w:top="1820" w:bottom="1200" w:left="520" w:right="260"/>
        </w:sectPr>
      </w:pPr>
    </w:p>
    <w:p>
      <w:pPr>
        <w:pStyle w:val="BodyText"/>
      </w:pPr>
    </w:p>
    <w:p>
      <w:pPr>
        <w:pStyle w:val="BodyText"/>
      </w:pPr>
    </w:p>
    <w:p>
      <w:pPr>
        <w:pStyle w:val="BodyText"/>
      </w:pPr>
    </w:p>
    <w:p>
      <w:pPr>
        <w:pStyle w:val="BodyText"/>
      </w:pPr>
    </w:p>
    <w:p>
      <w:pPr>
        <w:pStyle w:val="BodyText"/>
      </w:pPr>
    </w:p>
    <w:p>
      <w:pPr>
        <w:pStyle w:val="BodyText"/>
        <w:spacing w:before="218"/>
      </w:pPr>
    </w:p>
    <w:p>
      <w:pPr>
        <w:spacing w:before="0"/>
        <w:ind w:left="920" w:right="0" w:firstLine="0"/>
        <w:jc w:val="left"/>
        <w:rPr>
          <w:b/>
          <w:sz w:val="22"/>
        </w:rPr>
      </w:pPr>
      <w:r>
        <w:rPr>
          <w:b/>
          <w:sz w:val="22"/>
        </w:rPr>
        <w:t>Table</w:t>
      </w:r>
      <w:r>
        <w:rPr>
          <w:b/>
          <w:spacing w:val="-5"/>
          <w:sz w:val="22"/>
        </w:rPr>
        <w:t> </w:t>
      </w:r>
      <w:r>
        <w:rPr>
          <w:b/>
          <w:sz w:val="22"/>
        </w:rPr>
        <w:t>4.10:</w:t>
      </w:r>
      <w:r>
        <w:rPr>
          <w:b/>
          <w:spacing w:val="44"/>
          <w:sz w:val="22"/>
        </w:rPr>
        <w:t> </w:t>
      </w:r>
      <w:r>
        <w:rPr>
          <w:b/>
          <w:sz w:val="22"/>
        </w:rPr>
        <w:t>Resistance</w:t>
      </w:r>
      <w:r>
        <w:rPr>
          <w:b/>
          <w:spacing w:val="-5"/>
          <w:sz w:val="22"/>
        </w:rPr>
        <w:t> </w:t>
      </w:r>
      <w:r>
        <w:rPr>
          <w:b/>
          <w:sz w:val="22"/>
        </w:rPr>
        <w:t>Profile</w:t>
      </w:r>
      <w:r>
        <w:rPr>
          <w:b/>
          <w:spacing w:val="-5"/>
          <w:sz w:val="22"/>
        </w:rPr>
        <w:t> </w:t>
      </w:r>
      <w:r>
        <w:rPr>
          <w:b/>
          <w:sz w:val="22"/>
        </w:rPr>
        <w:t>of</w:t>
      </w:r>
      <w:r>
        <w:rPr>
          <w:b/>
          <w:spacing w:val="-1"/>
          <w:sz w:val="22"/>
        </w:rPr>
        <w:t> </w:t>
      </w:r>
      <w:r>
        <w:rPr>
          <w:b/>
          <w:sz w:val="22"/>
        </w:rPr>
        <w:t>Selected</w:t>
      </w:r>
      <w:r>
        <w:rPr>
          <w:b/>
          <w:spacing w:val="-2"/>
          <w:sz w:val="22"/>
        </w:rPr>
        <w:t> </w:t>
      </w:r>
      <w:r>
        <w:rPr>
          <w:b/>
          <w:sz w:val="22"/>
        </w:rPr>
        <w:t>Isolates</w:t>
      </w:r>
      <w:r>
        <w:rPr>
          <w:b/>
          <w:spacing w:val="-5"/>
          <w:sz w:val="22"/>
        </w:rPr>
        <w:t> </w:t>
      </w:r>
      <w:r>
        <w:rPr>
          <w:b/>
          <w:sz w:val="22"/>
        </w:rPr>
        <w:t>from</w:t>
      </w:r>
      <w:r>
        <w:rPr>
          <w:b/>
          <w:spacing w:val="-5"/>
          <w:sz w:val="22"/>
        </w:rPr>
        <w:t> </w:t>
      </w:r>
      <w:r>
        <w:rPr>
          <w:b/>
          <w:sz w:val="22"/>
        </w:rPr>
        <w:t>Five</w:t>
      </w:r>
      <w:r>
        <w:rPr>
          <w:b/>
          <w:spacing w:val="-5"/>
          <w:sz w:val="22"/>
        </w:rPr>
        <w:t> </w:t>
      </w:r>
      <w:r>
        <w:rPr>
          <w:b/>
          <w:sz w:val="22"/>
        </w:rPr>
        <w:t>Locations</w:t>
      </w:r>
      <w:r>
        <w:rPr>
          <w:b/>
          <w:spacing w:val="-5"/>
          <w:sz w:val="22"/>
        </w:rPr>
        <w:t> </w:t>
      </w:r>
      <w:r>
        <w:rPr>
          <w:b/>
          <w:sz w:val="22"/>
        </w:rPr>
        <w:t>in</w:t>
      </w:r>
      <w:r>
        <w:rPr>
          <w:b/>
          <w:spacing w:val="-2"/>
          <w:sz w:val="22"/>
        </w:rPr>
        <w:t> </w:t>
      </w:r>
      <w:r>
        <w:rPr>
          <w:b/>
          <w:sz w:val="22"/>
        </w:rPr>
        <w:t>Zaria</w:t>
      </w:r>
      <w:r>
        <w:rPr>
          <w:b/>
          <w:spacing w:val="-3"/>
          <w:sz w:val="22"/>
        </w:rPr>
        <w:t> </w:t>
      </w:r>
      <w:r>
        <w:rPr>
          <w:b/>
          <w:sz w:val="22"/>
        </w:rPr>
        <w:t>based</w:t>
      </w:r>
      <w:r>
        <w:rPr>
          <w:b/>
          <w:spacing w:val="-3"/>
          <w:sz w:val="22"/>
        </w:rPr>
        <w:t> </w:t>
      </w:r>
      <w:r>
        <w:rPr>
          <w:b/>
          <w:sz w:val="22"/>
        </w:rPr>
        <w:t>on</w:t>
      </w:r>
      <w:r>
        <w:rPr>
          <w:b/>
          <w:spacing w:val="-2"/>
          <w:sz w:val="22"/>
        </w:rPr>
        <w:t> M.I.C</w:t>
      </w:r>
    </w:p>
    <w:p>
      <w:pPr>
        <w:pStyle w:val="BodyText"/>
        <w:spacing w:before="229" w:after="1"/>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3"/>
        <w:gridCol w:w="1475"/>
        <w:gridCol w:w="1128"/>
        <w:gridCol w:w="1275"/>
        <w:gridCol w:w="1599"/>
        <w:gridCol w:w="1125"/>
        <w:gridCol w:w="1244"/>
      </w:tblGrid>
      <w:tr>
        <w:trPr>
          <w:trHeight w:val="316" w:hRule="atLeast"/>
        </w:trPr>
        <w:tc>
          <w:tcPr>
            <w:tcW w:w="1733" w:type="dxa"/>
            <w:tcBorders>
              <w:top w:val="single" w:sz="4" w:space="0" w:color="000000"/>
            </w:tcBorders>
          </w:tcPr>
          <w:p>
            <w:pPr>
              <w:pStyle w:val="TableParagraph"/>
              <w:spacing w:line="240" w:lineRule="auto" w:before="1"/>
              <w:ind w:left="110"/>
              <w:jc w:val="left"/>
              <w:rPr>
                <w:b/>
                <w:sz w:val="24"/>
              </w:rPr>
            </w:pPr>
            <w:r>
              <w:rPr>
                <w:b/>
                <w:spacing w:val="-2"/>
                <w:sz w:val="24"/>
              </w:rPr>
              <w:t>Antibiotics</w:t>
            </w:r>
          </w:p>
        </w:tc>
        <w:tc>
          <w:tcPr>
            <w:tcW w:w="1475" w:type="dxa"/>
            <w:tcBorders>
              <w:top w:val="single" w:sz="4" w:space="0" w:color="000000"/>
            </w:tcBorders>
          </w:tcPr>
          <w:p>
            <w:pPr>
              <w:pStyle w:val="TableParagraph"/>
              <w:spacing w:line="240" w:lineRule="auto" w:before="1"/>
              <w:ind w:right="316"/>
              <w:jc w:val="right"/>
              <w:rPr>
                <w:b/>
                <w:sz w:val="24"/>
              </w:rPr>
            </w:pPr>
            <w:r>
              <w:rPr>
                <w:b/>
                <w:spacing w:val="-4"/>
                <w:sz w:val="24"/>
              </w:rPr>
              <w:t>Peak</w:t>
            </w:r>
          </w:p>
        </w:tc>
        <w:tc>
          <w:tcPr>
            <w:tcW w:w="1128" w:type="dxa"/>
            <w:tcBorders>
              <w:top w:val="single" w:sz="4" w:space="0" w:color="000000"/>
            </w:tcBorders>
          </w:tcPr>
          <w:p>
            <w:pPr>
              <w:pStyle w:val="TableParagraph"/>
              <w:spacing w:line="240" w:lineRule="auto" w:before="1"/>
              <w:ind w:left="37" w:right="4"/>
              <w:rPr>
                <w:b/>
                <w:sz w:val="24"/>
              </w:rPr>
            </w:pPr>
            <w:r>
              <w:rPr>
                <w:b/>
                <w:spacing w:val="-2"/>
                <w:sz w:val="24"/>
              </w:rPr>
              <w:t>Samaru</w:t>
            </w:r>
          </w:p>
        </w:tc>
        <w:tc>
          <w:tcPr>
            <w:tcW w:w="1275" w:type="dxa"/>
            <w:tcBorders>
              <w:top w:val="single" w:sz="4" w:space="0" w:color="000000"/>
            </w:tcBorders>
          </w:tcPr>
          <w:p>
            <w:pPr>
              <w:pStyle w:val="TableParagraph"/>
              <w:spacing w:line="240" w:lineRule="auto" w:before="1"/>
              <w:ind w:left="42"/>
              <w:rPr>
                <w:b/>
                <w:sz w:val="24"/>
              </w:rPr>
            </w:pPr>
            <w:r>
              <w:rPr>
                <w:b/>
                <w:spacing w:val="-2"/>
                <w:sz w:val="24"/>
              </w:rPr>
              <w:t>Sabo-</w:t>
            </w:r>
            <w:r>
              <w:rPr>
                <w:b/>
                <w:spacing w:val="-4"/>
                <w:sz w:val="24"/>
              </w:rPr>
              <w:t>Gari</w:t>
            </w:r>
          </w:p>
        </w:tc>
        <w:tc>
          <w:tcPr>
            <w:tcW w:w="1599" w:type="dxa"/>
            <w:tcBorders>
              <w:top w:val="single" w:sz="4" w:space="0" w:color="000000"/>
            </w:tcBorders>
          </w:tcPr>
          <w:p>
            <w:pPr>
              <w:pStyle w:val="TableParagraph"/>
              <w:spacing w:line="240" w:lineRule="auto" w:before="1"/>
              <w:ind w:left="2" w:right="54"/>
              <w:rPr>
                <w:b/>
                <w:sz w:val="24"/>
              </w:rPr>
            </w:pPr>
            <w:r>
              <w:rPr>
                <w:b/>
                <w:spacing w:val="-2"/>
                <w:sz w:val="24"/>
              </w:rPr>
              <w:t>Tudun-</w:t>
            </w:r>
            <w:r>
              <w:rPr>
                <w:b/>
                <w:spacing w:val="-4"/>
                <w:sz w:val="24"/>
              </w:rPr>
              <w:t>Wada</w:t>
            </w:r>
          </w:p>
        </w:tc>
        <w:tc>
          <w:tcPr>
            <w:tcW w:w="1125" w:type="dxa"/>
            <w:tcBorders>
              <w:top w:val="single" w:sz="4" w:space="0" w:color="000000"/>
            </w:tcBorders>
          </w:tcPr>
          <w:p>
            <w:pPr>
              <w:pStyle w:val="TableParagraph"/>
              <w:spacing w:line="240" w:lineRule="auto" w:before="1"/>
              <w:ind w:left="18" w:right="4"/>
              <w:rPr>
                <w:b/>
                <w:sz w:val="24"/>
              </w:rPr>
            </w:pPr>
            <w:r>
              <w:rPr>
                <w:b/>
                <w:spacing w:val="-2"/>
                <w:sz w:val="24"/>
              </w:rPr>
              <w:t>Wusasa</w:t>
            </w:r>
          </w:p>
        </w:tc>
        <w:tc>
          <w:tcPr>
            <w:tcW w:w="1244" w:type="dxa"/>
            <w:tcBorders>
              <w:top w:val="single" w:sz="4" w:space="0" w:color="000000"/>
            </w:tcBorders>
          </w:tcPr>
          <w:p>
            <w:pPr>
              <w:pStyle w:val="TableParagraph"/>
              <w:spacing w:line="240" w:lineRule="auto" w:before="1"/>
              <w:ind w:left="49" w:right="3"/>
              <w:rPr>
                <w:b/>
                <w:sz w:val="24"/>
              </w:rPr>
            </w:pPr>
            <w:r>
              <w:rPr>
                <w:b/>
                <w:spacing w:val="-2"/>
                <w:sz w:val="24"/>
              </w:rPr>
              <w:t>Zaria-</w:t>
            </w:r>
            <w:r>
              <w:rPr>
                <w:b/>
                <w:spacing w:val="-4"/>
                <w:sz w:val="24"/>
              </w:rPr>
              <w:t>City</w:t>
            </w:r>
          </w:p>
        </w:tc>
      </w:tr>
      <w:tr>
        <w:trPr>
          <w:trHeight w:val="292" w:hRule="atLeast"/>
        </w:trPr>
        <w:tc>
          <w:tcPr>
            <w:tcW w:w="1733" w:type="dxa"/>
          </w:tcPr>
          <w:p>
            <w:pPr>
              <w:pStyle w:val="TableParagraph"/>
              <w:spacing w:line="240" w:lineRule="auto"/>
              <w:jc w:val="left"/>
              <w:rPr>
                <w:rFonts w:ascii="Times New Roman"/>
                <w:sz w:val="20"/>
              </w:rPr>
            </w:pPr>
          </w:p>
        </w:tc>
        <w:tc>
          <w:tcPr>
            <w:tcW w:w="1475" w:type="dxa"/>
          </w:tcPr>
          <w:p>
            <w:pPr>
              <w:pStyle w:val="TableParagraph"/>
              <w:spacing w:line="271" w:lineRule="exact"/>
              <w:ind w:right="198"/>
              <w:jc w:val="right"/>
              <w:rPr>
                <w:b/>
                <w:sz w:val="24"/>
              </w:rPr>
            </w:pPr>
            <w:r>
              <w:rPr>
                <w:b/>
                <w:spacing w:val="-2"/>
                <w:sz w:val="24"/>
              </w:rPr>
              <w:t>Plasma</w:t>
            </w:r>
          </w:p>
        </w:tc>
        <w:tc>
          <w:tcPr>
            <w:tcW w:w="1128" w:type="dxa"/>
          </w:tcPr>
          <w:p>
            <w:pPr>
              <w:pStyle w:val="TableParagraph"/>
              <w:spacing w:line="271" w:lineRule="exact"/>
              <w:ind w:left="37"/>
              <w:rPr>
                <w:b/>
                <w:sz w:val="24"/>
              </w:rPr>
            </w:pPr>
            <w:r>
              <w:rPr>
                <w:b/>
                <w:spacing w:val="-2"/>
                <w:sz w:val="24"/>
              </w:rPr>
              <w:t>(n=10)</w:t>
            </w:r>
          </w:p>
        </w:tc>
        <w:tc>
          <w:tcPr>
            <w:tcW w:w="1275" w:type="dxa"/>
          </w:tcPr>
          <w:p>
            <w:pPr>
              <w:pStyle w:val="TableParagraph"/>
              <w:spacing w:line="271" w:lineRule="exact"/>
              <w:ind w:left="42" w:right="3"/>
              <w:rPr>
                <w:b/>
                <w:sz w:val="24"/>
              </w:rPr>
            </w:pPr>
            <w:r>
              <w:rPr>
                <w:b/>
                <w:spacing w:val="-2"/>
                <w:sz w:val="24"/>
              </w:rPr>
              <w:t>(n=1)</w:t>
            </w:r>
          </w:p>
        </w:tc>
        <w:tc>
          <w:tcPr>
            <w:tcW w:w="1599" w:type="dxa"/>
          </w:tcPr>
          <w:p>
            <w:pPr>
              <w:pStyle w:val="TableParagraph"/>
              <w:spacing w:line="271" w:lineRule="exact"/>
              <w:ind w:left="6" w:right="54"/>
              <w:rPr>
                <w:b/>
                <w:sz w:val="24"/>
              </w:rPr>
            </w:pPr>
            <w:r>
              <w:rPr>
                <w:b/>
                <w:spacing w:val="-2"/>
                <w:sz w:val="24"/>
              </w:rPr>
              <w:t>(n=6)</w:t>
            </w:r>
          </w:p>
        </w:tc>
        <w:tc>
          <w:tcPr>
            <w:tcW w:w="1125" w:type="dxa"/>
          </w:tcPr>
          <w:p>
            <w:pPr>
              <w:pStyle w:val="TableParagraph"/>
              <w:spacing w:line="271" w:lineRule="exact"/>
              <w:ind w:left="18"/>
              <w:rPr>
                <w:b/>
                <w:sz w:val="24"/>
              </w:rPr>
            </w:pPr>
            <w:r>
              <w:rPr>
                <w:b/>
                <w:spacing w:val="-2"/>
                <w:sz w:val="24"/>
              </w:rPr>
              <w:t>(n=4)</w:t>
            </w:r>
          </w:p>
        </w:tc>
        <w:tc>
          <w:tcPr>
            <w:tcW w:w="1244" w:type="dxa"/>
          </w:tcPr>
          <w:p>
            <w:pPr>
              <w:pStyle w:val="TableParagraph"/>
              <w:spacing w:line="271" w:lineRule="exact"/>
              <w:ind w:left="49"/>
              <w:rPr>
                <w:b/>
                <w:sz w:val="24"/>
              </w:rPr>
            </w:pPr>
            <w:r>
              <w:rPr>
                <w:b/>
                <w:spacing w:val="-2"/>
                <w:sz w:val="24"/>
              </w:rPr>
              <w:t>(n=5)</w:t>
            </w:r>
          </w:p>
        </w:tc>
      </w:tr>
      <w:tr>
        <w:trPr>
          <w:trHeight w:val="470" w:hRule="atLeast"/>
        </w:trPr>
        <w:tc>
          <w:tcPr>
            <w:tcW w:w="1733" w:type="dxa"/>
            <w:tcBorders>
              <w:bottom w:val="single" w:sz="4" w:space="0" w:color="000000"/>
            </w:tcBorders>
          </w:tcPr>
          <w:p>
            <w:pPr>
              <w:pStyle w:val="TableParagraph"/>
              <w:spacing w:line="240" w:lineRule="auto"/>
              <w:jc w:val="left"/>
              <w:rPr>
                <w:rFonts w:ascii="Times New Roman"/>
                <w:sz w:val="22"/>
              </w:rPr>
            </w:pPr>
          </w:p>
        </w:tc>
        <w:tc>
          <w:tcPr>
            <w:tcW w:w="1475" w:type="dxa"/>
            <w:tcBorders>
              <w:bottom w:val="single" w:sz="4" w:space="0" w:color="000000"/>
            </w:tcBorders>
          </w:tcPr>
          <w:p>
            <w:pPr>
              <w:pStyle w:val="TableParagraph"/>
              <w:spacing w:line="271" w:lineRule="exact"/>
              <w:ind w:right="300"/>
              <w:jc w:val="right"/>
              <w:rPr>
                <w:b/>
                <w:sz w:val="24"/>
              </w:rPr>
            </w:pPr>
            <w:r>
              <w:rPr>
                <w:b/>
                <w:spacing w:val="-2"/>
                <w:sz w:val="24"/>
              </w:rPr>
              <w:t>Level</w:t>
            </w:r>
          </w:p>
        </w:tc>
        <w:tc>
          <w:tcPr>
            <w:tcW w:w="1128" w:type="dxa"/>
            <w:tcBorders>
              <w:bottom w:val="single" w:sz="4" w:space="0" w:color="000000"/>
            </w:tcBorders>
          </w:tcPr>
          <w:p>
            <w:pPr>
              <w:pStyle w:val="TableParagraph"/>
              <w:spacing w:line="240" w:lineRule="auto"/>
              <w:jc w:val="left"/>
              <w:rPr>
                <w:rFonts w:ascii="Times New Roman"/>
                <w:sz w:val="22"/>
              </w:rPr>
            </w:pPr>
          </w:p>
        </w:tc>
        <w:tc>
          <w:tcPr>
            <w:tcW w:w="1275" w:type="dxa"/>
            <w:tcBorders>
              <w:bottom w:val="single" w:sz="4" w:space="0" w:color="000000"/>
            </w:tcBorders>
          </w:tcPr>
          <w:p>
            <w:pPr>
              <w:pStyle w:val="TableParagraph"/>
              <w:spacing w:line="240" w:lineRule="auto"/>
              <w:jc w:val="left"/>
              <w:rPr>
                <w:rFonts w:ascii="Times New Roman"/>
                <w:sz w:val="22"/>
              </w:rPr>
            </w:pPr>
          </w:p>
        </w:tc>
        <w:tc>
          <w:tcPr>
            <w:tcW w:w="1599" w:type="dxa"/>
            <w:tcBorders>
              <w:bottom w:val="single" w:sz="4" w:space="0" w:color="000000"/>
            </w:tcBorders>
          </w:tcPr>
          <w:p>
            <w:pPr>
              <w:pStyle w:val="TableParagraph"/>
              <w:spacing w:line="240" w:lineRule="auto"/>
              <w:jc w:val="left"/>
              <w:rPr>
                <w:rFonts w:ascii="Times New Roman"/>
                <w:sz w:val="22"/>
              </w:rPr>
            </w:pPr>
          </w:p>
        </w:tc>
        <w:tc>
          <w:tcPr>
            <w:tcW w:w="1125" w:type="dxa"/>
            <w:tcBorders>
              <w:bottom w:val="single" w:sz="4" w:space="0" w:color="000000"/>
            </w:tcBorders>
          </w:tcPr>
          <w:p>
            <w:pPr>
              <w:pStyle w:val="TableParagraph"/>
              <w:spacing w:line="240" w:lineRule="auto"/>
              <w:jc w:val="left"/>
              <w:rPr>
                <w:rFonts w:ascii="Times New Roman"/>
                <w:sz w:val="22"/>
              </w:rPr>
            </w:pPr>
          </w:p>
        </w:tc>
        <w:tc>
          <w:tcPr>
            <w:tcW w:w="1244" w:type="dxa"/>
            <w:tcBorders>
              <w:bottom w:val="single" w:sz="4" w:space="0" w:color="000000"/>
            </w:tcBorders>
          </w:tcPr>
          <w:p>
            <w:pPr>
              <w:pStyle w:val="TableParagraph"/>
              <w:spacing w:line="240" w:lineRule="auto"/>
              <w:jc w:val="left"/>
              <w:rPr>
                <w:rFonts w:ascii="Times New Roman"/>
                <w:sz w:val="22"/>
              </w:rPr>
            </w:pPr>
          </w:p>
        </w:tc>
      </w:tr>
      <w:tr>
        <w:trPr>
          <w:trHeight w:val="290" w:hRule="atLeast"/>
        </w:trPr>
        <w:tc>
          <w:tcPr>
            <w:tcW w:w="1733" w:type="dxa"/>
            <w:tcBorders>
              <w:top w:val="single" w:sz="4" w:space="0" w:color="000000"/>
            </w:tcBorders>
          </w:tcPr>
          <w:p>
            <w:pPr>
              <w:pStyle w:val="TableParagraph"/>
              <w:spacing w:line="269" w:lineRule="exact" w:before="1"/>
              <w:ind w:left="110"/>
              <w:jc w:val="left"/>
              <w:rPr>
                <w:sz w:val="24"/>
              </w:rPr>
            </w:pPr>
            <w:r>
              <w:rPr>
                <w:spacing w:val="-2"/>
                <w:sz w:val="24"/>
              </w:rPr>
              <w:t>Amoxicillin</w:t>
            </w:r>
          </w:p>
        </w:tc>
        <w:tc>
          <w:tcPr>
            <w:tcW w:w="1475" w:type="dxa"/>
            <w:tcBorders>
              <w:top w:val="single" w:sz="4" w:space="0" w:color="000000"/>
            </w:tcBorders>
          </w:tcPr>
          <w:p>
            <w:pPr>
              <w:pStyle w:val="TableParagraph"/>
              <w:spacing w:line="269" w:lineRule="exact" w:before="1"/>
              <w:ind w:left="354"/>
              <w:rPr>
                <w:sz w:val="24"/>
              </w:rPr>
            </w:pPr>
            <w:r>
              <w:rPr>
                <w:spacing w:val="-10"/>
                <w:sz w:val="24"/>
              </w:rPr>
              <w:t>5</w:t>
            </w:r>
          </w:p>
        </w:tc>
        <w:tc>
          <w:tcPr>
            <w:tcW w:w="1128" w:type="dxa"/>
            <w:tcBorders>
              <w:top w:val="single" w:sz="4" w:space="0" w:color="000000"/>
            </w:tcBorders>
          </w:tcPr>
          <w:p>
            <w:pPr>
              <w:pStyle w:val="TableParagraph"/>
              <w:spacing w:line="269" w:lineRule="exact" w:before="1"/>
              <w:ind w:left="37" w:right="1"/>
              <w:rPr>
                <w:sz w:val="24"/>
              </w:rPr>
            </w:pPr>
            <w:r>
              <w:rPr>
                <w:spacing w:val="-5"/>
                <w:sz w:val="24"/>
              </w:rPr>
              <w:t>100</w:t>
            </w:r>
          </w:p>
        </w:tc>
        <w:tc>
          <w:tcPr>
            <w:tcW w:w="1275" w:type="dxa"/>
            <w:tcBorders>
              <w:top w:val="single" w:sz="4" w:space="0" w:color="000000"/>
            </w:tcBorders>
          </w:tcPr>
          <w:p>
            <w:pPr>
              <w:pStyle w:val="TableParagraph"/>
              <w:spacing w:line="269" w:lineRule="exact" w:before="1"/>
              <w:ind w:left="42" w:right="9"/>
              <w:rPr>
                <w:sz w:val="24"/>
              </w:rPr>
            </w:pPr>
            <w:r>
              <w:rPr>
                <w:spacing w:val="-5"/>
                <w:sz w:val="24"/>
              </w:rPr>
              <w:t>100</w:t>
            </w:r>
          </w:p>
        </w:tc>
        <w:tc>
          <w:tcPr>
            <w:tcW w:w="1599" w:type="dxa"/>
            <w:tcBorders>
              <w:top w:val="single" w:sz="4" w:space="0" w:color="000000"/>
            </w:tcBorders>
          </w:tcPr>
          <w:p>
            <w:pPr>
              <w:pStyle w:val="TableParagraph"/>
              <w:spacing w:line="269" w:lineRule="exact" w:before="1"/>
              <w:ind w:right="54"/>
              <w:rPr>
                <w:sz w:val="24"/>
              </w:rPr>
            </w:pPr>
            <w:r>
              <w:rPr>
                <w:spacing w:val="-5"/>
                <w:sz w:val="24"/>
              </w:rPr>
              <w:t>100</w:t>
            </w:r>
          </w:p>
        </w:tc>
        <w:tc>
          <w:tcPr>
            <w:tcW w:w="1125" w:type="dxa"/>
            <w:tcBorders>
              <w:top w:val="single" w:sz="4" w:space="0" w:color="000000"/>
            </w:tcBorders>
          </w:tcPr>
          <w:p>
            <w:pPr>
              <w:pStyle w:val="TableParagraph"/>
              <w:spacing w:line="269" w:lineRule="exact" w:before="1"/>
              <w:ind w:left="18" w:right="5"/>
              <w:rPr>
                <w:sz w:val="24"/>
              </w:rPr>
            </w:pPr>
            <w:r>
              <w:rPr>
                <w:spacing w:val="-5"/>
                <w:sz w:val="24"/>
              </w:rPr>
              <w:t>100</w:t>
            </w:r>
          </w:p>
        </w:tc>
        <w:tc>
          <w:tcPr>
            <w:tcW w:w="1244" w:type="dxa"/>
            <w:tcBorders>
              <w:top w:val="single" w:sz="4" w:space="0" w:color="000000"/>
            </w:tcBorders>
          </w:tcPr>
          <w:p>
            <w:pPr>
              <w:pStyle w:val="TableParagraph"/>
              <w:spacing w:line="269" w:lineRule="exact" w:before="1"/>
              <w:ind w:left="49" w:right="5"/>
              <w:rPr>
                <w:sz w:val="24"/>
              </w:rPr>
            </w:pPr>
            <w:r>
              <w:rPr>
                <w:spacing w:val="-5"/>
                <w:sz w:val="24"/>
              </w:rPr>
              <w:t>100</w:t>
            </w:r>
          </w:p>
        </w:tc>
      </w:tr>
    </w:tbl>
    <w:p>
      <w:pPr>
        <w:pStyle w:val="BodyText"/>
        <w:rPr>
          <w:b/>
          <w:sz w:val="24"/>
        </w:rPr>
      </w:pPr>
    </w:p>
    <w:p>
      <w:pPr>
        <w:pStyle w:val="BodyText"/>
        <w:rPr>
          <w:b/>
          <w:sz w:val="24"/>
        </w:rPr>
      </w:pPr>
    </w:p>
    <w:p>
      <w:pPr>
        <w:pStyle w:val="BodyText"/>
        <w:spacing w:before="187"/>
        <w:rPr>
          <w:b/>
          <w:sz w:val="24"/>
        </w:rPr>
      </w:pPr>
    </w:p>
    <w:p>
      <w:pPr>
        <w:tabs>
          <w:tab w:pos="3099" w:val="left" w:leader="none"/>
          <w:tab w:pos="4505" w:val="left" w:leader="none"/>
          <w:tab w:pos="5739" w:val="left" w:leader="none"/>
          <w:tab w:pos="7006" w:val="left" w:leader="none"/>
          <w:tab w:pos="8494" w:val="left" w:leader="none"/>
          <w:tab w:pos="9906" w:val="right" w:leader="none"/>
        </w:tabs>
        <w:spacing w:before="0"/>
        <w:ind w:left="920" w:right="0" w:firstLine="0"/>
        <w:jc w:val="left"/>
        <w:rPr>
          <w:sz w:val="24"/>
        </w:rPr>
      </w:pPr>
      <w:r>
        <w:rPr>
          <w:spacing w:val="-2"/>
          <w:sz w:val="24"/>
        </w:rPr>
        <w:t>Chloramphenicol</w:t>
      </w:r>
      <w:r>
        <w:rPr>
          <w:sz w:val="24"/>
        </w:rPr>
        <w:tab/>
        <w:t>10</w:t>
      </w:r>
      <w:r>
        <w:rPr>
          <w:spacing w:val="-6"/>
          <w:sz w:val="24"/>
        </w:rPr>
        <w:t> </w:t>
      </w:r>
      <w:r>
        <w:rPr>
          <w:sz w:val="24"/>
        </w:rPr>
        <w:t>–</w:t>
      </w:r>
      <w:r>
        <w:rPr>
          <w:spacing w:val="1"/>
          <w:sz w:val="24"/>
        </w:rPr>
        <w:t> </w:t>
      </w:r>
      <w:r>
        <w:rPr>
          <w:spacing w:val="-5"/>
          <w:sz w:val="24"/>
        </w:rPr>
        <w:t>25</w:t>
      </w:r>
      <w:r>
        <w:rPr>
          <w:sz w:val="24"/>
        </w:rPr>
        <w:tab/>
      </w:r>
      <w:r>
        <w:rPr>
          <w:spacing w:val="-5"/>
          <w:sz w:val="24"/>
        </w:rPr>
        <w:t>30</w:t>
      </w:r>
      <w:r>
        <w:rPr>
          <w:sz w:val="24"/>
        </w:rPr>
        <w:tab/>
      </w:r>
      <w:r>
        <w:rPr>
          <w:spacing w:val="-10"/>
          <w:sz w:val="24"/>
        </w:rPr>
        <w:t>0</w:t>
      </w:r>
      <w:r>
        <w:rPr>
          <w:sz w:val="24"/>
        </w:rPr>
        <w:tab/>
      </w:r>
      <w:r>
        <w:rPr>
          <w:spacing w:val="-4"/>
          <w:sz w:val="24"/>
        </w:rPr>
        <w:t>33.3</w:t>
      </w:r>
      <w:r>
        <w:rPr>
          <w:sz w:val="24"/>
        </w:rPr>
        <w:tab/>
      </w:r>
      <w:r>
        <w:rPr>
          <w:spacing w:val="-5"/>
          <w:sz w:val="24"/>
        </w:rPr>
        <w:t>25</w:t>
      </w:r>
      <w:r>
        <w:rPr>
          <w:sz w:val="24"/>
        </w:rPr>
        <w:tab/>
      </w:r>
      <w:r>
        <w:rPr>
          <w:spacing w:val="-5"/>
          <w:sz w:val="24"/>
        </w:rPr>
        <w:t>60</w:t>
      </w:r>
    </w:p>
    <w:p>
      <w:pPr>
        <w:pStyle w:val="BodyText"/>
        <w:rPr>
          <w:sz w:val="24"/>
        </w:rPr>
      </w:pPr>
    </w:p>
    <w:p>
      <w:pPr>
        <w:pStyle w:val="BodyText"/>
        <w:rPr>
          <w:sz w:val="24"/>
        </w:rPr>
      </w:pPr>
    </w:p>
    <w:p>
      <w:pPr>
        <w:pStyle w:val="BodyText"/>
        <w:spacing w:before="168"/>
        <w:rPr>
          <w:sz w:val="24"/>
        </w:rPr>
      </w:pPr>
    </w:p>
    <w:p>
      <w:pPr>
        <w:tabs>
          <w:tab w:pos="3223" w:val="left" w:leader="none"/>
          <w:tab w:pos="4539" w:val="left" w:leader="none"/>
          <w:tab w:pos="5739" w:val="left" w:leader="none"/>
          <w:tab w:pos="7097" w:val="left" w:leader="none"/>
          <w:tab w:pos="8465" w:val="left" w:leader="none"/>
          <w:tab w:pos="9727" w:val="left" w:leader="none"/>
        </w:tabs>
        <w:spacing w:before="0"/>
        <w:ind w:left="920" w:right="0" w:firstLine="0"/>
        <w:jc w:val="left"/>
        <w:rPr>
          <w:sz w:val="24"/>
        </w:rPr>
      </w:pPr>
      <w:r>
        <w:rPr>
          <w:spacing w:val="-2"/>
          <w:sz w:val="24"/>
        </w:rPr>
        <w:t>Ofloxacin</w:t>
      </w:r>
      <w:r>
        <w:rPr>
          <w:sz w:val="24"/>
        </w:rPr>
        <w:tab/>
        <w:t>3</w:t>
      </w:r>
      <w:r>
        <w:rPr>
          <w:spacing w:val="-5"/>
          <w:sz w:val="24"/>
        </w:rPr>
        <w:t> </w:t>
      </w:r>
      <w:r>
        <w:rPr>
          <w:sz w:val="24"/>
        </w:rPr>
        <w:t>–</w:t>
      </w:r>
      <w:r>
        <w:rPr>
          <w:spacing w:val="-2"/>
          <w:sz w:val="24"/>
        </w:rPr>
        <w:t> </w:t>
      </w:r>
      <w:r>
        <w:rPr>
          <w:spacing w:val="-10"/>
          <w:sz w:val="24"/>
        </w:rPr>
        <w:t>5</w:t>
      </w:r>
      <w:r>
        <w:rPr>
          <w:sz w:val="24"/>
        </w:rPr>
        <w:tab/>
      </w:r>
      <w:r>
        <w:rPr>
          <w:spacing w:val="-10"/>
          <w:sz w:val="24"/>
        </w:rPr>
        <w:t>0</w:t>
      </w:r>
      <w:r>
        <w:rPr>
          <w:sz w:val="24"/>
        </w:rPr>
        <w:tab/>
      </w:r>
      <w:r>
        <w:rPr>
          <w:spacing w:val="-10"/>
          <w:sz w:val="24"/>
        </w:rPr>
        <w:t>0</w:t>
      </w:r>
      <w:r>
        <w:rPr>
          <w:sz w:val="24"/>
        </w:rPr>
        <w:tab/>
      </w:r>
      <w:r>
        <w:rPr>
          <w:spacing w:val="-5"/>
          <w:sz w:val="24"/>
        </w:rPr>
        <w:t>17</w:t>
      </w:r>
      <w:r>
        <w:rPr>
          <w:sz w:val="24"/>
        </w:rPr>
        <w:tab/>
      </w:r>
      <w:r>
        <w:rPr>
          <w:spacing w:val="-5"/>
          <w:sz w:val="24"/>
        </w:rPr>
        <w:t>25</w:t>
      </w:r>
      <w:r>
        <w:rPr>
          <w:sz w:val="24"/>
        </w:rPr>
        <w:tab/>
      </w:r>
      <w:r>
        <w:rPr>
          <w:spacing w:val="-10"/>
          <w:sz w:val="24"/>
        </w:rPr>
        <w:t>0</w:t>
      </w:r>
    </w:p>
    <w:p>
      <w:pPr>
        <w:pStyle w:val="BodyText"/>
        <w:rPr>
          <w:sz w:val="24"/>
        </w:rPr>
      </w:pPr>
    </w:p>
    <w:p>
      <w:pPr>
        <w:pStyle w:val="BodyText"/>
        <w:rPr>
          <w:sz w:val="24"/>
        </w:rPr>
      </w:pPr>
    </w:p>
    <w:p>
      <w:pPr>
        <w:pStyle w:val="BodyText"/>
        <w:spacing w:before="143"/>
        <w:rPr>
          <w:sz w:val="24"/>
        </w:rPr>
      </w:pPr>
    </w:p>
    <w:p>
      <w:pPr>
        <w:tabs>
          <w:tab w:pos="3223" w:val="left" w:leader="none"/>
          <w:tab w:pos="4476" w:val="left" w:leader="none"/>
          <w:tab w:pos="5739" w:val="left" w:leader="none"/>
          <w:tab w:pos="6982" w:val="left" w:leader="none"/>
          <w:tab w:pos="8494" w:val="left" w:leader="none"/>
          <w:tab w:pos="9935" w:val="right" w:leader="none"/>
        </w:tabs>
        <w:spacing w:before="0"/>
        <w:ind w:left="920" w:right="0" w:firstLine="0"/>
        <w:jc w:val="left"/>
        <w:rPr>
          <w:sz w:val="24"/>
        </w:rPr>
      </w:pPr>
      <w:r>
        <w:rPr>
          <w:spacing w:val="-2"/>
          <w:sz w:val="24"/>
        </w:rPr>
        <w:t>Tetracycline</w:t>
      </w:r>
      <w:r>
        <w:rPr>
          <w:sz w:val="24"/>
        </w:rPr>
        <w:tab/>
        <w:t>4</w:t>
      </w:r>
      <w:r>
        <w:rPr>
          <w:spacing w:val="-5"/>
          <w:sz w:val="24"/>
        </w:rPr>
        <w:t> </w:t>
      </w:r>
      <w:r>
        <w:rPr>
          <w:sz w:val="24"/>
        </w:rPr>
        <w:t>–</w:t>
      </w:r>
      <w:r>
        <w:rPr>
          <w:spacing w:val="-2"/>
          <w:sz w:val="24"/>
        </w:rPr>
        <w:t> </w:t>
      </w:r>
      <w:r>
        <w:rPr>
          <w:spacing w:val="-10"/>
          <w:sz w:val="24"/>
        </w:rPr>
        <w:t>5</w:t>
      </w:r>
      <w:r>
        <w:rPr>
          <w:sz w:val="24"/>
        </w:rPr>
        <w:tab/>
      </w:r>
      <w:r>
        <w:rPr>
          <w:spacing w:val="-5"/>
          <w:sz w:val="24"/>
        </w:rPr>
        <w:t>20</w:t>
      </w:r>
      <w:r>
        <w:rPr>
          <w:sz w:val="24"/>
        </w:rPr>
        <w:tab/>
      </w:r>
      <w:r>
        <w:rPr>
          <w:spacing w:val="-10"/>
          <w:sz w:val="24"/>
        </w:rPr>
        <w:t>_</w:t>
      </w:r>
      <w:r>
        <w:rPr>
          <w:sz w:val="24"/>
        </w:rPr>
        <w:tab/>
      </w:r>
      <w:r>
        <w:rPr>
          <w:spacing w:val="-4"/>
          <w:sz w:val="24"/>
        </w:rPr>
        <w:t>33.3</w:t>
      </w:r>
      <w:r>
        <w:rPr>
          <w:sz w:val="24"/>
        </w:rPr>
        <w:tab/>
      </w:r>
      <w:r>
        <w:rPr>
          <w:spacing w:val="-5"/>
          <w:sz w:val="24"/>
        </w:rPr>
        <w:t>50</w:t>
      </w:r>
      <w:r>
        <w:rPr>
          <w:sz w:val="24"/>
        </w:rPr>
        <w:tab/>
      </w:r>
      <w:r>
        <w:rPr>
          <w:spacing w:val="-5"/>
          <w:sz w:val="24"/>
        </w:rPr>
        <w:t>80</w:t>
      </w:r>
    </w:p>
    <w:p>
      <w:pPr>
        <w:pStyle w:val="BodyText"/>
        <w:spacing w:before="243"/>
        <w:rPr>
          <w:sz w:val="20"/>
        </w:rPr>
      </w:pPr>
      <w:r>
        <w:rPr/>
        <mc:AlternateContent>
          <mc:Choice Requires="wps">
            <w:drawing>
              <wp:anchor distT="0" distB="0" distL="0" distR="0" allowOverlap="1" layoutInCell="1" locked="0" behindDoc="1" simplePos="0" relativeHeight="487606784">
                <wp:simplePos x="0" y="0"/>
                <wp:positionH relativeFrom="page">
                  <wp:posOffset>835152</wp:posOffset>
                </wp:positionH>
                <wp:positionV relativeFrom="paragraph">
                  <wp:posOffset>325103</wp:posOffset>
                </wp:positionV>
                <wp:extent cx="6093460"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25.598738pt;width:479.760023pt;height:.48pt;mso-position-horizontal-relative:page;mso-position-vertical-relative:paragraph;z-index:-15709696;mso-wrap-distance-left:0;mso-wrap-distance-right:0" id="docshape41" filled="true" fillcolor="#000000" stroked="false">
                <v:fill type="solid"/>
                <w10:wrap type="topAndBottom"/>
              </v:rect>
            </w:pict>
          </mc:Fallback>
        </mc:AlternateContent>
      </w:r>
    </w:p>
    <w:p>
      <w:pPr>
        <w:pStyle w:val="BodyText"/>
      </w:pPr>
    </w:p>
    <w:p>
      <w:pPr>
        <w:pStyle w:val="BodyText"/>
        <w:spacing w:before="194"/>
      </w:pPr>
    </w:p>
    <w:p>
      <w:pPr>
        <w:pStyle w:val="BodyText"/>
        <w:ind w:left="920"/>
      </w:pPr>
      <w:r>
        <w:rPr/>
        <w:t>Peak</w:t>
      </w:r>
      <w:r>
        <w:rPr>
          <w:spacing w:val="-6"/>
        </w:rPr>
        <w:t> </w:t>
      </w:r>
      <w:r>
        <w:rPr/>
        <w:t>Plasma</w:t>
      </w:r>
      <w:r>
        <w:rPr>
          <w:spacing w:val="-4"/>
        </w:rPr>
        <w:t> </w:t>
      </w:r>
      <w:r>
        <w:rPr/>
        <w:t>level</w:t>
      </w:r>
      <w:r>
        <w:rPr>
          <w:spacing w:val="-2"/>
        </w:rPr>
        <w:t> </w:t>
      </w:r>
      <w:r>
        <w:rPr/>
        <w:t>obtained</w:t>
      </w:r>
      <w:r>
        <w:rPr>
          <w:spacing w:val="-5"/>
        </w:rPr>
        <w:t> </w:t>
      </w:r>
      <w:r>
        <w:rPr/>
        <w:t>from</w:t>
      </w:r>
      <w:r>
        <w:rPr>
          <w:spacing w:val="-3"/>
        </w:rPr>
        <w:t> </w:t>
      </w:r>
      <w:r>
        <w:rPr/>
        <w:t>Martindale:</w:t>
      </w:r>
      <w:r>
        <w:rPr>
          <w:spacing w:val="-5"/>
        </w:rPr>
        <w:t> </w:t>
      </w:r>
      <w:r>
        <w:rPr/>
        <w:t>The</w:t>
      </w:r>
      <w:r>
        <w:rPr>
          <w:spacing w:val="-3"/>
        </w:rPr>
        <w:t> </w:t>
      </w:r>
      <w:r>
        <w:rPr/>
        <w:t>Complete</w:t>
      </w:r>
      <w:r>
        <w:rPr>
          <w:spacing w:val="-4"/>
        </w:rPr>
        <w:t> </w:t>
      </w:r>
      <w:r>
        <w:rPr/>
        <w:t>Drug</w:t>
      </w:r>
      <w:r>
        <w:rPr>
          <w:spacing w:val="-2"/>
        </w:rPr>
        <w:t> </w:t>
      </w:r>
      <w:r>
        <w:rPr/>
        <w:t>Reference</w:t>
      </w:r>
      <w:r>
        <w:rPr>
          <w:spacing w:val="-4"/>
        </w:rPr>
        <w:t> </w:t>
      </w:r>
      <w:r>
        <w:rPr/>
        <w:t>(Sean,</w:t>
      </w:r>
      <w:r>
        <w:rPr>
          <w:spacing w:val="-6"/>
        </w:rPr>
        <w:t> </w:t>
      </w:r>
      <w:r>
        <w:rPr/>
        <w:t>C.S.,</w:t>
      </w:r>
      <w:r>
        <w:rPr>
          <w:spacing w:val="-5"/>
        </w:rPr>
        <w:t> </w:t>
      </w:r>
      <w:r>
        <w:rPr>
          <w:spacing w:val="-2"/>
        </w:rPr>
        <w:t>2011).</w:t>
      </w:r>
    </w:p>
    <w:p>
      <w:pPr>
        <w:spacing w:after="0"/>
        <w:sectPr>
          <w:footerReference w:type="default" r:id="rId7"/>
          <w:pgSz w:w="12240" w:h="15840"/>
          <w:pgMar w:header="0" w:footer="1017" w:top="1820" w:bottom="1200" w:left="520" w:right="260"/>
          <w:pgNumType w:start="101"/>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p>
    <w:p>
      <w:pPr>
        <w:spacing w:line="273" w:lineRule="auto" w:before="0"/>
        <w:ind w:left="2182" w:right="1181" w:hanging="1263"/>
        <w:jc w:val="left"/>
        <w:rPr>
          <w:b/>
          <w:sz w:val="22"/>
        </w:rPr>
      </w:pPr>
      <w:r>
        <w:rPr/>
        <mc:AlternateContent>
          <mc:Choice Requires="wps">
            <w:drawing>
              <wp:anchor distT="0" distB="0" distL="0" distR="0" allowOverlap="1" layoutInCell="1" locked="0" behindDoc="0" simplePos="0" relativeHeight="15749120">
                <wp:simplePos x="0" y="0"/>
                <wp:positionH relativeFrom="page">
                  <wp:posOffset>930657</wp:posOffset>
                </wp:positionH>
                <wp:positionV relativeFrom="paragraph">
                  <wp:posOffset>669055</wp:posOffset>
                </wp:positionV>
                <wp:extent cx="177800" cy="70231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77800" cy="702310"/>
                        </a:xfrm>
                        <a:prstGeom prst="rect">
                          <a:avLst/>
                        </a:prstGeom>
                      </wps:spPr>
                      <wps:txbx>
                        <w:txbxContent>
                          <w:p>
                            <w:pPr>
                              <w:spacing w:line="264" w:lineRule="exact" w:before="0"/>
                              <w:ind w:left="20" w:right="0" w:firstLine="0"/>
                              <w:jc w:val="left"/>
                              <w:rPr>
                                <w:b/>
                                <w:sz w:val="24"/>
                              </w:rPr>
                            </w:pPr>
                            <w:r>
                              <w:rPr>
                                <w:b/>
                                <w:spacing w:val="-2"/>
                                <w:sz w:val="24"/>
                              </w:rPr>
                              <w:t>Antibiotics</w:t>
                            </w:r>
                          </w:p>
                        </w:txbxContent>
                      </wps:txbx>
                      <wps:bodyPr wrap="square" lIns="0" tIns="0" rIns="0" bIns="0" rtlCol="0" vert="vert270">
                        <a:noAutofit/>
                      </wps:bodyPr>
                    </wps:wsp>
                  </a:graphicData>
                </a:graphic>
              </wp:anchor>
            </w:drawing>
          </mc:Choice>
          <mc:Fallback>
            <w:pict>
              <v:shape style="position:absolute;margin-left:73.28009pt;margin-top:52.681511pt;width:14pt;height:55.3pt;mso-position-horizontal-relative:page;mso-position-vertical-relative:paragraph;z-index:15749120" type="#_x0000_t202" id="docshape42" filled="false" stroked="false">
                <v:textbox inset="0,0,0,0" style="layout-flow:vertical;mso-layout-flow-alt:bottom-to-top">
                  <w:txbxContent>
                    <w:p>
                      <w:pPr>
                        <w:spacing w:line="264" w:lineRule="exact" w:before="0"/>
                        <w:ind w:left="20" w:right="0" w:firstLine="0"/>
                        <w:jc w:val="left"/>
                        <w:rPr>
                          <w:b/>
                          <w:sz w:val="24"/>
                        </w:rPr>
                      </w:pPr>
                      <w:r>
                        <w:rPr>
                          <w:b/>
                          <w:spacing w:val="-2"/>
                          <w:sz w:val="24"/>
                        </w:rPr>
                        <w:t>Antibiotics</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2768601</wp:posOffset>
                </wp:positionH>
                <wp:positionV relativeFrom="paragraph">
                  <wp:posOffset>823809</wp:posOffset>
                </wp:positionV>
                <wp:extent cx="177800" cy="39243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77800" cy="392430"/>
                        </a:xfrm>
                        <a:prstGeom prst="rect">
                          <a:avLst/>
                        </a:prstGeom>
                      </wps:spPr>
                      <wps:txbx>
                        <w:txbxContent>
                          <w:p>
                            <w:pPr>
                              <w:spacing w:line="264" w:lineRule="exact" w:before="0"/>
                              <w:ind w:left="20" w:right="0" w:firstLine="0"/>
                              <w:jc w:val="left"/>
                              <w:rPr>
                                <w:b/>
                                <w:i/>
                                <w:sz w:val="24"/>
                              </w:rPr>
                            </w:pPr>
                            <w:r>
                              <w:rPr>
                                <w:b/>
                                <w:i/>
                                <w:sz w:val="24"/>
                              </w:rPr>
                              <w:t>E.</w:t>
                            </w:r>
                            <w:r>
                              <w:rPr>
                                <w:b/>
                                <w:i/>
                                <w:spacing w:val="-7"/>
                                <w:sz w:val="24"/>
                              </w:rPr>
                              <w:t> </w:t>
                            </w:r>
                            <w:r>
                              <w:rPr>
                                <w:b/>
                                <w:i/>
                                <w:spacing w:val="-4"/>
                                <w:sz w:val="24"/>
                              </w:rPr>
                              <w:t>coli</w:t>
                            </w:r>
                          </w:p>
                        </w:txbxContent>
                      </wps:txbx>
                      <wps:bodyPr wrap="square" lIns="0" tIns="0" rIns="0" bIns="0" rtlCol="0" vert="vert270">
                        <a:noAutofit/>
                      </wps:bodyPr>
                    </wps:wsp>
                  </a:graphicData>
                </a:graphic>
              </wp:anchor>
            </w:drawing>
          </mc:Choice>
          <mc:Fallback>
            <w:pict>
              <v:shape style="position:absolute;margin-left:218.000092pt;margin-top:64.866859pt;width:14pt;height:30.9pt;mso-position-horizontal-relative:page;mso-position-vertical-relative:paragraph;z-index:15749632" type="#_x0000_t202" id="docshape43" filled="false" stroked="false">
                <v:textbox inset="0,0,0,0" style="layout-flow:vertical;mso-layout-flow-alt:bottom-to-top">
                  <w:txbxContent>
                    <w:p>
                      <w:pPr>
                        <w:spacing w:line="264" w:lineRule="exact" w:before="0"/>
                        <w:ind w:left="20" w:right="0" w:firstLine="0"/>
                        <w:jc w:val="left"/>
                        <w:rPr>
                          <w:b/>
                          <w:i/>
                          <w:sz w:val="24"/>
                        </w:rPr>
                      </w:pPr>
                      <w:r>
                        <w:rPr>
                          <w:b/>
                          <w:i/>
                          <w:sz w:val="24"/>
                        </w:rPr>
                        <w:t>E.</w:t>
                      </w:r>
                      <w:r>
                        <w:rPr>
                          <w:b/>
                          <w:i/>
                          <w:spacing w:val="-7"/>
                          <w:sz w:val="24"/>
                        </w:rPr>
                        <w:t> </w:t>
                      </w:r>
                      <w:r>
                        <w:rPr>
                          <w:b/>
                          <w:i/>
                          <w:spacing w:val="-4"/>
                          <w:sz w:val="24"/>
                        </w:rPr>
                        <w:t>coli</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3637281</wp:posOffset>
                </wp:positionH>
                <wp:positionV relativeFrom="paragraph">
                  <wp:posOffset>634896</wp:posOffset>
                </wp:positionV>
                <wp:extent cx="177800" cy="76390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77800" cy="763905"/>
                        </a:xfrm>
                        <a:prstGeom prst="rect">
                          <a:avLst/>
                        </a:prstGeom>
                      </wps:spPr>
                      <wps:txbx>
                        <w:txbxContent>
                          <w:p>
                            <w:pPr>
                              <w:spacing w:line="264" w:lineRule="exact" w:before="0"/>
                              <w:ind w:left="20" w:right="0" w:firstLine="0"/>
                              <w:jc w:val="left"/>
                              <w:rPr>
                                <w:b/>
                                <w:i/>
                                <w:sz w:val="24"/>
                              </w:rPr>
                            </w:pPr>
                            <w:r>
                              <w:rPr>
                                <w:b/>
                                <w:i/>
                                <w:sz w:val="24"/>
                              </w:rPr>
                              <w:t>Proteus</w:t>
                            </w:r>
                            <w:r>
                              <w:rPr>
                                <w:b/>
                                <w:i/>
                                <w:spacing w:val="-9"/>
                                <w:sz w:val="24"/>
                              </w:rPr>
                              <w:t> </w:t>
                            </w:r>
                            <w:r>
                              <w:rPr>
                                <w:b/>
                                <w:i/>
                                <w:spacing w:val="-5"/>
                                <w:sz w:val="24"/>
                              </w:rPr>
                              <w:t>spp</w:t>
                            </w:r>
                          </w:p>
                        </w:txbxContent>
                      </wps:txbx>
                      <wps:bodyPr wrap="square" lIns="0" tIns="0" rIns="0" bIns="0" rtlCol="0" vert="vert270">
                        <a:noAutofit/>
                      </wps:bodyPr>
                    </wps:wsp>
                  </a:graphicData>
                </a:graphic>
              </wp:anchor>
            </w:drawing>
          </mc:Choice>
          <mc:Fallback>
            <w:pict>
              <v:shape style="position:absolute;margin-left:286.400085pt;margin-top:49.991867pt;width:14pt;height:60.15pt;mso-position-horizontal-relative:page;mso-position-vertical-relative:paragraph;z-index:15750144" type="#_x0000_t202" id="docshape44" filled="false" stroked="false">
                <v:textbox inset="0,0,0,0" style="layout-flow:vertical;mso-layout-flow-alt:bottom-to-top">
                  <w:txbxContent>
                    <w:p>
                      <w:pPr>
                        <w:spacing w:line="264" w:lineRule="exact" w:before="0"/>
                        <w:ind w:left="20" w:right="0" w:firstLine="0"/>
                        <w:jc w:val="left"/>
                        <w:rPr>
                          <w:b/>
                          <w:i/>
                          <w:sz w:val="24"/>
                        </w:rPr>
                      </w:pPr>
                      <w:r>
                        <w:rPr>
                          <w:b/>
                          <w:i/>
                          <w:sz w:val="24"/>
                        </w:rPr>
                        <w:t>Proteus</w:t>
                      </w:r>
                      <w:r>
                        <w:rPr>
                          <w:b/>
                          <w:i/>
                          <w:spacing w:val="-9"/>
                          <w:sz w:val="24"/>
                        </w:rPr>
                        <w:t> </w:t>
                      </w:r>
                      <w:r>
                        <w:rPr>
                          <w:b/>
                          <w:i/>
                          <w:spacing w:val="-5"/>
                          <w:sz w:val="24"/>
                        </w:rPr>
                        <w:t>spp</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4563872</wp:posOffset>
                </wp:positionH>
                <wp:positionV relativeFrom="paragraph">
                  <wp:posOffset>637792</wp:posOffset>
                </wp:positionV>
                <wp:extent cx="367030" cy="76390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67030" cy="763905"/>
                        </a:xfrm>
                        <a:prstGeom prst="rect">
                          <a:avLst/>
                        </a:prstGeom>
                      </wps:spPr>
                      <wps:txbx>
                        <w:txbxContent>
                          <w:p>
                            <w:pPr>
                              <w:spacing w:line="264" w:lineRule="exact" w:before="0"/>
                              <w:ind w:left="9" w:right="9" w:firstLine="0"/>
                              <w:jc w:val="center"/>
                              <w:rPr>
                                <w:b/>
                                <w:i/>
                                <w:sz w:val="24"/>
                              </w:rPr>
                            </w:pPr>
                            <w:r>
                              <w:rPr>
                                <w:b/>
                                <w:i/>
                                <w:spacing w:val="-2"/>
                                <w:sz w:val="24"/>
                              </w:rPr>
                              <w:t>Providencia</w:t>
                            </w:r>
                          </w:p>
                          <w:p>
                            <w:pPr>
                              <w:spacing w:before="4"/>
                              <w:ind w:left="9" w:right="0" w:firstLine="0"/>
                              <w:jc w:val="center"/>
                              <w:rPr>
                                <w:b/>
                                <w:i/>
                                <w:sz w:val="24"/>
                              </w:rPr>
                            </w:pPr>
                            <w:r>
                              <w:rPr>
                                <w:b/>
                                <w:i/>
                                <w:spacing w:val="-5"/>
                                <w:sz w:val="24"/>
                              </w:rPr>
                              <w:t>spp</w:t>
                            </w:r>
                          </w:p>
                        </w:txbxContent>
                      </wps:txbx>
                      <wps:bodyPr wrap="square" lIns="0" tIns="0" rIns="0" bIns="0" rtlCol="0" vert="vert270">
                        <a:noAutofit/>
                      </wps:bodyPr>
                    </wps:wsp>
                  </a:graphicData>
                </a:graphic>
              </wp:anchor>
            </w:drawing>
          </mc:Choice>
          <mc:Fallback>
            <w:pict>
              <v:shape style="position:absolute;margin-left:359.360077pt;margin-top:50.219891pt;width:28.9pt;height:60.15pt;mso-position-horizontal-relative:page;mso-position-vertical-relative:paragraph;z-index:15750656" type="#_x0000_t202" id="docshape45" filled="false" stroked="false">
                <v:textbox inset="0,0,0,0" style="layout-flow:vertical;mso-layout-flow-alt:bottom-to-top">
                  <w:txbxContent>
                    <w:p>
                      <w:pPr>
                        <w:spacing w:line="264" w:lineRule="exact" w:before="0"/>
                        <w:ind w:left="9" w:right="9" w:firstLine="0"/>
                        <w:jc w:val="center"/>
                        <w:rPr>
                          <w:b/>
                          <w:i/>
                          <w:sz w:val="24"/>
                        </w:rPr>
                      </w:pPr>
                      <w:r>
                        <w:rPr>
                          <w:b/>
                          <w:i/>
                          <w:spacing w:val="-2"/>
                          <w:sz w:val="24"/>
                        </w:rPr>
                        <w:t>Providencia</w:t>
                      </w:r>
                    </w:p>
                    <w:p>
                      <w:pPr>
                        <w:spacing w:before="4"/>
                        <w:ind w:left="9" w:right="0" w:firstLine="0"/>
                        <w:jc w:val="center"/>
                        <w:rPr>
                          <w:b/>
                          <w:i/>
                          <w:sz w:val="24"/>
                        </w:rPr>
                      </w:pPr>
                      <w:r>
                        <w:rPr>
                          <w:b/>
                          <w:i/>
                          <w:spacing w:val="-5"/>
                          <w:sz w:val="24"/>
                        </w:rPr>
                        <w:t>spp</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5795265</wp:posOffset>
                </wp:positionH>
                <wp:positionV relativeFrom="paragraph">
                  <wp:posOffset>637324</wp:posOffset>
                </wp:positionV>
                <wp:extent cx="367030" cy="78930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67030" cy="789305"/>
                        </a:xfrm>
                        <a:prstGeom prst="rect">
                          <a:avLst/>
                        </a:prstGeom>
                      </wps:spPr>
                      <wps:txbx>
                        <w:txbxContent>
                          <w:p>
                            <w:pPr>
                              <w:spacing w:line="264" w:lineRule="exact" w:before="0"/>
                              <w:ind w:left="20" w:right="0" w:firstLine="0"/>
                              <w:jc w:val="left"/>
                              <w:rPr>
                                <w:b/>
                                <w:i/>
                                <w:sz w:val="24"/>
                              </w:rPr>
                            </w:pPr>
                            <w:r>
                              <w:rPr>
                                <w:b/>
                                <w:i/>
                                <w:spacing w:val="-2"/>
                                <w:sz w:val="24"/>
                              </w:rPr>
                              <w:t>Enterobacte</w:t>
                            </w:r>
                          </w:p>
                          <w:p>
                            <w:pPr>
                              <w:spacing w:before="4"/>
                              <w:ind w:left="20" w:right="0" w:firstLine="0"/>
                              <w:jc w:val="left"/>
                              <w:rPr>
                                <w:b/>
                                <w:i/>
                                <w:sz w:val="24"/>
                              </w:rPr>
                            </w:pPr>
                            <w:r>
                              <w:rPr>
                                <w:b/>
                                <w:i/>
                                <w:sz w:val="24"/>
                              </w:rPr>
                              <w:t>r</w:t>
                            </w:r>
                            <w:r>
                              <w:rPr>
                                <w:b/>
                                <w:i/>
                                <w:spacing w:val="-1"/>
                                <w:sz w:val="24"/>
                              </w:rPr>
                              <w:t> </w:t>
                            </w:r>
                            <w:r>
                              <w:rPr>
                                <w:b/>
                                <w:i/>
                                <w:spacing w:val="-5"/>
                                <w:sz w:val="24"/>
                              </w:rPr>
                              <w:t>spp</w:t>
                            </w:r>
                          </w:p>
                        </w:txbxContent>
                      </wps:txbx>
                      <wps:bodyPr wrap="square" lIns="0" tIns="0" rIns="0" bIns="0" rtlCol="0" vert="vert270">
                        <a:noAutofit/>
                      </wps:bodyPr>
                    </wps:wsp>
                  </a:graphicData>
                </a:graphic>
              </wp:anchor>
            </w:drawing>
          </mc:Choice>
          <mc:Fallback>
            <w:pict>
              <v:shape style="position:absolute;margin-left:456.320099pt;margin-top:50.183067pt;width:28.9pt;height:62.15pt;mso-position-horizontal-relative:page;mso-position-vertical-relative:paragraph;z-index:15751168" type="#_x0000_t202" id="docshape46" filled="false" stroked="false">
                <v:textbox inset="0,0,0,0" style="layout-flow:vertical;mso-layout-flow-alt:bottom-to-top">
                  <w:txbxContent>
                    <w:p>
                      <w:pPr>
                        <w:spacing w:line="264" w:lineRule="exact" w:before="0"/>
                        <w:ind w:left="20" w:right="0" w:firstLine="0"/>
                        <w:jc w:val="left"/>
                        <w:rPr>
                          <w:b/>
                          <w:i/>
                          <w:sz w:val="24"/>
                        </w:rPr>
                      </w:pPr>
                      <w:r>
                        <w:rPr>
                          <w:b/>
                          <w:i/>
                          <w:spacing w:val="-2"/>
                          <w:sz w:val="24"/>
                        </w:rPr>
                        <w:t>Enterobacte</w:t>
                      </w:r>
                    </w:p>
                    <w:p>
                      <w:pPr>
                        <w:spacing w:before="4"/>
                        <w:ind w:left="20" w:right="0" w:firstLine="0"/>
                        <w:jc w:val="left"/>
                        <w:rPr>
                          <w:b/>
                          <w:i/>
                          <w:sz w:val="24"/>
                        </w:rPr>
                      </w:pPr>
                      <w:r>
                        <w:rPr>
                          <w:b/>
                          <w:i/>
                          <w:sz w:val="24"/>
                        </w:rPr>
                        <w:t>r</w:t>
                      </w:r>
                      <w:r>
                        <w:rPr>
                          <w:b/>
                          <w:i/>
                          <w:spacing w:val="-1"/>
                          <w:sz w:val="24"/>
                        </w:rPr>
                        <w:t> </w:t>
                      </w:r>
                      <w:r>
                        <w:rPr>
                          <w:b/>
                          <w:i/>
                          <w:spacing w:val="-5"/>
                          <w:sz w:val="24"/>
                        </w:rPr>
                        <w:t>spp</w:t>
                      </w:r>
                    </w:p>
                  </w:txbxContent>
                </v:textbox>
                <w10:wrap type="none"/>
              </v:shape>
            </w:pict>
          </mc:Fallback>
        </mc:AlternateContent>
      </w:r>
      <w:r>
        <w:rPr>
          <w:b/>
          <w:sz w:val="22"/>
        </w:rPr>
        <w:t>Table 4.11:</w:t>
      </w:r>
      <w:r>
        <w:rPr>
          <w:b/>
          <w:spacing w:val="26"/>
          <w:sz w:val="22"/>
        </w:rPr>
        <w:t> </w:t>
      </w:r>
      <w:r>
        <w:rPr>
          <w:b/>
          <w:sz w:val="22"/>
        </w:rPr>
        <w:t>Resistance Pattern</w:t>
      </w:r>
      <w:r>
        <w:rPr>
          <w:b/>
          <w:spacing w:val="26"/>
          <w:sz w:val="22"/>
        </w:rPr>
        <w:t> </w:t>
      </w:r>
      <w:r>
        <w:rPr>
          <w:b/>
          <w:sz w:val="22"/>
        </w:rPr>
        <w:t>of</w:t>
      </w:r>
      <w:r>
        <w:rPr>
          <w:b/>
          <w:spacing w:val="27"/>
          <w:sz w:val="22"/>
        </w:rPr>
        <w:t> </w:t>
      </w:r>
      <w:r>
        <w:rPr>
          <w:b/>
          <w:sz w:val="22"/>
        </w:rPr>
        <w:t>isolates based</w:t>
      </w:r>
      <w:r>
        <w:rPr>
          <w:b/>
          <w:spacing w:val="26"/>
          <w:sz w:val="22"/>
        </w:rPr>
        <w:t> </w:t>
      </w:r>
      <w:r>
        <w:rPr>
          <w:b/>
          <w:sz w:val="22"/>
        </w:rPr>
        <w:t>on</w:t>
      </w:r>
      <w:r>
        <w:rPr>
          <w:b/>
          <w:spacing w:val="26"/>
          <w:sz w:val="22"/>
        </w:rPr>
        <w:t> </w:t>
      </w:r>
      <w:r>
        <w:rPr>
          <w:b/>
          <w:sz w:val="22"/>
        </w:rPr>
        <w:t>Minimum Inhibitory</w:t>
      </w:r>
      <w:r>
        <w:rPr>
          <w:b/>
          <w:spacing w:val="26"/>
          <w:sz w:val="22"/>
        </w:rPr>
        <w:t> </w:t>
      </w:r>
      <w:r>
        <w:rPr>
          <w:b/>
          <w:sz w:val="22"/>
        </w:rPr>
        <w:t>Concentrations of</w:t>
      </w:r>
      <w:r>
        <w:rPr>
          <w:b/>
          <w:spacing w:val="27"/>
          <w:sz w:val="22"/>
        </w:rPr>
        <w:t> </w:t>
      </w:r>
      <w:r>
        <w:rPr>
          <w:b/>
          <w:sz w:val="22"/>
        </w:rPr>
        <w:t>Selected </w:t>
      </w:r>
      <w:r>
        <w:rPr>
          <w:b/>
          <w:spacing w:val="-2"/>
          <w:sz w:val="22"/>
        </w:rPr>
        <w:t>Antibiotics</w:t>
      </w:r>
    </w:p>
    <w:p>
      <w:pPr>
        <w:pStyle w:val="BodyText"/>
        <w:spacing w:before="9"/>
        <w:rPr>
          <w:b/>
          <w:sz w:val="17"/>
        </w:rPr>
      </w:pPr>
      <w:r>
        <w:rPr/>
        <mc:AlternateContent>
          <mc:Choice Requires="wps">
            <w:drawing>
              <wp:anchor distT="0" distB="0" distL="0" distR="0" allowOverlap="1" layoutInCell="1" locked="0" behindDoc="1" simplePos="0" relativeHeight="487607296">
                <wp:simplePos x="0" y="0"/>
                <wp:positionH relativeFrom="page">
                  <wp:posOffset>844296</wp:posOffset>
                </wp:positionH>
                <wp:positionV relativeFrom="paragraph">
                  <wp:posOffset>152805</wp:posOffset>
                </wp:positionV>
                <wp:extent cx="6083935" cy="63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083935" cy="6350"/>
                        </a:xfrm>
                        <a:custGeom>
                          <a:avLst/>
                          <a:gdLst/>
                          <a:ahLst/>
                          <a:cxnLst/>
                          <a:rect l="l" t="t" r="r" b="b"/>
                          <a:pathLst>
                            <a:path w="6083935" h="6350">
                              <a:moveTo>
                                <a:pt x="1844027" y="0"/>
                              </a:moveTo>
                              <a:lnTo>
                                <a:pt x="1837944" y="0"/>
                              </a:lnTo>
                              <a:lnTo>
                                <a:pt x="0" y="0"/>
                              </a:lnTo>
                              <a:lnTo>
                                <a:pt x="0" y="6096"/>
                              </a:lnTo>
                              <a:lnTo>
                                <a:pt x="1837944" y="6096"/>
                              </a:lnTo>
                              <a:lnTo>
                                <a:pt x="1844027" y="6096"/>
                              </a:lnTo>
                              <a:lnTo>
                                <a:pt x="1844027" y="0"/>
                              </a:lnTo>
                              <a:close/>
                            </a:path>
                            <a:path w="6083935" h="6350">
                              <a:moveTo>
                                <a:pt x="6083808" y="0"/>
                              </a:moveTo>
                              <a:lnTo>
                                <a:pt x="6083808" y="0"/>
                              </a:lnTo>
                              <a:lnTo>
                                <a:pt x="1844040" y="0"/>
                              </a:lnTo>
                              <a:lnTo>
                                <a:pt x="184404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80003pt;margin-top:12.03193pt;width:479.05pt;height:.5pt;mso-position-horizontal-relative:page;mso-position-vertical-relative:paragraph;z-index:-15709184;mso-wrap-distance-left:0;mso-wrap-distance-right:0" id="docshape47" coordorigin="1330,241" coordsize="9581,10" path="m4234,241l4224,241,1330,241,1330,250,4224,250,4234,250,4234,241xm10910,241l9000,241,8990,241,7061,241,7051,241,5606,241,5597,241,4234,241,4234,250,5597,250,5606,250,7051,250,7061,250,8990,250,9000,250,10910,250,10910,241xe" filled="true" fillcolor="#000000" stroked="false">
                <v:path arrowok="t"/>
                <v:fill type="solid"/>
                <w10:wrap type="topAndBottom"/>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 w:after="1"/>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8"/>
        <w:gridCol w:w="1838"/>
        <w:gridCol w:w="1413"/>
        <w:gridCol w:w="1699"/>
        <w:gridCol w:w="2541"/>
      </w:tblGrid>
      <w:tr>
        <w:trPr>
          <w:trHeight w:val="292" w:hRule="atLeast"/>
        </w:trPr>
        <w:tc>
          <w:tcPr>
            <w:tcW w:w="2088" w:type="dxa"/>
            <w:tcBorders>
              <w:bottom w:val="single" w:sz="4" w:space="0" w:color="000000"/>
            </w:tcBorders>
          </w:tcPr>
          <w:p>
            <w:pPr>
              <w:pStyle w:val="TableParagraph"/>
              <w:spacing w:line="240" w:lineRule="auto"/>
              <w:jc w:val="left"/>
              <w:rPr>
                <w:rFonts w:ascii="Times New Roman"/>
                <w:sz w:val="20"/>
              </w:rPr>
            </w:pPr>
          </w:p>
        </w:tc>
        <w:tc>
          <w:tcPr>
            <w:tcW w:w="1838" w:type="dxa"/>
            <w:tcBorders>
              <w:bottom w:val="single" w:sz="4" w:space="0" w:color="000000"/>
            </w:tcBorders>
          </w:tcPr>
          <w:p>
            <w:pPr>
              <w:pStyle w:val="TableParagraph"/>
              <w:spacing w:line="271" w:lineRule="exact" w:before="1"/>
              <w:ind w:right="442"/>
              <w:jc w:val="right"/>
              <w:rPr>
                <w:b/>
                <w:sz w:val="24"/>
              </w:rPr>
            </w:pPr>
            <w:r>
              <w:rPr>
                <w:b/>
                <w:sz w:val="24"/>
              </w:rPr>
              <w:t>n</w:t>
            </w:r>
            <w:r>
              <w:rPr>
                <w:b/>
                <w:spacing w:val="-3"/>
                <w:sz w:val="24"/>
              </w:rPr>
              <w:t> </w:t>
            </w:r>
            <w:r>
              <w:rPr>
                <w:b/>
                <w:sz w:val="24"/>
              </w:rPr>
              <w:t>=</w:t>
            </w:r>
            <w:r>
              <w:rPr>
                <w:b/>
                <w:spacing w:val="-2"/>
                <w:sz w:val="24"/>
              </w:rPr>
              <w:t> </w:t>
            </w:r>
            <w:r>
              <w:rPr>
                <w:b/>
                <w:spacing w:val="-10"/>
                <w:sz w:val="24"/>
              </w:rPr>
              <w:t>6</w:t>
            </w:r>
          </w:p>
        </w:tc>
        <w:tc>
          <w:tcPr>
            <w:tcW w:w="1413" w:type="dxa"/>
            <w:tcBorders>
              <w:bottom w:val="single" w:sz="4" w:space="0" w:color="000000"/>
            </w:tcBorders>
          </w:tcPr>
          <w:p>
            <w:pPr>
              <w:pStyle w:val="TableParagraph"/>
              <w:spacing w:line="271" w:lineRule="exact" w:before="1"/>
              <w:ind w:left="115" w:right="155"/>
              <w:rPr>
                <w:b/>
                <w:sz w:val="24"/>
              </w:rPr>
            </w:pPr>
            <w:r>
              <w:rPr>
                <w:b/>
                <w:sz w:val="24"/>
              </w:rPr>
              <w:t>n</w:t>
            </w:r>
            <w:r>
              <w:rPr>
                <w:b/>
                <w:spacing w:val="-3"/>
                <w:sz w:val="24"/>
              </w:rPr>
              <w:t> </w:t>
            </w:r>
            <w:r>
              <w:rPr>
                <w:b/>
                <w:sz w:val="24"/>
              </w:rPr>
              <w:t>=</w:t>
            </w:r>
            <w:r>
              <w:rPr>
                <w:b/>
                <w:spacing w:val="-2"/>
                <w:sz w:val="24"/>
              </w:rPr>
              <w:t> </w:t>
            </w:r>
            <w:r>
              <w:rPr>
                <w:b/>
                <w:spacing w:val="-10"/>
                <w:sz w:val="24"/>
              </w:rPr>
              <w:t>3</w:t>
            </w:r>
          </w:p>
        </w:tc>
        <w:tc>
          <w:tcPr>
            <w:tcW w:w="1699" w:type="dxa"/>
            <w:tcBorders>
              <w:bottom w:val="single" w:sz="4" w:space="0" w:color="000000"/>
            </w:tcBorders>
          </w:tcPr>
          <w:p>
            <w:pPr>
              <w:pStyle w:val="TableParagraph"/>
              <w:spacing w:line="271" w:lineRule="exact" w:before="1"/>
              <w:ind w:left="493"/>
              <w:jc w:val="left"/>
              <w:rPr>
                <w:b/>
                <w:sz w:val="24"/>
              </w:rPr>
            </w:pPr>
            <w:r>
              <w:rPr>
                <w:b/>
                <w:sz w:val="24"/>
              </w:rPr>
              <w:t>n</w:t>
            </w:r>
            <w:r>
              <w:rPr>
                <w:b/>
                <w:spacing w:val="-3"/>
                <w:sz w:val="24"/>
              </w:rPr>
              <w:t> </w:t>
            </w:r>
            <w:r>
              <w:rPr>
                <w:b/>
                <w:sz w:val="24"/>
              </w:rPr>
              <w:t>=</w:t>
            </w:r>
            <w:r>
              <w:rPr>
                <w:b/>
                <w:spacing w:val="-2"/>
                <w:sz w:val="24"/>
              </w:rPr>
              <w:t> </w:t>
            </w:r>
            <w:r>
              <w:rPr>
                <w:b/>
                <w:spacing w:val="-10"/>
                <w:sz w:val="24"/>
              </w:rPr>
              <w:t>3</w:t>
            </w:r>
          </w:p>
        </w:tc>
        <w:tc>
          <w:tcPr>
            <w:tcW w:w="2541" w:type="dxa"/>
            <w:tcBorders>
              <w:bottom w:val="single" w:sz="4" w:space="0" w:color="000000"/>
            </w:tcBorders>
          </w:tcPr>
          <w:p>
            <w:pPr>
              <w:pStyle w:val="TableParagraph"/>
              <w:spacing w:line="271" w:lineRule="exact" w:before="1"/>
              <w:ind w:left="733"/>
              <w:jc w:val="left"/>
              <w:rPr>
                <w:b/>
                <w:sz w:val="24"/>
              </w:rPr>
            </w:pPr>
            <w:r>
              <w:rPr>
                <w:b/>
                <w:sz w:val="24"/>
              </w:rPr>
              <w:t>n</w:t>
            </w:r>
            <w:r>
              <w:rPr>
                <w:b/>
                <w:spacing w:val="-3"/>
                <w:sz w:val="24"/>
              </w:rPr>
              <w:t> </w:t>
            </w:r>
            <w:r>
              <w:rPr>
                <w:b/>
                <w:sz w:val="24"/>
              </w:rPr>
              <w:t>=</w:t>
            </w:r>
            <w:r>
              <w:rPr>
                <w:b/>
                <w:spacing w:val="-2"/>
                <w:sz w:val="24"/>
              </w:rPr>
              <w:t> </w:t>
            </w:r>
            <w:r>
              <w:rPr>
                <w:b/>
                <w:spacing w:val="-5"/>
                <w:sz w:val="24"/>
              </w:rPr>
              <w:t>14</w:t>
            </w:r>
          </w:p>
        </w:tc>
      </w:tr>
      <w:tr>
        <w:trPr>
          <w:trHeight w:val="340" w:hRule="atLeast"/>
        </w:trPr>
        <w:tc>
          <w:tcPr>
            <w:tcW w:w="2088" w:type="dxa"/>
            <w:tcBorders>
              <w:top w:val="single" w:sz="4" w:space="0" w:color="000000"/>
            </w:tcBorders>
          </w:tcPr>
          <w:p>
            <w:pPr>
              <w:pStyle w:val="TableParagraph"/>
              <w:spacing w:line="289" w:lineRule="exact" w:before="1"/>
              <w:ind w:left="110"/>
              <w:jc w:val="left"/>
              <w:rPr>
                <w:sz w:val="24"/>
              </w:rPr>
            </w:pPr>
            <w:r>
              <w:rPr>
                <w:spacing w:val="-2"/>
                <w:sz w:val="24"/>
              </w:rPr>
              <w:t>Amoxicillin</w:t>
            </w:r>
          </w:p>
        </w:tc>
        <w:tc>
          <w:tcPr>
            <w:tcW w:w="1838" w:type="dxa"/>
            <w:tcBorders>
              <w:top w:val="single" w:sz="4" w:space="0" w:color="000000"/>
            </w:tcBorders>
          </w:tcPr>
          <w:p>
            <w:pPr>
              <w:pStyle w:val="TableParagraph"/>
              <w:spacing w:line="289" w:lineRule="exact" w:before="1"/>
              <w:ind w:right="557"/>
              <w:jc w:val="right"/>
              <w:rPr>
                <w:sz w:val="24"/>
              </w:rPr>
            </w:pPr>
            <w:r>
              <w:rPr>
                <w:spacing w:val="-5"/>
                <w:sz w:val="24"/>
              </w:rPr>
              <w:t>100</w:t>
            </w:r>
          </w:p>
        </w:tc>
        <w:tc>
          <w:tcPr>
            <w:tcW w:w="1413" w:type="dxa"/>
            <w:tcBorders>
              <w:top w:val="single" w:sz="4" w:space="0" w:color="000000"/>
            </w:tcBorders>
          </w:tcPr>
          <w:p>
            <w:pPr>
              <w:pStyle w:val="TableParagraph"/>
              <w:spacing w:line="289" w:lineRule="exact" w:before="1"/>
              <w:ind w:right="155"/>
              <w:rPr>
                <w:sz w:val="24"/>
              </w:rPr>
            </w:pPr>
            <w:r>
              <w:rPr>
                <w:spacing w:val="-5"/>
                <w:sz w:val="24"/>
              </w:rPr>
              <w:t>100</w:t>
            </w:r>
          </w:p>
        </w:tc>
        <w:tc>
          <w:tcPr>
            <w:tcW w:w="1699" w:type="dxa"/>
            <w:tcBorders>
              <w:top w:val="single" w:sz="4" w:space="0" w:color="000000"/>
            </w:tcBorders>
          </w:tcPr>
          <w:p>
            <w:pPr>
              <w:pStyle w:val="TableParagraph"/>
              <w:spacing w:line="289" w:lineRule="exact" w:before="1"/>
              <w:ind w:left="493"/>
              <w:jc w:val="left"/>
              <w:rPr>
                <w:sz w:val="24"/>
              </w:rPr>
            </w:pPr>
            <w:r>
              <w:rPr>
                <w:spacing w:val="-5"/>
                <w:sz w:val="24"/>
              </w:rPr>
              <w:t>100</w:t>
            </w:r>
          </w:p>
        </w:tc>
        <w:tc>
          <w:tcPr>
            <w:tcW w:w="2541" w:type="dxa"/>
            <w:tcBorders>
              <w:top w:val="single" w:sz="4" w:space="0" w:color="000000"/>
            </w:tcBorders>
          </w:tcPr>
          <w:p>
            <w:pPr>
              <w:pStyle w:val="TableParagraph"/>
              <w:spacing w:line="289" w:lineRule="exact" w:before="1"/>
              <w:ind w:left="733"/>
              <w:jc w:val="left"/>
              <w:rPr>
                <w:sz w:val="24"/>
              </w:rPr>
            </w:pPr>
            <w:r>
              <w:rPr>
                <w:spacing w:val="-5"/>
                <w:sz w:val="24"/>
              </w:rPr>
              <w:t>100</w:t>
            </w:r>
          </w:p>
        </w:tc>
      </w:tr>
    </w:tbl>
    <w:p>
      <w:pPr>
        <w:pStyle w:val="BodyText"/>
        <w:rPr>
          <w:b/>
          <w:sz w:val="24"/>
        </w:rPr>
      </w:pPr>
    </w:p>
    <w:p>
      <w:pPr>
        <w:pStyle w:val="BodyText"/>
        <w:spacing w:before="218"/>
        <w:rPr>
          <w:b/>
          <w:sz w:val="24"/>
        </w:rPr>
      </w:pPr>
    </w:p>
    <w:p>
      <w:pPr>
        <w:tabs>
          <w:tab w:pos="3867" w:val="left" w:leader="none"/>
          <w:tab w:pos="5182" w:val="left" w:leader="none"/>
          <w:tab w:pos="6641" w:val="left" w:leader="none"/>
          <w:tab w:pos="8822" w:val="right" w:leader="none"/>
        </w:tabs>
        <w:spacing w:before="0"/>
        <w:ind w:left="920" w:right="0" w:firstLine="0"/>
        <w:jc w:val="left"/>
        <w:rPr>
          <w:sz w:val="24"/>
        </w:rPr>
      </w:pPr>
      <w:r>
        <w:rPr>
          <w:spacing w:val="-2"/>
          <w:sz w:val="24"/>
        </w:rPr>
        <w:t>Chloramphenicol</w:t>
      </w:r>
      <w:r>
        <w:rPr>
          <w:sz w:val="24"/>
        </w:rPr>
        <w:tab/>
      </w:r>
      <w:r>
        <w:rPr>
          <w:spacing w:val="-5"/>
          <w:sz w:val="24"/>
        </w:rPr>
        <w:t>75</w:t>
      </w:r>
      <w:r>
        <w:rPr>
          <w:sz w:val="24"/>
        </w:rPr>
        <w:tab/>
      </w:r>
      <w:r>
        <w:rPr>
          <w:spacing w:val="-10"/>
          <w:sz w:val="24"/>
        </w:rPr>
        <w:t>0</w:t>
      </w:r>
      <w:r>
        <w:rPr>
          <w:sz w:val="24"/>
        </w:rPr>
        <w:tab/>
      </w:r>
      <w:r>
        <w:rPr>
          <w:spacing w:val="-10"/>
          <w:sz w:val="24"/>
        </w:rPr>
        <w:t>0</w:t>
      </w:r>
      <w:r>
        <w:rPr>
          <w:sz w:val="24"/>
        </w:rPr>
        <w:tab/>
      </w:r>
      <w:r>
        <w:rPr>
          <w:spacing w:val="-5"/>
          <w:sz w:val="24"/>
        </w:rPr>
        <w:t>43</w:t>
      </w:r>
    </w:p>
    <w:p>
      <w:pPr>
        <w:tabs>
          <w:tab w:pos="3814" w:val="left" w:leader="none"/>
          <w:tab w:pos="5182" w:val="left" w:leader="none"/>
          <w:tab w:pos="6641" w:val="left" w:leader="none"/>
          <w:tab w:pos="8702" w:val="right" w:leader="none"/>
        </w:tabs>
        <w:spacing w:before="777"/>
        <w:ind w:left="920" w:right="0" w:firstLine="0"/>
        <w:jc w:val="left"/>
        <w:rPr>
          <w:sz w:val="24"/>
        </w:rPr>
      </w:pPr>
      <w:r>
        <w:rPr>
          <w:spacing w:val="-2"/>
          <w:sz w:val="24"/>
        </w:rPr>
        <w:t>Ofloxacin</w:t>
      </w:r>
      <w:r>
        <w:rPr>
          <w:sz w:val="24"/>
        </w:rPr>
        <w:tab/>
      </w:r>
      <w:r>
        <w:rPr>
          <w:spacing w:val="-5"/>
          <w:sz w:val="24"/>
        </w:rPr>
        <w:t>17</w:t>
      </w:r>
      <w:r>
        <w:rPr>
          <w:sz w:val="24"/>
        </w:rPr>
        <w:tab/>
      </w:r>
      <w:r>
        <w:rPr>
          <w:spacing w:val="-10"/>
          <w:sz w:val="24"/>
        </w:rPr>
        <w:t>0</w:t>
      </w:r>
      <w:r>
        <w:rPr>
          <w:sz w:val="24"/>
        </w:rPr>
        <w:tab/>
      </w:r>
      <w:r>
        <w:rPr>
          <w:spacing w:val="-10"/>
          <w:sz w:val="24"/>
        </w:rPr>
        <w:t>0</w:t>
      </w:r>
      <w:r>
        <w:rPr>
          <w:sz w:val="24"/>
        </w:rPr>
        <w:tab/>
      </w:r>
      <w:r>
        <w:rPr>
          <w:spacing w:val="-10"/>
          <w:sz w:val="24"/>
        </w:rPr>
        <w:t>7</w:t>
      </w:r>
    </w:p>
    <w:p>
      <w:pPr>
        <w:tabs>
          <w:tab w:pos="3814" w:val="left" w:leader="none"/>
          <w:tab w:pos="5182" w:val="left" w:leader="none"/>
          <w:tab w:pos="6641" w:val="left" w:leader="none"/>
          <w:tab w:pos="8822" w:val="right" w:leader="none"/>
        </w:tabs>
        <w:spacing w:before="864"/>
        <w:ind w:left="920" w:right="0" w:firstLine="0"/>
        <w:jc w:val="left"/>
        <w:rPr>
          <w:sz w:val="24"/>
        </w:rPr>
      </w:pPr>
      <w:r>
        <w:rPr>
          <w:spacing w:val="-2"/>
          <w:sz w:val="24"/>
        </w:rPr>
        <w:t>Tetracycline</w:t>
      </w:r>
      <w:r>
        <w:rPr>
          <w:sz w:val="24"/>
        </w:rPr>
        <w:tab/>
      </w:r>
      <w:r>
        <w:rPr>
          <w:spacing w:val="-5"/>
          <w:sz w:val="24"/>
        </w:rPr>
        <w:t>50</w:t>
      </w:r>
      <w:r>
        <w:rPr>
          <w:sz w:val="24"/>
        </w:rPr>
        <w:tab/>
      </w:r>
      <w:r>
        <w:rPr>
          <w:spacing w:val="-10"/>
          <w:sz w:val="24"/>
        </w:rPr>
        <w:t>0</w:t>
      </w:r>
      <w:r>
        <w:rPr>
          <w:sz w:val="24"/>
        </w:rPr>
        <w:tab/>
      </w:r>
      <w:r>
        <w:rPr>
          <w:spacing w:val="-10"/>
          <w:sz w:val="24"/>
        </w:rPr>
        <w:t>0</w:t>
      </w:r>
      <w:r>
        <w:rPr>
          <w:sz w:val="24"/>
        </w:rPr>
        <w:tab/>
      </w:r>
      <w:r>
        <w:rPr>
          <w:spacing w:val="-5"/>
          <w:sz w:val="24"/>
        </w:rPr>
        <w:t>50</w:t>
      </w:r>
    </w:p>
    <w:p>
      <w:pPr>
        <w:pStyle w:val="BodyText"/>
        <w:rPr>
          <w:sz w:val="20"/>
        </w:rPr>
      </w:pP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607808">
                <wp:simplePos x="0" y="0"/>
                <wp:positionH relativeFrom="page">
                  <wp:posOffset>835152</wp:posOffset>
                </wp:positionH>
                <wp:positionV relativeFrom="paragraph">
                  <wp:posOffset>240712</wp:posOffset>
                </wp:positionV>
                <wp:extent cx="6093460" cy="63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8.953741pt;width:479.760023pt;height:.48pt;mso-position-horizontal-relative:page;mso-position-vertical-relative:paragraph;z-index:-15708672;mso-wrap-distance-left:0;mso-wrap-distance-right:0" id="docshape48"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7"/>
      </w:pPr>
    </w:p>
    <w:p>
      <w:pPr>
        <w:spacing w:before="0"/>
        <w:ind w:left="920" w:right="0" w:firstLine="0"/>
        <w:jc w:val="left"/>
        <w:rPr>
          <w:b/>
          <w:sz w:val="22"/>
        </w:rPr>
      </w:pPr>
      <w:r>
        <w:rPr>
          <w:b/>
          <w:sz w:val="22"/>
        </w:rPr>
        <w:t>Table</w:t>
      </w:r>
      <w:r>
        <w:rPr>
          <w:b/>
          <w:spacing w:val="-6"/>
          <w:sz w:val="22"/>
        </w:rPr>
        <w:t> </w:t>
      </w:r>
      <w:r>
        <w:rPr>
          <w:b/>
          <w:sz w:val="22"/>
        </w:rPr>
        <w:t>4.12:</w:t>
      </w:r>
      <w:r>
        <w:rPr>
          <w:b/>
          <w:spacing w:val="-4"/>
          <w:sz w:val="22"/>
        </w:rPr>
        <w:t> </w:t>
      </w:r>
      <w:r>
        <w:rPr>
          <w:b/>
          <w:sz w:val="22"/>
        </w:rPr>
        <w:t>Multiple</w:t>
      </w:r>
      <w:r>
        <w:rPr>
          <w:b/>
          <w:spacing w:val="-6"/>
          <w:sz w:val="22"/>
        </w:rPr>
        <w:t> </w:t>
      </w:r>
      <w:r>
        <w:rPr>
          <w:b/>
          <w:sz w:val="22"/>
        </w:rPr>
        <w:t>Antibiotics</w:t>
      </w:r>
      <w:r>
        <w:rPr>
          <w:b/>
          <w:spacing w:val="-5"/>
          <w:sz w:val="22"/>
        </w:rPr>
        <w:t> </w:t>
      </w:r>
      <w:r>
        <w:rPr>
          <w:b/>
          <w:sz w:val="22"/>
        </w:rPr>
        <w:t>Resistance</w:t>
      </w:r>
      <w:r>
        <w:rPr>
          <w:b/>
          <w:spacing w:val="-6"/>
          <w:sz w:val="22"/>
        </w:rPr>
        <w:t> </w:t>
      </w:r>
      <w:r>
        <w:rPr>
          <w:b/>
          <w:sz w:val="22"/>
        </w:rPr>
        <w:t>Index</w:t>
      </w:r>
      <w:r>
        <w:rPr>
          <w:b/>
          <w:spacing w:val="-6"/>
          <w:sz w:val="22"/>
        </w:rPr>
        <w:t> </w:t>
      </w:r>
      <w:r>
        <w:rPr>
          <w:b/>
          <w:sz w:val="22"/>
        </w:rPr>
        <w:t>of</w:t>
      </w:r>
      <w:r>
        <w:rPr>
          <w:b/>
          <w:spacing w:val="-3"/>
          <w:sz w:val="22"/>
        </w:rPr>
        <w:t> </w:t>
      </w:r>
      <w:r>
        <w:rPr>
          <w:b/>
          <w:sz w:val="22"/>
        </w:rPr>
        <w:t>Isolates</w:t>
      </w:r>
      <w:r>
        <w:rPr>
          <w:b/>
          <w:spacing w:val="-5"/>
          <w:sz w:val="22"/>
        </w:rPr>
        <w:t> </w:t>
      </w:r>
      <w:r>
        <w:rPr>
          <w:b/>
          <w:sz w:val="22"/>
        </w:rPr>
        <w:t>in</w:t>
      </w:r>
      <w:r>
        <w:rPr>
          <w:b/>
          <w:spacing w:val="-4"/>
          <w:sz w:val="22"/>
        </w:rPr>
        <w:t> </w:t>
      </w:r>
      <w:r>
        <w:rPr>
          <w:b/>
          <w:sz w:val="22"/>
        </w:rPr>
        <w:t>Milk</w:t>
      </w:r>
      <w:r>
        <w:rPr>
          <w:b/>
          <w:spacing w:val="-5"/>
          <w:sz w:val="22"/>
        </w:rPr>
        <w:t> </w:t>
      </w:r>
      <w:r>
        <w:rPr>
          <w:b/>
          <w:sz w:val="22"/>
        </w:rPr>
        <w:t>Sample</w:t>
      </w:r>
      <w:r>
        <w:rPr>
          <w:b/>
          <w:spacing w:val="-5"/>
          <w:sz w:val="22"/>
        </w:rPr>
        <w:t> (%)</w:t>
      </w:r>
    </w:p>
    <w:p>
      <w:pPr>
        <w:pStyle w:val="BodyText"/>
        <w:spacing w:before="23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0"/>
        <w:gridCol w:w="3820"/>
        <w:gridCol w:w="3120"/>
      </w:tblGrid>
      <w:tr>
        <w:trPr>
          <w:trHeight w:val="585" w:hRule="atLeast"/>
        </w:trPr>
        <w:tc>
          <w:tcPr>
            <w:tcW w:w="2640" w:type="dxa"/>
            <w:tcBorders>
              <w:top w:val="single" w:sz="4" w:space="0" w:color="000000"/>
              <w:bottom w:val="single" w:sz="4" w:space="0" w:color="000000"/>
            </w:tcBorders>
          </w:tcPr>
          <w:p>
            <w:pPr>
              <w:pStyle w:val="TableParagraph"/>
              <w:spacing w:line="240" w:lineRule="auto" w:before="1"/>
              <w:ind w:left="110"/>
              <w:jc w:val="left"/>
              <w:rPr>
                <w:b/>
                <w:sz w:val="24"/>
              </w:rPr>
            </w:pPr>
            <w:r>
              <w:rPr>
                <w:b/>
                <w:sz w:val="24"/>
              </w:rPr>
              <w:t>MAR</w:t>
            </w:r>
            <w:r>
              <w:rPr>
                <w:b/>
                <w:spacing w:val="-7"/>
                <w:sz w:val="24"/>
              </w:rPr>
              <w:t> </w:t>
            </w:r>
            <w:r>
              <w:rPr>
                <w:b/>
                <w:spacing w:val="-2"/>
                <w:sz w:val="24"/>
              </w:rPr>
              <w:t>Index</w:t>
            </w:r>
          </w:p>
        </w:tc>
        <w:tc>
          <w:tcPr>
            <w:tcW w:w="3820" w:type="dxa"/>
            <w:tcBorders>
              <w:top w:val="single" w:sz="4" w:space="0" w:color="000000"/>
              <w:bottom w:val="single" w:sz="4" w:space="0" w:color="000000"/>
            </w:tcBorders>
          </w:tcPr>
          <w:p>
            <w:pPr>
              <w:pStyle w:val="TableParagraph"/>
              <w:spacing w:line="240" w:lineRule="auto" w:before="1"/>
              <w:ind w:left="477" w:right="2"/>
              <w:rPr>
                <w:b/>
                <w:sz w:val="24"/>
              </w:rPr>
            </w:pPr>
            <w:r>
              <w:rPr>
                <w:b/>
                <w:sz w:val="24"/>
              </w:rPr>
              <w:t>No.</w:t>
            </w:r>
            <w:r>
              <w:rPr>
                <w:b/>
                <w:spacing w:val="-6"/>
                <w:sz w:val="24"/>
              </w:rPr>
              <w:t> </w:t>
            </w:r>
            <w:r>
              <w:rPr>
                <w:b/>
                <w:sz w:val="24"/>
              </w:rPr>
              <w:t>of</w:t>
            </w:r>
            <w:r>
              <w:rPr>
                <w:b/>
                <w:spacing w:val="-4"/>
                <w:sz w:val="24"/>
              </w:rPr>
              <w:t> </w:t>
            </w:r>
            <w:r>
              <w:rPr>
                <w:b/>
                <w:spacing w:val="-2"/>
                <w:sz w:val="24"/>
              </w:rPr>
              <w:t>Isolates</w:t>
            </w:r>
          </w:p>
        </w:tc>
        <w:tc>
          <w:tcPr>
            <w:tcW w:w="3120" w:type="dxa"/>
            <w:tcBorders>
              <w:top w:val="single" w:sz="4" w:space="0" w:color="000000"/>
              <w:bottom w:val="single" w:sz="4" w:space="0" w:color="000000"/>
            </w:tcBorders>
          </w:tcPr>
          <w:p>
            <w:pPr>
              <w:pStyle w:val="TableParagraph"/>
              <w:spacing w:line="240" w:lineRule="auto" w:before="1"/>
              <w:ind w:left="8" w:right="81"/>
              <w:rPr>
                <w:b/>
                <w:sz w:val="24"/>
              </w:rPr>
            </w:pPr>
            <w:r>
              <w:rPr>
                <w:b/>
                <w:spacing w:val="-2"/>
                <w:sz w:val="24"/>
              </w:rPr>
              <w:t>Percentage</w:t>
            </w:r>
          </w:p>
        </w:tc>
      </w:tr>
      <w:tr>
        <w:trPr>
          <w:trHeight w:val="463" w:hRule="atLeast"/>
        </w:trPr>
        <w:tc>
          <w:tcPr>
            <w:tcW w:w="2640" w:type="dxa"/>
            <w:tcBorders>
              <w:top w:val="single" w:sz="4" w:space="0" w:color="000000"/>
            </w:tcBorders>
          </w:tcPr>
          <w:p>
            <w:pPr>
              <w:pStyle w:val="TableParagraph"/>
              <w:spacing w:line="240" w:lineRule="auto" w:before="1"/>
              <w:ind w:left="110"/>
              <w:jc w:val="left"/>
              <w:rPr>
                <w:sz w:val="24"/>
              </w:rPr>
            </w:pPr>
            <w:r>
              <w:rPr>
                <w:spacing w:val="-5"/>
                <w:sz w:val="24"/>
              </w:rPr>
              <w:t>0.2</w:t>
            </w:r>
          </w:p>
        </w:tc>
        <w:tc>
          <w:tcPr>
            <w:tcW w:w="3820" w:type="dxa"/>
            <w:tcBorders>
              <w:top w:val="single" w:sz="4" w:space="0" w:color="000000"/>
            </w:tcBorders>
          </w:tcPr>
          <w:p>
            <w:pPr>
              <w:pStyle w:val="TableParagraph"/>
              <w:spacing w:line="240" w:lineRule="auto" w:before="1"/>
              <w:ind w:left="477"/>
              <w:rPr>
                <w:sz w:val="24"/>
              </w:rPr>
            </w:pPr>
            <w:r>
              <w:rPr>
                <w:spacing w:val="-10"/>
                <w:sz w:val="24"/>
              </w:rPr>
              <w:t>6</w:t>
            </w:r>
          </w:p>
        </w:tc>
        <w:tc>
          <w:tcPr>
            <w:tcW w:w="3120" w:type="dxa"/>
            <w:tcBorders>
              <w:top w:val="single" w:sz="4" w:space="0" w:color="000000"/>
            </w:tcBorders>
          </w:tcPr>
          <w:p>
            <w:pPr>
              <w:pStyle w:val="TableParagraph"/>
              <w:spacing w:line="240" w:lineRule="auto" w:before="1"/>
              <w:ind w:left="5" w:right="81"/>
              <w:rPr>
                <w:sz w:val="24"/>
              </w:rPr>
            </w:pPr>
            <w:r>
              <w:rPr>
                <w:spacing w:val="-5"/>
                <w:sz w:val="24"/>
              </w:rPr>
              <w:t>6.7</w:t>
            </w:r>
          </w:p>
        </w:tc>
      </w:tr>
      <w:tr>
        <w:trPr>
          <w:trHeight w:val="585" w:hRule="atLeast"/>
        </w:trPr>
        <w:tc>
          <w:tcPr>
            <w:tcW w:w="2640" w:type="dxa"/>
          </w:tcPr>
          <w:p>
            <w:pPr>
              <w:pStyle w:val="TableParagraph"/>
              <w:spacing w:line="240" w:lineRule="auto" w:before="124"/>
              <w:ind w:left="110"/>
              <w:jc w:val="left"/>
              <w:rPr>
                <w:sz w:val="24"/>
              </w:rPr>
            </w:pPr>
            <w:r>
              <w:rPr>
                <w:spacing w:val="-5"/>
                <w:sz w:val="24"/>
              </w:rPr>
              <w:t>0.3</w:t>
            </w:r>
          </w:p>
        </w:tc>
        <w:tc>
          <w:tcPr>
            <w:tcW w:w="3820" w:type="dxa"/>
          </w:tcPr>
          <w:p>
            <w:pPr>
              <w:pStyle w:val="TableParagraph"/>
              <w:spacing w:line="240" w:lineRule="auto" w:before="124"/>
              <w:ind w:left="477" w:right="5"/>
              <w:rPr>
                <w:sz w:val="24"/>
              </w:rPr>
            </w:pPr>
            <w:r>
              <w:rPr>
                <w:spacing w:val="-5"/>
                <w:sz w:val="24"/>
              </w:rPr>
              <w:t>10</w:t>
            </w:r>
          </w:p>
        </w:tc>
        <w:tc>
          <w:tcPr>
            <w:tcW w:w="3120" w:type="dxa"/>
          </w:tcPr>
          <w:p>
            <w:pPr>
              <w:pStyle w:val="TableParagraph"/>
              <w:spacing w:line="240" w:lineRule="auto" w:before="124"/>
              <w:ind w:right="81"/>
              <w:rPr>
                <w:sz w:val="24"/>
              </w:rPr>
            </w:pPr>
            <w:r>
              <w:rPr>
                <w:spacing w:val="-4"/>
                <w:sz w:val="24"/>
              </w:rPr>
              <w:t>11.1</w:t>
            </w:r>
          </w:p>
        </w:tc>
      </w:tr>
      <w:tr>
        <w:trPr>
          <w:trHeight w:val="585" w:hRule="atLeast"/>
        </w:trPr>
        <w:tc>
          <w:tcPr>
            <w:tcW w:w="2640" w:type="dxa"/>
          </w:tcPr>
          <w:p>
            <w:pPr>
              <w:pStyle w:val="TableParagraph"/>
              <w:spacing w:line="240" w:lineRule="auto" w:before="124"/>
              <w:ind w:left="110"/>
              <w:jc w:val="left"/>
              <w:rPr>
                <w:sz w:val="24"/>
              </w:rPr>
            </w:pPr>
            <w:r>
              <w:rPr>
                <w:spacing w:val="-5"/>
                <w:sz w:val="24"/>
              </w:rPr>
              <w:t>0.4</w:t>
            </w:r>
          </w:p>
        </w:tc>
        <w:tc>
          <w:tcPr>
            <w:tcW w:w="3820" w:type="dxa"/>
          </w:tcPr>
          <w:p>
            <w:pPr>
              <w:pStyle w:val="TableParagraph"/>
              <w:spacing w:line="240" w:lineRule="auto" w:before="124"/>
              <w:ind w:left="477" w:right="5"/>
              <w:rPr>
                <w:sz w:val="24"/>
              </w:rPr>
            </w:pPr>
            <w:r>
              <w:rPr>
                <w:spacing w:val="-5"/>
                <w:sz w:val="24"/>
              </w:rPr>
              <w:t>10</w:t>
            </w:r>
          </w:p>
        </w:tc>
        <w:tc>
          <w:tcPr>
            <w:tcW w:w="3120" w:type="dxa"/>
          </w:tcPr>
          <w:p>
            <w:pPr>
              <w:pStyle w:val="TableParagraph"/>
              <w:spacing w:line="240" w:lineRule="auto" w:before="124"/>
              <w:ind w:right="81"/>
              <w:rPr>
                <w:sz w:val="24"/>
              </w:rPr>
            </w:pPr>
            <w:r>
              <w:rPr>
                <w:spacing w:val="-4"/>
                <w:sz w:val="24"/>
              </w:rPr>
              <w:t>11.1</w:t>
            </w:r>
          </w:p>
        </w:tc>
      </w:tr>
      <w:tr>
        <w:trPr>
          <w:trHeight w:val="585" w:hRule="atLeast"/>
        </w:trPr>
        <w:tc>
          <w:tcPr>
            <w:tcW w:w="2640" w:type="dxa"/>
          </w:tcPr>
          <w:p>
            <w:pPr>
              <w:pStyle w:val="TableParagraph"/>
              <w:spacing w:line="240" w:lineRule="auto" w:before="124"/>
              <w:ind w:left="110"/>
              <w:jc w:val="left"/>
              <w:rPr>
                <w:sz w:val="24"/>
              </w:rPr>
            </w:pPr>
            <w:r>
              <w:rPr>
                <w:spacing w:val="-5"/>
                <w:sz w:val="24"/>
              </w:rPr>
              <w:t>0.6</w:t>
            </w:r>
          </w:p>
        </w:tc>
        <w:tc>
          <w:tcPr>
            <w:tcW w:w="3820" w:type="dxa"/>
          </w:tcPr>
          <w:p>
            <w:pPr>
              <w:pStyle w:val="TableParagraph"/>
              <w:spacing w:line="240" w:lineRule="auto" w:before="124"/>
              <w:ind w:left="477" w:right="5"/>
              <w:rPr>
                <w:sz w:val="24"/>
              </w:rPr>
            </w:pPr>
            <w:r>
              <w:rPr>
                <w:spacing w:val="-5"/>
                <w:sz w:val="24"/>
              </w:rPr>
              <w:t>14</w:t>
            </w:r>
          </w:p>
        </w:tc>
        <w:tc>
          <w:tcPr>
            <w:tcW w:w="3120" w:type="dxa"/>
          </w:tcPr>
          <w:p>
            <w:pPr>
              <w:pStyle w:val="TableParagraph"/>
              <w:spacing w:line="240" w:lineRule="auto" w:before="124"/>
              <w:ind w:right="81"/>
              <w:rPr>
                <w:sz w:val="24"/>
              </w:rPr>
            </w:pPr>
            <w:r>
              <w:rPr>
                <w:spacing w:val="-4"/>
                <w:sz w:val="24"/>
              </w:rPr>
              <w:t>15.6</w:t>
            </w:r>
          </w:p>
        </w:tc>
      </w:tr>
      <w:tr>
        <w:trPr>
          <w:trHeight w:val="585" w:hRule="atLeast"/>
        </w:trPr>
        <w:tc>
          <w:tcPr>
            <w:tcW w:w="2640" w:type="dxa"/>
          </w:tcPr>
          <w:p>
            <w:pPr>
              <w:pStyle w:val="TableParagraph"/>
              <w:spacing w:line="240" w:lineRule="auto" w:before="124"/>
              <w:ind w:left="110"/>
              <w:jc w:val="left"/>
              <w:rPr>
                <w:sz w:val="24"/>
              </w:rPr>
            </w:pPr>
            <w:r>
              <w:rPr>
                <w:spacing w:val="-5"/>
                <w:sz w:val="24"/>
              </w:rPr>
              <w:t>0.7</w:t>
            </w:r>
          </w:p>
        </w:tc>
        <w:tc>
          <w:tcPr>
            <w:tcW w:w="3820" w:type="dxa"/>
          </w:tcPr>
          <w:p>
            <w:pPr>
              <w:pStyle w:val="TableParagraph"/>
              <w:spacing w:line="240" w:lineRule="auto" w:before="124"/>
              <w:ind w:left="477" w:right="5"/>
              <w:rPr>
                <w:sz w:val="24"/>
              </w:rPr>
            </w:pPr>
            <w:r>
              <w:rPr>
                <w:spacing w:val="-5"/>
                <w:sz w:val="24"/>
              </w:rPr>
              <w:t>20</w:t>
            </w:r>
          </w:p>
        </w:tc>
        <w:tc>
          <w:tcPr>
            <w:tcW w:w="3120" w:type="dxa"/>
          </w:tcPr>
          <w:p>
            <w:pPr>
              <w:pStyle w:val="TableParagraph"/>
              <w:spacing w:line="240" w:lineRule="auto" w:before="124"/>
              <w:ind w:right="81"/>
              <w:rPr>
                <w:sz w:val="24"/>
              </w:rPr>
            </w:pPr>
            <w:r>
              <w:rPr>
                <w:spacing w:val="-4"/>
                <w:sz w:val="24"/>
              </w:rPr>
              <w:t>22.2</w:t>
            </w:r>
          </w:p>
        </w:tc>
      </w:tr>
      <w:tr>
        <w:trPr>
          <w:trHeight w:val="585" w:hRule="atLeast"/>
        </w:trPr>
        <w:tc>
          <w:tcPr>
            <w:tcW w:w="2640" w:type="dxa"/>
          </w:tcPr>
          <w:p>
            <w:pPr>
              <w:pStyle w:val="TableParagraph"/>
              <w:spacing w:line="240" w:lineRule="auto" w:before="124"/>
              <w:ind w:left="110"/>
              <w:jc w:val="left"/>
              <w:rPr>
                <w:sz w:val="24"/>
              </w:rPr>
            </w:pPr>
            <w:r>
              <w:rPr>
                <w:spacing w:val="-5"/>
                <w:sz w:val="24"/>
              </w:rPr>
              <w:t>0.8</w:t>
            </w:r>
          </w:p>
        </w:tc>
        <w:tc>
          <w:tcPr>
            <w:tcW w:w="3820" w:type="dxa"/>
          </w:tcPr>
          <w:p>
            <w:pPr>
              <w:pStyle w:val="TableParagraph"/>
              <w:spacing w:line="240" w:lineRule="auto" w:before="124"/>
              <w:ind w:left="477" w:right="5"/>
              <w:rPr>
                <w:sz w:val="24"/>
              </w:rPr>
            </w:pPr>
            <w:r>
              <w:rPr>
                <w:spacing w:val="-5"/>
                <w:sz w:val="24"/>
              </w:rPr>
              <w:t>13</w:t>
            </w:r>
          </w:p>
        </w:tc>
        <w:tc>
          <w:tcPr>
            <w:tcW w:w="3120" w:type="dxa"/>
          </w:tcPr>
          <w:p>
            <w:pPr>
              <w:pStyle w:val="TableParagraph"/>
              <w:spacing w:line="240" w:lineRule="auto" w:before="124"/>
              <w:ind w:right="81"/>
              <w:rPr>
                <w:sz w:val="24"/>
              </w:rPr>
            </w:pPr>
            <w:r>
              <w:rPr>
                <w:spacing w:val="-4"/>
                <w:sz w:val="24"/>
              </w:rPr>
              <w:t>14.4</w:t>
            </w:r>
          </w:p>
        </w:tc>
      </w:tr>
      <w:tr>
        <w:trPr>
          <w:trHeight w:val="583" w:hRule="atLeast"/>
        </w:trPr>
        <w:tc>
          <w:tcPr>
            <w:tcW w:w="2640" w:type="dxa"/>
          </w:tcPr>
          <w:p>
            <w:pPr>
              <w:pStyle w:val="TableParagraph"/>
              <w:spacing w:line="240" w:lineRule="auto" w:before="124"/>
              <w:ind w:left="110"/>
              <w:jc w:val="left"/>
              <w:rPr>
                <w:sz w:val="24"/>
              </w:rPr>
            </w:pPr>
            <w:r>
              <w:rPr>
                <w:spacing w:val="-5"/>
                <w:sz w:val="24"/>
              </w:rPr>
              <w:t>0.9</w:t>
            </w:r>
          </w:p>
        </w:tc>
        <w:tc>
          <w:tcPr>
            <w:tcW w:w="3820" w:type="dxa"/>
          </w:tcPr>
          <w:p>
            <w:pPr>
              <w:pStyle w:val="TableParagraph"/>
              <w:spacing w:line="240" w:lineRule="auto" w:before="124"/>
              <w:ind w:left="477" w:right="5"/>
              <w:rPr>
                <w:sz w:val="24"/>
              </w:rPr>
            </w:pPr>
            <w:r>
              <w:rPr>
                <w:spacing w:val="-5"/>
                <w:sz w:val="24"/>
              </w:rPr>
              <w:t>15</w:t>
            </w:r>
          </w:p>
        </w:tc>
        <w:tc>
          <w:tcPr>
            <w:tcW w:w="3120" w:type="dxa"/>
          </w:tcPr>
          <w:p>
            <w:pPr>
              <w:pStyle w:val="TableParagraph"/>
              <w:spacing w:line="240" w:lineRule="auto" w:before="124"/>
              <w:ind w:right="81"/>
              <w:rPr>
                <w:sz w:val="24"/>
              </w:rPr>
            </w:pPr>
            <w:r>
              <w:rPr>
                <w:spacing w:val="-4"/>
                <w:sz w:val="24"/>
              </w:rPr>
              <w:t>16.7</w:t>
            </w:r>
          </w:p>
        </w:tc>
      </w:tr>
      <w:tr>
        <w:trPr>
          <w:trHeight w:val="391" w:hRule="atLeast"/>
        </w:trPr>
        <w:tc>
          <w:tcPr>
            <w:tcW w:w="2640" w:type="dxa"/>
          </w:tcPr>
          <w:p>
            <w:pPr>
              <w:pStyle w:val="TableParagraph"/>
              <w:spacing w:line="245" w:lineRule="exact" w:before="126"/>
              <w:ind w:left="110"/>
              <w:jc w:val="left"/>
              <w:rPr>
                <w:sz w:val="22"/>
              </w:rPr>
            </w:pPr>
            <w:r>
              <w:rPr>
                <w:spacing w:val="-5"/>
                <w:sz w:val="22"/>
              </w:rPr>
              <w:t>1.0</w:t>
            </w:r>
          </w:p>
        </w:tc>
        <w:tc>
          <w:tcPr>
            <w:tcW w:w="3820" w:type="dxa"/>
          </w:tcPr>
          <w:p>
            <w:pPr>
              <w:pStyle w:val="TableParagraph"/>
              <w:spacing w:line="245" w:lineRule="exact" w:before="126"/>
              <w:ind w:left="477"/>
              <w:rPr>
                <w:sz w:val="22"/>
              </w:rPr>
            </w:pPr>
            <w:r>
              <w:rPr>
                <w:spacing w:val="-10"/>
                <w:sz w:val="22"/>
              </w:rPr>
              <w:t>2</w:t>
            </w:r>
          </w:p>
        </w:tc>
        <w:tc>
          <w:tcPr>
            <w:tcW w:w="3120" w:type="dxa"/>
          </w:tcPr>
          <w:p>
            <w:pPr>
              <w:pStyle w:val="TableParagraph"/>
              <w:spacing w:line="245" w:lineRule="exact" w:before="126"/>
              <w:ind w:left="10" w:right="81"/>
              <w:rPr>
                <w:sz w:val="22"/>
              </w:rPr>
            </w:pPr>
            <w:r>
              <w:rPr>
                <w:spacing w:val="-5"/>
                <w:sz w:val="22"/>
              </w:rPr>
              <w:t>2.2</w:t>
            </w:r>
          </w:p>
        </w:tc>
      </w:tr>
    </w:tbl>
    <w:p>
      <w:pPr>
        <w:pStyle w:val="BodyText"/>
        <w:spacing w:before="6"/>
        <w:rPr>
          <w:b/>
          <w:sz w:val="20"/>
        </w:rPr>
      </w:pPr>
      <w:r>
        <w:rPr/>
        <mc:AlternateContent>
          <mc:Choice Requires="wps">
            <w:drawing>
              <wp:anchor distT="0" distB="0" distL="0" distR="0" allowOverlap="1" layoutInCell="1" locked="0" behindDoc="1" simplePos="0" relativeHeight="487610880">
                <wp:simplePos x="0" y="0"/>
                <wp:positionH relativeFrom="page">
                  <wp:posOffset>835152</wp:posOffset>
                </wp:positionH>
                <wp:positionV relativeFrom="paragraph">
                  <wp:posOffset>174079</wp:posOffset>
                </wp:positionV>
                <wp:extent cx="6093460" cy="63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3.707018pt;width:479.760023pt;height:.48pt;mso-position-horizontal-relative:page;mso-position-vertical-relative:paragraph;z-index:-15705600;mso-wrap-distance-left:0;mso-wrap-distance-right:0" id="docshape49"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pStyle w:val="Heading5"/>
        <w:numPr>
          <w:ilvl w:val="1"/>
          <w:numId w:val="18"/>
        </w:numPr>
        <w:tabs>
          <w:tab w:pos="1244" w:val="left" w:leader="none"/>
        </w:tabs>
        <w:spacing w:line="240" w:lineRule="auto" w:before="125" w:after="0"/>
        <w:ind w:left="1244" w:right="0" w:hanging="324"/>
        <w:jc w:val="left"/>
        <w:rPr>
          <w:b w:val="0"/>
        </w:rPr>
      </w:pPr>
      <w:bookmarkStart w:name="_TOC_250010" w:id="81"/>
      <w:r>
        <w:rPr/>
        <w:t>BETA-LACTAMASE</w:t>
      </w:r>
      <w:r>
        <w:rPr>
          <w:spacing w:val="-10"/>
        </w:rPr>
        <w:t> </w:t>
      </w:r>
      <w:r>
        <w:rPr/>
        <w:t>PRODUCTION</w:t>
      </w:r>
      <w:r>
        <w:rPr>
          <w:spacing w:val="-9"/>
        </w:rPr>
        <w:t> </w:t>
      </w:r>
      <w:bookmarkEnd w:id="81"/>
      <w:r>
        <w:rPr>
          <w:spacing w:val="-4"/>
        </w:rPr>
        <w:t>TEST</w:t>
      </w:r>
    </w:p>
    <w:p>
      <w:pPr>
        <w:pStyle w:val="BodyText"/>
        <w:spacing w:before="202"/>
        <w:rPr>
          <w:b/>
        </w:rPr>
      </w:pPr>
    </w:p>
    <w:p>
      <w:pPr>
        <w:pStyle w:val="BodyText"/>
        <w:spacing w:line="475" w:lineRule="auto" w:before="1"/>
        <w:ind w:left="920" w:right="1177"/>
        <w:jc w:val="both"/>
      </w:pPr>
      <w:r>
        <w:rPr/>
        <w:t>The result of beta-lactamase production test showed that twenty-six resistant isolates produced beta- lactamase enzyme and they were all resistant to beta-lactam antibiotics used in this study.</w:t>
      </w:r>
    </w:p>
    <w:p>
      <w:pPr>
        <w:pStyle w:val="Heading5"/>
        <w:numPr>
          <w:ilvl w:val="1"/>
          <w:numId w:val="18"/>
        </w:numPr>
        <w:tabs>
          <w:tab w:pos="1244" w:val="left" w:leader="none"/>
        </w:tabs>
        <w:spacing w:line="240" w:lineRule="auto" w:before="246" w:after="0"/>
        <w:ind w:left="1244" w:right="0" w:hanging="324"/>
        <w:jc w:val="left"/>
        <w:rPr>
          <w:b w:val="0"/>
        </w:rPr>
      </w:pPr>
      <w:bookmarkStart w:name="_TOC_250009" w:id="82"/>
      <w:r>
        <w:rPr/>
        <w:t>CONJUGATION</w:t>
      </w:r>
      <w:r>
        <w:rPr>
          <w:spacing w:val="-14"/>
        </w:rPr>
        <w:t> </w:t>
      </w:r>
      <w:bookmarkEnd w:id="82"/>
      <w:r>
        <w:rPr>
          <w:spacing w:val="-2"/>
        </w:rPr>
        <w:t>STUDIES</w:t>
      </w:r>
    </w:p>
    <w:p>
      <w:pPr>
        <w:pStyle w:val="BodyText"/>
        <w:spacing w:before="202"/>
        <w:rPr>
          <w:b/>
        </w:rPr>
      </w:pPr>
    </w:p>
    <w:p>
      <w:pPr>
        <w:pStyle w:val="BodyText"/>
        <w:spacing w:line="480" w:lineRule="auto" w:before="1"/>
        <w:ind w:left="920" w:right="1179"/>
        <w:jc w:val="both"/>
      </w:pPr>
      <w:r>
        <w:rPr/>
        <w:t>The result of the conjugation studies on Table 4.13 showed that out of the twenty six (26) donor</w:t>
      </w:r>
      <w:r>
        <w:rPr>
          <w:spacing w:val="40"/>
        </w:rPr>
        <w:t> </w:t>
      </w:r>
      <w:r>
        <w:rPr/>
        <w:t>isolates, nineteen were observed to transfer</w:t>
      </w:r>
      <w:r>
        <w:rPr>
          <w:spacing w:val="40"/>
        </w:rPr>
        <w:t> </w:t>
      </w:r>
      <w:r>
        <w:rPr/>
        <w:t>resistance trait and they had the culture characteristics of the recipient </w:t>
      </w:r>
      <w:r>
        <w:rPr>
          <w:i/>
        </w:rPr>
        <w:t>E. coli </w:t>
      </w:r>
      <w:r>
        <w:rPr/>
        <w:t>and </w:t>
      </w:r>
      <w:r>
        <w:rPr>
          <w:i/>
        </w:rPr>
        <w:t>Proteus spp</w:t>
      </w:r>
      <w:r>
        <w:rPr/>
        <w:t>. The M.I.Cs of ofloxacin on transconjugants after conjugation were also observed to increase.</w:t>
      </w:r>
    </w:p>
    <w:p>
      <w:pPr>
        <w:pStyle w:val="Heading5"/>
        <w:numPr>
          <w:ilvl w:val="1"/>
          <w:numId w:val="18"/>
        </w:numPr>
        <w:tabs>
          <w:tab w:pos="1244" w:val="left" w:leader="none"/>
        </w:tabs>
        <w:spacing w:line="240" w:lineRule="auto" w:before="198" w:after="0"/>
        <w:ind w:left="1244" w:right="0" w:hanging="324"/>
        <w:jc w:val="left"/>
        <w:rPr>
          <w:b w:val="0"/>
        </w:rPr>
      </w:pPr>
      <w:r>
        <w:rPr/>
        <w:t>TRANSCONJUGANTS</w:t>
      </w:r>
      <w:r>
        <w:rPr>
          <w:spacing w:val="-10"/>
        </w:rPr>
        <w:t> </w:t>
      </w:r>
      <w:r>
        <w:rPr>
          <w:spacing w:val="-2"/>
        </w:rPr>
        <w:t>CURING</w:t>
      </w:r>
    </w:p>
    <w:p>
      <w:pPr>
        <w:pStyle w:val="BodyText"/>
        <w:spacing w:before="202"/>
        <w:rPr>
          <w:b/>
        </w:rPr>
      </w:pPr>
    </w:p>
    <w:p>
      <w:pPr>
        <w:pStyle w:val="BodyText"/>
        <w:spacing w:line="480" w:lineRule="auto"/>
        <w:ind w:left="920" w:right="1180"/>
        <w:jc w:val="both"/>
      </w:pPr>
      <w:r>
        <w:rPr/>
        <w:t>Changes were observed in the sensitivity pattern of tested transconjugants after curing. Table 4.14 shows that the Minimum Inhibitory Concentrations of ofloxacin for each transconjugants decreased when compared to those before curing in a range of one to seven-fold reduction.</w:t>
      </w:r>
    </w:p>
    <w:p>
      <w:pPr>
        <w:spacing w:after="0" w:line="480" w:lineRule="auto"/>
        <w:jc w:val="both"/>
        <w:sectPr>
          <w:pgSz w:w="12240" w:h="15840"/>
          <w:pgMar w:header="0" w:footer="1017" w:top="1820" w:bottom="1200" w:left="520" w:right="2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1"/>
      </w:pPr>
    </w:p>
    <w:p>
      <w:pPr>
        <w:pStyle w:val="Heading6"/>
        <w:spacing w:before="1"/>
        <w:ind w:left="920" w:firstLine="0"/>
      </w:pPr>
      <w:r>
        <w:rPr/>
        <w:t>Table</w:t>
      </w:r>
      <w:r>
        <w:rPr>
          <w:spacing w:val="-8"/>
        </w:rPr>
        <w:t> </w:t>
      </w:r>
      <w:r>
        <w:rPr/>
        <w:t>4.13A:</w:t>
      </w:r>
      <w:r>
        <w:rPr>
          <w:spacing w:val="-4"/>
        </w:rPr>
        <w:t> </w:t>
      </w:r>
      <w:r>
        <w:rPr/>
        <w:t>Minimum</w:t>
      </w:r>
      <w:r>
        <w:rPr>
          <w:spacing w:val="-7"/>
        </w:rPr>
        <w:t> </w:t>
      </w:r>
      <w:r>
        <w:rPr/>
        <w:t>Inhibitory</w:t>
      </w:r>
      <w:r>
        <w:rPr>
          <w:spacing w:val="-4"/>
        </w:rPr>
        <w:t> </w:t>
      </w:r>
      <w:r>
        <w:rPr/>
        <w:t>Concentration</w:t>
      </w:r>
      <w:r>
        <w:rPr>
          <w:spacing w:val="-3"/>
        </w:rPr>
        <w:t> </w:t>
      </w:r>
      <w:r>
        <w:rPr/>
        <w:t>(M.I.C)</w:t>
      </w:r>
      <w:r>
        <w:rPr>
          <w:spacing w:val="-6"/>
        </w:rPr>
        <w:t> </w:t>
      </w:r>
      <w:r>
        <w:rPr/>
        <w:t>of</w:t>
      </w:r>
      <w:r>
        <w:rPr>
          <w:spacing w:val="-3"/>
        </w:rPr>
        <w:t> </w:t>
      </w:r>
      <w:r>
        <w:rPr/>
        <w:t>Ofloxacin</w:t>
      </w:r>
      <w:r>
        <w:rPr>
          <w:spacing w:val="-4"/>
        </w:rPr>
        <w:t> </w:t>
      </w:r>
      <w:r>
        <w:rPr/>
        <w:t>before</w:t>
      </w:r>
      <w:r>
        <w:rPr>
          <w:spacing w:val="-6"/>
        </w:rPr>
        <w:t> </w:t>
      </w:r>
      <w:r>
        <w:rPr/>
        <w:t>and</w:t>
      </w:r>
      <w:r>
        <w:rPr>
          <w:spacing w:val="-4"/>
        </w:rPr>
        <w:t> </w:t>
      </w:r>
      <w:r>
        <w:rPr/>
        <w:t>after</w:t>
      </w:r>
      <w:r>
        <w:rPr>
          <w:spacing w:val="-6"/>
        </w:rPr>
        <w:t> </w:t>
      </w:r>
      <w:r>
        <w:rPr>
          <w:spacing w:val="-2"/>
        </w:rPr>
        <w:t>Conjugation</w:t>
      </w:r>
    </w:p>
    <w:p>
      <w:pPr>
        <w:pStyle w:val="BodyText"/>
        <w:spacing w:before="42"/>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1016"/>
        <w:gridCol w:w="3140"/>
        <w:gridCol w:w="1942"/>
        <w:gridCol w:w="2832"/>
      </w:tblGrid>
      <w:tr>
        <w:trPr>
          <w:trHeight w:val="585" w:hRule="atLeast"/>
        </w:trPr>
        <w:tc>
          <w:tcPr>
            <w:tcW w:w="650"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5"/>
                <w:sz w:val="24"/>
              </w:rPr>
              <w:t>S/N</w:t>
            </w:r>
          </w:p>
        </w:tc>
        <w:tc>
          <w:tcPr>
            <w:tcW w:w="1016" w:type="dxa"/>
            <w:tcBorders>
              <w:top w:val="single" w:sz="4" w:space="0" w:color="000000"/>
              <w:bottom w:val="single" w:sz="4" w:space="0" w:color="000000"/>
            </w:tcBorders>
          </w:tcPr>
          <w:p>
            <w:pPr>
              <w:pStyle w:val="TableParagraph"/>
              <w:spacing w:line="290" w:lineRule="atLeast"/>
              <w:ind w:left="247" w:right="174" w:hanging="82"/>
              <w:jc w:val="left"/>
              <w:rPr>
                <w:b/>
                <w:sz w:val="24"/>
              </w:rPr>
            </w:pPr>
            <w:r>
              <w:rPr>
                <w:b/>
                <w:spacing w:val="-2"/>
                <w:sz w:val="24"/>
              </w:rPr>
              <w:t>Isolate </w:t>
            </w:r>
            <w:r>
              <w:rPr>
                <w:b/>
                <w:spacing w:val="-4"/>
                <w:sz w:val="24"/>
              </w:rPr>
              <w:t>Code</w:t>
            </w:r>
          </w:p>
        </w:tc>
        <w:tc>
          <w:tcPr>
            <w:tcW w:w="3140" w:type="dxa"/>
            <w:tcBorders>
              <w:top w:val="single" w:sz="4" w:space="0" w:color="000000"/>
              <w:bottom w:val="single" w:sz="4" w:space="0" w:color="000000"/>
            </w:tcBorders>
          </w:tcPr>
          <w:p>
            <w:pPr>
              <w:pStyle w:val="TableParagraph"/>
              <w:spacing w:line="290" w:lineRule="atLeast"/>
              <w:ind w:left="181" w:firstLine="264"/>
              <w:jc w:val="left"/>
              <w:rPr>
                <w:b/>
                <w:sz w:val="24"/>
              </w:rPr>
            </w:pPr>
            <w:r>
              <w:rPr>
                <w:b/>
                <w:sz w:val="24"/>
              </w:rPr>
              <w:t>M.I.C on MDR isolates before</w:t>
            </w:r>
            <w:r>
              <w:rPr>
                <w:b/>
                <w:spacing w:val="-14"/>
                <w:sz w:val="24"/>
              </w:rPr>
              <w:t> </w:t>
            </w:r>
            <w:r>
              <w:rPr>
                <w:b/>
                <w:sz w:val="24"/>
              </w:rPr>
              <w:t>Conjugation</w:t>
            </w:r>
            <w:r>
              <w:rPr>
                <w:b/>
                <w:spacing w:val="-14"/>
                <w:sz w:val="24"/>
              </w:rPr>
              <w:t> </w:t>
            </w:r>
            <w:r>
              <w:rPr>
                <w:b/>
                <w:sz w:val="24"/>
              </w:rPr>
              <w:t>(µg/ml)</w:t>
            </w:r>
          </w:p>
        </w:tc>
        <w:tc>
          <w:tcPr>
            <w:tcW w:w="1942" w:type="dxa"/>
            <w:tcBorders>
              <w:top w:val="single" w:sz="4" w:space="0" w:color="000000"/>
              <w:bottom w:val="single" w:sz="4" w:space="0" w:color="000000"/>
            </w:tcBorders>
          </w:tcPr>
          <w:p>
            <w:pPr>
              <w:pStyle w:val="TableParagraph"/>
              <w:spacing w:line="290" w:lineRule="atLeast"/>
              <w:ind w:left="224" w:firstLine="264"/>
              <w:jc w:val="left"/>
              <w:rPr>
                <w:b/>
                <w:sz w:val="24"/>
              </w:rPr>
            </w:pPr>
            <w:r>
              <w:rPr>
                <w:b/>
                <w:spacing w:val="-2"/>
                <w:sz w:val="24"/>
              </w:rPr>
              <w:t>Recipient Characteristics</w:t>
            </w:r>
          </w:p>
        </w:tc>
        <w:tc>
          <w:tcPr>
            <w:tcW w:w="2832" w:type="dxa"/>
            <w:tcBorders>
              <w:top w:val="single" w:sz="4" w:space="0" w:color="000000"/>
              <w:bottom w:val="single" w:sz="4" w:space="0" w:color="000000"/>
            </w:tcBorders>
          </w:tcPr>
          <w:p>
            <w:pPr>
              <w:pStyle w:val="TableParagraph"/>
              <w:spacing w:line="240" w:lineRule="auto" w:before="1"/>
              <w:ind w:left="53"/>
              <w:rPr>
                <w:b/>
                <w:sz w:val="24"/>
              </w:rPr>
            </w:pPr>
            <w:r>
              <w:rPr>
                <w:b/>
                <w:sz w:val="24"/>
              </w:rPr>
              <w:t>M.I.C</w:t>
            </w:r>
            <w:r>
              <w:rPr>
                <w:b/>
                <w:spacing w:val="-13"/>
                <w:sz w:val="24"/>
              </w:rPr>
              <w:t> </w:t>
            </w:r>
            <w:r>
              <w:rPr>
                <w:b/>
                <w:sz w:val="24"/>
              </w:rPr>
              <w:t>on</w:t>
            </w:r>
            <w:r>
              <w:rPr>
                <w:b/>
                <w:spacing w:val="-6"/>
                <w:sz w:val="24"/>
              </w:rPr>
              <w:t> </w:t>
            </w:r>
            <w:r>
              <w:rPr>
                <w:b/>
                <w:sz w:val="24"/>
              </w:rPr>
              <w:t>Recipient</w:t>
            </w:r>
            <w:r>
              <w:rPr>
                <w:b/>
                <w:spacing w:val="-8"/>
                <w:sz w:val="24"/>
              </w:rPr>
              <w:t> </w:t>
            </w:r>
            <w:r>
              <w:rPr>
                <w:b/>
                <w:spacing w:val="-4"/>
                <w:sz w:val="24"/>
              </w:rPr>
              <w:t>after</w:t>
            </w:r>
          </w:p>
          <w:p>
            <w:pPr>
              <w:pStyle w:val="TableParagraph"/>
              <w:spacing w:line="271" w:lineRule="exact"/>
              <w:ind w:left="53" w:right="2"/>
              <w:rPr>
                <w:b/>
                <w:sz w:val="24"/>
              </w:rPr>
            </w:pPr>
            <w:r>
              <w:rPr>
                <w:b/>
                <w:spacing w:val="-2"/>
                <w:sz w:val="24"/>
              </w:rPr>
              <w:t>Conjugation</w:t>
            </w:r>
            <w:r>
              <w:rPr>
                <w:b/>
                <w:spacing w:val="7"/>
                <w:sz w:val="24"/>
              </w:rPr>
              <w:t> </w:t>
            </w:r>
            <w:r>
              <w:rPr>
                <w:b/>
                <w:spacing w:val="-2"/>
                <w:sz w:val="24"/>
              </w:rPr>
              <w:t>(µg/ml)</w:t>
            </w:r>
          </w:p>
        </w:tc>
      </w:tr>
      <w:tr>
        <w:trPr>
          <w:trHeight w:val="461" w:hRule="atLeast"/>
        </w:trPr>
        <w:tc>
          <w:tcPr>
            <w:tcW w:w="650" w:type="dxa"/>
            <w:tcBorders>
              <w:top w:val="single" w:sz="4" w:space="0" w:color="000000"/>
            </w:tcBorders>
          </w:tcPr>
          <w:p>
            <w:pPr>
              <w:pStyle w:val="TableParagraph"/>
              <w:spacing w:line="240" w:lineRule="auto" w:before="1"/>
              <w:ind w:left="110"/>
              <w:jc w:val="left"/>
              <w:rPr>
                <w:sz w:val="24"/>
              </w:rPr>
            </w:pPr>
            <w:r>
              <w:rPr>
                <w:spacing w:val="-10"/>
                <w:sz w:val="24"/>
              </w:rPr>
              <w:t>1</w:t>
            </w:r>
          </w:p>
        </w:tc>
        <w:tc>
          <w:tcPr>
            <w:tcW w:w="1016" w:type="dxa"/>
            <w:tcBorders>
              <w:top w:val="single" w:sz="4" w:space="0" w:color="000000"/>
            </w:tcBorders>
          </w:tcPr>
          <w:p>
            <w:pPr>
              <w:pStyle w:val="TableParagraph"/>
              <w:spacing w:line="240" w:lineRule="auto" w:before="1"/>
              <w:ind w:left="5" w:right="20"/>
              <w:rPr>
                <w:sz w:val="24"/>
              </w:rPr>
            </w:pPr>
            <w:r>
              <w:rPr>
                <w:spacing w:val="-5"/>
                <w:sz w:val="24"/>
              </w:rPr>
              <w:t>S5e</w:t>
            </w:r>
          </w:p>
        </w:tc>
        <w:tc>
          <w:tcPr>
            <w:tcW w:w="3140" w:type="dxa"/>
            <w:tcBorders>
              <w:top w:val="single" w:sz="4" w:space="0" w:color="000000"/>
            </w:tcBorders>
          </w:tcPr>
          <w:p>
            <w:pPr>
              <w:pStyle w:val="TableParagraph"/>
              <w:spacing w:line="240" w:lineRule="auto" w:before="1"/>
              <w:ind w:left="5" w:right="51"/>
              <w:rPr>
                <w:sz w:val="24"/>
              </w:rPr>
            </w:pPr>
            <w:r>
              <w:rPr>
                <w:spacing w:val="-4"/>
                <w:sz w:val="24"/>
              </w:rPr>
              <w:t>12.5</w:t>
            </w:r>
          </w:p>
        </w:tc>
        <w:tc>
          <w:tcPr>
            <w:tcW w:w="1942" w:type="dxa"/>
            <w:tcBorders>
              <w:top w:val="single" w:sz="4" w:space="0" w:color="000000"/>
            </w:tcBorders>
          </w:tcPr>
          <w:p>
            <w:pPr>
              <w:pStyle w:val="TableParagraph"/>
              <w:spacing w:line="240" w:lineRule="auto" w:before="1"/>
              <w:ind w:right="37"/>
              <w:rPr>
                <w:sz w:val="24"/>
              </w:rPr>
            </w:pPr>
            <w:r>
              <w:rPr>
                <w:spacing w:val="-10"/>
                <w:sz w:val="24"/>
              </w:rPr>
              <w:t>_</w:t>
            </w:r>
          </w:p>
        </w:tc>
        <w:tc>
          <w:tcPr>
            <w:tcW w:w="2832" w:type="dxa"/>
            <w:tcBorders>
              <w:top w:val="single" w:sz="4" w:space="0" w:color="000000"/>
            </w:tcBorders>
          </w:tcPr>
          <w:p>
            <w:pPr>
              <w:pStyle w:val="TableParagraph"/>
              <w:spacing w:line="240" w:lineRule="auto" w:before="1"/>
              <w:ind w:left="53"/>
              <w:rPr>
                <w:sz w:val="24"/>
              </w:rPr>
            </w:pPr>
            <w:r>
              <w:rPr>
                <w:spacing w:val="-10"/>
                <w:sz w:val="24"/>
              </w:rPr>
              <w:t>_</w:t>
            </w:r>
          </w:p>
        </w:tc>
      </w:tr>
      <w:tr>
        <w:trPr>
          <w:trHeight w:val="585" w:hRule="atLeast"/>
        </w:trPr>
        <w:tc>
          <w:tcPr>
            <w:tcW w:w="650" w:type="dxa"/>
          </w:tcPr>
          <w:p>
            <w:pPr>
              <w:pStyle w:val="TableParagraph"/>
              <w:spacing w:line="240" w:lineRule="auto" w:before="124"/>
              <w:ind w:left="110"/>
              <w:jc w:val="left"/>
              <w:rPr>
                <w:sz w:val="24"/>
              </w:rPr>
            </w:pPr>
            <w:r>
              <w:rPr>
                <w:spacing w:val="-10"/>
                <w:sz w:val="24"/>
              </w:rPr>
              <w:t>2</w:t>
            </w:r>
          </w:p>
        </w:tc>
        <w:tc>
          <w:tcPr>
            <w:tcW w:w="1016" w:type="dxa"/>
          </w:tcPr>
          <w:p>
            <w:pPr>
              <w:pStyle w:val="TableParagraph"/>
              <w:spacing w:line="240" w:lineRule="auto" w:before="124"/>
              <w:ind w:left="5" w:right="20"/>
              <w:rPr>
                <w:sz w:val="24"/>
              </w:rPr>
            </w:pPr>
            <w:r>
              <w:rPr>
                <w:spacing w:val="-5"/>
                <w:sz w:val="24"/>
              </w:rPr>
              <w:t>S4e</w:t>
            </w:r>
          </w:p>
        </w:tc>
        <w:tc>
          <w:tcPr>
            <w:tcW w:w="3140" w:type="dxa"/>
          </w:tcPr>
          <w:p>
            <w:pPr>
              <w:pStyle w:val="TableParagraph"/>
              <w:spacing w:line="240" w:lineRule="auto" w:before="124"/>
              <w:ind w:right="51"/>
              <w:rPr>
                <w:sz w:val="24"/>
              </w:rPr>
            </w:pPr>
            <w:r>
              <w:rPr>
                <w:spacing w:val="-2"/>
                <w:sz w:val="24"/>
              </w:rPr>
              <w:t>0.782</w:t>
            </w:r>
          </w:p>
        </w:tc>
        <w:tc>
          <w:tcPr>
            <w:tcW w:w="1942" w:type="dxa"/>
          </w:tcPr>
          <w:p>
            <w:pPr>
              <w:pStyle w:val="TableParagraph"/>
              <w:spacing w:line="240" w:lineRule="auto" w:before="124"/>
              <w:ind w:right="37"/>
              <w:rPr>
                <w:sz w:val="24"/>
              </w:rPr>
            </w:pPr>
            <w:r>
              <w:rPr>
                <w:spacing w:val="-10"/>
                <w:sz w:val="24"/>
              </w:rPr>
              <w:t>+</w:t>
            </w:r>
          </w:p>
        </w:tc>
        <w:tc>
          <w:tcPr>
            <w:tcW w:w="2832" w:type="dxa"/>
          </w:tcPr>
          <w:p>
            <w:pPr>
              <w:pStyle w:val="TableParagraph"/>
              <w:spacing w:line="240" w:lineRule="auto" w:before="124"/>
              <w:ind w:left="53" w:right="2"/>
              <w:rPr>
                <w:sz w:val="24"/>
              </w:rPr>
            </w:pPr>
            <w:r>
              <w:rPr>
                <w:spacing w:val="-5"/>
                <w:sz w:val="24"/>
              </w:rPr>
              <w:t>50</w:t>
            </w:r>
          </w:p>
        </w:tc>
      </w:tr>
      <w:tr>
        <w:trPr>
          <w:trHeight w:val="585" w:hRule="atLeast"/>
        </w:trPr>
        <w:tc>
          <w:tcPr>
            <w:tcW w:w="650" w:type="dxa"/>
          </w:tcPr>
          <w:p>
            <w:pPr>
              <w:pStyle w:val="TableParagraph"/>
              <w:spacing w:line="240" w:lineRule="auto" w:before="124"/>
              <w:ind w:left="110"/>
              <w:jc w:val="left"/>
              <w:rPr>
                <w:sz w:val="24"/>
              </w:rPr>
            </w:pPr>
            <w:r>
              <w:rPr>
                <w:spacing w:val="-10"/>
                <w:sz w:val="24"/>
              </w:rPr>
              <w:t>3</w:t>
            </w:r>
          </w:p>
        </w:tc>
        <w:tc>
          <w:tcPr>
            <w:tcW w:w="1016" w:type="dxa"/>
          </w:tcPr>
          <w:p>
            <w:pPr>
              <w:pStyle w:val="TableParagraph"/>
              <w:spacing w:line="240" w:lineRule="auto" w:before="124"/>
              <w:ind w:left="5" w:right="20"/>
              <w:rPr>
                <w:sz w:val="24"/>
              </w:rPr>
            </w:pPr>
            <w:r>
              <w:rPr>
                <w:spacing w:val="-5"/>
                <w:sz w:val="24"/>
              </w:rPr>
              <w:t>S8e</w:t>
            </w:r>
          </w:p>
        </w:tc>
        <w:tc>
          <w:tcPr>
            <w:tcW w:w="3140" w:type="dxa"/>
          </w:tcPr>
          <w:p>
            <w:pPr>
              <w:pStyle w:val="TableParagraph"/>
              <w:spacing w:line="240" w:lineRule="auto" w:before="124"/>
              <w:ind w:right="51"/>
              <w:rPr>
                <w:sz w:val="24"/>
              </w:rPr>
            </w:pPr>
            <w:r>
              <w:rPr>
                <w:spacing w:val="-2"/>
                <w:sz w:val="24"/>
              </w:rPr>
              <w:t>3.125</w:t>
            </w:r>
          </w:p>
        </w:tc>
        <w:tc>
          <w:tcPr>
            <w:tcW w:w="1942" w:type="dxa"/>
          </w:tcPr>
          <w:p>
            <w:pPr>
              <w:pStyle w:val="TableParagraph"/>
              <w:spacing w:line="240" w:lineRule="auto" w:before="124"/>
              <w:ind w:right="37"/>
              <w:rPr>
                <w:sz w:val="24"/>
              </w:rPr>
            </w:pPr>
            <w:r>
              <w:rPr>
                <w:spacing w:val="-10"/>
                <w:sz w:val="24"/>
              </w:rPr>
              <w:t>_</w:t>
            </w:r>
          </w:p>
        </w:tc>
        <w:tc>
          <w:tcPr>
            <w:tcW w:w="2832" w:type="dxa"/>
          </w:tcPr>
          <w:p>
            <w:pPr>
              <w:pStyle w:val="TableParagraph"/>
              <w:spacing w:line="240" w:lineRule="auto" w:before="124"/>
              <w:ind w:left="53"/>
              <w:rPr>
                <w:sz w:val="24"/>
              </w:rPr>
            </w:pPr>
            <w:r>
              <w:rPr>
                <w:spacing w:val="-10"/>
                <w:sz w:val="24"/>
              </w:rPr>
              <w:t>_</w:t>
            </w:r>
          </w:p>
        </w:tc>
      </w:tr>
      <w:tr>
        <w:trPr>
          <w:trHeight w:val="585" w:hRule="atLeast"/>
        </w:trPr>
        <w:tc>
          <w:tcPr>
            <w:tcW w:w="650" w:type="dxa"/>
          </w:tcPr>
          <w:p>
            <w:pPr>
              <w:pStyle w:val="TableParagraph"/>
              <w:spacing w:line="240" w:lineRule="auto" w:before="124"/>
              <w:ind w:left="110"/>
              <w:jc w:val="left"/>
              <w:rPr>
                <w:sz w:val="24"/>
              </w:rPr>
            </w:pPr>
            <w:r>
              <w:rPr>
                <w:spacing w:val="-10"/>
                <w:sz w:val="24"/>
              </w:rPr>
              <w:t>4</w:t>
            </w:r>
          </w:p>
        </w:tc>
        <w:tc>
          <w:tcPr>
            <w:tcW w:w="1016" w:type="dxa"/>
          </w:tcPr>
          <w:p>
            <w:pPr>
              <w:pStyle w:val="TableParagraph"/>
              <w:spacing w:line="240" w:lineRule="auto" w:before="124"/>
              <w:ind w:left="5" w:right="20"/>
              <w:rPr>
                <w:sz w:val="24"/>
              </w:rPr>
            </w:pPr>
            <w:r>
              <w:rPr>
                <w:spacing w:val="-4"/>
                <w:sz w:val="24"/>
              </w:rPr>
              <w:t>E46e</w:t>
            </w:r>
          </w:p>
        </w:tc>
        <w:tc>
          <w:tcPr>
            <w:tcW w:w="3140" w:type="dxa"/>
          </w:tcPr>
          <w:p>
            <w:pPr>
              <w:pStyle w:val="TableParagraph"/>
              <w:spacing w:line="240" w:lineRule="auto" w:before="124"/>
              <w:ind w:right="51"/>
              <w:rPr>
                <w:sz w:val="24"/>
              </w:rPr>
            </w:pPr>
            <w:r>
              <w:rPr>
                <w:spacing w:val="-2"/>
                <w:sz w:val="24"/>
              </w:rPr>
              <w:t>0.391</w:t>
            </w:r>
          </w:p>
        </w:tc>
        <w:tc>
          <w:tcPr>
            <w:tcW w:w="1942" w:type="dxa"/>
          </w:tcPr>
          <w:p>
            <w:pPr>
              <w:pStyle w:val="TableParagraph"/>
              <w:spacing w:line="240" w:lineRule="auto" w:before="124"/>
              <w:ind w:right="37"/>
              <w:rPr>
                <w:sz w:val="24"/>
              </w:rPr>
            </w:pPr>
            <w:r>
              <w:rPr>
                <w:spacing w:val="-10"/>
                <w:sz w:val="24"/>
              </w:rPr>
              <w:t>_</w:t>
            </w:r>
          </w:p>
        </w:tc>
        <w:tc>
          <w:tcPr>
            <w:tcW w:w="2832" w:type="dxa"/>
          </w:tcPr>
          <w:p>
            <w:pPr>
              <w:pStyle w:val="TableParagraph"/>
              <w:spacing w:line="240" w:lineRule="auto" w:before="124"/>
              <w:ind w:left="53"/>
              <w:rPr>
                <w:sz w:val="24"/>
              </w:rPr>
            </w:pPr>
            <w:r>
              <w:rPr>
                <w:spacing w:val="-10"/>
                <w:sz w:val="24"/>
              </w:rPr>
              <w:t>_</w:t>
            </w:r>
          </w:p>
        </w:tc>
      </w:tr>
      <w:tr>
        <w:trPr>
          <w:trHeight w:val="585" w:hRule="atLeast"/>
        </w:trPr>
        <w:tc>
          <w:tcPr>
            <w:tcW w:w="650" w:type="dxa"/>
          </w:tcPr>
          <w:p>
            <w:pPr>
              <w:pStyle w:val="TableParagraph"/>
              <w:spacing w:line="240" w:lineRule="auto" w:before="124"/>
              <w:ind w:left="110"/>
              <w:jc w:val="left"/>
              <w:rPr>
                <w:sz w:val="24"/>
              </w:rPr>
            </w:pPr>
            <w:r>
              <w:rPr>
                <w:spacing w:val="-10"/>
                <w:sz w:val="24"/>
              </w:rPr>
              <w:t>5</w:t>
            </w:r>
          </w:p>
        </w:tc>
        <w:tc>
          <w:tcPr>
            <w:tcW w:w="1016" w:type="dxa"/>
          </w:tcPr>
          <w:p>
            <w:pPr>
              <w:pStyle w:val="TableParagraph"/>
              <w:spacing w:line="240" w:lineRule="auto" w:before="124"/>
              <w:ind w:right="20"/>
              <w:rPr>
                <w:sz w:val="24"/>
              </w:rPr>
            </w:pPr>
            <w:r>
              <w:rPr>
                <w:spacing w:val="-5"/>
                <w:sz w:val="24"/>
              </w:rPr>
              <w:t>E6e</w:t>
            </w:r>
          </w:p>
        </w:tc>
        <w:tc>
          <w:tcPr>
            <w:tcW w:w="3140" w:type="dxa"/>
          </w:tcPr>
          <w:p>
            <w:pPr>
              <w:pStyle w:val="TableParagraph"/>
              <w:spacing w:line="240" w:lineRule="auto" w:before="124"/>
              <w:ind w:right="51"/>
              <w:rPr>
                <w:sz w:val="24"/>
              </w:rPr>
            </w:pPr>
            <w:r>
              <w:rPr>
                <w:spacing w:val="-2"/>
                <w:sz w:val="24"/>
              </w:rPr>
              <w:t>3.125</w:t>
            </w:r>
          </w:p>
        </w:tc>
        <w:tc>
          <w:tcPr>
            <w:tcW w:w="1942" w:type="dxa"/>
          </w:tcPr>
          <w:p>
            <w:pPr>
              <w:pStyle w:val="TableParagraph"/>
              <w:spacing w:line="240" w:lineRule="auto" w:before="124"/>
              <w:ind w:right="37"/>
              <w:rPr>
                <w:sz w:val="24"/>
              </w:rPr>
            </w:pPr>
            <w:r>
              <w:rPr>
                <w:spacing w:val="-10"/>
                <w:sz w:val="24"/>
              </w:rPr>
              <w:t>+</w:t>
            </w:r>
          </w:p>
        </w:tc>
        <w:tc>
          <w:tcPr>
            <w:tcW w:w="2832" w:type="dxa"/>
          </w:tcPr>
          <w:p>
            <w:pPr>
              <w:pStyle w:val="TableParagraph"/>
              <w:spacing w:line="240" w:lineRule="auto" w:before="124"/>
              <w:ind w:left="53" w:right="2"/>
              <w:rPr>
                <w:sz w:val="24"/>
              </w:rPr>
            </w:pPr>
            <w:r>
              <w:rPr>
                <w:spacing w:val="-5"/>
                <w:sz w:val="24"/>
              </w:rPr>
              <w:t>50</w:t>
            </w:r>
          </w:p>
        </w:tc>
      </w:tr>
      <w:tr>
        <w:trPr>
          <w:trHeight w:val="585" w:hRule="atLeast"/>
        </w:trPr>
        <w:tc>
          <w:tcPr>
            <w:tcW w:w="650" w:type="dxa"/>
          </w:tcPr>
          <w:p>
            <w:pPr>
              <w:pStyle w:val="TableParagraph"/>
              <w:spacing w:line="240" w:lineRule="auto" w:before="124"/>
              <w:ind w:left="110"/>
              <w:jc w:val="left"/>
              <w:rPr>
                <w:sz w:val="24"/>
              </w:rPr>
            </w:pPr>
            <w:r>
              <w:rPr>
                <w:spacing w:val="-10"/>
                <w:sz w:val="24"/>
              </w:rPr>
              <w:t>6</w:t>
            </w:r>
          </w:p>
        </w:tc>
        <w:tc>
          <w:tcPr>
            <w:tcW w:w="1016" w:type="dxa"/>
          </w:tcPr>
          <w:p>
            <w:pPr>
              <w:pStyle w:val="TableParagraph"/>
              <w:spacing w:line="240" w:lineRule="auto" w:before="124"/>
              <w:ind w:left="5" w:right="20"/>
              <w:rPr>
                <w:sz w:val="24"/>
              </w:rPr>
            </w:pPr>
            <w:r>
              <w:rPr>
                <w:spacing w:val="-4"/>
                <w:sz w:val="24"/>
              </w:rPr>
              <w:t>E10e</w:t>
            </w:r>
          </w:p>
        </w:tc>
        <w:tc>
          <w:tcPr>
            <w:tcW w:w="3140" w:type="dxa"/>
          </w:tcPr>
          <w:p>
            <w:pPr>
              <w:pStyle w:val="TableParagraph"/>
              <w:spacing w:line="240" w:lineRule="auto" w:before="124"/>
              <w:ind w:right="51"/>
              <w:rPr>
                <w:sz w:val="24"/>
              </w:rPr>
            </w:pPr>
            <w:r>
              <w:rPr>
                <w:spacing w:val="-2"/>
                <w:sz w:val="24"/>
              </w:rPr>
              <w:t>3.125</w:t>
            </w:r>
          </w:p>
        </w:tc>
        <w:tc>
          <w:tcPr>
            <w:tcW w:w="1942" w:type="dxa"/>
          </w:tcPr>
          <w:p>
            <w:pPr>
              <w:pStyle w:val="TableParagraph"/>
              <w:spacing w:line="240" w:lineRule="auto" w:before="124"/>
              <w:ind w:right="37"/>
              <w:rPr>
                <w:sz w:val="24"/>
              </w:rPr>
            </w:pPr>
            <w:r>
              <w:rPr>
                <w:spacing w:val="-10"/>
                <w:sz w:val="24"/>
              </w:rPr>
              <w:t>+</w:t>
            </w:r>
          </w:p>
        </w:tc>
        <w:tc>
          <w:tcPr>
            <w:tcW w:w="2832" w:type="dxa"/>
          </w:tcPr>
          <w:p>
            <w:pPr>
              <w:pStyle w:val="TableParagraph"/>
              <w:spacing w:line="240" w:lineRule="auto" w:before="124"/>
              <w:ind w:left="53" w:right="3"/>
              <w:rPr>
                <w:sz w:val="24"/>
              </w:rPr>
            </w:pPr>
            <w:r>
              <w:rPr>
                <w:spacing w:val="-4"/>
                <w:sz w:val="24"/>
              </w:rPr>
              <w:t>6.25</w:t>
            </w:r>
          </w:p>
        </w:tc>
      </w:tr>
      <w:tr>
        <w:trPr>
          <w:trHeight w:val="585" w:hRule="atLeast"/>
        </w:trPr>
        <w:tc>
          <w:tcPr>
            <w:tcW w:w="650" w:type="dxa"/>
          </w:tcPr>
          <w:p>
            <w:pPr>
              <w:pStyle w:val="TableParagraph"/>
              <w:spacing w:line="240" w:lineRule="auto" w:before="124"/>
              <w:ind w:left="110"/>
              <w:jc w:val="left"/>
              <w:rPr>
                <w:sz w:val="24"/>
              </w:rPr>
            </w:pPr>
            <w:r>
              <w:rPr>
                <w:spacing w:val="-10"/>
                <w:sz w:val="24"/>
              </w:rPr>
              <w:t>7</w:t>
            </w:r>
          </w:p>
        </w:tc>
        <w:tc>
          <w:tcPr>
            <w:tcW w:w="1016" w:type="dxa"/>
          </w:tcPr>
          <w:p>
            <w:pPr>
              <w:pStyle w:val="TableParagraph"/>
              <w:spacing w:line="240" w:lineRule="auto" w:before="124"/>
              <w:ind w:right="20"/>
              <w:rPr>
                <w:sz w:val="24"/>
              </w:rPr>
            </w:pPr>
            <w:r>
              <w:rPr>
                <w:spacing w:val="-4"/>
                <w:sz w:val="24"/>
              </w:rPr>
              <w:t>S15e</w:t>
            </w:r>
          </w:p>
        </w:tc>
        <w:tc>
          <w:tcPr>
            <w:tcW w:w="3140" w:type="dxa"/>
          </w:tcPr>
          <w:p>
            <w:pPr>
              <w:pStyle w:val="TableParagraph"/>
              <w:spacing w:line="240" w:lineRule="auto" w:before="124"/>
              <w:ind w:left="1" w:right="51"/>
              <w:rPr>
                <w:sz w:val="24"/>
              </w:rPr>
            </w:pPr>
            <w:r>
              <w:rPr>
                <w:spacing w:val="-2"/>
                <w:sz w:val="24"/>
              </w:rPr>
              <w:t>1.563</w:t>
            </w:r>
          </w:p>
        </w:tc>
        <w:tc>
          <w:tcPr>
            <w:tcW w:w="1942" w:type="dxa"/>
          </w:tcPr>
          <w:p>
            <w:pPr>
              <w:pStyle w:val="TableParagraph"/>
              <w:spacing w:line="240" w:lineRule="auto" w:before="124"/>
              <w:ind w:right="37"/>
              <w:rPr>
                <w:sz w:val="24"/>
              </w:rPr>
            </w:pPr>
            <w:r>
              <w:rPr>
                <w:spacing w:val="-10"/>
                <w:sz w:val="24"/>
              </w:rPr>
              <w:t>+</w:t>
            </w:r>
          </w:p>
        </w:tc>
        <w:tc>
          <w:tcPr>
            <w:tcW w:w="2832" w:type="dxa"/>
          </w:tcPr>
          <w:p>
            <w:pPr>
              <w:pStyle w:val="TableParagraph"/>
              <w:spacing w:line="240" w:lineRule="auto" w:before="124"/>
              <w:ind w:left="53" w:right="3"/>
              <w:rPr>
                <w:sz w:val="24"/>
              </w:rPr>
            </w:pPr>
            <w:r>
              <w:rPr>
                <w:spacing w:val="-4"/>
                <w:sz w:val="24"/>
              </w:rPr>
              <w:t>6.25</w:t>
            </w:r>
          </w:p>
        </w:tc>
      </w:tr>
      <w:tr>
        <w:trPr>
          <w:trHeight w:val="585" w:hRule="atLeast"/>
        </w:trPr>
        <w:tc>
          <w:tcPr>
            <w:tcW w:w="650" w:type="dxa"/>
          </w:tcPr>
          <w:p>
            <w:pPr>
              <w:pStyle w:val="TableParagraph"/>
              <w:spacing w:line="240" w:lineRule="auto" w:before="124"/>
              <w:ind w:left="110"/>
              <w:jc w:val="left"/>
              <w:rPr>
                <w:sz w:val="24"/>
              </w:rPr>
            </w:pPr>
            <w:r>
              <w:rPr>
                <w:spacing w:val="-10"/>
                <w:sz w:val="24"/>
              </w:rPr>
              <w:t>8</w:t>
            </w:r>
          </w:p>
        </w:tc>
        <w:tc>
          <w:tcPr>
            <w:tcW w:w="1016" w:type="dxa"/>
          </w:tcPr>
          <w:p>
            <w:pPr>
              <w:pStyle w:val="TableParagraph"/>
              <w:spacing w:line="240" w:lineRule="auto" w:before="124"/>
              <w:ind w:left="3" w:right="20"/>
              <w:rPr>
                <w:sz w:val="24"/>
              </w:rPr>
            </w:pPr>
            <w:r>
              <w:rPr>
                <w:spacing w:val="-5"/>
                <w:sz w:val="24"/>
              </w:rPr>
              <w:t>E8s</w:t>
            </w:r>
          </w:p>
        </w:tc>
        <w:tc>
          <w:tcPr>
            <w:tcW w:w="3140" w:type="dxa"/>
          </w:tcPr>
          <w:p>
            <w:pPr>
              <w:pStyle w:val="TableParagraph"/>
              <w:spacing w:line="240" w:lineRule="auto" w:before="124"/>
              <w:ind w:left="1" w:right="51"/>
              <w:rPr>
                <w:sz w:val="24"/>
              </w:rPr>
            </w:pPr>
            <w:r>
              <w:rPr>
                <w:spacing w:val="-2"/>
                <w:sz w:val="24"/>
              </w:rPr>
              <w:t>1.563</w:t>
            </w:r>
          </w:p>
        </w:tc>
        <w:tc>
          <w:tcPr>
            <w:tcW w:w="1942" w:type="dxa"/>
          </w:tcPr>
          <w:p>
            <w:pPr>
              <w:pStyle w:val="TableParagraph"/>
              <w:spacing w:line="240" w:lineRule="auto" w:before="124"/>
              <w:ind w:right="37"/>
              <w:rPr>
                <w:sz w:val="24"/>
              </w:rPr>
            </w:pPr>
            <w:r>
              <w:rPr>
                <w:spacing w:val="-10"/>
                <w:sz w:val="24"/>
              </w:rPr>
              <w:t>_</w:t>
            </w:r>
          </w:p>
        </w:tc>
        <w:tc>
          <w:tcPr>
            <w:tcW w:w="2832" w:type="dxa"/>
          </w:tcPr>
          <w:p>
            <w:pPr>
              <w:pStyle w:val="TableParagraph"/>
              <w:spacing w:line="240" w:lineRule="auto" w:before="124"/>
              <w:ind w:left="53"/>
              <w:rPr>
                <w:sz w:val="24"/>
              </w:rPr>
            </w:pPr>
            <w:r>
              <w:rPr>
                <w:spacing w:val="-10"/>
                <w:sz w:val="24"/>
              </w:rPr>
              <w:t>_</w:t>
            </w:r>
          </w:p>
        </w:tc>
      </w:tr>
      <w:tr>
        <w:trPr>
          <w:trHeight w:val="585" w:hRule="atLeast"/>
        </w:trPr>
        <w:tc>
          <w:tcPr>
            <w:tcW w:w="650" w:type="dxa"/>
          </w:tcPr>
          <w:p>
            <w:pPr>
              <w:pStyle w:val="TableParagraph"/>
              <w:spacing w:line="240" w:lineRule="auto" w:before="124"/>
              <w:ind w:left="110"/>
              <w:jc w:val="left"/>
              <w:rPr>
                <w:sz w:val="24"/>
              </w:rPr>
            </w:pPr>
            <w:r>
              <w:rPr>
                <w:spacing w:val="-10"/>
                <w:sz w:val="24"/>
              </w:rPr>
              <w:t>9</w:t>
            </w:r>
          </w:p>
        </w:tc>
        <w:tc>
          <w:tcPr>
            <w:tcW w:w="1016" w:type="dxa"/>
          </w:tcPr>
          <w:p>
            <w:pPr>
              <w:pStyle w:val="TableParagraph"/>
              <w:spacing w:line="240" w:lineRule="auto" w:before="124"/>
              <w:ind w:left="3" w:right="20"/>
              <w:rPr>
                <w:sz w:val="24"/>
              </w:rPr>
            </w:pPr>
            <w:r>
              <w:rPr>
                <w:spacing w:val="-5"/>
                <w:sz w:val="24"/>
              </w:rPr>
              <w:t>E5s</w:t>
            </w:r>
          </w:p>
        </w:tc>
        <w:tc>
          <w:tcPr>
            <w:tcW w:w="3140" w:type="dxa"/>
          </w:tcPr>
          <w:p>
            <w:pPr>
              <w:pStyle w:val="TableParagraph"/>
              <w:spacing w:line="240" w:lineRule="auto" w:before="124"/>
              <w:ind w:left="5" w:right="51"/>
              <w:rPr>
                <w:sz w:val="24"/>
              </w:rPr>
            </w:pPr>
            <w:r>
              <w:rPr>
                <w:spacing w:val="-4"/>
                <w:sz w:val="24"/>
              </w:rPr>
              <w:t>6.25</w:t>
            </w:r>
          </w:p>
        </w:tc>
        <w:tc>
          <w:tcPr>
            <w:tcW w:w="1942" w:type="dxa"/>
          </w:tcPr>
          <w:p>
            <w:pPr>
              <w:pStyle w:val="TableParagraph"/>
              <w:spacing w:line="240" w:lineRule="auto" w:before="124"/>
              <w:ind w:right="37"/>
              <w:rPr>
                <w:sz w:val="24"/>
              </w:rPr>
            </w:pPr>
            <w:r>
              <w:rPr>
                <w:spacing w:val="-10"/>
                <w:sz w:val="24"/>
              </w:rPr>
              <w:t>_</w:t>
            </w:r>
          </w:p>
        </w:tc>
        <w:tc>
          <w:tcPr>
            <w:tcW w:w="2832" w:type="dxa"/>
          </w:tcPr>
          <w:p>
            <w:pPr>
              <w:pStyle w:val="TableParagraph"/>
              <w:spacing w:line="240" w:lineRule="auto" w:before="124"/>
              <w:ind w:left="53"/>
              <w:rPr>
                <w:sz w:val="24"/>
              </w:rPr>
            </w:pPr>
            <w:r>
              <w:rPr>
                <w:spacing w:val="-10"/>
                <w:sz w:val="24"/>
              </w:rPr>
              <w:t>_</w:t>
            </w:r>
          </w:p>
        </w:tc>
      </w:tr>
      <w:tr>
        <w:trPr>
          <w:trHeight w:val="587" w:hRule="atLeast"/>
        </w:trPr>
        <w:tc>
          <w:tcPr>
            <w:tcW w:w="650" w:type="dxa"/>
          </w:tcPr>
          <w:p>
            <w:pPr>
              <w:pStyle w:val="TableParagraph"/>
              <w:spacing w:line="240" w:lineRule="auto" w:before="124"/>
              <w:ind w:left="110"/>
              <w:jc w:val="left"/>
              <w:rPr>
                <w:sz w:val="24"/>
              </w:rPr>
            </w:pPr>
            <w:r>
              <w:rPr>
                <w:spacing w:val="-5"/>
                <w:sz w:val="24"/>
              </w:rPr>
              <w:t>10</w:t>
            </w:r>
          </w:p>
        </w:tc>
        <w:tc>
          <w:tcPr>
            <w:tcW w:w="1016" w:type="dxa"/>
          </w:tcPr>
          <w:p>
            <w:pPr>
              <w:pStyle w:val="TableParagraph"/>
              <w:spacing w:line="240" w:lineRule="auto" w:before="124"/>
              <w:ind w:left="3" w:right="20"/>
              <w:rPr>
                <w:sz w:val="24"/>
              </w:rPr>
            </w:pPr>
            <w:r>
              <w:rPr>
                <w:spacing w:val="-5"/>
                <w:sz w:val="24"/>
              </w:rPr>
              <w:t>E4s</w:t>
            </w:r>
          </w:p>
        </w:tc>
        <w:tc>
          <w:tcPr>
            <w:tcW w:w="3140" w:type="dxa"/>
          </w:tcPr>
          <w:p>
            <w:pPr>
              <w:pStyle w:val="TableParagraph"/>
              <w:spacing w:line="240" w:lineRule="auto" w:before="124"/>
              <w:ind w:right="51"/>
              <w:rPr>
                <w:sz w:val="24"/>
              </w:rPr>
            </w:pPr>
            <w:r>
              <w:rPr>
                <w:spacing w:val="-2"/>
                <w:sz w:val="24"/>
              </w:rPr>
              <w:t>3.125</w:t>
            </w:r>
          </w:p>
        </w:tc>
        <w:tc>
          <w:tcPr>
            <w:tcW w:w="1942" w:type="dxa"/>
          </w:tcPr>
          <w:p>
            <w:pPr>
              <w:pStyle w:val="TableParagraph"/>
              <w:spacing w:line="240" w:lineRule="auto" w:before="124"/>
              <w:ind w:right="37"/>
              <w:rPr>
                <w:sz w:val="24"/>
              </w:rPr>
            </w:pPr>
            <w:r>
              <w:rPr>
                <w:spacing w:val="-10"/>
                <w:sz w:val="24"/>
              </w:rPr>
              <w:t>+</w:t>
            </w:r>
          </w:p>
        </w:tc>
        <w:tc>
          <w:tcPr>
            <w:tcW w:w="2832" w:type="dxa"/>
          </w:tcPr>
          <w:p>
            <w:pPr>
              <w:pStyle w:val="TableParagraph"/>
              <w:spacing w:line="240" w:lineRule="auto" w:before="124"/>
              <w:ind w:left="53" w:right="2"/>
              <w:rPr>
                <w:sz w:val="24"/>
              </w:rPr>
            </w:pPr>
            <w:r>
              <w:rPr>
                <w:spacing w:val="-5"/>
                <w:sz w:val="24"/>
              </w:rPr>
              <w:t>50</w:t>
            </w:r>
          </w:p>
        </w:tc>
      </w:tr>
      <w:tr>
        <w:trPr>
          <w:trHeight w:val="587" w:hRule="atLeast"/>
        </w:trPr>
        <w:tc>
          <w:tcPr>
            <w:tcW w:w="650" w:type="dxa"/>
          </w:tcPr>
          <w:p>
            <w:pPr>
              <w:pStyle w:val="TableParagraph"/>
              <w:spacing w:line="240" w:lineRule="auto" w:before="126"/>
              <w:ind w:left="110"/>
              <w:jc w:val="left"/>
              <w:rPr>
                <w:sz w:val="24"/>
              </w:rPr>
            </w:pPr>
            <w:r>
              <w:rPr>
                <w:spacing w:val="-5"/>
                <w:sz w:val="24"/>
              </w:rPr>
              <w:t>11</w:t>
            </w:r>
          </w:p>
        </w:tc>
        <w:tc>
          <w:tcPr>
            <w:tcW w:w="1016" w:type="dxa"/>
          </w:tcPr>
          <w:p>
            <w:pPr>
              <w:pStyle w:val="TableParagraph"/>
              <w:spacing w:line="240" w:lineRule="auto" w:before="126"/>
              <w:ind w:right="20"/>
              <w:rPr>
                <w:sz w:val="24"/>
              </w:rPr>
            </w:pPr>
            <w:r>
              <w:rPr>
                <w:spacing w:val="-4"/>
                <w:sz w:val="24"/>
              </w:rPr>
              <w:t>S48e</w:t>
            </w:r>
          </w:p>
        </w:tc>
        <w:tc>
          <w:tcPr>
            <w:tcW w:w="3140" w:type="dxa"/>
          </w:tcPr>
          <w:p>
            <w:pPr>
              <w:pStyle w:val="TableParagraph"/>
              <w:spacing w:line="240" w:lineRule="auto" w:before="126"/>
              <w:ind w:left="5" w:right="51"/>
              <w:rPr>
                <w:sz w:val="24"/>
              </w:rPr>
            </w:pPr>
            <w:r>
              <w:rPr>
                <w:spacing w:val="-4"/>
                <w:sz w:val="24"/>
              </w:rPr>
              <w:t>6.25</w:t>
            </w:r>
          </w:p>
        </w:tc>
        <w:tc>
          <w:tcPr>
            <w:tcW w:w="1942" w:type="dxa"/>
          </w:tcPr>
          <w:p>
            <w:pPr>
              <w:pStyle w:val="TableParagraph"/>
              <w:spacing w:line="240" w:lineRule="auto" w:before="126"/>
              <w:ind w:right="37"/>
              <w:rPr>
                <w:sz w:val="24"/>
              </w:rPr>
            </w:pPr>
            <w:r>
              <w:rPr>
                <w:spacing w:val="-10"/>
                <w:sz w:val="24"/>
              </w:rPr>
              <w:t>_</w:t>
            </w:r>
          </w:p>
        </w:tc>
        <w:tc>
          <w:tcPr>
            <w:tcW w:w="2832" w:type="dxa"/>
          </w:tcPr>
          <w:p>
            <w:pPr>
              <w:pStyle w:val="TableParagraph"/>
              <w:spacing w:line="240" w:lineRule="auto" w:before="126"/>
              <w:ind w:left="53"/>
              <w:rPr>
                <w:sz w:val="24"/>
              </w:rPr>
            </w:pPr>
            <w:r>
              <w:rPr>
                <w:spacing w:val="-10"/>
                <w:sz w:val="24"/>
              </w:rPr>
              <w:t>_</w:t>
            </w:r>
          </w:p>
        </w:tc>
      </w:tr>
      <w:tr>
        <w:trPr>
          <w:trHeight w:val="412" w:hRule="atLeast"/>
        </w:trPr>
        <w:tc>
          <w:tcPr>
            <w:tcW w:w="650" w:type="dxa"/>
          </w:tcPr>
          <w:p>
            <w:pPr>
              <w:pStyle w:val="TableParagraph"/>
              <w:spacing w:line="269" w:lineRule="exact" w:before="124"/>
              <w:ind w:left="110"/>
              <w:jc w:val="left"/>
              <w:rPr>
                <w:sz w:val="24"/>
              </w:rPr>
            </w:pPr>
            <w:r>
              <w:rPr>
                <w:spacing w:val="-5"/>
                <w:sz w:val="24"/>
              </w:rPr>
              <w:t>12</w:t>
            </w:r>
          </w:p>
        </w:tc>
        <w:tc>
          <w:tcPr>
            <w:tcW w:w="1016" w:type="dxa"/>
          </w:tcPr>
          <w:p>
            <w:pPr>
              <w:pStyle w:val="TableParagraph"/>
              <w:spacing w:line="269" w:lineRule="exact" w:before="124"/>
              <w:ind w:left="5" w:right="20"/>
              <w:rPr>
                <w:sz w:val="24"/>
              </w:rPr>
            </w:pPr>
            <w:r>
              <w:rPr>
                <w:spacing w:val="-5"/>
                <w:sz w:val="24"/>
              </w:rPr>
              <w:t>B7e</w:t>
            </w:r>
          </w:p>
        </w:tc>
        <w:tc>
          <w:tcPr>
            <w:tcW w:w="3140" w:type="dxa"/>
          </w:tcPr>
          <w:p>
            <w:pPr>
              <w:pStyle w:val="TableParagraph"/>
              <w:spacing w:line="269" w:lineRule="exact" w:before="124"/>
              <w:ind w:left="5" w:right="51"/>
              <w:rPr>
                <w:sz w:val="24"/>
              </w:rPr>
            </w:pPr>
            <w:r>
              <w:rPr>
                <w:spacing w:val="-4"/>
                <w:sz w:val="24"/>
              </w:rPr>
              <w:t>6.25</w:t>
            </w:r>
          </w:p>
        </w:tc>
        <w:tc>
          <w:tcPr>
            <w:tcW w:w="1942" w:type="dxa"/>
          </w:tcPr>
          <w:p>
            <w:pPr>
              <w:pStyle w:val="TableParagraph"/>
              <w:spacing w:line="269" w:lineRule="exact" w:before="124"/>
              <w:ind w:right="37"/>
              <w:rPr>
                <w:sz w:val="24"/>
              </w:rPr>
            </w:pPr>
            <w:r>
              <w:rPr>
                <w:spacing w:val="-10"/>
                <w:sz w:val="24"/>
              </w:rPr>
              <w:t>+</w:t>
            </w:r>
          </w:p>
        </w:tc>
        <w:tc>
          <w:tcPr>
            <w:tcW w:w="2832" w:type="dxa"/>
          </w:tcPr>
          <w:p>
            <w:pPr>
              <w:pStyle w:val="TableParagraph"/>
              <w:spacing w:line="269" w:lineRule="exact" w:before="124"/>
              <w:ind w:left="53" w:right="3"/>
              <w:rPr>
                <w:sz w:val="24"/>
              </w:rPr>
            </w:pPr>
            <w:r>
              <w:rPr>
                <w:spacing w:val="-4"/>
                <w:sz w:val="24"/>
              </w:rPr>
              <w:t>6.25</w:t>
            </w:r>
          </w:p>
        </w:tc>
      </w:tr>
    </w:tbl>
    <w:p>
      <w:pPr>
        <w:pStyle w:val="BodyText"/>
        <w:spacing w:before="30"/>
        <w:rPr>
          <w:b/>
          <w:sz w:val="20"/>
        </w:rPr>
      </w:pPr>
      <w:r>
        <w:rPr/>
        <mc:AlternateContent>
          <mc:Choice Requires="wps">
            <w:drawing>
              <wp:anchor distT="0" distB="0" distL="0" distR="0" allowOverlap="1" layoutInCell="1" locked="0" behindDoc="1" simplePos="0" relativeHeight="487611392">
                <wp:simplePos x="0" y="0"/>
                <wp:positionH relativeFrom="page">
                  <wp:posOffset>835152</wp:posOffset>
                </wp:positionH>
                <wp:positionV relativeFrom="paragraph">
                  <wp:posOffset>189319</wp:posOffset>
                </wp:positionV>
                <wp:extent cx="6093460" cy="635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4.907023pt;width:479.760023pt;height:.48pt;mso-position-horizontal-relative:page;mso-position-vertical-relative:paragraph;z-index:-15705088;mso-wrap-distance-left:0;mso-wrap-distance-right:0" id="docshape50" filled="true" fillcolor="#000000" stroked="false">
                <v:fill type="solid"/>
                <w10:wrap type="topAndBottom"/>
              </v:rect>
            </w:pict>
          </mc:Fallback>
        </mc:AlternateContent>
      </w:r>
    </w:p>
    <w:p>
      <w:pPr>
        <w:spacing w:after="0"/>
        <w:rPr>
          <w:sz w:val="20"/>
        </w:rPr>
        <w:sectPr>
          <w:pgSz w:w="12240" w:h="15840"/>
          <w:pgMar w:header="0" w:footer="1017" w:top="1820" w:bottom="1200" w:left="520" w:right="260"/>
        </w:sectPr>
      </w:pPr>
    </w:p>
    <w:p>
      <w:pPr>
        <w:spacing w:before="41"/>
        <w:ind w:left="920" w:right="0" w:firstLine="0"/>
        <w:jc w:val="left"/>
        <w:rPr>
          <w:b/>
          <w:sz w:val="22"/>
        </w:rPr>
      </w:pPr>
      <w:r>
        <w:rPr>
          <w:b/>
          <w:sz w:val="22"/>
        </w:rPr>
        <w:t>Table</w:t>
      </w:r>
      <w:r>
        <w:rPr>
          <w:b/>
          <w:spacing w:val="-8"/>
          <w:sz w:val="22"/>
        </w:rPr>
        <w:t> </w:t>
      </w:r>
      <w:r>
        <w:rPr>
          <w:b/>
          <w:sz w:val="22"/>
        </w:rPr>
        <w:t>4.13B:</w:t>
      </w:r>
      <w:r>
        <w:rPr>
          <w:b/>
          <w:spacing w:val="-4"/>
          <w:sz w:val="22"/>
        </w:rPr>
        <w:t> </w:t>
      </w:r>
      <w:r>
        <w:rPr>
          <w:b/>
          <w:sz w:val="22"/>
        </w:rPr>
        <w:t>Minimum</w:t>
      </w:r>
      <w:r>
        <w:rPr>
          <w:b/>
          <w:spacing w:val="-7"/>
          <w:sz w:val="22"/>
        </w:rPr>
        <w:t> </w:t>
      </w:r>
      <w:r>
        <w:rPr>
          <w:b/>
          <w:sz w:val="22"/>
        </w:rPr>
        <w:t>Inhibitory</w:t>
      </w:r>
      <w:r>
        <w:rPr>
          <w:b/>
          <w:spacing w:val="-3"/>
          <w:sz w:val="22"/>
        </w:rPr>
        <w:t> </w:t>
      </w:r>
      <w:r>
        <w:rPr>
          <w:b/>
          <w:sz w:val="22"/>
        </w:rPr>
        <w:t>Concentration</w:t>
      </w:r>
      <w:r>
        <w:rPr>
          <w:b/>
          <w:spacing w:val="-3"/>
          <w:sz w:val="22"/>
        </w:rPr>
        <w:t> </w:t>
      </w:r>
      <w:r>
        <w:rPr>
          <w:b/>
          <w:sz w:val="22"/>
        </w:rPr>
        <w:t>(M.I.C)</w:t>
      </w:r>
      <w:r>
        <w:rPr>
          <w:b/>
          <w:spacing w:val="-7"/>
          <w:sz w:val="22"/>
        </w:rPr>
        <w:t> </w:t>
      </w:r>
      <w:r>
        <w:rPr>
          <w:b/>
          <w:sz w:val="22"/>
        </w:rPr>
        <w:t>of</w:t>
      </w:r>
      <w:r>
        <w:rPr>
          <w:b/>
          <w:spacing w:val="-3"/>
          <w:sz w:val="22"/>
        </w:rPr>
        <w:t> </w:t>
      </w:r>
      <w:r>
        <w:rPr>
          <w:b/>
          <w:sz w:val="22"/>
        </w:rPr>
        <w:t>Ofloxacin</w:t>
      </w:r>
      <w:r>
        <w:rPr>
          <w:b/>
          <w:spacing w:val="-3"/>
          <w:sz w:val="22"/>
        </w:rPr>
        <w:t> </w:t>
      </w:r>
      <w:r>
        <w:rPr>
          <w:b/>
          <w:sz w:val="22"/>
        </w:rPr>
        <w:t>before</w:t>
      </w:r>
      <w:r>
        <w:rPr>
          <w:b/>
          <w:spacing w:val="-6"/>
          <w:sz w:val="22"/>
        </w:rPr>
        <w:t> </w:t>
      </w:r>
      <w:r>
        <w:rPr>
          <w:b/>
          <w:sz w:val="22"/>
        </w:rPr>
        <w:t>and</w:t>
      </w:r>
      <w:r>
        <w:rPr>
          <w:b/>
          <w:spacing w:val="-4"/>
          <w:sz w:val="22"/>
        </w:rPr>
        <w:t> </w:t>
      </w:r>
      <w:r>
        <w:rPr>
          <w:b/>
          <w:sz w:val="22"/>
        </w:rPr>
        <w:t>after</w:t>
      </w:r>
      <w:r>
        <w:rPr>
          <w:b/>
          <w:spacing w:val="-6"/>
          <w:sz w:val="22"/>
        </w:rPr>
        <w:t> </w:t>
      </w:r>
      <w:r>
        <w:rPr>
          <w:b/>
          <w:spacing w:val="-2"/>
          <w:sz w:val="22"/>
        </w:rPr>
        <w:t>Conjugation</w:t>
      </w:r>
    </w:p>
    <w:p>
      <w:pPr>
        <w:pStyle w:val="BodyText"/>
        <w:rPr>
          <w:b/>
          <w:sz w:val="20"/>
        </w:rPr>
      </w:pPr>
    </w:p>
    <w:p>
      <w:pPr>
        <w:pStyle w:val="BodyText"/>
        <w:rPr>
          <w:b/>
          <w:sz w:val="20"/>
        </w:rPr>
      </w:pPr>
    </w:p>
    <w:p>
      <w:pPr>
        <w:pStyle w:val="BodyText"/>
        <w:spacing w:before="20"/>
        <w:rPr>
          <w:b/>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1164"/>
        <w:gridCol w:w="2707"/>
        <w:gridCol w:w="2205"/>
        <w:gridCol w:w="2839"/>
      </w:tblGrid>
      <w:tr>
        <w:trPr>
          <w:trHeight w:val="585" w:hRule="atLeast"/>
        </w:trPr>
        <w:tc>
          <w:tcPr>
            <w:tcW w:w="669" w:type="dxa"/>
            <w:tcBorders>
              <w:top w:val="single" w:sz="4" w:space="0" w:color="000000"/>
              <w:bottom w:val="single" w:sz="4" w:space="0" w:color="000000"/>
            </w:tcBorders>
          </w:tcPr>
          <w:p>
            <w:pPr>
              <w:pStyle w:val="TableParagraph"/>
              <w:spacing w:line="240" w:lineRule="auto" w:before="1"/>
              <w:ind w:left="117"/>
              <w:jc w:val="left"/>
              <w:rPr>
                <w:b/>
                <w:sz w:val="24"/>
              </w:rPr>
            </w:pPr>
            <w:r>
              <w:rPr>
                <w:b/>
                <w:spacing w:val="-5"/>
                <w:sz w:val="24"/>
              </w:rPr>
              <w:t>S/N</w:t>
            </w:r>
          </w:p>
        </w:tc>
        <w:tc>
          <w:tcPr>
            <w:tcW w:w="1164" w:type="dxa"/>
            <w:tcBorders>
              <w:top w:val="single" w:sz="4" w:space="0" w:color="000000"/>
              <w:bottom w:val="single" w:sz="4" w:space="0" w:color="000000"/>
            </w:tcBorders>
          </w:tcPr>
          <w:p>
            <w:pPr>
              <w:pStyle w:val="TableParagraph"/>
              <w:spacing w:line="290" w:lineRule="atLeast"/>
              <w:ind w:left="259" w:right="316" w:hanging="82"/>
              <w:jc w:val="left"/>
              <w:rPr>
                <w:b/>
                <w:sz w:val="24"/>
              </w:rPr>
            </w:pPr>
            <w:r>
              <w:rPr>
                <w:b/>
                <w:spacing w:val="-2"/>
                <w:sz w:val="24"/>
              </w:rPr>
              <w:t>Isolate </w:t>
            </w:r>
            <w:r>
              <w:rPr>
                <w:b/>
                <w:spacing w:val="-4"/>
                <w:sz w:val="24"/>
              </w:rPr>
              <w:t>Code</w:t>
            </w:r>
          </w:p>
        </w:tc>
        <w:tc>
          <w:tcPr>
            <w:tcW w:w="2707" w:type="dxa"/>
            <w:tcBorders>
              <w:top w:val="single" w:sz="4" w:space="0" w:color="000000"/>
              <w:bottom w:val="single" w:sz="4" w:space="0" w:color="000000"/>
            </w:tcBorders>
          </w:tcPr>
          <w:p>
            <w:pPr>
              <w:pStyle w:val="TableParagraph"/>
              <w:spacing w:line="240" w:lineRule="auto" w:before="1"/>
              <w:ind w:left="367"/>
              <w:jc w:val="left"/>
              <w:rPr>
                <w:b/>
                <w:sz w:val="24"/>
              </w:rPr>
            </w:pPr>
            <w:r>
              <w:rPr>
                <w:b/>
                <w:sz w:val="24"/>
              </w:rPr>
              <w:t>Donor</w:t>
            </w:r>
            <w:r>
              <w:rPr>
                <w:b/>
                <w:spacing w:val="-8"/>
                <w:sz w:val="24"/>
              </w:rPr>
              <w:t> </w:t>
            </w:r>
            <w:r>
              <w:rPr>
                <w:b/>
                <w:sz w:val="24"/>
              </w:rPr>
              <w:t>M.I.C</w:t>
            </w:r>
            <w:r>
              <w:rPr>
                <w:b/>
                <w:spacing w:val="-11"/>
                <w:sz w:val="24"/>
              </w:rPr>
              <w:t> </w:t>
            </w:r>
            <w:r>
              <w:rPr>
                <w:b/>
                <w:spacing w:val="-2"/>
                <w:sz w:val="24"/>
              </w:rPr>
              <w:t>before</w:t>
            </w:r>
          </w:p>
          <w:p>
            <w:pPr>
              <w:pStyle w:val="TableParagraph"/>
              <w:spacing w:line="271" w:lineRule="exact"/>
              <w:ind w:left="319"/>
              <w:jc w:val="left"/>
              <w:rPr>
                <w:b/>
                <w:sz w:val="24"/>
              </w:rPr>
            </w:pPr>
            <w:r>
              <w:rPr>
                <w:b/>
                <w:spacing w:val="-2"/>
                <w:sz w:val="24"/>
              </w:rPr>
              <w:t>Conjugation</w:t>
            </w:r>
            <w:r>
              <w:rPr>
                <w:b/>
                <w:spacing w:val="7"/>
                <w:sz w:val="24"/>
              </w:rPr>
              <w:t> </w:t>
            </w:r>
            <w:r>
              <w:rPr>
                <w:b/>
                <w:spacing w:val="-2"/>
                <w:sz w:val="24"/>
              </w:rPr>
              <w:t>(µg/ml)</w:t>
            </w:r>
          </w:p>
        </w:tc>
        <w:tc>
          <w:tcPr>
            <w:tcW w:w="2205" w:type="dxa"/>
            <w:tcBorders>
              <w:top w:val="single" w:sz="4" w:space="0" w:color="000000"/>
              <w:bottom w:val="single" w:sz="4" w:space="0" w:color="000000"/>
            </w:tcBorders>
          </w:tcPr>
          <w:p>
            <w:pPr>
              <w:pStyle w:val="TableParagraph"/>
              <w:spacing w:line="290" w:lineRule="atLeast"/>
              <w:ind w:left="372" w:firstLine="264"/>
              <w:jc w:val="left"/>
              <w:rPr>
                <w:b/>
                <w:sz w:val="24"/>
              </w:rPr>
            </w:pPr>
            <w:r>
              <w:rPr>
                <w:b/>
                <w:spacing w:val="-2"/>
                <w:sz w:val="24"/>
              </w:rPr>
              <w:t>Recipient Characteristics</w:t>
            </w:r>
          </w:p>
        </w:tc>
        <w:tc>
          <w:tcPr>
            <w:tcW w:w="2839" w:type="dxa"/>
            <w:tcBorders>
              <w:top w:val="single" w:sz="4" w:space="0" w:color="000000"/>
              <w:bottom w:val="single" w:sz="4" w:space="0" w:color="000000"/>
            </w:tcBorders>
          </w:tcPr>
          <w:p>
            <w:pPr>
              <w:pStyle w:val="TableParagraph"/>
              <w:spacing w:line="240" w:lineRule="auto" w:before="1"/>
              <w:ind w:left="380"/>
              <w:jc w:val="left"/>
              <w:rPr>
                <w:b/>
                <w:sz w:val="24"/>
              </w:rPr>
            </w:pPr>
            <w:r>
              <w:rPr>
                <w:b/>
                <w:sz w:val="24"/>
              </w:rPr>
              <w:t>Recipient</w:t>
            </w:r>
            <w:r>
              <w:rPr>
                <w:b/>
                <w:spacing w:val="-14"/>
                <w:sz w:val="24"/>
              </w:rPr>
              <w:t> </w:t>
            </w:r>
            <w:r>
              <w:rPr>
                <w:b/>
                <w:sz w:val="24"/>
              </w:rPr>
              <w:t>M.I.C</w:t>
            </w:r>
            <w:r>
              <w:rPr>
                <w:b/>
                <w:spacing w:val="-9"/>
                <w:sz w:val="24"/>
              </w:rPr>
              <w:t> </w:t>
            </w:r>
            <w:r>
              <w:rPr>
                <w:b/>
                <w:spacing w:val="-4"/>
                <w:sz w:val="24"/>
              </w:rPr>
              <w:t>after</w:t>
            </w:r>
          </w:p>
          <w:p>
            <w:pPr>
              <w:pStyle w:val="TableParagraph"/>
              <w:spacing w:line="271" w:lineRule="exact"/>
              <w:ind w:left="399"/>
              <w:jc w:val="left"/>
              <w:rPr>
                <w:b/>
                <w:sz w:val="24"/>
              </w:rPr>
            </w:pPr>
            <w:r>
              <w:rPr>
                <w:b/>
                <w:spacing w:val="-2"/>
                <w:sz w:val="24"/>
              </w:rPr>
              <w:t>Conjugation</w:t>
            </w:r>
            <w:r>
              <w:rPr>
                <w:b/>
                <w:spacing w:val="7"/>
                <w:sz w:val="24"/>
              </w:rPr>
              <w:t> </w:t>
            </w:r>
            <w:r>
              <w:rPr>
                <w:b/>
                <w:spacing w:val="-2"/>
                <w:sz w:val="24"/>
              </w:rPr>
              <w:t>(µg/ml)</w:t>
            </w:r>
          </w:p>
        </w:tc>
      </w:tr>
      <w:tr>
        <w:trPr>
          <w:trHeight w:val="461" w:hRule="atLeast"/>
        </w:trPr>
        <w:tc>
          <w:tcPr>
            <w:tcW w:w="669" w:type="dxa"/>
            <w:tcBorders>
              <w:top w:val="single" w:sz="4" w:space="0" w:color="000000"/>
            </w:tcBorders>
          </w:tcPr>
          <w:p>
            <w:pPr>
              <w:pStyle w:val="TableParagraph"/>
              <w:spacing w:line="240" w:lineRule="auto" w:before="1"/>
              <w:ind w:left="117"/>
              <w:jc w:val="left"/>
              <w:rPr>
                <w:sz w:val="24"/>
              </w:rPr>
            </w:pPr>
            <w:r>
              <w:rPr>
                <w:spacing w:val="-5"/>
                <w:sz w:val="24"/>
              </w:rPr>
              <w:t>13</w:t>
            </w:r>
          </w:p>
        </w:tc>
        <w:tc>
          <w:tcPr>
            <w:tcW w:w="1164" w:type="dxa"/>
            <w:tcBorders>
              <w:top w:val="single" w:sz="4" w:space="0" w:color="000000"/>
            </w:tcBorders>
          </w:tcPr>
          <w:p>
            <w:pPr>
              <w:pStyle w:val="TableParagraph"/>
              <w:spacing w:line="240" w:lineRule="auto" w:before="1"/>
              <w:ind w:left="3" w:right="148"/>
              <w:rPr>
                <w:sz w:val="24"/>
              </w:rPr>
            </w:pPr>
            <w:r>
              <w:rPr>
                <w:spacing w:val="-4"/>
                <w:sz w:val="24"/>
              </w:rPr>
              <w:t>E22s</w:t>
            </w:r>
          </w:p>
        </w:tc>
        <w:tc>
          <w:tcPr>
            <w:tcW w:w="2707" w:type="dxa"/>
            <w:tcBorders>
              <w:top w:val="single" w:sz="4" w:space="0" w:color="000000"/>
            </w:tcBorders>
          </w:tcPr>
          <w:p>
            <w:pPr>
              <w:pStyle w:val="TableParagraph"/>
              <w:spacing w:line="240" w:lineRule="auto" w:before="1"/>
              <w:ind w:right="57"/>
              <w:rPr>
                <w:sz w:val="24"/>
              </w:rPr>
            </w:pPr>
            <w:r>
              <w:rPr>
                <w:spacing w:val="-4"/>
                <w:sz w:val="24"/>
              </w:rPr>
              <w:t>6.25</w:t>
            </w:r>
          </w:p>
        </w:tc>
        <w:tc>
          <w:tcPr>
            <w:tcW w:w="2205" w:type="dxa"/>
            <w:tcBorders>
              <w:top w:val="single" w:sz="4" w:space="0" w:color="000000"/>
            </w:tcBorders>
          </w:tcPr>
          <w:p>
            <w:pPr>
              <w:pStyle w:val="TableParagraph"/>
              <w:spacing w:line="240" w:lineRule="auto" w:before="1"/>
              <w:ind w:right="3"/>
              <w:rPr>
                <w:sz w:val="24"/>
              </w:rPr>
            </w:pPr>
            <w:r>
              <w:rPr>
                <w:spacing w:val="-10"/>
                <w:sz w:val="24"/>
              </w:rPr>
              <w:t>+</w:t>
            </w:r>
          </w:p>
        </w:tc>
        <w:tc>
          <w:tcPr>
            <w:tcW w:w="2839" w:type="dxa"/>
            <w:tcBorders>
              <w:top w:val="single" w:sz="4" w:space="0" w:color="000000"/>
            </w:tcBorders>
          </w:tcPr>
          <w:p>
            <w:pPr>
              <w:pStyle w:val="TableParagraph"/>
              <w:spacing w:line="240" w:lineRule="auto" w:before="1"/>
              <w:ind w:left="142" w:right="161"/>
              <w:rPr>
                <w:sz w:val="24"/>
              </w:rPr>
            </w:pPr>
            <w:r>
              <w:rPr>
                <w:spacing w:val="-5"/>
                <w:sz w:val="24"/>
              </w:rPr>
              <w:t>50</w:t>
            </w:r>
          </w:p>
        </w:tc>
      </w:tr>
      <w:tr>
        <w:trPr>
          <w:trHeight w:val="585" w:hRule="atLeast"/>
        </w:trPr>
        <w:tc>
          <w:tcPr>
            <w:tcW w:w="669" w:type="dxa"/>
          </w:tcPr>
          <w:p>
            <w:pPr>
              <w:pStyle w:val="TableParagraph"/>
              <w:spacing w:line="240" w:lineRule="auto" w:before="124"/>
              <w:ind w:left="117"/>
              <w:jc w:val="left"/>
              <w:rPr>
                <w:sz w:val="24"/>
              </w:rPr>
            </w:pPr>
            <w:r>
              <w:rPr>
                <w:spacing w:val="-5"/>
                <w:sz w:val="24"/>
              </w:rPr>
              <w:t>14</w:t>
            </w:r>
          </w:p>
        </w:tc>
        <w:tc>
          <w:tcPr>
            <w:tcW w:w="1164" w:type="dxa"/>
          </w:tcPr>
          <w:p>
            <w:pPr>
              <w:pStyle w:val="TableParagraph"/>
              <w:spacing w:line="240" w:lineRule="auto" w:before="124"/>
              <w:ind w:left="8" w:right="148"/>
              <w:rPr>
                <w:sz w:val="24"/>
              </w:rPr>
            </w:pPr>
            <w:r>
              <w:rPr>
                <w:spacing w:val="-4"/>
                <w:sz w:val="24"/>
              </w:rPr>
              <w:t>B36s</w:t>
            </w:r>
          </w:p>
        </w:tc>
        <w:tc>
          <w:tcPr>
            <w:tcW w:w="2707" w:type="dxa"/>
          </w:tcPr>
          <w:p>
            <w:pPr>
              <w:pStyle w:val="TableParagraph"/>
              <w:spacing w:line="240" w:lineRule="auto" w:before="124"/>
              <w:ind w:left="5" w:right="57"/>
              <w:rPr>
                <w:sz w:val="24"/>
              </w:rPr>
            </w:pPr>
            <w:r>
              <w:rPr>
                <w:spacing w:val="-2"/>
                <w:sz w:val="24"/>
              </w:rPr>
              <w:t>1.563</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12.5</w:t>
            </w:r>
          </w:p>
        </w:tc>
      </w:tr>
      <w:tr>
        <w:trPr>
          <w:trHeight w:val="585" w:hRule="atLeast"/>
        </w:trPr>
        <w:tc>
          <w:tcPr>
            <w:tcW w:w="669" w:type="dxa"/>
          </w:tcPr>
          <w:p>
            <w:pPr>
              <w:pStyle w:val="TableParagraph"/>
              <w:spacing w:line="240" w:lineRule="auto" w:before="124"/>
              <w:ind w:left="117"/>
              <w:jc w:val="left"/>
              <w:rPr>
                <w:sz w:val="24"/>
              </w:rPr>
            </w:pPr>
            <w:r>
              <w:rPr>
                <w:spacing w:val="-5"/>
                <w:sz w:val="24"/>
              </w:rPr>
              <w:t>15</w:t>
            </w:r>
          </w:p>
        </w:tc>
        <w:tc>
          <w:tcPr>
            <w:tcW w:w="1164" w:type="dxa"/>
          </w:tcPr>
          <w:p>
            <w:pPr>
              <w:pStyle w:val="TableParagraph"/>
              <w:spacing w:line="240" w:lineRule="auto" w:before="124"/>
              <w:ind w:left="8" w:right="148"/>
              <w:rPr>
                <w:sz w:val="24"/>
              </w:rPr>
            </w:pPr>
            <w:r>
              <w:rPr>
                <w:spacing w:val="-4"/>
                <w:sz w:val="24"/>
              </w:rPr>
              <w:t>S43s</w:t>
            </w:r>
          </w:p>
        </w:tc>
        <w:tc>
          <w:tcPr>
            <w:tcW w:w="2707" w:type="dxa"/>
          </w:tcPr>
          <w:p>
            <w:pPr>
              <w:pStyle w:val="TableParagraph"/>
              <w:spacing w:line="240" w:lineRule="auto" w:before="124"/>
              <w:ind w:right="57"/>
              <w:rPr>
                <w:sz w:val="24"/>
              </w:rPr>
            </w:pPr>
            <w:r>
              <w:rPr>
                <w:spacing w:val="-4"/>
                <w:sz w:val="24"/>
              </w:rPr>
              <w:t>6.25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6.25</w:t>
            </w:r>
          </w:p>
        </w:tc>
      </w:tr>
      <w:tr>
        <w:trPr>
          <w:trHeight w:val="587" w:hRule="atLeast"/>
        </w:trPr>
        <w:tc>
          <w:tcPr>
            <w:tcW w:w="669" w:type="dxa"/>
          </w:tcPr>
          <w:p>
            <w:pPr>
              <w:pStyle w:val="TableParagraph"/>
              <w:spacing w:line="240" w:lineRule="auto" w:before="124"/>
              <w:ind w:left="117"/>
              <w:jc w:val="left"/>
              <w:rPr>
                <w:sz w:val="24"/>
              </w:rPr>
            </w:pPr>
            <w:r>
              <w:rPr>
                <w:spacing w:val="-5"/>
                <w:sz w:val="24"/>
              </w:rPr>
              <w:t>16</w:t>
            </w:r>
          </w:p>
        </w:tc>
        <w:tc>
          <w:tcPr>
            <w:tcW w:w="1164" w:type="dxa"/>
          </w:tcPr>
          <w:p>
            <w:pPr>
              <w:pStyle w:val="TableParagraph"/>
              <w:spacing w:line="240" w:lineRule="auto" w:before="124"/>
              <w:ind w:right="148"/>
              <w:rPr>
                <w:sz w:val="24"/>
              </w:rPr>
            </w:pPr>
            <w:r>
              <w:rPr>
                <w:spacing w:val="-4"/>
                <w:sz w:val="24"/>
              </w:rPr>
              <w:t>E23e</w:t>
            </w:r>
          </w:p>
        </w:tc>
        <w:tc>
          <w:tcPr>
            <w:tcW w:w="2707" w:type="dxa"/>
          </w:tcPr>
          <w:p>
            <w:pPr>
              <w:pStyle w:val="TableParagraph"/>
              <w:spacing w:line="240" w:lineRule="auto" w:before="124"/>
              <w:ind w:right="57"/>
              <w:rPr>
                <w:sz w:val="24"/>
              </w:rPr>
            </w:pPr>
            <w:r>
              <w:rPr>
                <w:spacing w:val="-4"/>
                <w:sz w:val="24"/>
              </w:rPr>
              <w:t>12.5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2" w:right="161"/>
              <w:rPr>
                <w:sz w:val="24"/>
              </w:rPr>
            </w:pPr>
            <w:r>
              <w:rPr>
                <w:spacing w:val="-5"/>
                <w:sz w:val="24"/>
              </w:rPr>
              <w:t>50</w:t>
            </w:r>
          </w:p>
        </w:tc>
      </w:tr>
      <w:tr>
        <w:trPr>
          <w:trHeight w:val="587" w:hRule="atLeast"/>
        </w:trPr>
        <w:tc>
          <w:tcPr>
            <w:tcW w:w="669" w:type="dxa"/>
          </w:tcPr>
          <w:p>
            <w:pPr>
              <w:pStyle w:val="TableParagraph"/>
              <w:spacing w:line="240" w:lineRule="auto" w:before="126"/>
              <w:ind w:left="117"/>
              <w:jc w:val="left"/>
              <w:rPr>
                <w:sz w:val="24"/>
              </w:rPr>
            </w:pPr>
            <w:r>
              <w:rPr>
                <w:spacing w:val="-5"/>
                <w:sz w:val="24"/>
              </w:rPr>
              <w:t>17</w:t>
            </w:r>
          </w:p>
        </w:tc>
        <w:tc>
          <w:tcPr>
            <w:tcW w:w="1164" w:type="dxa"/>
          </w:tcPr>
          <w:p>
            <w:pPr>
              <w:pStyle w:val="TableParagraph"/>
              <w:spacing w:line="240" w:lineRule="auto" w:before="126"/>
              <w:ind w:left="5" w:right="148"/>
              <w:rPr>
                <w:sz w:val="24"/>
              </w:rPr>
            </w:pPr>
            <w:r>
              <w:rPr>
                <w:spacing w:val="-4"/>
                <w:sz w:val="24"/>
              </w:rPr>
              <w:t>B33e</w:t>
            </w:r>
          </w:p>
        </w:tc>
        <w:tc>
          <w:tcPr>
            <w:tcW w:w="2707" w:type="dxa"/>
          </w:tcPr>
          <w:p>
            <w:pPr>
              <w:pStyle w:val="TableParagraph"/>
              <w:spacing w:line="240" w:lineRule="auto" w:before="126"/>
              <w:ind w:right="57"/>
              <w:rPr>
                <w:sz w:val="24"/>
              </w:rPr>
            </w:pPr>
            <w:r>
              <w:rPr>
                <w:spacing w:val="-4"/>
                <w:sz w:val="24"/>
              </w:rPr>
              <w:t>12.5</w:t>
            </w:r>
          </w:p>
        </w:tc>
        <w:tc>
          <w:tcPr>
            <w:tcW w:w="2205" w:type="dxa"/>
          </w:tcPr>
          <w:p>
            <w:pPr>
              <w:pStyle w:val="TableParagraph"/>
              <w:spacing w:line="240" w:lineRule="auto" w:before="126"/>
              <w:ind w:right="3"/>
              <w:rPr>
                <w:sz w:val="24"/>
              </w:rPr>
            </w:pPr>
            <w:r>
              <w:rPr>
                <w:spacing w:val="-10"/>
                <w:sz w:val="24"/>
              </w:rPr>
              <w:t>+</w:t>
            </w:r>
          </w:p>
        </w:tc>
        <w:tc>
          <w:tcPr>
            <w:tcW w:w="2839" w:type="dxa"/>
          </w:tcPr>
          <w:p>
            <w:pPr>
              <w:pStyle w:val="TableParagraph"/>
              <w:spacing w:line="240" w:lineRule="auto" w:before="126"/>
              <w:ind w:left="141" w:right="161"/>
              <w:rPr>
                <w:sz w:val="24"/>
              </w:rPr>
            </w:pPr>
            <w:r>
              <w:rPr>
                <w:spacing w:val="-4"/>
                <w:sz w:val="24"/>
              </w:rPr>
              <w:t>6.25</w:t>
            </w:r>
          </w:p>
        </w:tc>
      </w:tr>
      <w:tr>
        <w:trPr>
          <w:trHeight w:val="585" w:hRule="atLeast"/>
        </w:trPr>
        <w:tc>
          <w:tcPr>
            <w:tcW w:w="669" w:type="dxa"/>
          </w:tcPr>
          <w:p>
            <w:pPr>
              <w:pStyle w:val="TableParagraph"/>
              <w:spacing w:line="240" w:lineRule="auto" w:before="124"/>
              <w:ind w:left="117"/>
              <w:jc w:val="left"/>
              <w:rPr>
                <w:sz w:val="24"/>
              </w:rPr>
            </w:pPr>
            <w:r>
              <w:rPr>
                <w:spacing w:val="-5"/>
                <w:sz w:val="24"/>
              </w:rPr>
              <w:t>18</w:t>
            </w:r>
          </w:p>
        </w:tc>
        <w:tc>
          <w:tcPr>
            <w:tcW w:w="1164" w:type="dxa"/>
          </w:tcPr>
          <w:p>
            <w:pPr>
              <w:pStyle w:val="TableParagraph"/>
              <w:spacing w:line="240" w:lineRule="auto" w:before="124"/>
              <w:ind w:left="3" w:right="148"/>
              <w:rPr>
                <w:sz w:val="24"/>
              </w:rPr>
            </w:pPr>
            <w:r>
              <w:rPr>
                <w:spacing w:val="-5"/>
                <w:sz w:val="24"/>
              </w:rPr>
              <w:t>B5s</w:t>
            </w:r>
          </w:p>
        </w:tc>
        <w:tc>
          <w:tcPr>
            <w:tcW w:w="2707" w:type="dxa"/>
          </w:tcPr>
          <w:p>
            <w:pPr>
              <w:pStyle w:val="TableParagraph"/>
              <w:spacing w:line="240" w:lineRule="auto" w:before="124"/>
              <w:ind w:right="57"/>
              <w:rPr>
                <w:sz w:val="24"/>
              </w:rPr>
            </w:pPr>
            <w:r>
              <w:rPr>
                <w:spacing w:val="-4"/>
                <w:sz w:val="24"/>
              </w:rPr>
              <w:t>6.25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6.25</w:t>
            </w:r>
          </w:p>
        </w:tc>
      </w:tr>
      <w:tr>
        <w:trPr>
          <w:trHeight w:val="585" w:hRule="atLeast"/>
        </w:trPr>
        <w:tc>
          <w:tcPr>
            <w:tcW w:w="669" w:type="dxa"/>
          </w:tcPr>
          <w:p>
            <w:pPr>
              <w:pStyle w:val="TableParagraph"/>
              <w:spacing w:line="240" w:lineRule="auto" w:before="124"/>
              <w:ind w:left="117"/>
              <w:jc w:val="left"/>
              <w:rPr>
                <w:sz w:val="24"/>
              </w:rPr>
            </w:pPr>
            <w:r>
              <w:rPr>
                <w:spacing w:val="-5"/>
                <w:sz w:val="24"/>
              </w:rPr>
              <w:t>19</w:t>
            </w:r>
          </w:p>
        </w:tc>
        <w:tc>
          <w:tcPr>
            <w:tcW w:w="1164" w:type="dxa"/>
          </w:tcPr>
          <w:p>
            <w:pPr>
              <w:pStyle w:val="TableParagraph"/>
              <w:spacing w:line="240" w:lineRule="auto" w:before="124"/>
              <w:ind w:left="5" w:right="148"/>
              <w:rPr>
                <w:sz w:val="24"/>
              </w:rPr>
            </w:pPr>
            <w:r>
              <w:rPr>
                <w:spacing w:val="-4"/>
                <w:sz w:val="24"/>
              </w:rPr>
              <w:t>B23e</w:t>
            </w:r>
          </w:p>
        </w:tc>
        <w:tc>
          <w:tcPr>
            <w:tcW w:w="2707" w:type="dxa"/>
          </w:tcPr>
          <w:p>
            <w:pPr>
              <w:pStyle w:val="TableParagraph"/>
              <w:spacing w:line="240" w:lineRule="auto" w:before="124"/>
              <w:ind w:right="57"/>
              <w:rPr>
                <w:sz w:val="24"/>
              </w:rPr>
            </w:pPr>
            <w:r>
              <w:rPr>
                <w:spacing w:val="-4"/>
                <w:sz w:val="24"/>
              </w:rPr>
              <w:t>6.25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2" w:right="161"/>
              <w:rPr>
                <w:sz w:val="24"/>
              </w:rPr>
            </w:pPr>
            <w:r>
              <w:rPr>
                <w:spacing w:val="-5"/>
                <w:sz w:val="24"/>
              </w:rPr>
              <w:t>50</w:t>
            </w:r>
          </w:p>
        </w:tc>
      </w:tr>
      <w:tr>
        <w:trPr>
          <w:trHeight w:val="585" w:hRule="atLeast"/>
        </w:trPr>
        <w:tc>
          <w:tcPr>
            <w:tcW w:w="669" w:type="dxa"/>
          </w:tcPr>
          <w:p>
            <w:pPr>
              <w:pStyle w:val="TableParagraph"/>
              <w:spacing w:line="240" w:lineRule="auto" w:before="124"/>
              <w:ind w:left="117"/>
              <w:jc w:val="left"/>
              <w:rPr>
                <w:sz w:val="24"/>
              </w:rPr>
            </w:pPr>
            <w:r>
              <w:rPr>
                <w:spacing w:val="-5"/>
                <w:sz w:val="24"/>
              </w:rPr>
              <w:t>20</w:t>
            </w:r>
          </w:p>
        </w:tc>
        <w:tc>
          <w:tcPr>
            <w:tcW w:w="1164" w:type="dxa"/>
          </w:tcPr>
          <w:p>
            <w:pPr>
              <w:pStyle w:val="TableParagraph"/>
              <w:spacing w:line="240" w:lineRule="auto" w:before="124"/>
              <w:ind w:left="8" w:right="148"/>
              <w:rPr>
                <w:sz w:val="24"/>
              </w:rPr>
            </w:pPr>
            <w:r>
              <w:rPr>
                <w:spacing w:val="-4"/>
                <w:sz w:val="24"/>
              </w:rPr>
              <w:t>B27s</w:t>
            </w:r>
          </w:p>
        </w:tc>
        <w:tc>
          <w:tcPr>
            <w:tcW w:w="2707" w:type="dxa"/>
          </w:tcPr>
          <w:p>
            <w:pPr>
              <w:pStyle w:val="TableParagraph"/>
              <w:spacing w:line="240" w:lineRule="auto" w:before="124"/>
              <w:ind w:left="5" w:right="57"/>
              <w:rPr>
                <w:sz w:val="24"/>
              </w:rPr>
            </w:pPr>
            <w:r>
              <w:rPr>
                <w:spacing w:val="-2"/>
                <w:sz w:val="24"/>
              </w:rPr>
              <w:t>1.563</w:t>
            </w:r>
          </w:p>
        </w:tc>
        <w:tc>
          <w:tcPr>
            <w:tcW w:w="2205" w:type="dxa"/>
          </w:tcPr>
          <w:p>
            <w:pPr>
              <w:pStyle w:val="TableParagraph"/>
              <w:spacing w:line="240" w:lineRule="auto" w:before="124"/>
              <w:ind w:right="3"/>
              <w:rPr>
                <w:sz w:val="24"/>
              </w:rPr>
            </w:pPr>
            <w:r>
              <w:rPr>
                <w:spacing w:val="-10"/>
                <w:sz w:val="24"/>
              </w:rPr>
              <w:t>_</w:t>
            </w:r>
          </w:p>
        </w:tc>
        <w:tc>
          <w:tcPr>
            <w:tcW w:w="2839" w:type="dxa"/>
          </w:tcPr>
          <w:p>
            <w:pPr>
              <w:pStyle w:val="TableParagraph"/>
              <w:spacing w:line="240" w:lineRule="auto" w:before="124"/>
              <w:ind w:right="161"/>
              <w:rPr>
                <w:sz w:val="24"/>
              </w:rPr>
            </w:pPr>
            <w:r>
              <w:rPr>
                <w:spacing w:val="-10"/>
                <w:sz w:val="24"/>
              </w:rPr>
              <w:t>_</w:t>
            </w:r>
          </w:p>
        </w:tc>
      </w:tr>
      <w:tr>
        <w:trPr>
          <w:trHeight w:val="585" w:hRule="atLeast"/>
        </w:trPr>
        <w:tc>
          <w:tcPr>
            <w:tcW w:w="669" w:type="dxa"/>
          </w:tcPr>
          <w:p>
            <w:pPr>
              <w:pStyle w:val="TableParagraph"/>
              <w:spacing w:line="240" w:lineRule="auto" w:before="124"/>
              <w:ind w:left="117"/>
              <w:jc w:val="left"/>
              <w:rPr>
                <w:sz w:val="24"/>
              </w:rPr>
            </w:pPr>
            <w:r>
              <w:rPr>
                <w:spacing w:val="-5"/>
                <w:sz w:val="24"/>
              </w:rPr>
              <w:t>21</w:t>
            </w:r>
          </w:p>
        </w:tc>
        <w:tc>
          <w:tcPr>
            <w:tcW w:w="1164" w:type="dxa"/>
          </w:tcPr>
          <w:p>
            <w:pPr>
              <w:pStyle w:val="TableParagraph"/>
              <w:spacing w:line="240" w:lineRule="auto" w:before="124"/>
              <w:ind w:right="148"/>
              <w:rPr>
                <w:sz w:val="24"/>
              </w:rPr>
            </w:pPr>
            <w:r>
              <w:rPr>
                <w:spacing w:val="-4"/>
                <w:sz w:val="24"/>
              </w:rPr>
              <w:t>E22e</w:t>
            </w:r>
          </w:p>
        </w:tc>
        <w:tc>
          <w:tcPr>
            <w:tcW w:w="2707" w:type="dxa"/>
          </w:tcPr>
          <w:p>
            <w:pPr>
              <w:pStyle w:val="TableParagraph"/>
              <w:spacing w:line="240" w:lineRule="auto" w:before="124"/>
              <w:ind w:right="57"/>
              <w:rPr>
                <w:sz w:val="24"/>
              </w:rPr>
            </w:pPr>
            <w:r>
              <w:rPr>
                <w:spacing w:val="-4"/>
                <w:sz w:val="24"/>
              </w:rPr>
              <w:t>6.25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6.25</w:t>
            </w:r>
          </w:p>
        </w:tc>
      </w:tr>
      <w:tr>
        <w:trPr>
          <w:trHeight w:val="585" w:hRule="atLeast"/>
        </w:trPr>
        <w:tc>
          <w:tcPr>
            <w:tcW w:w="669" w:type="dxa"/>
          </w:tcPr>
          <w:p>
            <w:pPr>
              <w:pStyle w:val="TableParagraph"/>
              <w:spacing w:line="240" w:lineRule="auto" w:before="124"/>
              <w:ind w:left="117"/>
              <w:jc w:val="left"/>
              <w:rPr>
                <w:sz w:val="24"/>
              </w:rPr>
            </w:pPr>
            <w:r>
              <w:rPr>
                <w:spacing w:val="-5"/>
                <w:sz w:val="24"/>
              </w:rPr>
              <w:t>22</w:t>
            </w:r>
          </w:p>
        </w:tc>
        <w:tc>
          <w:tcPr>
            <w:tcW w:w="1164" w:type="dxa"/>
          </w:tcPr>
          <w:p>
            <w:pPr>
              <w:pStyle w:val="TableParagraph"/>
              <w:spacing w:line="240" w:lineRule="auto" w:before="124"/>
              <w:ind w:left="5" w:right="148"/>
              <w:rPr>
                <w:sz w:val="24"/>
              </w:rPr>
            </w:pPr>
            <w:r>
              <w:rPr>
                <w:spacing w:val="-4"/>
                <w:sz w:val="24"/>
              </w:rPr>
              <w:t>B25e</w:t>
            </w:r>
          </w:p>
        </w:tc>
        <w:tc>
          <w:tcPr>
            <w:tcW w:w="2707" w:type="dxa"/>
          </w:tcPr>
          <w:p>
            <w:pPr>
              <w:pStyle w:val="TableParagraph"/>
              <w:spacing w:line="240" w:lineRule="auto" w:before="124"/>
              <w:ind w:left="5" w:right="57"/>
              <w:rPr>
                <w:sz w:val="24"/>
              </w:rPr>
            </w:pPr>
            <w:r>
              <w:rPr>
                <w:spacing w:val="-2"/>
                <w:sz w:val="24"/>
              </w:rPr>
              <w:t>1.563</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12.5</w:t>
            </w:r>
          </w:p>
        </w:tc>
      </w:tr>
      <w:tr>
        <w:trPr>
          <w:trHeight w:val="585" w:hRule="atLeast"/>
        </w:trPr>
        <w:tc>
          <w:tcPr>
            <w:tcW w:w="669" w:type="dxa"/>
          </w:tcPr>
          <w:p>
            <w:pPr>
              <w:pStyle w:val="TableParagraph"/>
              <w:spacing w:line="240" w:lineRule="auto" w:before="124"/>
              <w:ind w:left="117"/>
              <w:jc w:val="left"/>
              <w:rPr>
                <w:sz w:val="24"/>
              </w:rPr>
            </w:pPr>
            <w:r>
              <w:rPr>
                <w:spacing w:val="-5"/>
                <w:sz w:val="24"/>
              </w:rPr>
              <w:t>23</w:t>
            </w:r>
          </w:p>
        </w:tc>
        <w:tc>
          <w:tcPr>
            <w:tcW w:w="1164" w:type="dxa"/>
          </w:tcPr>
          <w:p>
            <w:pPr>
              <w:pStyle w:val="TableParagraph"/>
              <w:spacing w:line="240" w:lineRule="auto" w:before="124"/>
              <w:ind w:left="8" w:right="148"/>
              <w:rPr>
                <w:sz w:val="24"/>
              </w:rPr>
            </w:pPr>
            <w:r>
              <w:rPr>
                <w:spacing w:val="-4"/>
                <w:sz w:val="24"/>
              </w:rPr>
              <w:t>B41s</w:t>
            </w:r>
          </w:p>
        </w:tc>
        <w:tc>
          <w:tcPr>
            <w:tcW w:w="2707" w:type="dxa"/>
          </w:tcPr>
          <w:p>
            <w:pPr>
              <w:pStyle w:val="TableParagraph"/>
              <w:spacing w:line="240" w:lineRule="auto" w:before="124"/>
              <w:ind w:left="5" w:right="57"/>
              <w:rPr>
                <w:sz w:val="24"/>
              </w:rPr>
            </w:pPr>
            <w:r>
              <w:rPr>
                <w:spacing w:val="-2"/>
                <w:sz w:val="24"/>
              </w:rPr>
              <w:t>1.563</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6.25</w:t>
            </w:r>
          </w:p>
        </w:tc>
      </w:tr>
      <w:tr>
        <w:trPr>
          <w:trHeight w:val="585" w:hRule="atLeast"/>
        </w:trPr>
        <w:tc>
          <w:tcPr>
            <w:tcW w:w="669" w:type="dxa"/>
          </w:tcPr>
          <w:p>
            <w:pPr>
              <w:pStyle w:val="TableParagraph"/>
              <w:spacing w:line="240" w:lineRule="auto" w:before="124"/>
              <w:ind w:left="117"/>
              <w:jc w:val="left"/>
              <w:rPr>
                <w:sz w:val="24"/>
              </w:rPr>
            </w:pPr>
            <w:r>
              <w:rPr>
                <w:spacing w:val="-5"/>
                <w:sz w:val="24"/>
              </w:rPr>
              <w:t>24</w:t>
            </w:r>
          </w:p>
        </w:tc>
        <w:tc>
          <w:tcPr>
            <w:tcW w:w="1164" w:type="dxa"/>
          </w:tcPr>
          <w:p>
            <w:pPr>
              <w:pStyle w:val="TableParagraph"/>
              <w:spacing w:line="240" w:lineRule="auto" w:before="124"/>
              <w:ind w:left="8" w:right="148"/>
              <w:rPr>
                <w:sz w:val="24"/>
              </w:rPr>
            </w:pPr>
            <w:r>
              <w:rPr>
                <w:spacing w:val="-4"/>
                <w:sz w:val="24"/>
              </w:rPr>
              <w:t>S36s</w:t>
            </w:r>
          </w:p>
        </w:tc>
        <w:tc>
          <w:tcPr>
            <w:tcW w:w="2707" w:type="dxa"/>
          </w:tcPr>
          <w:p>
            <w:pPr>
              <w:pStyle w:val="TableParagraph"/>
              <w:spacing w:line="240" w:lineRule="auto" w:before="124"/>
              <w:ind w:left="5" w:right="57"/>
              <w:rPr>
                <w:sz w:val="24"/>
              </w:rPr>
            </w:pPr>
            <w:r>
              <w:rPr>
                <w:spacing w:val="-2"/>
                <w:sz w:val="24"/>
              </w:rPr>
              <w:t>1.563</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12.5</w:t>
            </w:r>
          </w:p>
        </w:tc>
      </w:tr>
      <w:tr>
        <w:trPr>
          <w:trHeight w:val="585" w:hRule="atLeast"/>
        </w:trPr>
        <w:tc>
          <w:tcPr>
            <w:tcW w:w="669" w:type="dxa"/>
          </w:tcPr>
          <w:p>
            <w:pPr>
              <w:pStyle w:val="TableParagraph"/>
              <w:spacing w:line="240" w:lineRule="auto" w:before="124"/>
              <w:ind w:left="117"/>
              <w:jc w:val="left"/>
              <w:rPr>
                <w:sz w:val="24"/>
              </w:rPr>
            </w:pPr>
            <w:r>
              <w:rPr>
                <w:spacing w:val="-5"/>
                <w:sz w:val="24"/>
              </w:rPr>
              <w:t>25</w:t>
            </w:r>
          </w:p>
        </w:tc>
        <w:tc>
          <w:tcPr>
            <w:tcW w:w="1164" w:type="dxa"/>
          </w:tcPr>
          <w:p>
            <w:pPr>
              <w:pStyle w:val="TableParagraph"/>
              <w:spacing w:line="240" w:lineRule="auto" w:before="124"/>
              <w:ind w:left="8" w:right="148"/>
              <w:rPr>
                <w:sz w:val="24"/>
              </w:rPr>
            </w:pPr>
            <w:r>
              <w:rPr>
                <w:spacing w:val="-4"/>
                <w:sz w:val="24"/>
              </w:rPr>
              <w:t>S31s</w:t>
            </w:r>
          </w:p>
        </w:tc>
        <w:tc>
          <w:tcPr>
            <w:tcW w:w="2707" w:type="dxa"/>
          </w:tcPr>
          <w:p>
            <w:pPr>
              <w:pStyle w:val="TableParagraph"/>
              <w:spacing w:line="240" w:lineRule="auto" w:before="124"/>
              <w:ind w:left="5" w:right="57"/>
              <w:rPr>
                <w:sz w:val="24"/>
              </w:rPr>
            </w:pPr>
            <w:r>
              <w:rPr>
                <w:spacing w:val="-2"/>
                <w:sz w:val="24"/>
              </w:rPr>
              <w:t>3.125</w:t>
            </w:r>
          </w:p>
        </w:tc>
        <w:tc>
          <w:tcPr>
            <w:tcW w:w="2205" w:type="dxa"/>
          </w:tcPr>
          <w:p>
            <w:pPr>
              <w:pStyle w:val="TableParagraph"/>
              <w:spacing w:line="240" w:lineRule="auto" w:before="124"/>
              <w:ind w:right="3"/>
              <w:rPr>
                <w:sz w:val="24"/>
              </w:rPr>
            </w:pPr>
            <w:r>
              <w:rPr>
                <w:spacing w:val="-10"/>
                <w:sz w:val="24"/>
              </w:rPr>
              <w:t>+</w:t>
            </w:r>
          </w:p>
        </w:tc>
        <w:tc>
          <w:tcPr>
            <w:tcW w:w="2839" w:type="dxa"/>
          </w:tcPr>
          <w:p>
            <w:pPr>
              <w:pStyle w:val="TableParagraph"/>
              <w:spacing w:line="240" w:lineRule="auto" w:before="124"/>
              <w:ind w:left="141" w:right="161"/>
              <w:rPr>
                <w:sz w:val="24"/>
              </w:rPr>
            </w:pPr>
            <w:r>
              <w:rPr>
                <w:spacing w:val="-4"/>
                <w:sz w:val="24"/>
              </w:rPr>
              <w:t>12.5</w:t>
            </w:r>
          </w:p>
        </w:tc>
      </w:tr>
      <w:tr>
        <w:trPr>
          <w:trHeight w:val="707" w:hRule="atLeast"/>
        </w:trPr>
        <w:tc>
          <w:tcPr>
            <w:tcW w:w="669" w:type="dxa"/>
            <w:tcBorders>
              <w:bottom w:val="single" w:sz="4" w:space="0" w:color="000000"/>
            </w:tcBorders>
          </w:tcPr>
          <w:p>
            <w:pPr>
              <w:pStyle w:val="TableParagraph"/>
              <w:spacing w:line="240" w:lineRule="auto" w:before="124"/>
              <w:ind w:left="117"/>
              <w:jc w:val="left"/>
              <w:rPr>
                <w:sz w:val="24"/>
              </w:rPr>
            </w:pPr>
            <w:r>
              <w:rPr>
                <w:spacing w:val="-5"/>
                <w:sz w:val="24"/>
              </w:rPr>
              <w:t>26</w:t>
            </w:r>
          </w:p>
        </w:tc>
        <w:tc>
          <w:tcPr>
            <w:tcW w:w="1164" w:type="dxa"/>
            <w:tcBorders>
              <w:bottom w:val="single" w:sz="4" w:space="0" w:color="000000"/>
            </w:tcBorders>
          </w:tcPr>
          <w:p>
            <w:pPr>
              <w:pStyle w:val="TableParagraph"/>
              <w:spacing w:line="240" w:lineRule="auto" w:before="124"/>
              <w:ind w:left="4" w:right="148"/>
              <w:rPr>
                <w:sz w:val="24"/>
              </w:rPr>
            </w:pPr>
            <w:r>
              <w:rPr>
                <w:spacing w:val="-4"/>
                <w:sz w:val="24"/>
              </w:rPr>
              <w:t>S44e</w:t>
            </w:r>
          </w:p>
        </w:tc>
        <w:tc>
          <w:tcPr>
            <w:tcW w:w="2707" w:type="dxa"/>
            <w:tcBorders>
              <w:bottom w:val="single" w:sz="4" w:space="0" w:color="000000"/>
            </w:tcBorders>
          </w:tcPr>
          <w:p>
            <w:pPr>
              <w:pStyle w:val="TableParagraph"/>
              <w:spacing w:line="240" w:lineRule="auto" w:before="124"/>
              <w:ind w:left="5" w:right="57"/>
              <w:rPr>
                <w:sz w:val="24"/>
              </w:rPr>
            </w:pPr>
            <w:r>
              <w:rPr>
                <w:spacing w:val="-2"/>
                <w:sz w:val="24"/>
              </w:rPr>
              <w:t>1.563</w:t>
            </w:r>
          </w:p>
        </w:tc>
        <w:tc>
          <w:tcPr>
            <w:tcW w:w="2205" w:type="dxa"/>
            <w:tcBorders>
              <w:bottom w:val="single" w:sz="4" w:space="0" w:color="000000"/>
            </w:tcBorders>
          </w:tcPr>
          <w:p>
            <w:pPr>
              <w:pStyle w:val="TableParagraph"/>
              <w:spacing w:line="240" w:lineRule="auto" w:before="124"/>
              <w:ind w:right="3"/>
              <w:rPr>
                <w:sz w:val="24"/>
              </w:rPr>
            </w:pPr>
            <w:r>
              <w:rPr>
                <w:spacing w:val="-10"/>
                <w:sz w:val="24"/>
              </w:rPr>
              <w:t>+</w:t>
            </w:r>
          </w:p>
        </w:tc>
        <w:tc>
          <w:tcPr>
            <w:tcW w:w="2839" w:type="dxa"/>
            <w:tcBorders>
              <w:bottom w:val="single" w:sz="4" w:space="0" w:color="000000"/>
            </w:tcBorders>
          </w:tcPr>
          <w:p>
            <w:pPr>
              <w:pStyle w:val="TableParagraph"/>
              <w:spacing w:line="240" w:lineRule="auto" w:before="124"/>
              <w:ind w:left="141" w:right="161"/>
              <w:rPr>
                <w:sz w:val="24"/>
              </w:rPr>
            </w:pPr>
            <w:r>
              <w:rPr>
                <w:spacing w:val="-4"/>
                <w:sz w:val="24"/>
              </w:rPr>
              <w:t>6.25</w:t>
            </w:r>
          </w:p>
        </w:tc>
      </w:tr>
      <w:tr>
        <w:trPr>
          <w:trHeight w:val="266" w:hRule="atLeast"/>
        </w:trPr>
        <w:tc>
          <w:tcPr>
            <w:tcW w:w="669" w:type="dxa"/>
            <w:tcBorders>
              <w:top w:val="single" w:sz="4" w:space="0" w:color="000000"/>
            </w:tcBorders>
          </w:tcPr>
          <w:p>
            <w:pPr>
              <w:pStyle w:val="TableParagraph"/>
              <w:spacing w:line="245" w:lineRule="exact" w:before="1"/>
              <w:ind w:left="117"/>
              <w:jc w:val="left"/>
              <w:rPr>
                <w:b/>
                <w:sz w:val="22"/>
              </w:rPr>
            </w:pPr>
            <w:r>
              <w:rPr>
                <w:b/>
                <w:spacing w:val="-5"/>
                <w:sz w:val="22"/>
              </w:rPr>
              <w:t>KEY</w:t>
            </w:r>
          </w:p>
        </w:tc>
        <w:tc>
          <w:tcPr>
            <w:tcW w:w="1164" w:type="dxa"/>
            <w:tcBorders>
              <w:top w:val="single" w:sz="4" w:space="0" w:color="000000"/>
            </w:tcBorders>
          </w:tcPr>
          <w:p>
            <w:pPr>
              <w:pStyle w:val="TableParagraph"/>
              <w:spacing w:line="240" w:lineRule="auto"/>
              <w:jc w:val="left"/>
              <w:rPr>
                <w:rFonts w:ascii="Times New Roman"/>
                <w:sz w:val="18"/>
              </w:rPr>
            </w:pPr>
          </w:p>
        </w:tc>
        <w:tc>
          <w:tcPr>
            <w:tcW w:w="2707" w:type="dxa"/>
            <w:tcBorders>
              <w:top w:val="single" w:sz="4" w:space="0" w:color="000000"/>
            </w:tcBorders>
          </w:tcPr>
          <w:p>
            <w:pPr>
              <w:pStyle w:val="TableParagraph"/>
              <w:spacing w:line="240" w:lineRule="auto"/>
              <w:jc w:val="left"/>
              <w:rPr>
                <w:rFonts w:ascii="Times New Roman"/>
                <w:sz w:val="18"/>
              </w:rPr>
            </w:pPr>
          </w:p>
        </w:tc>
        <w:tc>
          <w:tcPr>
            <w:tcW w:w="2205" w:type="dxa"/>
            <w:tcBorders>
              <w:top w:val="single" w:sz="4" w:space="0" w:color="000000"/>
            </w:tcBorders>
          </w:tcPr>
          <w:p>
            <w:pPr>
              <w:pStyle w:val="TableParagraph"/>
              <w:spacing w:line="240" w:lineRule="auto"/>
              <w:jc w:val="left"/>
              <w:rPr>
                <w:rFonts w:ascii="Times New Roman"/>
                <w:sz w:val="18"/>
              </w:rPr>
            </w:pPr>
          </w:p>
        </w:tc>
        <w:tc>
          <w:tcPr>
            <w:tcW w:w="2839" w:type="dxa"/>
            <w:tcBorders>
              <w:top w:val="single" w:sz="4" w:space="0" w:color="000000"/>
            </w:tcBorders>
          </w:tcPr>
          <w:p>
            <w:pPr>
              <w:pStyle w:val="TableParagraph"/>
              <w:spacing w:line="240" w:lineRule="auto"/>
              <w:jc w:val="left"/>
              <w:rPr>
                <w:rFonts w:ascii="Times New Roman"/>
                <w:sz w:val="18"/>
              </w:rPr>
            </w:pPr>
          </w:p>
        </w:tc>
      </w:tr>
    </w:tbl>
    <w:p>
      <w:pPr>
        <w:pStyle w:val="BodyText"/>
        <w:spacing w:before="249"/>
        <w:ind w:left="920"/>
      </w:pPr>
      <w:r>
        <w:rPr/>
        <w:t>+</w:t>
      </w:r>
      <w:r>
        <w:rPr>
          <w:spacing w:val="-3"/>
        </w:rPr>
        <w:t> </w:t>
      </w:r>
      <w:r>
        <w:rPr/>
        <w:t>Represents</w:t>
      </w:r>
      <w:r>
        <w:rPr>
          <w:spacing w:val="-4"/>
        </w:rPr>
        <w:t> </w:t>
      </w:r>
      <w:r>
        <w:rPr/>
        <w:t>isolate</w:t>
      </w:r>
      <w:r>
        <w:rPr>
          <w:spacing w:val="-2"/>
        </w:rPr>
        <w:t> </w:t>
      </w:r>
      <w:r>
        <w:rPr/>
        <w:t>showing</w:t>
      </w:r>
      <w:r>
        <w:rPr>
          <w:spacing w:val="-1"/>
        </w:rPr>
        <w:t> </w:t>
      </w:r>
      <w:r>
        <w:rPr/>
        <w:t>pink</w:t>
      </w:r>
      <w:r>
        <w:rPr>
          <w:spacing w:val="-3"/>
        </w:rPr>
        <w:t> </w:t>
      </w:r>
      <w:r>
        <w:rPr/>
        <w:t>on</w:t>
      </w:r>
      <w:r>
        <w:rPr>
          <w:spacing w:val="-4"/>
        </w:rPr>
        <w:t> </w:t>
      </w:r>
      <w:r>
        <w:rPr/>
        <w:t>MacConkey</w:t>
      </w:r>
      <w:r>
        <w:rPr>
          <w:spacing w:val="-2"/>
        </w:rPr>
        <w:t> </w:t>
      </w:r>
      <w:r>
        <w:rPr/>
        <w:t>agar</w:t>
      </w:r>
      <w:r>
        <w:rPr>
          <w:spacing w:val="-7"/>
        </w:rPr>
        <w:t> </w:t>
      </w:r>
      <w:r>
        <w:rPr>
          <w:spacing w:val="-2"/>
        </w:rPr>
        <w:t>plates.</w:t>
      </w:r>
    </w:p>
    <w:p>
      <w:pPr>
        <w:pStyle w:val="BodyText"/>
      </w:pPr>
    </w:p>
    <w:p>
      <w:pPr>
        <w:pStyle w:val="BodyText"/>
        <w:spacing w:before="212"/>
      </w:pPr>
    </w:p>
    <w:p>
      <w:pPr>
        <w:pStyle w:val="BodyText"/>
        <w:ind w:left="730"/>
      </w:pPr>
      <w:r>
        <w:rPr>
          <w:position w:val="4"/>
        </w:rPr>
        <w:drawing>
          <wp:inline distT="0" distB="0" distL="0" distR="0">
            <wp:extent cx="103631" cy="12191"/>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8" cstate="print"/>
                    <a:stretch>
                      <a:fillRect/>
                    </a:stretch>
                  </pic:blipFill>
                  <pic:spPr>
                    <a:xfrm>
                      <a:off x="0" y="0"/>
                      <a:ext cx="103631" cy="12191"/>
                    </a:xfrm>
                    <a:prstGeom prst="rect">
                      <a:avLst/>
                    </a:prstGeom>
                  </pic:spPr>
                </pic:pic>
              </a:graphicData>
            </a:graphic>
          </wp:inline>
        </w:drawing>
      </w:r>
      <w:r>
        <w:rPr>
          <w:position w:val="4"/>
        </w:rPr>
      </w:r>
      <w:r>
        <w:rPr>
          <w:rFonts w:ascii="Times New Roman"/>
          <w:spacing w:val="28"/>
          <w:sz w:val="20"/>
        </w:rPr>
        <w:t> </w:t>
      </w:r>
      <w:r>
        <w:rPr/>
        <w:t>Represent</w:t>
      </w:r>
      <w:r>
        <w:rPr>
          <w:spacing w:val="-2"/>
        </w:rPr>
        <w:t> </w:t>
      </w:r>
      <w:r>
        <w:rPr/>
        <w:t>isolates that</w:t>
      </w:r>
      <w:r>
        <w:rPr>
          <w:spacing w:val="-2"/>
        </w:rPr>
        <w:t> </w:t>
      </w:r>
      <w:r>
        <w:rPr/>
        <w:t>did</w:t>
      </w:r>
      <w:r>
        <w:rPr>
          <w:spacing w:val="-1"/>
        </w:rPr>
        <w:t> </w:t>
      </w:r>
      <w:r>
        <w:rPr/>
        <w:t>not</w:t>
      </w:r>
      <w:r>
        <w:rPr>
          <w:spacing w:val="-2"/>
        </w:rPr>
        <w:t> </w:t>
      </w:r>
      <w:r>
        <w:rPr/>
        <w:t>transfer resistant traits.</w:t>
      </w:r>
    </w:p>
    <w:p>
      <w:pPr>
        <w:pStyle w:val="BodyText"/>
      </w:pPr>
    </w:p>
    <w:p>
      <w:pPr>
        <w:pStyle w:val="BodyText"/>
        <w:spacing w:before="212"/>
      </w:pPr>
    </w:p>
    <w:p>
      <w:pPr>
        <w:pStyle w:val="BodyText"/>
        <w:ind w:left="920"/>
      </w:pPr>
      <w:r>
        <w:rPr/>
        <w:t>M.I.C.of</w:t>
      </w:r>
      <w:r>
        <w:rPr>
          <w:spacing w:val="-5"/>
        </w:rPr>
        <w:t> </w:t>
      </w:r>
      <w:r>
        <w:rPr/>
        <w:t>ofloxacin</w:t>
      </w:r>
      <w:r>
        <w:rPr>
          <w:spacing w:val="-6"/>
        </w:rPr>
        <w:t> </w:t>
      </w:r>
      <w:r>
        <w:rPr/>
        <w:t>before</w:t>
      </w:r>
      <w:r>
        <w:rPr>
          <w:spacing w:val="-5"/>
        </w:rPr>
        <w:t> </w:t>
      </w:r>
      <w:r>
        <w:rPr/>
        <w:t>conjugation:</w:t>
      </w:r>
      <w:r>
        <w:rPr>
          <w:spacing w:val="-5"/>
        </w:rPr>
        <w:t> </w:t>
      </w:r>
      <w:r>
        <w:rPr>
          <w:spacing w:val="-2"/>
        </w:rPr>
        <w:t>0.195µg/ml</w:t>
      </w:r>
    </w:p>
    <w:p>
      <w:pPr>
        <w:spacing w:after="0"/>
        <w:sectPr>
          <w:pgSz w:w="12240" w:h="15840"/>
          <w:pgMar w:header="0" w:footer="1017" w:top="1400" w:bottom="1200" w:left="520" w:right="260"/>
        </w:sectPr>
      </w:pPr>
    </w:p>
    <w:p>
      <w:pPr>
        <w:spacing w:before="41"/>
        <w:ind w:left="920" w:right="0" w:firstLine="0"/>
        <w:jc w:val="left"/>
        <w:rPr>
          <w:b/>
          <w:sz w:val="22"/>
        </w:rPr>
      </w:pPr>
      <w:r>
        <w:rPr>
          <w:b/>
          <w:sz w:val="22"/>
        </w:rPr>
        <w:t>Table</w:t>
      </w:r>
      <w:r>
        <w:rPr>
          <w:b/>
          <w:spacing w:val="-9"/>
          <w:sz w:val="22"/>
        </w:rPr>
        <w:t> </w:t>
      </w:r>
      <w:r>
        <w:rPr>
          <w:b/>
          <w:sz w:val="22"/>
        </w:rPr>
        <w:t>4.14:</w:t>
      </w:r>
      <w:r>
        <w:rPr>
          <w:b/>
          <w:spacing w:val="-4"/>
          <w:sz w:val="22"/>
        </w:rPr>
        <w:t> </w:t>
      </w:r>
      <w:r>
        <w:rPr>
          <w:b/>
          <w:sz w:val="22"/>
        </w:rPr>
        <w:t>Minimum</w:t>
      </w:r>
      <w:r>
        <w:rPr>
          <w:b/>
          <w:spacing w:val="-7"/>
          <w:sz w:val="22"/>
        </w:rPr>
        <w:t> </w:t>
      </w:r>
      <w:r>
        <w:rPr>
          <w:b/>
          <w:sz w:val="22"/>
        </w:rPr>
        <w:t>Inhibitory</w:t>
      </w:r>
      <w:r>
        <w:rPr>
          <w:b/>
          <w:spacing w:val="-4"/>
          <w:sz w:val="22"/>
        </w:rPr>
        <w:t> </w:t>
      </w:r>
      <w:r>
        <w:rPr>
          <w:b/>
          <w:sz w:val="22"/>
        </w:rPr>
        <w:t>Concentrations</w:t>
      </w:r>
      <w:r>
        <w:rPr>
          <w:b/>
          <w:spacing w:val="-6"/>
          <w:sz w:val="22"/>
        </w:rPr>
        <w:t> </w:t>
      </w:r>
      <w:r>
        <w:rPr>
          <w:b/>
          <w:sz w:val="22"/>
        </w:rPr>
        <w:t>(M.I.C.)</w:t>
      </w:r>
      <w:r>
        <w:rPr>
          <w:b/>
          <w:spacing w:val="-7"/>
          <w:sz w:val="22"/>
        </w:rPr>
        <w:t> </w:t>
      </w:r>
      <w:r>
        <w:rPr>
          <w:b/>
          <w:sz w:val="22"/>
        </w:rPr>
        <w:t>ofOfloxacin</w:t>
      </w:r>
      <w:r>
        <w:rPr>
          <w:b/>
          <w:spacing w:val="-4"/>
          <w:sz w:val="22"/>
        </w:rPr>
        <w:t> </w:t>
      </w:r>
      <w:r>
        <w:rPr>
          <w:b/>
          <w:sz w:val="22"/>
        </w:rPr>
        <w:t>on</w:t>
      </w:r>
      <w:r>
        <w:rPr>
          <w:b/>
          <w:spacing w:val="-3"/>
          <w:sz w:val="22"/>
        </w:rPr>
        <w:t> </w:t>
      </w:r>
      <w:r>
        <w:rPr>
          <w:b/>
          <w:spacing w:val="-2"/>
          <w:sz w:val="22"/>
        </w:rPr>
        <w:t>Transconjugants</w:t>
      </w:r>
    </w:p>
    <w:p>
      <w:pPr>
        <w:pStyle w:val="BodyText"/>
        <w:spacing w:before="38"/>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729"/>
        <w:gridCol w:w="2517"/>
        <w:gridCol w:w="2932"/>
      </w:tblGrid>
      <w:tr>
        <w:trPr>
          <w:trHeight w:val="585" w:hRule="atLeast"/>
        </w:trPr>
        <w:tc>
          <w:tcPr>
            <w:tcW w:w="753"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5"/>
                <w:sz w:val="24"/>
              </w:rPr>
              <w:t>S/N</w:t>
            </w:r>
          </w:p>
        </w:tc>
        <w:tc>
          <w:tcPr>
            <w:tcW w:w="2729" w:type="dxa"/>
            <w:tcBorders>
              <w:top w:val="single" w:sz="4" w:space="0" w:color="000000"/>
              <w:bottom w:val="single" w:sz="4" w:space="0" w:color="000000"/>
            </w:tcBorders>
          </w:tcPr>
          <w:p>
            <w:pPr>
              <w:pStyle w:val="TableParagraph"/>
              <w:spacing w:line="290" w:lineRule="atLeast"/>
              <w:ind w:left="1128" w:hanging="860"/>
              <w:jc w:val="left"/>
              <w:rPr>
                <w:b/>
                <w:sz w:val="24"/>
              </w:rPr>
            </w:pPr>
            <w:r>
              <w:rPr>
                <w:b/>
                <w:sz w:val="24"/>
              </w:rPr>
              <w:t>Donor</w:t>
            </w:r>
            <w:r>
              <w:rPr>
                <w:b/>
                <w:spacing w:val="-14"/>
                <w:sz w:val="24"/>
              </w:rPr>
              <w:t> </w:t>
            </w:r>
            <w:r>
              <w:rPr>
                <w:b/>
                <w:sz w:val="24"/>
              </w:rPr>
              <w:t>Bacteria</w:t>
            </w:r>
            <w:r>
              <w:rPr>
                <w:b/>
                <w:spacing w:val="-14"/>
                <w:sz w:val="24"/>
              </w:rPr>
              <w:t> </w:t>
            </w:r>
            <w:r>
              <w:rPr>
                <w:b/>
                <w:sz w:val="24"/>
              </w:rPr>
              <w:t>Isolate </w:t>
            </w:r>
            <w:r>
              <w:rPr>
                <w:b/>
                <w:spacing w:val="-4"/>
                <w:sz w:val="24"/>
              </w:rPr>
              <w:t>Code</w:t>
            </w:r>
          </w:p>
        </w:tc>
        <w:tc>
          <w:tcPr>
            <w:tcW w:w="2517" w:type="dxa"/>
            <w:tcBorders>
              <w:top w:val="single" w:sz="4" w:space="0" w:color="000000"/>
              <w:bottom w:val="single" w:sz="4" w:space="0" w:color="000000"/>
            </w:tcBorders>
          </w:tcPr>
          <w:p>
            <w:pPr>
              <w:pStyle w:val="TableParagraph"/>
              <w:spacing w:line="290" w:lineRule="atLeast"/>
              <w:ind w:left="938" w:hanging="701"/>
              <w:jc w:val="left"/>
              <w:rPr>
                <w:b/>
                <w:sz w:val="24"/>
              </w:rPr>
            </w:pPr>
            <w:r>
              <w:rPr>
                <w:b/>
                <w:sz w:val="24"/>
              </w:rPr>
              <w:t>M.I.C</w:t>
            </w:r>
            <w:r>
              <w:rPr>
                <w:b/>
                <w:spacing w:val="-14"/>
                <w:sz w:val="24"/>
              </w:rPr>
              <w:t> </w:t>
            </w:r>
            <w:r>
              <w:rPr>
                <w:b/>
                <w:sz w:val="24"/>
              </w:rPr>
              <w:t>(µg/ml)</w:t>
            </w:r>
            <w:r>
              <w:rPr>
                <w:b/>
                <w:spacing w:val="-14"/>
                <w:sz w:val="24"/>
              </w:rPr>
              <w:t> </w:t>
            </w:r>
            <w:r>
              <w:rPr>
                <w:b/>
                <w:sz w:val="24"/>
              </w:rPr>
              <w:t>before </w:t>
            </w:r>
            <w:r>
              <w:rPr>
                <w:b/>
                <w:spacing w:val="-2"/>
                <w:sz w:val="24"/>
              </w:rPr>
              <w:t>Curing</w:t>
            </w:r>
          </w:p>
        </w:tc>
        <w:tc>
          <w:tcPr>
            <w:tcW w:w="2932" w:type="dxa"/>
            <w:tcBorders>
              <w:top w:val="single" w:sz="4" w:space="0" w:color="000000"/>
              <w:bottom w:val="single" w:sz="4" w:space="0" w:color="000000"/>
            </w:tcBorders>
          </w:tcPr>
          <w:p>
            <w:pPr>
              <w:pStyle w:val="TableParagraph"/>
              <w:spacing w:line="240" w:lineRule="auto" w:before="1"/>
              <w:ind w:left="47" w:right="3"/>
              <w:rPr>
                <w:b/>
                <w:sz w:val="24"/>
              </w:rPr>
            </w:pPr>
            <w:r>
              <w:rPr>
                <w:b/>
                <w:spacing w:val="-2"/>
                <w:sz w:val="24"/>
              </w:rPr>
              <w:t>M.I.C(µg/ml)</w:t>
            </w:r>
            <w:r>
              <w:rPr>
                <w:b/>
                <w:spacing w:val="2"/>
                <w:sz w:val="24"/>
              </w:rPr>
              <w:t> </w:t>
            </w:r>
            <w:r>
              <w:rPr>
                <w:b/>
                <w:spacing w:val="-2"/>
                <w:sz w:val="24"/>
              </w:rPr>
              <w:t>after</w:t>
            </w:r>
            <w:r>
              <w:rPr>
                <w:b/>
                <w:spacing w:val="2"/>
                <w:sz w:val="24"/>
              </w:rPr>
              <w:t> </w:t>
            </w:r>
            <w:r>
              <w:rPr>
                <w:b/>
                <w:spacing w:val="-2"/>
                <w:sz w:val="24"/>
              </w:rPr>
              <w:t>Curing</w:t>
            </w:r>
          </w:p>
        </w:tc>
      </w:tr>
      <w:tr>
        <w:trPr>
          <w:trHeight w:val="466" w:hRule="atLeast"/>
        </w:trPr>
        <w:tc>
          <w:tcPr>
            <w:tcW w:w="753" w:type="dxa"/>
            <w:tcBorders>
              <w:top w:val="single" w:sz="4" w:space="0" w:color="000000"/>
            </w:tcBorders>
          </w:tcPr>
          <w:p>
            <w:pPr>
              <w:pStyle w:val="TableParagraph"/>
              <w:spacing w:line="240" w:lineRule="auto" w:before="5"/>
              <w:ind w:left="110"/>
              <w:jc w:val="left"/>
              <w:rPr>
                <w:sz w:val="24"/>
              </w:rPr>
            </w:pPr>
            <w:r>
              <w:rPr>
                <w:spacing w:val="-10"/>
                <w:sz w:val="24"/>
              </w:rPr>
              <w:t>1</w:t>
            </w:r>
          </w:p>
        </w:tc>
        <w:tc>
          <w:tcPr>
            <w:tcW w:w="2729" w:type="dxa"/>
            <w:tcBorders>
              <w:top w:val="single" w:sz="4" w:space="0" w:color="000000"/>
            </w:tcBorders>
          </w:tcPr>
          <w:p>
            <w:pPr>
              <w:pStyle w:val="TableParagraph"/>
              <w:spacing w:line="240" w:lineRule="auto" w:before="5"/>
              <w:ind w:left="31"/>
              <w:rPr>
                <w:sz w:val="24"/>
              </w:rPr>
            </w:pPr>
            <w:r>
              <w:rPr>
                <w:spacing w:val="-5"/>
                <w:sz w:val="24"/>
              </w:rPr>
              <w:t>S4e</w:t>
            </w:r>
          </w:p>
        </w:tc>
        <w:tc>
          <w:tcPr>
            <w:tcW w:w="2517" w:type="dxa"/>
            <w:tcBorders>
              <w:top w:val="single" w:sz="4" w:space="0" w:color="000000"/>
            </w:tcBorders>
          </w:tcPr>
          <w:p>
            <w:pPr>
              <w:pStyle w:val="TableParagraph"/>
              <w:spacing w:line="240" w:lineRule="auto" w:before="5"/>
              <w:ind w:left="5"/>
              <w:rPr>
                <w:sz w:val="24"/>
              </w:rPr>
            </w:pPr>
            <w:r>
              <w:rPr>
                <w:spacing w:val="-5"/>
                <w:sz w:val="24"/>
              </w:rPr>
              <w:t>50</w:t>
            </w:r>
          </w:p>
        </w:tc>
        <w:tc>
          <w:tcPr>
            <w:tcW w:w="2932" w:type="dxa"/>
            <w:tcBorders>
              <w:top w:val="single" w:sz="4" w:space="0" w:color="000000"/>
            </w:tcBorders>
          </w:tcPr>
          <w:p>
            <w:pPr>
              <w:pStyle w:val="TableParagraph"/>
              <w:spacing w:line="240" w:lineRule="auto" w:before="5"/>
              <w:ind w:left="47" w:right="5"/>
              <w:rPr>
                <w:sz w:val="24"/>
              </w:rPr>
            </w:pPr>
            <w:r>
              <w:rPr>
                <w:spacing w:val="-2"/>
                <w:sz w:val="24"/>
              </w:rPr>
              <w:t>0.391</w:t>
            </w:r>
          </w:p>
        </w:tc>
      </w:tr>
      <w:tr>
        <w:trPr>
          <w:trHeight w:val="585" w:hRule="atLeast"/>
        </w:trPr>
        <w:tc>
          <w:tcPr>
            <w:tcW w:w="753" w:type="dxa"/>
          </w:tcPr>
          <w:p>
            <w:pPr>
              <w:pStyle w:val="TableParagraph"/>
              <w:spacing w:line="240" w:lineRule="auto" w:before="124"/>
              <w:ind w:left="110"/>
              <w:jc w:val="left"/>
              <w:rPr>
                <w:sz w:val="24"/>
              </w:rPr>
            </w:pPr>
            <w:r>
              <w:rPr>
                <w:spacing w:val="-10"/>
                <w:sz w:val="24"/>
              </w:rPr>
              <w:t>2</w:t>
            </w:r>
          </w:p>
        </w:tc>
        <w:tc>
          <w:tcPr>
            <w:tcW w:w="2729" w:type="dxa"/>
          </w:tcPr>
          <w:p>
            <w:pPr>
              <w:pStyle w:val="TableParagraph"/>
              <w:spacing w:line="240" w:lineRule="auto" w:before="124"/>
              <w:ind w:left="31" w:right="5"/>
              <w:rPr>
                <w:sz w:val="24"/>
              </w:rPr>
            </w:pPr>
            <w:r>
              <w:rPr>
                <w:spacing w:val="-5"/>
                <w:sz w:val="24"/>
              </w:rPr>
              <w:t>E6e</w:t>
            </w:r>
          </w:p>
        </w:tc>
        <w:tc>
          <w:tcPr>
            <w:tcW w:w="2517" w:type="dxa"/>
          </w:tcPr>
          <w:p>
            <w:pPr>
              <w:pStyle w:val="TableParagraph"/>
              <w:spacing w:line="240" w:lineRule="auto" w:before="124"/>
              <w:ind w:left="5"/>
              <w:rPr>
                <w:sz w:val="24"/>
              </w:rPr>
            </w:pPr>
            <w:r>
              <w:rPr>
                <w:spacing w:val="-5"/>
                <w:sz w:val="24"/>
              </w:rPr>
              <w:t>50</w:t>
            </w:r>
          </w:p>
        </w:tc>
        <w:tc>
          <w:tcPr>
            <w:tcW w:w="2932" w:type="dxa"/>
          </w:tcPr>
          <w:p>
            <w:pPr>
              <w:pStyle w:val="TableParagraph"/>
              <w:spacing w:line="240" w:lineRule="auto" w:before="124"/>
              <w:ind w:left="47" w:right="5"/>
              <w:rPr>
                <w:sz w:val="24"/>
              </w:rPr>
            </w:pPr>
            <w:r>
              <w:rPr>
                <w:spacing w:val="-2"/>
                <w:sz w:val="24"/>
              </w:rPr>
              <w:t>0.781</w:t>
            </w:r>
          </w:p>
        </w:tc>
      </w:tr>
      <w:tr>
        <w:trPr>
          <w:trHeight w:val="585" w:hRule="atLeast"/>
        </w:trPr>
        <w:tc>
          <w:tcPr>
            <w:tcW w:w="753" w:type="dxa"/>
          </w:tcPr>
          <w:p>
            <w:pPr>
              <w:pStyle w:val="TableParagraph"/>
              <w:spacing w:line="240" w:lineRule="auto" w:before="124"/>
              <w:ind w:left="110"/>
              <w:jc w:val="left"/>
              <w:rPr>
                <w:sz w:val="24"/>
              </w:rPr>
            </w:pPr>
            <w:r>
              <w:rPr>
                <w:spacing w:val="-10"/>
                <w:sz w:val="24"/>
              </w:rPr>
              <w:t>3</w:t>
            </w:r>
          </w:p>
        </w:tc>
        <w:tc>
          <w:tcPr>
            <w:tcW w:w="2729" w:type="dxa"/>
          </w:tcPr>
          <w:p>
            <w:pPr>
              <w:pStyle w:val="TableParagraph"/>
              <w:spacing w:line="240" w:lineRule="auto" w:before="124"/>
              <w:ind w:left="31" w:right="10"/>
              <w:rPr>
                <w:sz w:val="24"/>
              </w:rPr>
            </w:pPr>
            <w:r>
              <w:rPr>
                <w:spacing w:val="-4"/>
                <w:sz w:val="24"/>
              </w:rPr>
              <w:t>E10e</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0.195</w:t>
            </w:r>
          </w:p>
        </w:tc>
      </w:tr>
      <w:tr>
        <w:trPr>
          <w:trHeight w:val="585" w:hRule="atLeast"/>
        </w:trPr>
        <w:tc>
          <w:tcPr>
            <w:tcW w:w="753" w:type="dxa"/>
          </w:tcPr>
          <w:p>
            <w:pPr>
              <w:pStyle w:val="TableParagraph"/>
              <w:spacing w:line="240" w:lineRule="auto" w:before="124"/>
              <w:ind w:left="110"/>
              <w:jc w:val="left"/>
              <w:rPr>
                <w:sz w:val="24"/>
              </w:rPr>
            </w:pPr>
            <w:r>
              <w:rPr>
                <w:spacing w:val="-10"/>
                <w:sz w:val="24"/>
              </w:rPr>
              <w:t>4</w:t>
            </w:r>
          </w:p>
        </w:tc>
        <w:tc>
          <w:tcPr>
            <w:tcW w:w="2729" w:type="dxa"/>
          </w:tcPr>
          <w:p>
            <w:pPr>
              <w:pStyle w:val="TableParagraph"/>
              <w:spacing w:line="240" w:lineRule="auto" w:before="124"/>
              <w:ind w:left="31" w:right="5"/>
              <w:rPr>
                <w:sz w:val="24"/>
              </w:rPr>
            </w:pPr>
            <w:r>
              <w:rPr>
                <w:spacing w:val="-4"/>
                <w:sz w:val="24"/>
              </w:rPr>
              <w:t>S15e</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0.781</w:t>
            </w:r>
          </w:p>
        </w:tc>
      </w:tr>
      <w:tr>
        <w:trPr>
          <w:trHeight w:val="585" w:hRule="atLeast"/>
        </w:trPr>
        <w:tc>
          <w:tcPr>
            <w:tcW w:w="753" w:type="dxa"/>
          </w:tcPr>
          <w:p>
            <w:pPr>
              <w:pStyle w:val="TableParagraph"/>
              <w:spacing w:line="240" w:lineRule="auto" w:before="124"/>
              <w:ind w:left="110"/>
              <w:jc w:val="left"/>
              <w:rPr>
                <w:sz w:val="24"/>
              </w:rPr>
            </w:pPr>
            <w:r>
              <w:rPr>
                <w:spacing w:val="-10"/>
                <w:sz w:val="24"/>
              </w:rPr>
              <w:t>5</w:t>
            </w:r>
          </w:p>
        </w:tc>
        <w:tc>
          <w:tcPr>
            <w:tcW w:w="2729" w:type="dxa"/>
          </w:tcPr>
          <w:p>
            <w:pPr>
              <w:pStyle w:val="TableParagraph"/>
              <w:spacing w:line="240" w:lineRule="auto" w:before="124"/>
              <w:ind w:left="31" w:right="2"/>
              <w:rPr>
                <w:sz w:val="24"/>
              </w:rPr>
            </w:pPr>
            <w:r>
              <w:rPr>
                <w:spacing w:val="-5"/>
                <w:sz w:val="24"/>
              </w:rPr>
              <w:t>E4s</w:t>
            </w:r>
          </w:p>
        </w:tc>
        <w:tc>
          <w:tcPr>
            <w:tcW w:w="2517" w:type="dxa"/>
          </w:tcPr>
          <w:p>
            <w:pPr>
              <w:pStyle w:val="TableParagraph"/>
              <w:spacing w:line="240" w:lineRule="auto" w:before="124"/>
              <w:ind w:left="5"/>
              <w:rPr>
                <w:sz w:val="24"/>
              </w:rPr>
            </w:pPr>
            <w:r>
              <w:rPr>
                <w:spacing w:val="-5"/>
                <w:sz w:val="24"/>
              </w:rPr>
              <w:t>50</w:t>
            </w:r>
          </w:p>
        </w:tc>
        <w:tc>
          <w:tcPr>
            <w:tcW w:w="2932" w:type="dxa"/>
          </w:tcPr>
          <w:p>
            <w:pPr>
              <w:pStyle w:val="TableParagraph"/>
              <w:spacing w:line="240" w:lineRule="auto" w:before="124"/>
              <w:ind w:left="47"/>
              <w:rPr>
                <w:sz w:val="24"/>
              </w:rPr>
            </w:pPr>
            <w:r>
              <w:rPr>
                <w:spacing w:val="-4"/>
                <w:sz w:val="24"/>
              </w:rPr>
              <w:t>6.25</w:t>
            </w:r>
          </w:p>
        </w:tc>
      </w:tr>
      <w:tr>
        <w:trPr>
          <w:trHeight w:val="585" w:hRule="atLeast"/>
        </w:trPr>
        <w:tc>
          <w:tcPr>
            <w:tcW w:w="753" w:type="dxa"/>
          </w:tcPr>
          <w:p>
            <w:pPr>
              <w:pStyle w:val="TableParagraph"/>
              <w:spacing w:line="240" w:lineRule="auto" w:before="124"/>
              <w:ind w:left="110"/>
              <w:jc w:val="left"/>
              <w:rPr>
                <w:sz w:val="24"/>
              </w:rPr>
            </w:pPr>
            <w:r>
              <w:rPr>
                <w:spacing w:val="-10"/>
                <w:sz w:val="24"/>
              </w:rPr>
              <w:t>6</w:t>
            </w:r>
          </w:p>
        </w:tc>
        <w:tc>
          <w:tcPr>
            <w:tcW w:w="2729" w:type="dxa"/>
          </w:tcPr>
          <w:p>
            <w:pPr>
              <w:pStyle w:val="TableParagraph"/>
              <w:spacing w:line="240" w:lineRule="auto" w:before="124"/>
              <w:ind w:left="31"/>
              <w:rPr>
                <w:sz w:val="24"/>
              </w:rPr>
            </w:pPr>
            <w:r>
              <w:rPr>
                <w:spacing w:val="-5"/>
                <w:sz w:val="24"/>
              </w:rPr>
              <w:t>B7e</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Pr>
                <w:sz w:val="24"/>
              </w:rPr>
            </w:pPr>
            <w:r>
              <w:rPr>
                <w:spacing w:val="-4"/>
                <w:sz w:val="24"/>
              </w:rPr>
              <w:t>6.25</w:t>
            </w:r>
          </w:p>
        </w:tc>
      </w:tr>
      <w:tr>
        <w:trPr>
          <w:trHeight w:val="585" w:hRule="atLeast"/>
        </w:trPr>
        <w:tc>
          <w:tcPr>
            <w:tcW w:w="753" w:type="dxa"/>
          </w:tcPr>
          <w:p>
            <w:pPr>
              <w:pStyle w:val="TableParagraph"/>
              <w:spacing w:line="240" w:lineRule="auto" w:before="124"/>
              <w:ind w:left="110"/>
              <w:jc w:val="left"/>
              <w:rPr>
                <w:sz w:val="24"/>
              </w:rPr>
            </w:pPr>
            <w:r>
              <w:rPr>
                <w:spacing w:val="-10"/>
                <w:sz w:val="24"/>
              </w:rPr>
              <w:t>7</w:t>
            </w:r>
          </w:p>
        </w:tc>
        <w:tc>
          <w:tcPr>
            <w:tcW w:w="2729" w:type="dxa"/>
          </w:tcPr>
          <w:p>
            <w:pPr>
              <w:pStyle w:val="TableParagraph"/>
              <w:spacing w:line="240" w:lineRule="auto" w:before="124"/>
              <w:ind w:left="31" w:right="6"/>
              <w:rPr>
                <w:sz w:val="24"/>
              </w:rPr>
            </w:pPr>
            <w:r>
              <w:rPr>
                <w:spacing w:val="-4"/>
                <w:sz w:val="24"/>
              </w:rPr>
              <w:t>E22s</w:t>
            </w:r>
          </w:p>
        </w:tc>
        <w:tc>
          <w:tcPr>
            <w:tcW w:w="2517" w:type="dxa"/>
          </w:tcPr>
          <w:p>
            <w:pPr>
              <w:pStyle w:val="TableParagraph"/>
              <w:spacing w:line="240" w:lineRule="auto" w:before="124"/>
              <w:ind w:left="5"/>
              <w:rPr>
                <w:sz w:val="24"/>
              </w:rPr>
            </w:pPr>
            <w:r>
              <w:rPr>
                <w:spacing w:val="-5"/>
                <w:sz w:val="24"/>
              </w:rPr>
              <w:t>50</w:t>
            </w:r>
          </w:p>
        </w:tc>
        <w:tc>
          <w:tcPr>
            <w:tcW w:w="2932" w:type="dxa"/>
          </w:tcPr>
          <w:p>
            <w:pPr>
              <w:pStyle w:val="TableParagraph"/>
              <w:spacing w:line="240" w:lineRule="auto" w:before="124"/>
              <w:ind w:left="47" w:right="5"/>
              <w:rPr>
                <w:sz w:val="24"/>
              </w:rPr>
            </w:pPr>
            <w:r>
              <w:rPr>
                <w:spacing w:val="-2"/>
                <w:sz w:val="24"/>
              </w:rPr>
              <w:t>0.781</w:t>
            </w:r>
          </w:p>
        </w:tc>
      </w:tr>
      <w:tr>
        <w:trPr>
          <w:trHeight w:val="585" w:hRule="atLeast"/>
        </w:trPr>
        <w:tc>
          <w:tcPr>
            <w:tcW w:w="753" w:type="dxa"/>
          </w:tcPr>
          <w:p>
            <w:pPr>
              <w:pStyle w:val="TableParagraph"/>
              <w:spacing w:line="240" w:lineRule="auto" w:before="124"/>
              <w:ind w:left="110"/>
              <w:jc w:val="left"/>
              <w:rPr>
                <w:sz w:val="24"/>
              </w:rPr>
            </w:pPr>
            <w:r>
              <w:rPr>
                <w:spacing w:val="-10"/>
                <w:sz w:val="24"/>
              </w:rPr>
              <w:t>8</w:t>
            </w:r>
          </w:p>
        </w:tc>
        <w:tc>
          <w:tcPr>
            <w:tcW w:w="2729" w:type="dxa"/>
          </w:tcPr>
          <w:p>
            <w:pPr>
              <w:pStyle w:val="TableParagraph"/>
              <w:spacing w:line="240" w:lineRule="auto" w:before="124"/>
              <w:ind w:left="31" w:right="1"/>
              <w:rPr>
                <w:sz w:val="24"/>
              </w:rPr>
            </w:pPr>
            <w:r>
              <w:rPr>
                <w:spacing w:val="-4"/>
                <w:sz w:val="24"/>
              </w:rPr>
              <w:t>B36s</w:t>
            </w:r>
          </w:p>
        </w:tc>
        <w:tc>
          <w:tcPr>
            <w:tcW w:w="2517" w:type="dxa"/>
          </w:tcPr>
          <w:p>
            <w:pPr>
              <w:pStyle w:val="TableParagraph"/>
              <w:spacing w:line="240" w:lineRule="auto" w:before="124"/>
              <w:ind w:left="5"/>
              <w:rPr>
                <w:sz w:val="24"/>
              </w:rPr>
            </w:pPr>
            <w:r>
              <w:rPr>
                <w:spacing w:val="-4"/>
                <w:sz w:val="24"/>
              </w:rPr>
              <w:t>12.5</w:t>
            </w:r>
          </w:p>
        </w:tc>
        <w:tc>
          <w:tcPr>
            <w:tcW w:w="2932" w:type="dxa"/>
          </w:tcPr>
          <w:p>
            <w:pPr>
              <w:pStyle w:val="TableParagraph"/>
              <w:spacing w:line="240" w:lineRule="auto" w:before="124"/>
              <w:ind w:left="47" w:right="5"/>
              <w:rPr>
                <w:sz w:val="24"/>
              </w:rPr>
            </w:pPr>
            <w:r>
              <w:rPr>
                <w:spacing w:val="-2"/>
                <w:sz w:val="24"/>
              </w:rPr>
              <w:t>3.125</w:t>
            </w:r>
          </w:p>
        </w:tc>
      </w:tr>
      <w:tr>
        <w:trPr>
          <w:trHeight w:val="585" w:hRule="atLeast"/>
        </w:trPr>
        <w:tc>
          <w:tcPr>
            <w:tcW w:w="753" w:type="dxa"/>
          </w:tcPr>
          <w:p>
            <w:pPr>
              <w:pStyle w:val="TableParagraph"/>
              <w:spacing w:line="240" w:lineRule="auto" w:before="124"/>
              <w:ind w:left="110"/>
              <w:jc w:val="left"/>
              <w:rPr>
                <w:sz w:val="24"/>
              </w:rPr>
            </w:pPr>
            <w:r>
              <w:rPr>
                <w:spacing w:val="-10"/>
                <w:sz w:val="24"/>
              </w:rPr>
              <w:t>9</w:t>
            </w:r>
          </w:p>
        </w:tc>
        <w:tc>
          <w:tcPr>
            <w:tcW w:w="2729" w:type="dxa"/>
          </w:tcPr>
          <w:p>
            <w:pPr>
              <w:pStyle w:val="TableParagraph"/>
              <w:spacing w:line="240" w:lineRule="auto" w:before="124"/>
              <w:ind w:left="31" w:right="2"/>
              <w:rPr>
                <w:sz w:val="24"/>
              </w:rPr>
            </w:pPr>
            <w:r>
              <w:rPr>
                <w:spacing w:val="-4"/>
                <w:sz w:val="24"/>
              </w:rPr>
              <w:t>S43s</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3.125</w:t>
            </w:r>
          </w:p>
        </w:tc>
      </w:tr>
      <w:tr>
        <w:trPr>
          <w:trHeight w:val="585" w:hRule="atLeast"/>
        </w:trPr>
        <w:tc>
          <w:tcPr>
            <w:tcW w:w="753" w:type="dxa"/>
          </w:tcPr>
          <w:p>
            <w:pPr>
              <w:pStyle w:val="TableParagraph"/>
              <w:spacing w:line="240" w:lineRule="auto" w:before="124"/>
              <w:ind w:left="110"/>
              <w:jc w:val="left"/>
              <w:rPr>
                <w:sz w:val="24"/>
              </w:rPr>
            </w:pPr>
            <w:r>
              <w:rPr>
                <w:spacing w:val="-5"/>
                <w:sz w:val="24"/>
              </w:rPr>
              <w:t>10</w:t>
            </w:r>
          </w:p>
        </w:tc>
        <w:tc>
          <w:tcPr>
            <w:tcW w:w="2729" w:type="dxa"/>
          </w:tcPr>
          <w:p>
            <w:pPr>
              <w:pStyle w:val="TableParagraph"/>
              <w:spacing w:line="240" w:lineRule="auto" w:before="124"/>
              <w:ind w:left="31" w:right="10"/>
              <w:rPr>
                <w:sz w:val="24"/>
              </w:rPr>
            </w:pPr>
            <w:r>
              <w:rPr>
                <w:spacing w:val="-4"/>
                <w:sz w:val="24"/>
              </w:rPr>
              <w:t>E23e</w:t>
            </w:r>
          </w:p>
        </w:tc>
        <w:tc>
          <w:tcPr>
            <w:tcW w:w="2517" w:type="dxa"/>
          </w:tcPr>
          <w:p>
            <w:pPr>
              <w:pStyle w:val="TableParagraph"/>
              <w:spacing w:line="240" w:lineRule="auto" w:before="124"/>
              <w:ind w:left="5"/>
              <w:rPr>
                <w:sz w:val="24"/>
              </w:rPr>
            </w:pPr>
            <w:r>
              <w:rPr>
                <w:spacing w:val="-5"/>
                <w:sz w:val="24"/>
              </w:rPr>
              <w:t>50</w:t>
            </w:r>
          </w:p>
        </w:tc>
        <w:tc>
          <w:tcPr>
            <w:tcW w:w="2932" w:type="dxa"/>
          </w:tcPr>
          <w:p>
            <w:pPr>
              <w:pStyle w:val="TableParagraph"/>
              <w:spacing w:line="240" w:lineRule="auto" w:before="124"/>
              <w:ind w:left="47" w:right="5"/>
              <w:rPr>
                <w:sz w:val="24"/>
              </w:rPr>
            </w:pPr>
            <w:r>
              <w:rPr>
                <w:spacing w:val="-2"/>
                <w:sz w:val="24"/>
              </w:rPr>
              <w:t>3.125</w:t>
            </w:r>
          </w:p>
        </w:tc>
      </w:tr>
      <w:tr>
        <w:trPr>
          <w:trHeight w:val="585" w:hRule="atLeast"/>
        </w:trPr>
        <w:tc>
          <w:tcPr>
            <w:tcW w:w="753" w:type="dxa"/>
          </w:tcPr>
          <w:p>
            <w:pPr>
              <w:pStyle w:val="TableParagraph"/>
              <w:spacing w:line="240" w:lineRule="auto" w:before="124"/>
              <w:ind w:left="110"/>
              <w:jc w:val="left"/>
              <w:rPr>
                <w:sz w:val="24"/>
              </w:rPr>
            </w:pPr>
            <w:r>
              <w:rPr>
                <w:spacing w:val="-5"/>
                <w:sz w:val="24"/>
              </w:rPr>
              <w:t>11</w:t>
            </w:r>
          </w:p>
        </w:tc>
        <w:tc>
          <w:tcPr>
            <w:tcW w:w="2729" w:type="dxa"/>
          </w:tcPr>
          <w:p>
            <w:pPr>
              <w:pStyle w:val="TableParagraph"/>
              <w:spacing w:line="240" w:lineRule="auto" w:before="124"/>
              <w:ind w:left="31" w:right="5"/>
              <w:rPr>
                <w:sz w:val="24"/>
              </w:rPr>
            </w:pPr>
            <w:r>
              <w:rPr>
                <w:spacing w:val="-4"/>
                <w:sz w:val="24"/>
              </w:rPr>
              <w:t>B33e</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3.125</w:t>
            </w:r>
          </w:p>
        </w:tc>
      </w:tr>
      <w:tr>
        <w:trPr>
          <w:trHeight w:val="585" w:hRule="atLeast"/>
        </w:trPr>
        <w:tc>
          <w:tcPr>
            <w:tcW w:w="753" w:type="dxa"/>
          </w:tcPr>
          <w:p>
            <w:pPr>
              <w:pStyle w:val="TableParagraph"/>
              <w:spacing w:line="240" w:lineRule="auto" w:before="124"/>
              <w:ind w:left="110"/>
              <w:jc w:val="left"/>
              <w:rPr>
                <w:sz w:val="24"/>
              </w:rPr>
            </w:pPr>
            <w:r>
              <w:rPr>
                <w:spacing w:val="-5"/>
                <w:sz w:val="24"/>
              </w:rPr>
              <w:t>12</w:t>
            </w:r>
          </w:p>
        </w:tc>
        <w:tc>
          <w:tcPr>
            <w:tcW w:w="2729" w:type="dxa"/>
          </w:tcPr>
          <w:p>
            <w:pPr>
              <w:pStyle w:val="TableParagraph"/>
              <w:spacing w:line="240" w:lineRule="auto" w:before="124"/>
              <w:ind w:left="31" w:right="6"/>
              <w:rPr>
                <w:sz w:val="24"/>
              </w:rPr>
            </w:pPr>
            <w:r>
              <w:rPr>
                <w:spacing w:val="-5"/>
                <w:sz w:val="24"/>
              </w:rPr>
              <w:t>B5s</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0.391</w:t>
            </w:r>
          </w:p>
        </w:tc>
      </w:tr>
      <w:tr>
        <w:trPr>
          <w:trHeight w:val="585" w:hRule="atLeast"/>
        </w:trPr>
        <w:tc>
          <w:tcPr>
            <w:tcW w:w="753" w:type="dxa"/>
          </w:tcPr>
          <w:p>
            <w:pPr>
              <w:pStyle w:val="TableParagraph"/>
              <w:spacing w:line="240" w:lineRule="auto" w:before="124"/>
              <w:ind w:left="110"/>
              <w:jc w:val="left"/>
              <w:rPr>
                <w:sz w:val="24"/>
              </w:rPr>
            </w:pPr>
            <w:r>
              <w:rPr>
                <w:spacing w:val="-5"/>
                <w:sz w:val="24"/>
              </w:rPr>
              <w:t>13</w:t>
            </w:r>
          </w:p>
        </w:tc>
        <w:tc>
          <w:tcPr>
            <w:tcW w:w="2729" w:type="dxa"/>
          </w:tcPr>
          <w:p>
            <w:pPr>
              <w:pStyle w:val="TableParagraph"/>
              <w:spacing w:line="240" w:lineRule="auto" w:before="124"/>
              <w:ind w:left="31" w:right="5"/>
              <w:rPr>
                <w:sz w:val="24"/>
              </w:rPr>
            </w:pPr>
            <w:r>
              <w:rPr>
                <w:spacing w:val="-4"/>
                <w:sz w:val="24"/>
              </w:rPr>
              <w:t>B23e</w:t>
            </w:r>
          </w:p>
        </w:tc>
        <w:tc>
          <w:tcPr>
            <w:tcW w:w="2517" w:type="dxa"/>
          </w:tcPr>
          <w:p>
            <w:pPr>
              <w:pStyle w:val="TableParagraph"/>
              <w:spacing w:line="240" w:lineRule="auto" w:before="124"/>
              <w:ind w:left="5"/>
              <w:rPr>
                <w:sz w:val="24"/>
              </w:rPr>
            </w:pPr>
            <w:r>
              <w:rPr>
                <w:spacing w:val="-5"/>
                <w:sz w:val="24"/>
              </w:rPr>
              <w:t>50</w:t>
            </w:r>
          </w:p>
        </w:tc>
        <w:tc>
          <w:tcPr>
            <w:tcW w:w="2932" w:type="dxa"/>
          </w:tcPr>
          <w:p>
            <w:pPr>
              <w:pStyle w:val="TableParagraph"/>
              <w:spacing w:line="240" w:lineRule="auto" w:before="124"/>
              <w:ind w:left="47" w:right="5"/>
              <w:rPr>
                <w:sz w:val="24"/>
              </w:rPr>
            </w:pPr>
            <w:r>
              <w:rPr>
                <w:spacing w:val="-2"/>
                <w:sz w:val="24"/>
              </w:rPr>
              <w:t>0.781</w:t>
            </w:r>
          </w:p>
        </w:tc>
      </w:tr>
      <w:tr>
        <w:trPr>
          <w:trHeight w:val="587" w:hRule="atLeast"/>
        </w:trPr>
        <w:tc>
          <w:tcPr>
            <w:tcW w:w="753" w:type="dxa"/>
          </w:tcPr>
          <w:p>
            <w:pPr>
              <w:pStyle w:val="TableParagraph"/>
              <w:spacing w:line="240" w:lineRule="auto" w:before="124"/>
              <w:ind w:left="110"/>
              <w:jc w:val="left"/>
              <w:rPr>
                <w:sz w:val="24"/>
              </w:rPr>
            </w:pPr>
            <w:r>
              <w:rPr>
                <w:spacing w:val="-5"/>
                <w:sz w:val="24"/>
              </w:rPr>
              <w:t>14</w:t>
            </w:r>
          </w:p>
        </w:tc>
        <w:tc>
          <w:tcPr>
            <w:tcW w:w="2729" w:type="dxa"/>
          </w:tcPr>
          <w:p>
            <w:pPr>
              <w:pStyle w:val="TableParagraph"/>
              <w:spacing w:line="240" w:lineRule="auto" w:before="124"/>
              <w:ind w:left="31" w:right="10"/>
              <w:rPr>
                <w:sz w:val="24"/>
              </w:rPr>
            </w:pPr>
            <w:r>
              <w:rPr>
                <w:spacing w:val="-4"/>
                <w:sz w:val="24"/>
              </w:rPr>
              <w:t>E22e</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3.125</w:t>
            </w:r>
          </w:p>
        </w:tc>
      </w:tr>
      <w:tr>
        <w:trPr>
          <w:trHeight w:val="588" w:hRule="atLeast"/>
        </w:trPr>
        <w:tc>
          <w:tcPr>
            <w:tcW w:w="753" w:type="dxa"/>
          </w:tcPr>
          <w:p>
            <w:pPr>
              <w:pStyle w:val="TableParagraph"/>
              <w:spacing w:line="240" w:lineRule="auto" w:before="126"/>
              <w:ind w:left="110"/>
              <w:jc w:val="left"/>
              <w:rPr>
                <w:sz w:val="24"/>
              </w:rPr>
            </w:pPr>
            <w:r>
              <w:rPr>
                <w:spacing w:val="-5"/>
                <w:sz w:val="24"/>
              </w:rPr>
              <w:t>15</w:t>
            </w:r>
          </w:p>
        </w:tc>
        <w:tc>
          <w:tcPr>
            <w:tcW w:w="2729" w:type="dxa"/>
          </w:tcPr>
          <w:p>
            <w:pPr>
              <w:pStyle w:val="TableParagraph"/>
              <w:spacing w:line="240" w:lineRule="auto" w:before="126"/>
              <w:ind w:left="31" w:right="5"/>
              <w:rPr>
                <w:sz w:val="24"/>
              </w:rPr>
            </w:pPr>
            <w:r>
              <w:rPr>
                <w:spacing w:val="-4"/>
                <w:sz w:val="24"/>
              </w:rPr>
              <w:t>B25e</w:t>
            </w:r>
          </w:p>
        </w:tc>
        <w:tc>
          <w:tcPr>
            <w:tcW w:w="2517" w:type="dxa"/>
          </w:tcPr>
          <w:p>
            <w:pPr>
              <w:pStyle w:val="TableParagraph"/>
              <w:spacing w:line="240" w:lineRule="auto" w:before="126"/>
              <w:ind w:left="5"/>
              <w:rPr>
                <w:sz w:val="24"/>
              </w:rPr>
            </w:pPr>
            <w:r>
              <w:rPr>
                <w:spacing w:val="-4"/>
                <w:sz w:val="24"/>
              </w:rPr>
              <w:t>12.5</w:t>
            </w:r>
          </w:p>
        </w:tc>
        <w:tc>
          <w:tcPr>
            <w:tcW w:w="2932" w:type="dxa"/>
          </w:tcPr>
          <w:p>
            <w:pPr>
              <w:pStyle w:val="TableParagraph"/>
              <w:spacing w:line="240" w:lineRule="auto" w:before="126"/>
              <w:ind w:left="47" w:right="5"/>
              <w:rPr>
                <w:sz w:val="24"/>
              </w:rPr>
            </w:pPr>
            <w:r>
              <w:rPr>
                <w:spacing w:val="-2"/>
                <w:sz w:val="24"/>
              </w:rPr>
              <w:t>3.125</w:t>
            </w:r>
          </w:p>
        </w:tc>
      </w:tr>
      <w:tr>
        <w:trPr>
          <w:trHeight w:val="585" w:hRule="atLeast"/>
        </w:trPr>
        <w:tc>
          <w:tcPr>
            <w:tcW w:w="753" w:type="dxa"/>
          </w:tcPr>
          <w:p>
            <w:pPr>
              <w:pStyle w:val="TableParagraph"/>
              <w:spacing w:line="240" w:lineRule="auto" w:before="124"/>
              <w:ind w:left="110"/>
              <w:jc w:val="left"/>
              <w:rPr>
                <w:sz w:val="24"/>
              </w:rPr>
            </w:pPr>
            <w:r>
              <w:rPr>
                <w:spacing w:val="-5"/>
                <w:sz w:val="24"/>
              </w:rPr>
              <w:t>16</w:t>
            </w:r>
          </w:p>
        </w:tc>
        <w:tc>
          <w:tcPr>
            <w:tcW w:w="2729" w:type="dxa"/>
          </w:tcPr>
          <w:p>
            <w:pPr>
              <w:pStyle w:val="TableParagraph"/>
              <w:spacing w:line="240" w:lineRule="auto" w:before="124"/>
              <w:ind w:left="31" w:right="1"/>
              <w:rPr>
                <w:sz w:val="24"/>
              </w:rPr>
            </w:pPr>
            <w:r>
              <w:rPr>
                <w:spacing w:val="-4"/>
                <w:sz w:val="24"/>
              </w:rPr>
              <w:t>B41s</w:t>
            </w:r>
          </w:p>
        </w:tc>
        <w:tc>
          <w:tcPr>
            <w:tcW w:w="2517" w:type="dxa"/>
          </w:tcPr>
          <w:p>
            <w:pPr>
              <w:pStyle w:val="TableParagraph"/>
              <w:spacing w:line="240" w:lineRule="auto" w:before="124"/>
              <w:ind w:left="5"/>
              <w:rPr>
                <w:sz w:val="24"/>
              </w:rPr>
            </w:pPr>
            <w:r>
              <w:rPr>
                <w:spacing w:val="-4"/>
                <w:sz w:val="24"/>
              </w:rPr>
              <w:t>6.25</w:t>
            </w:r>
          </w:p>
        </w:tc>
        <w:tc>
          <w:tcPr>
            <w:tcW w:w="2932" w:type="dxa"/>
          </w:tcPr>
          <w:p>
            <w:pPr>
              <w:pStyle w:val="TableParagraph"/>
              <w:spacing w:line="240" w:lineRule="auto" w:before="124"/>
              <w:ind w:left="47" w:right="5"/>
              <w:rPr>
                <w:sz w:val="24"/>
              </w:rPr>
            </w:pPr>
            <w:r>
              <w:rPr>
                <w:spacing w:val="-2"/>
                <w:sz w:val="24"/>
              </w:rPr>
              <w:t>1.563</w:t>
            </w:r>
          </w:p>
        </w:tc>
      </w:tr>
      <w:tr>
        <w:trPr>
          <w:trHeight w:val="585" w:hRule="atLeast"/>
        </w:trPr>
        <w:tc>
          <w:tcPr>
            <w:tcW w:w="753" w:type="dxa"/>
          </w:tcPr>
          <w:p>
            <w:pPr>
              <w:pStyle w:val="TableParagraph"/>
              <w:spacing w:line="240" w:lineRule="auto" w:before="124"/>
              <w:ind w:left="110"/>
              <w:jc w:val="left"/>
              <w:rPr>
                <w:sz w:val="24"/>
              </w:rPr>
            </w:pPr>
            <w:r>
              <w:rPr>
                <w:spacing w:val="-5"/>
                <w:sz w:val="24"/>
              </w:rPr>
              <w:t>17</w:t>
            </w:r>
          </w:p>
        </w:tc>
        <w:tc>
          <w:tcPr>
            <w:tcW w:w="2729" w:type="dxa"/>
          </w:tcPr>
          <w:p>
            <w:pPr>
              <w:pStyle w:val="TableParagraph"/>
              <w:spacing w:line="240" w:lineRule="auto" w:before="124"/>
              <w:ind w:left="31" w:right="2"/>
              <w:rPr>
                <w:sz w:val="24"/>
              </w:rPr>
            </w:pPr>
            <w:r>
              <w:rPr>
                <w:spacing w:val="-4"/>
                <w:sz w:val="24"/>
              </w:rPr>
              <w:t>S36s</w:t>
            </w:r>
          </w:p>
        </w:tc>
        <w:tc>
          <w:tcPr>
            <w:tcW w:w="2517" w:type="dxa"/>
          </w:tcPr>
          <w:p>
            <w:pPr>
              <w:pStyle w:val="TableParagraph"/>
              <w:spacing w:line="240" w:lineRule="auto" w:before="124"/>
              <w:ind w:left="5"/>
              <w:rPr>
                <w:sz w:val="24"/>
              </w:rPr>
            </w:pPr>
            <w:r>
              <w:rPr>
                <w:spacing w:val="-4"/>
                <w:sz w:val="24"/>
              </w:rPr>
              <w:t>12.5</w:t>
            </w:r>
          </w:p>
        </w:tc>
        <w:tc>
          <w:tcPr>
            <w:tcW w:w="2932" w:type="dxa"/>
          </w:tcPr>
          <w:p>
            <w:pPr>
              <w:pStyle w:val="TableParagraph"/>
              <w:spacing w:line="240" w:lineRule="auto" w:before="124"/>
              <w:ind w:left="47" w:right="5"/>
              <w:rPr>
                <w:sz w:val="24"/>
              </w:rPr>
            </w:pPr>
            <w:r>
              <w:rPr>
                <w:spacing w:val="-2"/>
                <w:sz w:val="24"/>
              </w:rPr>
              <w:t>0.781</w:t>
            </w:r>
          </w:p>
        </w:tc>
      </w:tr>
      <w:tr>
        <w:trPr>
          <w:trHeight w:val="585" w:hRule="atLeast"/>
        </w:trPr>
        <w:tc>
          <w:tcPr>
            <w:tcW w:w="753" w:type="dxa"/>
          </w:tcPr>
          <w:p>
            <w:pPr>
              <w:pStyle w:val="TableParagraph"/>
              <w:spacing w:line="240" w:lineRule="auto" w:before="124"/>
              <w:ind w:left="110"/>
              <w:jc w:val="left"/>
              <w:rPr>
                <w:sz w:val="24"/>
              </w:rPr>
            </w:pPr>
            <w:r>
              <w:rPr>
                <w:spacing w:val="-5"/>
                <w:sz w:val="24"/>
              </w:rPr>
              <w:t>18</w:t>
            </w:r>
          </w:p>
        </w:tc>
        <w:tc>
          <w:tcPr>
            <w:tcW w:w="2729" w:type="dxa"/>
          </w:tcPr>
          <w:p>
            <w:pPr>
              <w:pStyle w:val="TableParagraph"/>
              <w:spacing w:line="240" w:lineRule="auto" w:before="124"/>
              <w:ind w:left="31" w:right="2"/>
              <w:rPr>
                <w:sz w:val="24"/>
              </w:rPr>
            </w:pPr>
            <w:r>
              <w:rPr>
                <w:spacing w:val="-4"/>
                <w:sz w:val="24"/>
              </w:rPr>
              <w:t>S31s</w:t>
            </w:r>
          </w:p>
        </w:tc>
        <w:tc>
          <w:tcPr>
            <w:tcW w:w="2517" w:type="dxa"/>
          </w:tcPr>
          <w:p>
            <w:pPr>
              <w:pStyle w:val="TableParagraph"/>
              <w:spacing w:line="240" w:lineRule="auto" w:before="124"/>
              <w:ind w:left="5"/>
              <w:rPr>
                <w:sz w:val="24"/>
              </w:rPr>
            </w:pPr>
            <w:r>
              <w:rPr>
                <w:spacing w:val="-4"/>
                <w:sz w:val="24"/>
              </w:rPr>
              <w:t>12.5</w:t>
            </w:r>
          </w:p>
        </w:tc>
        <w:tc>
          <w:tcPr>
            <w:tcW w:w="2932" w:type="dxa"/>
          </w:tcPr>
          <w:p>
            <w:pPr>
              <w:pStyle w:val="TableParagraph"/>
              <w:spacing w:line="240" w:lineRule="auto" w:before="124"/>
              <w:ind w:left="47" w:right="5"/>
              <w:rPr>
                <w:sz w:val="24"/>
              </w:rPr>
            </w:pPr>
            <w:r>
              <w:rPr>
                <w:spacing w:val="-2"/>
                <w:sz w:val="24"/>
              </w:rPr>
              <w:t>3.125</w:t>
            </w:r>
          </w:p>
        </w:tc>
      </w:tr>
      <w:tr>
        <w:trPr>
          <w:trHeight w:val="412" w:hRule="atLeast"/>
        </w:trPr>
        <w:tc>
          <w:tcPr>
            <w:tcW w:w="753" w:type="dxa"/>
          </w:tcPr>
          <w:p>
            <w:pPr>
              <w:pStyle w:val="TableParagraph"/>
              <w:spacing w:line="269" w:lineRule="exact" w:before="124"/>
              <w:ind w:left="110"/>
              <w:jc w:val="left"/>
              <w:rPr>
                <w:sz w:val="24"/>
              </w:rPr>
            </w:pPr>
            <w:r>
              <w:rPr>
                <w:spacing w:val="-5"/>
                <w:sz w:val="24"/>
              </w:rPr>
              <w:t>19</w:t>
            </w:r>
          </w:p>
        </w:tc>
        <w:tc>
          <w:tcPr>
            <w:tcW w:w="2729" w:type="dxa"/>
          </w:tcPr>
          <w:p>
            <w:pPr>
              <w:pStyle w:val="TableParagraph"/>
              <w:spacing w:line="269" w:lineRule="exact" w:before="124"/>
              <w:ind w:left="31" w:right="5"/>
              <w:rPr>
                <w:sz w:val="24"/>
              </w:rPr>
            </w:pPr>
            <w:r>
              <w:rPr>
                <w:spacing w:val="-4"/>
                <w:sz w:val="24"/>
              </w:rPr>
              <w:t>S44e</w:t>
            </w:r>
          </w:p>
        </w:tc>
        <w:tc>
          <w:tcPr>
            <w:tcW w:w="2517" w:type="dxa"/>
          </w:tcPr>
          <w:p>
            <w:pPr>
              <w:pStyle w:val="TableParagraph"/>
              <w:spacing w:line="269" w:lineRule="exact" w:before="124"/>
              <w:ind w:left="5"/>
              <w:rPr>
                <w:sz w:val="24"/>
              </w:rPr>
            </w:pPr>
            <w:r>
              <w:rPr>
                <w:spacing w:val="-4"/>
                <w:sz w:val="24"/>
              </w:rPr>
              <w:t>6.25</w:t>
            </w:r>
          </w:p>
        </w:tc>
        <w:tc>
          <w:tcPr>
            <w:tcW w:w="2932" w:type="dxa"/>
          </w:tcPr>
          <w:p>
            <w:pPr>
              <w:pStyle w:val="TableParagraph"/>
              <w:spacing w:line="269" w:lineRule="exact" w:before="124"/>
              <w:ind w:left="47" w:right="5"/>
              <w:rPr>
                <w:sz w:val="24"/>
              </w:rPr>
            </w:pPr>
            <w:r>
              <w:rPr>
                <w:spacing w:val="-2"/>
                <w:sz w:val="24"/>
              </w:rPr>
              <w:t>0.781</w:t>
            </w:r>
          </w:p>
        </w:tc>
      </w:tr>
    </w:tbl>
    <w:p>
      <w:pPr>
        <w:pStyle w:val="BodyText"/>
        <w:spacing w:before="33"/>
        <w:rPr>
          <w:b/>
          <w:sz w:val="20"/>
        </w:rPr>
      </w:pPr>
      <w:r>
        <w:rPr/>
        <mc:AlternateContent>
          <mc:Choice Requires="wps">
            <w:drawing>
              <wp:anchor distT="0" distB="0" distL="0" distR="0" allowOverlap="1" layoutInCell="1" locked="0" behindDoc="1" simplePos="0" relativeHeight="487611904">
                <wp:simplePos x="0" y="0"/>
                <wp:positionH relativeFrom="page">
                  <wp:posOffset>835152</wp:posOffset>
                </wp:positionH>
                <wp:positionV relativeFrom="paragraph">
                  <wp:posOffset>191224</wp:posOffset>
                </wp:positionV>
                <wp:extent cx="5681980" cy="635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5681980" cy="6350"/>
                        </a:xfrm>
                        <a:custGeom>
                          <a:avLst/>
                          <a:gdLst/>
                          <a:ahLst/>
                          <a:cxnLst/>
                          <a:rect l="l" t="t" r="r" b="b"/>
                          <a:pathLst>
                            <a:path w="5681980" h="6350">
                              <a:moveTo>
                                <a:pt x="5681472" y="0"/>
                              </a:moveTo>
                              <a:lnTo>
                                <a:pt x="5681472" y="0"/>
                              </a:lnTo>
                              <a:lnTo>
                                <a:pt x="0" y="0"/>
                              </a:lnTo>
                              <a:lnTo>
                                <a:pt x="0" y="6096"/>
                              </a:lnTo>
                              <a:lnTo>
                                <a:pt x="5681472" y="6096"/>
                              </a:lnTo>
                              <a:lnTo>
                                <a:pt x="5681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5.057026pt;width:447.360021pt;height:.48pt;mso-position-horizontal-relative:page;mso-position-vertical-relative:paragraph;z-index:-15704576;mso-wrap-distance-left:0;mso-wrap-distance-right:0" id="docshape51" filled="true" fillcolor="#000000" stroked="false">
                <v:fill type="solid"/>
                <w10:wrap type="topAndBottom"/>
              </v:rect>
            </w:pict>
          </mc:Fallback>
        </mc:AlternateContent>
      </w:r>
    </w:p>
    <w:p>
      <w:pPr>
        <w:spacing w:after="0"/>
        <w:rPr>
          <w:sz w:val="20"/>
        </w:rPr>
        <w:sectPr>
          <w:pgSz w:w="12240" w:h="15840"/>
          <w:pgMar w:header="0" w:footer="1017" w:top="1400" w:bottom="1200" w:left="520" w:right="260"/>
        </w:sectPr>
      </w:pPr>
    </w:p>
    <w:p>
      <w:pPr>
        <w:pStyle w:val="Heading5"/>
        <w:numPr>
          <w:ilvl w:val="1"/>
          <w:numId w:val="18"/>
        </w:numPr>
        <w:tabs>
          <w:tab w:pos="1244" w:val="left" w:leader="none"/>
        </w:tabs>
        <w:spacing w:line="240" w:lineRule="auto" w:before="37" w:after="0"/>
        <w:ind w:left="1244" w:right="0" w:hanging="324"/>
        <w:jc w:val="left"/>
        <w:rPr>
          <w:b w:val="0"/>
        </w:rPr>
      </w:pPr>
      <w:bookmarkStart w:name="_TOC_250008" w:id="83"/>
      <w:r>
        <w:rPr/>
        <w:t>AGAROSE</w:t>
      </w:r>
      <w:r>
        <w:rPr>
          <w:spacing w:val="-7"/>
        </w:rPr>
        <w:t> </w:t>
      </w:r>
      <w:r>
        <w:rPr/>
        <w:t>GEL</w:t>
      </w:r>
      <w:bookmarkEnd w:id="83"/>
      <w:r>
        <w:rPr>
          <w:spacing w:val="-2"/>
        </w:rPr>
        <w:t> ELECTROPHORESIS</w:t>
      </w:r>
    </w:p>
    <w:p>
      <w:pPr>
        <w:pStyle w:val="BodyText"/>
        <w:spacing w:before="245"/>
        <w:rPr>
          <w:b/>
        </w:rPr>
      </w:pPr>
    </w:p>
    <w:p>
      <w:pPr>
        <w:pStyle w:val="BodyText"/>
        <w:spacing w:line="475" w:lineRule="auto"/>
        <w:ind w:left="920" w:right="1181"/>
        <w:jc w:val="both"/>
      </w:pPr>
      <w:r>
        <w:rPr/>
        <w:t>Plate 4.1 shows agarose gel electrophoresis of plasmid DNA from resistant bacteria isolates. Lanes 5, 7, 9, 11, 12, 13,14,15 and 16 were shown to harbour plasmids of various sizes.</w:t>
      </w:r>
    </w:p>
    <w:p>
      <w:pPr>
        <w:pStyle w:val="BodyText"/>
        <w:spacing w:line="480" w:lineRule="auto" w:before="247"/>
        <w:ind w:left="920" w:right="1172"/>
        <w:jc w:val="both"/>
      </w:pPr>
      <w:r>
        <w:rPr/>
        <w:t>Plate 4.2</w:t>
      </w:r>
      <w:r>
        <w:rPr>
          <w:spacing w:val="-2"/>
        </w:rPr>
        <w:t> </w:t>
      </w:r>
      <w:r>
        <w:rPr/>
        <w:t>shows</w:t>
      </w:r>
      <w:r>
        <w:rPr>
          <w:spacing w:val="-5"/>
        </w:rPr>
        <w:t> </w:t>
      </w:r>
      <w:r>
        <w:rPr/>
        <w:t>agarose</w:t>
      </w:r>
      <w:r>
        <w:rPr>
          <w:spacing w:val="-5"/>
        </w:rPr>
        <w:t> </w:t>
      </w:r>
      <w:r>
        <w:rPr/>
        <w:t>gel electrophoresis of</w:t>
      </w:r>
      <w:r>
        <w:rPr>
          <w:spacing w:val="-1"/>
        </w:rPr>
        <w:t> </w:t>
      </w:r>
      <w:r>
        <w:rPr/>
        <w:t>both</w:t>
      </w:r>
      <w:r>
        <w:rPr>
          <w:spacing w:val="-1"/>
        </w:rPr>
        <w:t> </w:t>
      </w:r>
      <w:r>
        <w:rPr/>
        <w:t>resistant</w:t>
      </w:r>
      <w:r>
        <w:rPr>
          <w:spacing w:val="-2"/>
        </w:rPr>
        <w:t> </w:t>
      </w:r>
      <w:r>
        <w:rPr/>
        <w:t>isolates and</w:t>
      </w:r>
      <w:r>
        <w:rPr>
          <w:spacing w:val="-1"/>
        </w:rPr>
        <w:t> </w:t>
      </w:r>
      <w:r>
        <w:rPr/>
        <w:t>some transconjugants. Lanes 9 and 11 are shown to harbour</w:t>
      </w:r>
      <w:r>
        <w:rPr>
          <w:spacing w:val="40"/>
        </w:rPr>
        <w:t> </w:t>
      </w:r>
      <w:r>
        <w:rPr/>
        <w:t>plasmids.</w:t>
      </w:r>
    </w:p>
    <w:p>
      <w:pPr>
        <w:pStyle w:val="BodyText"/>
        <w:spacing w:line="475" w:lineRule="auto" w:before="241"/>
        <w:ind w:left="920" w:right="1191"/>
        <w:jc w:val="both"/>
      </w:pPr>
      <w:r>
        <w:rPr/>
        <w:t>Plate 4.3 shows agarose gel electrophoresis of plasmid DNAs from transconjugant isolates. Lanes 6, 7 and 16 are shown to harbour plasmids.</w:t>
      </w:r>
    </w:p>
    <w:p>
      <w:pPr>
        <w:pStyle w:val="BodyText"/>
        <w:spacing w:line="475" w:lineRule="auto" w:before="252"/>
        <w:ind w:left="920" w:right="1178"/>
        <w:jc w:val="both"/>
      </w:pPr>
      <w:r>
        <w:rPr/>
        <w:t>Figure 4.1 shows the semi-logarithm plot of the standard marker, 100bp plus DNA ladder versus the distance moved by the ladder. This was used to estimate molecular weight of isolated plasmid DNA.</w:t>
      </w:r>
    </w:p>
    <w:p>
      <w:pPr>
        <w:pStyle w:val="BodyText"/>
        <w:spacing w:line="480" w:lineRule="auto" w:before="208"/>
        <w:ind w:left="920" w:right="1177"/>
        <w:jc w:val="both"/>
      </w:pPr>
      <w:r>
        <w:rPr/>
        <w:t>Table 4.15 shows the estimated molecular sizes of plasmid DNA isolated from resistant isolates and transconjugants. The sizes were between 2512bp and</w:t>
      </w:r>
      <w:r>
        <w:rPr>
          <w:spacing w:val="-1"/>
        </w:rPr>
        <w:t> </w:t>
      </w:r>
      <w:r>
        <w:rPr/>
        <w:t>10000bp. Plasmid</w:t>
      </w:r>
      <w:r>
        <w:rPr>
          <w:spacing w:val="-1"/>
        </w:rPr>
        <w:t> </w:t>
      </w:r>
      <w:r>
        <w:rPr/>
        <w:t>analysis yielded</w:t>
      </w:r>
      <w:r>
        <w:rPr>
          <w:spacing w:val="-1"/>
        </w:rPr>
        <w:t> </w:t>
      </w:r>
      <w:r>
        <w:rPr/>
        <w:t>seven</w:t>
      </w:r>
      <w:r>
        <w:rPr>
          <w:spacing w:val="-1"/>
        </w:rPr>
        <w:t> </w:t>
      </w:r>
      <w:r>
        <w:rPr/>
        <w:t>different plasmid profiles comprising one and two plasmid number. Four of the isolates shared plasmid profile of sizes 3981bp and 3162bp, three isolates shared plasmid profile of size 5623bp, and two isolates shared profile sizes of 10000bp.</w:t>
      </w:r>
    </w:p>
    <w:p>
      <w:pPr>
        <w:spacing w:after="0" w:line="480" w:lineRule="auto"/>
        <w:jc w:val="both"/>
        <w:sectPr>
          <w:pgSz w:w="12240" w:h="15840"/>
          <w:pgMar w:header="0" w:footer="1017" w:top="1400" w:bottom="1200" w:left="520" w:right="260"/>
        </w:sectPr>
      </w:pPr>
    </w:p>
    <w:p>
      <w:pPr>
        <w:pStyle w:val="BodyText"/>
        <w:tabs>
          <w:tab w:pos="2220" w:val="left" w:leader="none"/>
          <w:tab w:pos="2729" w:val="left" w:leader="none"/>
        </w:tabs>
        <w:spacing w:before="53"/>
        <w:ind w:left="1692"/>
      </w:pPr>
      <w:r>
        <w:rPr>
          <w:spacing w:val="-10"/>
        </w:rPr>
        <w:t>1</w:t>
      </w:r>
      <w:r>
        <w:rPr/>
        <w:tab/>
      </w:r>
      <w:r>
        <w:rPr>
          <w:spacing w:val="-10"/>
          <w:position w:val="3"/>
        </w:rPr>
        <w:t>2</w:t>
      </w:r>
      <w:r>
        <w:rPr>
          <w:position w:val="3"/>
        </w:rPr>
        <w:tab/>
      </w:r>
      <w:r>
        <w:rPr>
          <w:spacing w:val="-10"/>
          <w:position w:val="1"/>
        </w:rPr>
        <w:t>3</w:t>
      </w:r>
    </w:p>
    <w:p>
      <w:pPr>
        <w:pStyle w:val="BodyText"/>
        <w:tabs>
          <w:tab w:pos="822" w:val="left" w:leader="none"/>
          <w:tab w:pos="1302" w:val="left" w:leader="none"/>
          <w:tab w:pos="1811" w:val="left" w:leader="none"/>
          <w:tab w:pos="2320" w:val="left" w:leader="none"/>
        </w:tabs>
        <w:spacing w:before="43"/>
        <w:ind w:left="342"/>
      </w:pPr>
      <w:r>
        <w:rPr/>
        <w:br w:type="column"/>
      </w:r>
      <w:r>
        <w:rPr>
          <w:spacing w:val="-10"/>
          <w:position w:val="1"/>
        </w:rPr>
        <w:t>4</w:t>
      </w:r>
      <w:r>
        <w:rPr>
          <w:position w:val="1"/>
        </w:rPr>
        <w:tab/>
      </w:r>
      <w:r>
        <w:rPr>
          <w:spacing w:val="-10"/>
          <w:position w:val="4"/>
        </w:rPr>
        <w:t>5</w:t>
      </w:r>
      <w:r>
        <w:rPr>
          <w:position w:val="4"/>
        </w:rPr>
        <w:tab/>
      </w:r>
      <w:r>
        <w:rPr>
          <w:spacing w:val="-10"/>
          <w:position w:val="1"/>
        </w:rPr>
        <w:t>6</w:t>
      </w:r>
      <w:r>
        <w:rPr>
          <w:position w:val="1"/>
        </w:rPr>
        <w:tab/>
      </w:r>
      <w:r>
        <w:rPr>
          <w:spacing w:val="-10"/>
        </w:rPr>
        <w:t>7</w:t>
      </w:r>
      <w:r>
        <w:rPr/>
        <w:tab/>
      </w:r>
      <w:r>
        <w:rPr>
          <w:spacing w:val="-10"/>
          <w:position w:val="1"/>
        </w:rPr>
        <w:t>8</w:t>
      </w:r>
    </w:p>
    <w:p>
      <w:pPr>
        <w:pStyle w:val="BodyText"/>
        <w:tabs>
          <w:tab w:pos="793" w:val="left" w:leader="none"/>
          <w:tab w:pos="1307" w:val="left" w:leader="none"/>
        </w:tabs>
        <w:spacing w:before="72"/>
        <w:ind w:left="405"/>
      </w:pPr>
      <w:r>
        <w:rPr/>
        <w:br w:type="column"/>
      </w:r>
      <w:r>
        <w:rPr>
          <w:spacing w:val="-10"/>
          <w:position w:val="3"/>
        </w:rPr>
        <w:t>9</w:t>
      </w:r>
      <w:r>
        <w:rPr>
          <w:position w:val="3"/>
        </w:rPr>
        <w:tab/>
      </w:r>
      <w:r>
        <w:rPr>
          <w:spacing w:val="-5"/>
          <w:position w:val="2"/>
        </w:rPr>
        <w:t>10</w:t>
      </w:r>
      <w:r>
        <w:rPr>
          <w:position w:val="2"/>
        </w:rPr>
        <w:tab/>
      </w:r>
      <w:r>
        <w:rPr>
          <w:spacing w:val="-7"/>
        </w:rPr>
        <w:t>11</w:t>
      </w:r>
    </w:p>
    <w:p>
      <w:pPr>
        <w:pStyle w:val="BodyText"/>
        <w:tabs>
          <w:tab w:pos="755" w:val="left" w:leader="none"/>
          <w:tab w:pos="1264" w:val="left" w:leader="none"/>
          <w:tab w:pos="1792" w:val="left" w:leader="none"/>
          <w:tab w:pos="2329" w:val="left" w:leader="none"/>
        </w:tabs>
        <w:spacing w:before="87"/>
        <w:ind w:left="261"/>
      </w:pPr>
      <w:r>
        <w:rPr/>
        <w:br w:type="column"/>
      </w:r>
      <w:r>
        <w:rPr>
          <w:spacing w:val="-5"/>
          <w:position w:val="1"/>
        </w:rPr>
        <w:t>12</w:t>
      </w:r>
      <w:r>
        <w:rPr>
          <w:position w:val="1"/>
        </w:rPr>
        <w:tab/>
      </w:r>
      <w:r>
        <w:rPr>
          <w:spacing w:val="-5"/>
        </w:rPr>
        <w:t>13</w:t>
      </w:r>
      <w:r>
        <w:rPr/>
        <w:tab/>
      </w:r>
      <w:r>
        <w:rPr>
          <w:spacing w:val="-5"/>
        </w:rPr>
        <w:t>14</w:t>
      </w:r>
      <w:r>
        <w:rPr/>
        <w:tab/>
      </w:r>
      <w:r>
        <w:rPr>
          <w:spacing w:val="-5"/>
        </w:rPr>
        <w:t>15</w:t>
      </w:r>
      <w:r>
        <w:rPr/>
        <w:tab/>
      </w:r>
      <w:r>
        <w:rPr>
          <w:spacing w:val="-5"/>
          <w:position w:val="3"/>
        </w:rPr>
        <w:t>16</w:t>
      </w:r>
    </w:p>
    <w:p>
      <w:pPr>
        <w:spacing w:after="0"/>
        <w:sectPr>
          <w:pgSz w:w="12240" w:h="15840"/>
          <w:pgMar w:header="0" w:footer="1017" w:top="1560" w:bottom="1200" w:left="520" w:right="260"/>
          <w:cols w:num="4" w:equalWidth="0">
            <w:col w:w="2842" w:space="40"/>
            <w:col w:w="2432" w:space="39"/>
            <w:col w:w="1530" w:space="40"/>
            <w:col w:w="4537"/>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12"/>
      </w:pPr>
    </w:p>
    <w:p>
      <w:pPr>
        <w:pStyle w:val="BodyText"/>
        <w:ind w:right="264"/>
        <w:jc w:val="right"/>
      </w:pPr>
      <w:r>
        <w:rPr/>
        <mc:AlternateContent>
          <mc:Choice Requires="wps">
            <w:drawing>
              <wp:anchor distT="0" distB="0" distL="0" distR="0" allowOverlap="1" layoutInCell="1" locked="0" behindDoc="0" simplePos="0" relativeHeight="15753216">
                <wp:simplePos x="0" y="0"/>
                <wp:positionH relativeFrom="page">
                  <wp:posOffset>713231</wp:posOffset>
                </wp:positionH>
                <wp:positionV relativeFrom="paragraph">
                  <wp:posOffset>-1098192</wp:posOffset>
                </wp:positionV>
                <wp:extent cx="6330950" cy="370649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330950" cy="3706495"/>
                          <a:chExt cx="6330950" cy="3706495"/>
                        </a:xfrm>
                      </wpg:grpSpPr>
                      <pic:pic>
                        <pic:nvPicPr>
                          <pic:cNvPr id="54" name="Image 54"/>
                          <pic:cNvPicPr/>
                        </pic:nvPicPr>
                        <pic:blipFill>
                          <a:blip r:embed="rId9" cstate="print"/>
                          <a:stretch>
                            <a:fillRect/>
                          </a:stretch>
                        </pic:blipFill>
                        <pic:spPr>
                          <a:xfrm>
                            <a:off x="216408" y="445008"/>
                            <a:ext cx="5949696" cy="3261359"/>
                          </a:xfrm>
                          <a:prstGeom prst="rect">
                            <a:avLst/>
                          </a:prstGeom>
                        </pic:spPr>
                      </pic:pic>
                      <wps:wsp>
                        <wps:cNvPr id="55" name="Graphic 55"/>
                        <wps:cNvSpPr/>
                        <wps:spPr>
                          <a:xfrm>
                            <a:off x="0" y="0"/>
                            <a:ext cx="6330950" cy="2707005"/>
                          </a:xfrm>
                          <a:custGeom>
                            <a:avLst/>
                            <a:gdLst/>
                            <a:ahLst/>
                            <a:cxnLst/>
                            <a:rect l="l" t="t" r="r" b="b"/>
                            <a:pathLst>
                              <a:path w="6330950" h="2707005">
                                <a:moveTo>
                                  <a:pt x="539496" y="2127504"/>
                                </a:moveTo>
                                <a:lnTo>
                                  <a:pt x="533400" y="2121420"/>
                                </a:lnTo>
                                <a:lnTo>
                                  <a:pt x="76200" y="2121420"/>
                                </a:lnTo>
                                <a:lnTo>
                                  <a:pt x="76200" y="2087880"/>
                                </a:lnTo>
                                <a:lnTo>
                                  <a:pt x="0" y="2127504"/>
                                </a:lnTo>
                                <a:lnTo>
                                  <a:pt x="76200" y="2164080"/>
                                </a:lnTo>
                                <a:lnTo>
                                  <a:pt x="76200" y="2130552"/>
                                </a:lnTo>
                                <a:lnTo>
                                  <a:pt x="533400" y="2130552"/>
                                </a:lnTo>
                                <a:lnTo>
                                  <a:pt x="539496" y="2127504"/>
                                </a:lnTo>
                                <a:close/>
                              </a:path>
                              <a:path w="6330950" h="2707005">
                                <a:moveTo>
                                  <a:pt x="539496" y="1755648"/>
                                </a:moveTo>
                                <a:lnTo>
                                  <a:pt x="533400" y="1749552"/>
                                </a:lnTo>
                                <a:lnTo>
                                  <a:pt x="76200" y="1749552"/>
                                </a:lnTo>
                                <a:lnTo>
                                  <a:pt x="76200" y="1716024"/>
                                </a:lnTo>
                                <a:lnTo>
                                  <a:pt x="0" y="1755648"/>
                                </a:lnTo>
                                <a:lnTo>
                                  <a:pt x="76200" y="1792224"/>
                                </a:lnTo>
                                <a:lnTo>
                                  <a:pt x="76200" y="1758696"/>
                                </a:lnTo>
                                <a:lnTo>
                                  <a:pt x="533400" y="1758696"/>
                                </a:lnTo>
                                <a:lnTo>
                                  <a:pt x="539496" y="1755648"/>
                                </a:lnTo>
                                <a:close/>
                              </a:path>
                              <a:path w="6330950" h="2707005">
                                <a:moveTo>
                                  <a:pt x="566928" y="2365248"/>
                                </a:moveTo>
                                <a:lnTo>
                                  <a:pt x="563880" y="2359152"/>
                                </a:lnTo>
                                <a:lnTo>
                                  <a:pt x="106680" y="2359152"/>
                                </a:lnTo>
                                <a:lnTo>
                                  <a:pt x="106680" y="2325624"/>
                                </a:lnTo>
                                <a:lnTo>
                                  <a:pt x="30480" y="2365248"/>
                                </a:lnTo>
                                <a:lnTo>
                                  <a:pt x="106680" y="2401824"/>
                                </a:lnTo>
                                <a:lnTo>
                                  <a:pt x="106680" y="2368296"/>
                                </a:lnTo>
                                <a:lnTo>
                                  <a:pt x="563880" y="2368296"/>
                                </a:lnTo>
                                <a:lnTo>
                                  <a:pt x="566928" y="2365248"/>
                                </a:lnTo>
                                <a:close/>
                              </a:path>
                              <a:path w="6330950" h="2707005">
                                <a:moveTo>
                                  <a:pt x="576072" y="2670048"/>
                                </a:moveTo>
                                <a:lnTo>
                                  <a:pt x="573024" y="2663952"/>
                                </a:lnTo>
                                <a:lnTo>
                                  <a:pt x="115824" y="2663952"/>
                                </a:lnTo>
                                <a:lnTo>
                                  <a:pt x="115824" y="2630424"/>
                                </a:lnTo>
                                <a:lnTo>
                                  <a:pt x="39624" y="2670048"/>
                                </a:lnTo>
                                <a:lnTo>
                                  <a:pt x="115824" y="2706624"/>
                                </a:lnTo>
                                <a:lnTo>
                                  <a:pt x="115824" y="2673096"/>
                                </a:lnTo>
                                <a:lnTo>
                                  <a:pt x="573024" y="2673096"/>
                                </a:lnTo>
                                <a:lnTo>
                                  <a:pt x="576072" y="2670048"/>
                                </a:lnTo>
                                <a:close/>
                              </a:path>
                              <a:path w="6330950" h="2707005">
                                <a:moveTo>
                                  <a:pt x="771144" y="76200"/>
                                </a:moveTo>
                                <a:lnTo>
                                  <a:pt x="762355" y="57912"/>
                                </a:lnTo>
                                <a:lnTo>
                                  <a:pt x="734568" y="0"/>
                                </a:lnTo>
                                <a:lnTo>
                                  <a:pt x="694944" y="76200"/>
                                </a:lnTo>
                                <a:lnTo>
                                  <a:pt x="728472" y="76200"/>
                                </a:lnTo>
                                <a:lnTo>
                                  <a:pt x="728472" y="999744"/>
                                </a:lnTo>
                                <a:lnTo>
                                  <a:pt x="734568" y="1002792"/>
                                </a:lnTo>
                                <a:lnTo>
                                  <a:pt x="740664" y="999744"/>
                                </a:lnTo>
                                <a:lnTo>
                                  <a:pt x="740664" y="76200"/>
                                </a:lnTo>
                                <a:lnTo>
                                  <a:pt x="771144" y="76200"/>
                                </a:lnTo>
                                <a:close/>
                              </a:path>
                              <a:path w="6330950" h="2707005">
                                <a:moveTo>
                                  <a:pt x="1106424" y="94488"/>
                                </a:moveTo>
                                <a:lnTo>
                                  <a:pt x="1096911" y="76200"/>
                                </a:lnTo>
                                <a:lnTo>
                                  <a:pt x="1066800" y="18288"/>
                                </a:lnTo>
                                <a:lnTo>
                                  <a:pt x="1030224" y="94488"/>
                                </a:lnTo>
                                <a:lnTo>
                                  <a:pt x="1063752" y="94488"/>
                                </a:lnTo>
                                <a:lnTo>
                                  <a:pt x="1063752" y="1018032"/>
                                </a:lnTo>
                                <a:lnTo>
                                  <a:pt x="1066800" y="1024128"/>
                                </a:lnTo>
                                <a:lnTo>
                                  <a:pt x="1072896" y="1018032"/>
                                </a:lnTo>
                                <a:lnTo>
                                  <a:pt x="1072896" y="94488"/>
                                </a:lnTo>
                                <a:lnTo>
                                  <a:pt x="1106424" y="94488"/>
                                </a:lnTo>
                                <a:close/>
                              </a:path>
                              <a:path w="6330950" h="2707005">
                                <a:moveTo>
                                  <a:pt x="1429512" y="94488"/>
                                </a:moveTo>
                                <a:lnTo>
                                  <a:pt x="1420723" y="76200"/>
                                </a:lnTo>
                                <a:lnTo>
                                  <a:pt x="1392936" y="18288"/>
                                </a:lnTo>
                                <a:lnTo>
                                  <a:pt x="1353312" y="94488"/>
                                </a:lnTo>
                                <a:lnTo>
                                  <a:pt x="1386840" y="94488"/>
                                </a:lnTo>
                                <a:lnTo>
                                  <a:pt x="1386840" y="1018032"/>
                                </a:lnTo>
                                <a:lnTo>
                                  <a:pt x="1392936" y="1024128"/>
                                </a:lnTo>
                                <a:lnTo>
                                  <a:pt x="1395984" y="1018032"/>
                                </a:lnTo>
                                <a:lnTo>
                                  <a:pt x="1395984" y="94488"/>
                                </a:lnTo>
                                <a:lnTo>
                                  <a:pt x="1429512" y="94488"/>
                                </a:lnTo>
                                <a:close/>
                              </a:path>
                              <a:path w="6330950" h="2707005">
                                <a:moveTo>
                                  <a:pt x="1743456" y="94488"/>
                                </a:moveTo>
                                <a:lnTo>
                                  <a:pt x="1734667" y="76200"/>
                                </a:lnTo>
                                <a:lnTo>
                                  <a:pt x="1706880" y="18288"/>
                                </a:lnTo>
                                <a:lnTo>
                                  <a:pt x="1667256" y="94488"/>
                                </a:lnTo>
                                <a:lnTo>
                                  <a:pt x="1700784" y="94488"/>
                                </a:lnTo>
                                <a:lnTo>
                                  <a:pt x="1700784" y="1018032"/>
                                </a:lnTo>
                                <a:lnTo>
                                  <a:pt x="1706880" y="1024128"/>
                                </a:lnTo>
                                <a:lnTo>
                                  <a:pt x="1709928" y="1018032"/>
                                </a:lnTo>
                                <a:lnTo>
                                  <a:pt x="1709928" y="94488"/>
                                </a:lnTo>
                                <a:lnTo>
                                  <a:pt x="1743456" y="94488"/>
                                </a:lnTo>
                                <a:close/>
                              </a:path>
                              <a:path w="6330950" h="2707005">
                                <a:moveTo>
                                  <a:pt x="2057400" y="94488"/>
                                </a:moveTo>
                                <a:lnTo>
                                  <a:pt x="2048611" y="76200"/>
                                </a:lnTo>
                                <a:lnTo>
                                  <a:pt x="2020824" y="18288"/>
                                </a:lnTo>
                                <a:lnTo>
                                  <a:pt x="1981200" y="94488"/>
                                </a:lnTo>
                                <a:lnTo>
                                  <a:pt x="2014728" y="94488"/>
                                </a:lnTo>
                                <a:lnTo>
                                  <a:pt x="2014728" y="1018032"/>
                                </a:lnTo>
                                <a:lnTo>
                                  <a:pt x="2020824" y="1024128"/>
                                </a:lnTo>
                                <a:lnTo>
                                  <a:pt x="2023872" y="1018032"/>
                                </a:lnTo>
                                <a:lnTo>
                                  <a:pt x="2023872" y="94488"/>
                                </a:lnTo>
                                <a:lnTo>
                                  <a:pt x="2057400" y="94488"/>
                                </a:lnTo>
                                <a:close/>
                              </a:path>
                              <a:path w="6330950" h="2707005">
                                <a:moveTo>
                                  <a:pt x="2371344" y="103632"/>
                                </a:moveTo>
                                <a:lnTo>
                                  <a:pt x="2362555" y="85344"/>
                                </a:lnTo>
                                <a:lnTo>
                                  <a:pt x="2334768" y="27432"/>
                                </a:lnTo>
                                <a:lnTo>
                                  <a:pt x="2295144" y="103632"/>
                                </a:lnTo>
                                <a:lnTo>
                                  <a:pt x="2328672" y="103632"/>
                                </a:lnTo>
                                <a:lnTo>
                                  <a:pt x="2328672" y="1027176"/>
                                </a:lnTo>
                                <a:lnTo>
                                  <a:pt x="2334768" y="1033272"/>
                                </a:lnTo>
                                <a:lnTo>
                                  <a:pt x="2340864" y="1027176"/>
                                </a:lnTo>
                                <a:lnTo>
                                  <a:pt x="2340864" y="103632"/>
                                </a:lnTo>
                                <a:lnTo>
                                  <a:pt x="2371344" y="103632"/>
                                </a:lnTo>
                                <a:close/>
                              </a:path>
                              <a:path w="6330950" h="2707005">
                                <a:moveTo>
                                  <a:pt x="2697480" y="103632"/>
                                </a:moveTo>
                                <a:lnTo>
                                  <a:pt x="2687967" y="85344"/>
                                </a:lnTo>
                                <a:lnTo>
                                  <a:pt x="2657856" y="27432"/>
                                </a:lnTo>
                                <a:lnTo>
                                  <a:pt x="2621280" y="103632"/>
                                </a:lnTo>
                                <a:lnTo>
                                  <a:pt x="2654808" y="103632"/>
                                </a:lnTo>
                                <a:lnTo>
                                  <a:pt x="2654808" y="1027176"/>
                                </a:lnTo>
                                <a:lnTo>
                                  <a:pt x="2657856" y="1033272"/>
                                </a:lnTo>
                                <a:lnTo>
                                  <a:pt x="2663952" y="1027176"/>
                                </a:lnTo>
                                <a:lnTo>
                                  <a:pt x="2663952" y="103632"/>
                                </a:lnTo>
                                <a:lnTo>
                                  <a:pt x="2697480" y="103632"/>
                                </a:lnTo>
                                <a:close/>
                              </a:path>
                              <a:path w="6330950" h="2707005">
                                <a:moveTo>
                                  <a:pt x="3011424" y="112776"/>
                                </a:moveTo>
                                <a:lnTo>
                                  <a:pt x="3003499" y="97536"/>
                                </a:lnTo>
                                <a:lnTo>
                                  <a:pt x="2971800" y="36576"/>
                                </a:lnTo>
                                <a:lnTo>
                                  <a:pt x="2935224" y="112776"/>
                                </a:lnTo>
                                <a:lnTo>
                                  <a:pt x="2968752" y="112776"/>
                                </a:lnTo>
                                <a:lnTo>
                                  <a:pt x="2968752" y="1036320"/>
                                </a:lnTo>
                                <a:lnTo>
                                  <a:pt x="2971800" y="1042416"/>
                                </a:lnTo>
                                <a:lnTo>
                                  <a:pt x="2977896" y="1036320"/>
                                </a:lnTo>
                                <a:lnTo>
                                  <a:pt x="2977896" y="112776"/>
                                </a:lnTo>
                                <a:lnTo>
                                  <a:pt x="3011424" y="112776"/>
                                </a:lnTo>
                                <a:close/>
                              </a:path>
                              <a:path w="6330950" h="2707005">
                                <a:moveTo>
                                  <a:pt x="3352800" y="112776"/>
                                </a:moveTo>
                                <a:lnTo>
                                  <a:pt x="3345484" y="97536"/>
                                </a:lnTo>
                                <a:lnTo>
                                  <a:pt x="3316224" y="36576"/>
                                </a:lnTo>
                                <a:lnTo>
                                  <a:pt x="3276600" y="112776"/>
                                </a:lnTo>
                                <a:lnTo>
                                  <a:pt x="3310128" y="112776"/>
                                </a:lnTo>
                                <a:lnTo>
                                  <a:pt x="3310128" y="1036320"/>
                                </a:lnTo>
                                <a:lnTo>
                                  <a:pt x="3316224" y="1042416"/>
                                </a:lnTo>
                                <a:lnTo>
                                  <a:pt x="3319272" y="1036320"/>
                                </a:lnTo>
                                <a:lnTo>
                                  <a:pt x="3319272" y="112776"/>
                                </a:lnTo>
                                <a:lnTo>
                                  <a:pt x="3352800" y="112776"/>
                                </a:lnTo>
                                <a:close/>
                              </a:path>
                              <a:path w="6330950" h="2707005">
                                <a:moveTo>
                                  <a:pt x="3666744" y="94488"/>
                                </a:moveTo>
                                <a:lnTo>
                                  <a:pt x="3657955" y="76200"/>
                                </a:lnTo>
                                <a:lnTo>
                                  <a:pt x="3630168" y="18288"/>
                                </a:lnTo>
                                <a:lnTo>
                                  <a:pt x="3590544" y="94488"/>
                                </a:lnTo>
                                <a:lnTo>
                                  <a:pt x="3624072" y="94488"/>
                                </a:lnTo>
                                <a:lnTo>
                                  <a:pt x="3624072" y="1018032"/>
                                </a:lnTo>
                                <a:lnTo>
                                  <a:pt x="3630168" y="1024128"/>
                                </a:lnTo>
                                <a:lnTo>
                                  <a:pt x="3636264" y="1018032"/>
                                </a:lnTo>
                                <a:lnTo>
                                  <a:pt x="3636264" y="94488"/>
                                </a:lnTo>
                                <a:lnTo>
                                  <a:pt x="3666744" y="94488"/>
                                </a:lnTo>
                                <a:close/>
                              </a:path>
                              <a:path w="6330950" h="2707005">
                                <a:moveTo>
                                  <a:pt x="3992880" y="103632"/>
                                </a:moveTo>
                                <a:lnTo>
                                  <a:pt x="3983367" y="85344"/>
                                </a:lnTo>
                                <a:lnTo>
                                  <a:pt x="3953256" y="27432"/>
                                </a:lnTo>
                                <a:lnTo>
                                  <a:pt x="3916680" y="103632"/>
                                </a:lnTo>
                                <a:lnTo>
                                  <a:pt x="3950208" y="103632"/>
                                </a:lnTo>
                                <a:lnTo>
                                  <a:pt x="3950208" y="1027176"/>
                                </a:lnTo>
                                <a:lnTo>
                                  <a:pt x="3953256" y="1033272"/>
                                </a:lnTo>
                                <a:lnTo>
                                  <a:pt x="3959352" y="1027176"/>
                                </a:lnTo>
                                <a:lnTo>
                                  <a:pt x="3959352" y="103632"/>
                                </a:lnTo>
                                <a:lnTo>
                                  <a:pt x="3992880" y="103632"/>
                                </a:lnTo>
                                <a:close/>
                              </a:path>
                              <a:path w="6330950" h="2707005">
                                <a:moveTo>
                                  <a:pt x="4315968" y="94488"/>
                                </a:moveTo>
                                <a:lnTo>
                                  <a:pt x="4306455" y="76200"/>
                                </a:lnTo>
                                <a:lnTo>
                                  <a:pt x="4276344" y="18288"/>
                                </a:lnTo>
                                <a:lnTo>
                                  <a:pt x="4239768" y="94488"/>
                                </a:lnTo>
                                <a:lnTo>
                                  <a:pt x="4273296" y="94488"/>
                                </a:lnTo>
                                <a:lnTo>
                                  <a:pt x="4273296" y="1018032"/>
                                </a:lnTo>
                                <a:lnTo>
                                  <a:pt x="4276344" y="1024128"/>
                                </a:lnTo>
                                <a:lnTo>
                                  <a:pt x="4282440" y="1018032"/>
                                </a:lnTo>
                                <a:lnTo>
                                  <a:pt x="4282440" y="94488"/>
                                </a:lnTo>
                                <a:lnTo>
                                  <a:pt x="4315968" y="94488"/>
                                </a:lnTo>
                                <a:close/>
                              </a:path>
                              <a:path w="6330950" h="2707005">
                                <a:moveTo>
                                  <a:pt x="4639056" y="134112"/>
                                </a:moveTo>
                                <a:lnTo>
                                  <a:pt x="4630267" y="115824"/>
                                </a:lnTo>
                                <a:lnTo>
                                  <a:pt x="4602480" y="57912"/>
                                </a:lnTo>
                                <a:lnTo>
                                  <a:pt x="4562856" y="134112"/>
                                </a:lnTo>
                                <a:lnTo>
                                  <a:pt x="4596384" y="134112"/>
                                </a:lnTo>
                                <a:lnTo>
                                  <a:pt x="4596384" y="1057656"/>
                                </a:lnTo>
                                <a:lnTo>
                                  <a:pt x="4602480" y="1060704"/>
                                </a:lnTo>
                                <a:lnTo>
                                  <a:pt x="4605528" y="1057656"/>
                                </a:lnTo>
                                <a:lnTo>
                                  <a:pt x="4605528" y="134112"/>
                                </a:lnTo>
                                <a:lnTo>
                                  <a:pt x="4639056" y="134112"/>
                                </a:lnTo>
                                <a:close/>
                              </a:path>
                              <a:path w="6330950" h="2707005">
                                <a:moveTo>
                                  <a:pt x="4943856" y="112776"/>
                                </a:moveTo>
                                <a:lnTo>
                                  <a:pt x="4936541" y="97536"/>
                                </a:lnTo>
                                <a:lnTo>
                                  <a:pt x="4907280" y="36576"/>
                                </a:lnTo>
                                <a:lnTo>
                                  <a:pt x="4867656" y="112776"/>
                                </a:lnTo>
                                <a:lnTo>
                                  <a:pt x="4901184" y="112776"/>
                                </a:lnTo>
                                <a:lnTo>
                                  <a:pt x="4901184" y="1036320"/>
                                </a:lnTo>
                                <a:lnTo>
                                  <a:pt x="4907280" y="1042416"/>
                                </a:lnTo>
                                <a:lnTo>
                                  <a:pt x="4910328" y="1036320"/>
                                </a:lnTo>
                                <a:lnTo>
                                  <a:pt x="4910328" y="112776"/>
                                </a:lnTo>
                                <a:lnTo>
                                  <a:pt x="4943856" y="112776"/>
                                </a:lnTo>
                                <a:close/>
                              </a:path>
                              <a:path w="6330950" h="2707005">
                                <a:moveTo>
                                  <a:pt x="5266944" y="121920"/>
                                </a:moveTo>
                                <a:lnTo>
                                  <a:pt x="5259629" y="106680"/>
                                </a:lnTo>
                                <a:lnTo>
                                  <a:pt x="5230368" y="45720"/>
                                </a:lnTo>
                                <a:lnTo>
                                  <a:pt x="5190744" y="121920"/>
                                </a:lnTo>
                                <a:lnTo>
                                  <a:pt x="5224272" y="121920"/>
                                </a:lnTo>
                                <a:lnTo>
                                  <a:pt x="5224272" y="1048512"/>
                                </a:lnTo>
                                <a:lnTo>
                                  <a:pt x="5230368" y="1051560"/>
                                </a:lnTo>
                                <a:lnTo>
                                  <a:pt x="5236464" y="1048512"/>
                                </a:lnTo>
                                <a:lnTo>
                                  <a:pt x="5236464" y="121920"/>
                                </a:lnTo>
                                <a:lnTo>
                                  <a:pt x="5266944" y="121920"/>
                                </a:lnTo>
                                <a:close/>
                              </a:path>
                              <a:path w="6330950" h="2707005">
                                <a:moveTo>
                                  <a:pt x="5583936" y="134112"/>
                                </a:moveTo>
                                <a:lnTo>
                                  <a:pt x="5574423" y="115824"/>
                                </a:lnTo>
                                <a:lnTo>
                                  <a:pt x="5544312" y="57912"/>
                                </a:lnTo>
                                <a:lnTo>
                                  <a:pt x="5507736" y="134112"/>
                                </a:lnTo>
                                <a:lnTo>
                                  <a:pt x="5541264" y="134112"/>
                                </a:lnTo>
                                <a:lnTo>
                                  <a:pt x="5541264" y="1057656"/>
                                </a:lnTo>
                                <a:lnTo>
                                  <a:pt x="5544312" y="1060704"/>
                                </a:lnTo>
                                <a:lnTo>
                                  <a:pt x="5550408" y="1057656"/>
                                </a:lnTo>
                                <a:lnTo>
                                  <a:pt x="5550408" y="134112"/>
                                </a:lnTo>
                                <a:lnTo>
                                  <a:pt x="5583936" y="134112"/>
                                </a:lnTo>
                                <a:close/>
                              </a:path>
                              <a:path w="6330950" h="2707005">
                                <a:moveTo>
                                  <a:pt x="6330696" y="1191768"/>
                                </a:moveTo>
                                <a:lnTo>
                                  <a:pt x="6324600" y="1188720"/>
                                </a:lnTo>
                                <a:lnTo>
                                  <a:pt x="5830824" y="1188720"/>
                                </a:lnTo>
                                <a:lnTo>
                                  <a:pt x="5830824" y="1155192"/>
                                </a:lnTo>
                                <a:lnTo>
                                  <a:pt x="5754624" y="1191768"/>
                                </a:lnTo>
                                <a:lnTo>
                                  <a:pt x="5830824" y="1231392"/>
                                </a:lnTo>
                                <a:lnTo>
                                  <a:pt x="5830824" y="1197864"/>
                                </a:lnTo>
                                <a:lnTo>
                                  <a:pt x="6324600" y="1197864"/>
                                </a:lnTo>
                                <a:lnTo>
                                  <a:pt x="6330696" y="11917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86.471878pt;width:498.5pt;height:291.850pt;mso-position-horizontal-relative:page;mso-position-vertical-relative:paragraph;z-index:15753216" id="docshapegroup52" coordorigin="1123,-1729" coordsize="9970,5837">
                <v:shape style="position:absolute;left:1464;top:-1029;width:9370;height:5136" type="#_x0000_t75" id="docshape53" stroked="false">
                  <v:imagedata r:id="rId9" o:title=""/>
                </v:shape>
                <v:shape style="position:absolute;left:1123;top:-1730;width:9970;height:4263" id="docshape54" coordorigin="1123,-1729" coordsize="9970,4263" path="m1973,1621l1963,1611,1243,1611,1243,1559,1123,1621,1243,1679,1243,1626,1963,1626,1973,1621xm1973,1035l1963,1026,1243,1026,1243,973,1123,1035,1243,1093,1243,1040,1963,1040,1973,1035xm2016,1995l2011,1986,1291,1986,1291,1933,1171,1995,1291,2053,1291,2000,2011,2000,2016,1995xm2030,2475l2026,2466,1306,2466,1306,2413,1186,2475,1306,2533,1306,2480,2026,2480,2030,2475xm2338,-1609l2324,-1638,2280,-1729,2218,-1609,2270,-1609,2270,-155,2280,-150,2290,-155,2290,-1609,2338,-1609xm2866,-1581l2851,-1609,2803,-1701,2746,-1581,2798,-1581,2798,-126,2803,-117,2813,-126,2813,-1581,2866,-1581xm3374,-1581l3361,-1609,3317,-1701,3254,-1581,3307,-1581,3307,-126,3317,-117,3322,-126,3322,-1581,3374,-1581xm3869,-1581l3855,-1609,3811,-1701,3749,-1581,3802,-1581,3802,-126,3811,-117,3816,-126,3816,-1581,3869,-1581xm4363,-1581l4349,-1609,4306,-1701,4243,-1581,4296,-1581,4296,-126,4306,-117,4310,-126,4310,-1581,4363,-1581xm4858,-1566l4844,-1595,4800,-1686,4738,-1566,4790,-1566,4790,-112,4800,-102,4810,-112,4810,-1566,4858,-1566xm5371,-1566l5356,-1595,5309,-1686,5251,-1566,5304,-1566,5304,-112,5309,-102,5318,-112,5318,-1566,5371,-1566xm5866,-1552l5853,-1576,5803,-1672,5746,-1552,5798,-1552,5798,-97,5803,-88,5813,-97,5813,-1552,5866,-1552xm6403,-1552l6392,-1576,6346,-1672,6283,-1552,6336,-1552,6336,-97,6346,-88,6350,-97,6350,-1552,6403,-1552xm6898,-1581l6884,-1609,6840,-1701,6778,-1581,6830,-1581,6830,-126,6840,-117,6850,-126,6850,-1581,6898,-1581xm7411,-1566l7396,-1595,7349,-1686,7291,-1566,7344,-1566,7344,-112,7349,-102,7358,-112,7358,-1566,7411,-1566xm7920,-1581l7905,-1609,7858,-1701,7800,-1581,7853,-1581,7853,-126,7858,-117,7867,-126,7867,-1581,7920,-1581xm8429,-1518l8415,-1547,8371,-1638,8309,-1518,8362,-1518,8362,-64,8371,-59,8376,-64,8376,-1518,8429,-1518xm8909,-1552l8897,-1576,8851,-1672,8789,-1552,8842,-1552,8842,-97,8851,-88,8856,-97,8856,-1552,8909,-1552xm9418,-1537l9406,-1561,9360,-1657,9298,-1537,9350,-1537,9350,-78,9360,-73,9370,-78,9370,-1537,9418,-1537xm9917,-1518l9902,-1547,9854,-1638,9797,-1518,9850,-1518,9850,-64,9854,-59,9864,-64,9864,-1518,9917,-1518xm11093,147l11083,143,10306,143,10306,90,10186,147,10306,210,10306,157,11083,157,11093,147xe" filled="true" fillcolor="#000000" stroked="false">
                  <v:path arrowok="t"/>
                  <v:fill type="solid"/>
                </v:shape>
                <w10:wrap type="none"/>
              </v:group>
            </w:pict>
          </mc:Fallback>
        </mc:AlternateContent>
      </w:r>
      <w:r>
        <w:rPr>
          <w:spacing w:val="-4"/>
        </w:rPr>
        <w:t>WELL</w:t>
      </w:r>
    </w:p>
    <w:p>
      <w:pPr>
        <w:pStyle w:val="BodyText"/>
      </w:pPr>
    </w:p>
    <w:p>
      <w:pPr>
        <w:pStyle w:val="BodyText"/>
        <w:spacing w:before="92"/>
      </w:pPr>
    </w:p>
    <w:p>
      <w:pPr>
        <w:pStyle w:val="BodyText"/>
        <w:ind w:left="252"/>
      </w:pPr>
      <w:r>
        <w:rPr>
          <w:spacing w:val="-10"/>
        </w:rPr>
        <w:t>A</w:t>
      </w:r>
    </w:p>
    <w:p>
      <w:pPr>
        <w:pStyle w:val="BodyText"/>
        <w:spacing w:before="77"/>
      </w:pPr>
    </w:p>
    <w:p>
      <w:pPr>
        <w:pStyle w:val="BodyText"/>
        <w:spacing w:line="381" w:lineRule="auto"/>
        <w:ind w:left="300" w:right="11014" w:hanging="48"/>
        <w:jc w:val="both"/>
      </w:pPr>
      <w:r>
        <w:rPr>
          <w:spacing w:val="-10"/>
        </w:rPr>
        <w:t>E</w:t>
      </w:r>
      <w:r>
        <w:rPr>
          <w:spacing w:val="40"/>
        </w:rPr>
        <w:t> </w:t>
      </w:r>
      <w:r>
        <w:rPr>
          <w:spacing w:val="-10"/>
        </w:rPr>
        <w:t>J</w:t>
      </w:r>
      <w:r>
        <w:rPr/>
        <w:t> </w:t>
      </w:r>
      <w:r>
        <w:rPr>
          <w:spacing w:val="-10"/>
        </w:rPr>
        <w:t>N</w:t>
      </w:r>
    </w:p>
    <w:p>
      <w:pPr>
        <w:pStyle w:val="BodyText"/>
      </w:pPr>
    </w:p>
    <w:p>
      <w:pPr>
        <w:pStyle w:val="BodyText"/>
      </w:pPr>
    </w:p>
    <w:p>
      <w:pPr>
        <w:pStyle w:val="BodyText"/>
      </w:pPr>
    </w:p>
    <w:p>
      <w:pPr>
        <w:pStyle w:val="BodyText"/>
      </w:pPr>
    </w:p>
    <w:p>
      <w:pPr>
        <w:pStyle w:val="BodyText"/>
      </w:pPr>
    </w:p>
    <w:p>
      <w:pPr>
        <w:pStyle w:val="BodyText"/>
        <w:spacing w:before="165"/>
      </w:pPr>
    </w:p>
    <w:p>
      <w:pPr>
        <w:pStyle w:val="Heading6"/>
        <w:ind w:left="920" w:firstLine="0"/>
      </w:pPr>
      <w:r>
        <w:rPr/>
        <w:t>Plate</w:t>
      </w:r>
      <w:r>
        <w:rPr>
          <w:spacing w:val="-9"/>
        </w:rPr>
        <w:t> </w:t>
      </w:r>
      <w:r>
        <w:rPr/>
        <w:t>4.1:</w:t>
      </w:r>
      <w:r>
        <w:rPr>
          <w:spacing w:val="1"/>
        </w:rPr>
        <w:t> </w:t>
      </w:r>
      <w:r>
        <w:rPr/>
        <w:t>1%</w:t>
      </w:r>
      <w:r>
        <w:rPr>
          <w:spacing w:val="-4"/>
        </w:rPr>
        <w:t> </w:t>
      </w:r>
      <w:r>
        <w:rPr/>
        <w:t>Agarose</w:t>
      </w:r>
      <w:r>
        <w:rPr>
          <w:spacing w:val="-6"/>
        </w:rPr>
        <w:t> </w:t>
      </w:r>
      <w:r>
        <w:rPr/>
        <w:t>Gel</w:t>
      </w:r>
      <w:r>
        <w:rPr>
          <w:spacing w:val="-6"/>
        </w:rPr>
        <w:t> </w:t>
      </w:r>
      <w:r>
        <w:rPr/>
        <w:t>Electrophoresis</w:t>
      </w:r>
      <w:r>
        <w:rPr>
          <w:spacing w:val="-6"/>
        </w:rPr>
        <w:t> </w:t>
      </w:r>
      <w:r>
        <w:rPr/>
        <w:t>of</w:t>
      </w:r>
      <w:r>
        <w:rPr>
          <w:spacing w:val="-3"/>
        </w:rPr>
        <w:t> </w:t>
      </w:r>
      <w:r>
        <w:rPr/>
        <w:t>Plasmid</w:t>
      </w:r>
      <w:r>
        <w:rPr>
          <w:spacing w:val="-5"/>
        </w:rPr>
        <w:t> </w:t>
      </w:r>
      <w:r>
        <w:rPr/>
        <w:t>DNA</w:t>
      </w:r>
      <w:r>
        <w:rPr>
          <w:spacing w:val="-4"/>
        </w:rPr>
        <w:t> </w:t>
      </w:r>
      <w:r>
        <w:rPr/>
        <w:t>from</w:t>
      </w:r>
      <w:r>
        <w:rPr>
          <w:spacing w:val="-7"/>
        </w:rPr>
        <w:t> </w:t>
      </w:r>
      <w:r>
        <w:rPr/>
        <w:t>Multiple</w:t>
      </w:r>
      <w:r>
        <w:rPr>
          <w:spacing w:val="-6"/>
        </w:rPr>
        <w:t> </w:t>
      </w:r>
      <w:r>
        <w:rPr/>
        <w:t>Antibiotic</w:t>
      </w:r>
      <w:r>
        <w:rPr>
          <w:spacing w:val="-6"/>
        </w:rPr>
        <w:t> </w:t>
      </w:r>
      <w:r>
        <w:rPr/>
        <w:t>Resistant</w:t>
      </w:r>
      <w:r>
        <w:rPr>
          <w:spacing w:val="-5"/>
        </w:rPr>
        <w:t> </w:t>
      </w:r>
      <w:r>
        <w:rPr>
          <w:spacing w:val="-2"/>
        </w:rPr>
        <w:t>Isolates.</w:t>
      </w:r>
    </w:p>
    <w:p>
      <w:pPr>
        <w:pStyle w:val="BodyText"/>
        <w:spacing w:before="236"/>
        <w:ind w:left="920"/>
      </w:pPr>
      <w:r>
        <w:rPr/>
        <w:t>Lane</w:t>
      </w:r>
      <w:r>
        <w:rPr>
          <w:spacing w:val="-5"/>
        </w:rPr>
        <w:t> </w:t>
      </w:r>
      <w:r>
        <w:rPr/>
        <w:t>1:</w:t>
      </w:r>
      <w:r>
        <w:rPr>
          <w:spacing w:val="-2"/>
        </w:rPr>
        <w:t> </w:t>
      </w:r>
      <w:r>
        <w:rPr/>
        <w:t>100bp</w:t>
      </w:r>
      <w:r>
        <w:rPr>
          <w:spacing w:val="-6"/>
        </w:rPr>
        <w:t> </w:t>
      </w:r>
      <w:r>
        <w:rPr/>
        <w:t>Plus</w:t>
      </w:r>
      <w:r>
        <w:rPr>
          <w:spacing w:val="-4"/>
        </w:rPr>
        <w:t> </w:t>
      </w:r>
      <w:r>
        <w:rPr/>
        <w:t>Ladder composed</w:t>
      </w:r>
      <w:r>
        <w:rPr>
          <w:spacing w:val="-6"/>
        </w:rPr>
        <w:t> </w:t>
      </w:r>
      <w:r>
        <w:rPr/>
        <w:t>of</w:t>
      </w:r>
      <w:r>
        <w:rPr>
          <w:spacing w:val="-1"/>
        </w:rPr>
        <w:t> </w:t>
      </w:r>
      <w:r>
        <w:rPr/>
        <w:t>DNA</w:t>
      </w:r>
      <w:r>
        <w:rPr>
          <w:spacing w:val="-2"/>
        </w:rPr>
        <w:t> </w:t>
      </w:r>
      <w:r>
        <w:rPr/>
        <w:t>fragments</w:t>
      </w:r>
      <w:r>
        <w:rPr>
          <w:spacing w:val="-5"/>
        </w:rPr>
        <w:t> </w:t>
      </w:r>
      <w:r>
        <w:rPr/>
        <w:t>(in</w:t>
      </w:r>
      <w:r>
        <w:rPr>
          <w:spacing w:val="-6"/>
        </w:rPr>
        <w:t> </w:t>
      </w:r>
      <w:r>
        <w:rPr/>
        <w:t>base</w:t>
      </w:r>
      <w:r>
        <w:rPr>
          <w:spacing w:val="-4"/>
        </w:rPr>
        <w:t> </w:t>
      </w:r>
      <w:r>
        <w:rPr/>
        <w:t>pairs):3000(A),</w:t>
      </w:r>
      <w:r>
        <w:rPr>
          <w:spacing w:val="-7"/>
        </w:rPr>
        <w:t> </w:t>
      </w:r>
      <w:r>
        <w:rPr/>
        <w:t>2000,</w:t>
      </w:r>
      <w:r>
        <w:rPr>
          <w:spacing w:val="-2"/>
        </w:rPr>
        <w:t> 1500,</w:t>
      </w:r>
    </w:p>
    <w:p>
      <w:pPr>
        <w:pStyle w:val="BodyText"/>
        <w:spacing w:before="202"/>
      </w:pPr>
    </w:p>
    <w:p>
      <w:pPr>
        <w:pStyle w:val="BodyText"/>
        <w:ind w:left="920"/>
      </w:pPr>
      <w:r>
        <w:rPr/>
        <w:t>1200,1000(E),</w:t>
      </w:r>
      <w:r>
        <w:rPr>
          <w:spacing w:val="15"/>
        </w:rPr>
        <w:t> </w:t>
      </w:r>
      <w:r>
        <w:rPr/>
        <w:t>900,</w:t>
      </w:r>
      <w:r>
        <w:rPr>
          <w:spacing w:val="22"/>
        </w:rPr>
        <w:t> </w:t>
      </w:r>
      <w:r>
        <w:rPr/>
        <w:t>800,</w:t>
      </w:r>
      <w:r>
        <w:rPr>
          <w:spacing w:val="18"/>
        </w:rPr>
        <w:t> </w:t>
      </w:r>
      <w:r>
        <w:rPr/>
        <w:t>700,</w:t>
      </w:r>
      <w:r>
        <w:rPr>
          <w:spacing w:val="21"/>
        </w:rPr>
        <w:t> </w:t>
      </w:r>
      <w:r>
        <w:rPr/>
        <w:t>600,</w:t>
      </w:r>
      <w:r>
        <w:rPr>
          <w:spacing w:val="18"/>
        </w:rPr>
        <w:t> </w:t>
      </w:r>
      <w:r>
        <w:rPr/>
        <w:t>500(J),</w:t>
      </w:r>
      <w:r>
        <w:rPr>
          <w:spacing w:val="18"/>
        </w:rPr>
        <w:t> </w:t>
      </w:r>
      <w:r>
        <w:rPr/>
        <w:t>400,</w:t>
      </w:r>
      <w:r>
        <w:rPr>
          <w:spacing w:val="22"/>
        </w:rPr>
        <w:t> </w:t>
      </w:r>
      <w:r>
        <w:rPr/>
        <w:t>300,</w:t>
      </w:r>
      <w:r>
        <w:rPr>
          <w:spacing w:val="21"/>
        </w:rPr>
        <w:t> </w:t>
      </w:r>
      <w:r>
        <w:rPr/>
        <w:t>200,100(N).</w:t>
      </w:r>
      <w:r>
        <w:rPr>
          <w:spacing w:val="22"/>
        </w:rPr>
        <w:t> </w:t>
      </w:r>
      <w:r>
        <w:rPr/>
        <w:t>Lane</w:t>
      </w:r>
      <w:r>
        <w:rPr>
          <w:spacing w:val="20"/>
        </w:rPr>
        <w:t> </w:t>
      </w:r>
      <w:r>
        <w:rPr/>
        <w:t>2</w:t>
      </w:r>
      <w:r>
        <w:rPr>
          <w:spacing w:val="17"/>
        </w:rPr>
        <w:t> </w:t>
      </w:r>
      <w:r>
        <w:rPr/>
        <w:t>to</w:t>
      </w:r>
      <w:r>
        <w:rPr>
          <w:spacing w:val="23"/>
        </w:rPr>
        <w:t> </w:t>
      </w:r>
      <w:r>
        <w:rPr/>
        <w:t>5:</w:t>
      </w:r>
      <w:r>
        <w:rPr>
          <w:spacing w:val="22"/>
        </w:rPr>
        <w:t> </w:t>
      </w:r>
      <w:r>
        <w:rPr/>
        <w:t>Resistant</w:t>
      </w:r>
      <w:r>
        <w:rPr>
          <w:spacing w:val="21"/>
        </w:rPr>
        <w:t> </w:t>
      </w:r>
      <w:r>
        <w:rPr>
          <w:i/>
        </w:rPr>
        <w:t>E.</w:t>
      </w:r>
      <w:r>
        <w:rPr>
          <w:i/>
          <w:spacing w:val="22"/>
        </w:rPr>
        <w:t> </w:t>
      </w:r>
      <w:r>
        <w:rPr>
          <w:i/>
        </w:rPr>
        <w:t>coli</w:t>
      </w:r>
      <w:r>
        <w:rPr>
          <w:i/>
          <w:spacing w:val="22"/>
        </w:rPr>
        <w:t> </w:t>
      </w:r>
      <w:r>
        <w:rPr/>
        <w:t>(Lab</w:t>
      </w:r>
      <w:r>
        <w:rPr>
          <w:spacing w:val="19"/>
        </w:rPr>
        <w:t> </w:t>
      </w:r>
      <w:r>
        <w:rPr>
          <w:spacing w:val="-5"/>
        </w:rPr>
        <w:t>nos</w:t>
      </w:r>
    </w:p>
    <w:p>
      <w:pPr>
        <w:pStyle w:val="BodyText"/>
      </w:pPr>
    </w:p>
    <w:p>
      <w:pPr>
        <w:pStyle w:val="BodyText"/>
        <w:spacing w:line="480" w:lineRule="auto" w:before="1"/>
        <w:ind w:left="920" w:right="1176"/>
        <w:jc w:val="both"/>
      </w:pPr>
      <w:r>
        <w:rPr/>
        <w:t>S5e, S4e, S8e, E46e). Lane 6 to 8: Resistant </w:t>
      </w:r>
      <w:r>
        <w:rPr>
          <w:i/>
        </w:rPr>
        <w:t>Providencia spp </w:t>
      </w:r>
      <w:r>
        <w:rPr/>
        <w:t>(Lab nos E6e, E10e, S15e). Lane 9 to 11 : Resistant </w:t>
      </w:r>
      <w:r>
        <w:rPr>
          <w:i/>
        </w:rPr>
        <w:t>Proteus spp </w:t>
      </w:r>
      <w:r>
        <w:rPr/>
        <w:t>( Lab nos E8s, E5s, E4s).Lane 12 to 15: Resistant </w:t>
      </w:r>
      <w:r>
        <w:rPr>
          <w:i/>
        </w:rPr>
        <w:t>Enterobacter spp </w:t>
      </w:r>
      <w:r>
        <w:rPr/>
        <w:t>(Lab nos. S48e, B7e, E22s, B36s). Lane 16: Resistant </w:t>
      </w:r>
      <w:r>
        <w:rPr>
          <w:i/>
        </w:rPr>
        <w:t>E. coli </w:t>
      </w:r>
      <w:r>
        <w:rPr/>
        <w:t>(Lab no. S43s).</w:t>
      </w:r>
    </w:p>
    <w:p>
      <w:pPr>
        <w:spacing w:after="0" w:line="480" w:lineRule="auto"/>
        <w:jc w:val="both"/>
        <w:sectPr>
          <w:type w:val="continuous"/>
          <w:pgSz w:w="12240" w:h="15840"/>
          <w:pgMar w:header="0" w:footer="1017" w:top="1680" w:bottom="280" w:left="52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p>
    <w:p>
      <w:pPr>
        <w:spacing w:after="0"/>
        <w:rPr>
          <w:sz w:val="20"/>
        </w:rPr>
        <w:sectPr>
          <w:pgSz w:w="12240" w:h="15840"/>
          <w:pgMar w:header="0" w:footer="1017" w:top="1820" w:bottom="1200" w:left="520" w:right="260"/>
        </w:sectPr>
      </w:pPr>
    </w:p>
    <w:p>
      <w:pPr>
        <w:pStyle w:val="BodyText"/>
        <w:tabs>
          <w:tab w:pos="1649" w:val="left" w:leader="none"/>
          <w:tab w:pos="2129" w:val="left" w:leader="none"/>
          <w:tab w:pos="2667" w:val="left" w:leader="none"/>
          <w:tab w:pos="3118" w:val="left" w:leader="none"/>
        </w:tabs>
        <w:spacing w:before="56"/>
        <w:ind w:left="920"/>
      </w:pPr>
      <w:r>
        <w:rPr>
          <w:spacing w:val="-10"/>
          <w:position w:val="12"/>
        </w:rPr>
        <w:t>\</w:t>
      </w:r>
      <w:r>
        <w:rPr>
          <w:position w:val="12"/>
        </w:rPr>
        <w:tab/>
      </w:r>
      <w:r>
        <w:rPr>
          <w:spacing w:val="-10"/>
        </w:rPr>
        <w:t>1</w:t>
      </w:r>
      <w:r>
        <w:rPr/>
        <w:tab/>
      </w:r>
      <w:r>
        <w:rPr>
          <w:spacing w:val="-10"/>
          <w:position w:val="1"/>
        </w:rPr>
        <w:t>2</w:t>
      </w:r>
      <w:r>
        <w:rPr>
          <w:position w:val="1"/>
        </w:rPr>
        <w:tab/>
      </w:r>
      <w:r>
        <w:rPr>
          <w:spacing w:val="-10"/>
        </w:rPr>
        <w:t>3</w:t>
      </w:r>
      <w:r>
        <w:rPr/>
        <w:tab/>
      </w:r>
      <w:r>
        <w:rPr>
          <w:spacing w:val="-10"/>
        </w:rPr>
        <w:t>4</w:t>
      </w:r>
    </w:p>
    <w:p>
      <w:pPr>
        <w:pStyle w:val="BodyText"/>
        <w:tabs>
          <w:tab w:pos="899" w:val="left" w:leader="none"/>
          <w:tab w:pos="1393" w:val="left" w:leader="none"/>
        </w:tabs>
        <w:spacing w:before="181"/>
        <w:ind w:left="419"/>
      </w:pPr>
      <w:r>
        <w:rPr/>
        <w:br w:type="column"/>
      </w:r>
      <w:r>
        <w:rPr>
          <w:spacing w:val="-10"/>
          <w:position w:val="1"/>
        </w:rPr>
        <w:t>5</w:t>
      </w:r>
      <w:r>
        <w:rPr>
          <w:position w:val="1"/>
        </w:rPr>
        <w:tab/>
      </w:r>
      <w:r>
        <w:rPr>
          <w:spacing w:val="-10"/>
          <w:position w:val="1"/>
        </w:rPr>
        <w:t>6</w:t>
      </w:r>
      <w:r>
        <w:rPr>
          <w:position w:val="1"/>
        </w:rPr>
        <w:tab/>
      </w:r>
      <w:r>
        <w:rPr>
          <w:spacing w:val="-10"/>
        </w:rPr>
        <w:t>7</w:t>
      </w:r>
    </w:p>
    <w:p>
      <w:pPr>
        <w:pStyle w:val="BodyText"/>
        <w:tabs>
          <w:tab w:pos="942" w:val="left" w:leader="none"/>
          <w:tab w:pos="1365" w:val="left" w:leader="none"/>
        </w:tabs>
        <w:spacing w:before="176"/>
        <w:ind w:left="462"/>
      </w:pPr>
      <w:r>
        <w:rPr/>
        <w:br w:type="column"/>
      </w:r>
      <w:r>
        <w:rPr>
          <w:spacing w:val="-10"/>
          <w:position w:val="-2"/>
        </w:rPr>
        <w:t>8</w:t>
      </w:r>
      <w:r>
        <w:rPr>
          <w:position w:val="-2"/>
        </w:rPr>
        <w:tab/>
      </w:r>
      <w:r>
        <w:rPr>
          <w:spacing w:val="-10"/>
          <w:position w:val="-3"/>
        </w:rPr>
        <w:t>9</w:t>
      </w:r>
      <w:r>
        <w:rPr>
          <w:position w:val="-3"/>
        </w:rPr>
        <w:tab/>
      </w:r>
      <w:r>
        <w:rPr>
          <w:spacing w:val="-7"/>
        </w:rPr>
        <w:t>10</w:t>
      </w:r>
    </w:p>
    <w:p>
      <w:pPr>
        <w:pStyle w:val="BodyText"/>
        <w:tabs>
          <w:tab w:pos="784" w:val="left" w:leader="none"/>
          <w:tab w:pos="1235" w:val="left" w:leader="none"/>
          <w:tab w:pos="1729" w:val="left" w:leader="none"/>
        </w:tabs>
        <w:spacing w:before="210"/>
        <w:ind w:left="275"/>
      </w:pPr>
      <w:r>
        <w:rPr/>
        <w:br w:type="column"/>
      </w:r>
      <w:r>
        <w:rPr>
          <w:spacing w:val="-5"/>
        </w:rPr>
        <w:t>11</w:t>
      </w:r>
      <w:r>
        <w:rPr/>
        <w:tab/>
      </w:r>
      <w:r>
        <w:rPr>
          <w:spacing w:val="-5"/>
          <w:position w:val="1"/>
        </w:rPr>
        <w:t>12</w:t>
      </w:r>
      <w:r>
        <w:rPr>
          <w:position w:val="1"/>
        </w:rPr>
        <w:tab/>
      </w:r>
      <w:r>
        <w:rPr>
          <w:spacing w:val="-5"/>
          <w:position w:val="1"/>
        </w:rPr>
        <w:t>13</w:t>
      </w:r>
      <w:r>
        <w:rPr>
          <w:position w:val="1"/>
        </w:rPr>
        <w:tab/>
      </w:r>
      <w:r>
        <w:rPr>
          <w:spacing w:val="-7"/>
          <w:position w:val="1"/>
        </w:rPr>
        <w:t>14</w:t>
      </w:r>
    </w:p>
    <w:p>
      <w:pPr>
        <w:pStyle w:val="BodyText"/>
        <w:tabs>
          <w:tab w:pos="894" w:val="left" w:leader="none"/>
        </w:tabs>
        <w:spacing w:before="258"/>
        <w:ind w:left="337"/>
      </w:pPr>
      <w:r>
        <w:rPr/>
        <w:br w:type="column"/>
      </w:r>
      <w:r>
        <w:rPr>
          <w:spacing w:val="-5"/>
        </w:rPr>
        <w:t>15</w:t>
      </w:r>
      <w:r>
        <w:rPr/>
        <w:tab/>
      </w:r>
      <w:r>
        <w:rPr>
          <w:spacing w:val="-5"/>
          <w:position w:val="1"/>
        </w:rPr>
        <w:t>16</w:t>
      </w:r>
    </w:p>
    <w:p>
      <w:pPr>
        <w:spacing w:after="0"/>
        <w:sectPr>
          <w:type w:val="continuous"/>
          <w:pgSz w:w="12240" w:h="15840"/>
          <w:pgMar w:header="0" w:footer="1017" w:top="1680" w:bottom="280" w:left="520" w:right="260"/>
          <w:cols w:num="5" w:equalWidth="0">
            <w:col w:w="3231" w:space="40"/>
            <w:col w:w="1506" w:space="39"/>
            <w:col w:w="1588" w:space="39"/>
            <w:col w:w="1952" w:space="39"/>
            <w:col w:w="3026"/>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before="1"/>
        <w:ind w:right="355"/>
        <w:jc w:val="right"/>
      </w:pPr>
      <w:r>
        <w:rPr/>
        <mc:AlternateContent>
          <mc:Choice Requires="wps">
            <w:drawing>
              <wp:anchor distT="0" distB="0" distL="0" distR="0" allowOverlap="1" layoutInCell="1" locked="0" behindDoc="0" simplePos="0" relativeHeight="15753728">
                <wp:simplePos x="0" y="0"/>
                <wp:positionH relativeFrom="page">
                  <wp:posOffset>929639</wp:posOffset>
                </wp:positionH>
                <wp:positionV relativeFrom="paragraph">
                  <wp:posOffset>-1222769</wp:posOffset>
                </wp:positionV>
                <wp:extent cx="6056630" cy="4157979"/>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6056630" cy="4157979"/>
                          <a:chExt cx="6056630" cy="4157979"/>
                        </a:xfrm>
                      </wpg:grpSpPr>
                      <pic:pic>
                        <pic:nvPicPr>
                          <pic:cNvPr id="57" name="Image 57"/>
                          <pic:cNvPicPr/>
                        </pic:nvPicPr>
                        <pic:blipFill>
                          <a:blip r:embed="rId10" cstate="print"/>
                          <a:stretch>
                            <a:fillRect/>
                          </a:stretch>
                        </pic:blipFill>
                        <pic:spPr>
                          <a:xfrm>
                            <a:off x="0" y="627887"/>
                            <a:ext cx="5949696" cy="3529583"/>
                          </a:xfrm>
                          <a:prstGeom prst="rect">
                            <a:avLst/>
                          </a:prstGeom>
                        </pic:spPr>
                      </pic:pic>
                      <wps:wsp>
                        <wps:cNvPr id="58" name="Graphic 58"/>
                        <wps:cNvSpPr/>
                        <wps:spPr>
                          <a:xfrm>
                            <a:off x="451104" y="0"/>
                            <a:ext cx="5605780" cy="1369060"/>
                          </a:xfrm>
                          <a:custGeom>
                            <a:avLst/>
                            <a:gdLst/>
                            <a:ahLst/>
                            <a:cxnLst/>
                            <a:rect l="l" t="t" r="r" b="b"/>
                            <a:pathLst>
                              <a:path w="5605780" h="1369060">
                                <a:moveTo>
                                  <a:pt x="76200" y="94488"/>
                                </a:moveTo>
                                <a:lnTo>
                                  <a:pt x="68872" y="79248"/>
                                </a:lnTo>
                                <a:lnTo>
                                  <a:pt x="39624" y="18288"/>
                                </a:lnTo>
                                <a:lnTo>
                                  <a:pt x="0" y="94488"/>
                                </a:lnTo>
                                <a:lnTo>
                                  <a:pt x="33528" y="94488"/>
                                </a:lnTo>
                                <a:lnTo>
                                  <a:pt x="33528" y="1018032"/>
                                </a:lnTo>
                                <a:lnTo>
                                  <a:pt x="39624" y="1024128"/>
                                </a:lnTo>
                                <a:lnTo>
                                  <a:pt x="42672" y="1018032"/>
                                </a:lnTo>
                                <a:lnTo>
                                  <a:pt x="42672" y="94488"/>
                                </a:lnTo>
                                <a:lnTo>
                                  <a:pt x="76200" y="94488"/>
                                </a:lnTo>
                                <a:close/>
                              </a:path>
                              <a:path w="5605780" h="1369060">
                                <a:moveTo>
                                  <a:pt x="371856" y="94488"/>
                                </a:moveTo>
                                <a:lnTo>
                                  <a:pt x="363918" y="79248"/>
                                </a:lnTo>
                                <a:lnTo>
                                  <a:pt x="332232" y="18288"/>
                                </a:lnTo>
                                <a:lnTo>
                                  <a:pt x="295656" y="94488"/>
                                </a:lnTo>
                                <a:lnTo>
                                  <a:pt x="329184" y="94488"/>
                                </a:lnTo>
                                <a:lnTo>
                                  <a:pt x="329184" y="1018032"/>
                                </a:lnTo>
                                <a:lnTo>
                                  <a:pt x="332232" y="1024128"/>
                                </a:lnTo>
                                <a:lnTo>
                                  <a:pt x="338328" y="1018032"/>
                                </a:lnTo>
                                <a:lnTo>
                                  <a:pt x="338328" y="94488"/>
                                </a:lnTo>
                                <a:lnTo>
                                  <a:pt x="371856" y="94488"/>
                                </a:lnTo>
                                <a:close/>
                              </a:path>
                              <a:path w="5605780" h="1369060">
                                <a:moveTo>
                                  <a:pt x="713232" y="115824"/>
                                </a:moveTo>
                                <a:lnTo>
                                  <a:pt x="704443" y="97536"/>
                                </a:lnTo>
                                <a:lnTo>
                                  <a:pt x="676656" y="39624"/>
                                </a:lnTo>
                                <a:lnTo>
                                  <a:pt x="637032" y="115824"/>
                                </a:lnTo>
                                <a:lnTo>
                                  <a:pt x="670560" y="115824"/>
                                </a:lnTo>
                                <a:lnTo>
                                  <a:pt x="670560" y="1039368"/>
                                </a:lnTo>
                                <a:lnTo>
                                  <a:pt x="676656" y="1042416"/>
                                </a:lnTo>
                                <a:lnTo>
                                  <a:pt x="682752" y="1039368"/>
                                </a:lnTo>
                                <a:lnTo>
                                  <a:pt x="682752" y="115824"/>
                                </a:lnTo>
                                <a:lnTo>
                                  <a:pt x="713232" y="115824"/>
                                </a:lnTo>
                                <a:close/>
                              </a:path>
                              <a:path w="5605780" h="1369060">
                                <a:moveTo>
                                  <a:pt x="1018032" y="94488"/>
                                </a:moveTo>
                                <a:lnTo>
                                  <a:pt x="1010704" y="79248"/>
                                </a:lnTo>
                                <a:lnTo>
                                  <a:pt x="981456" y="18288"/>
                                </a:lnTo>
                                <a:lnTo>
                                  <a:pt x="941832" y="94488"/>
                                </a:lnTo>
                                <a:lnTo>
                                  <a:pt x="975360" y="94488"/>
                                </a:lnTo>
                                <a:lnTo>
                                  <a:pt x="975360" y="1018032"/>
                                </a:lnTo>
                                <a:lnTo>
                                  <a:pt x="981456" y="1024128"/>
                                </a:lnTo>
                                <a:lnTo>
                                  <a:pt x="987552" y="1018032"/>
                                </a:lnTo>
                                <a:lnTo>
                                  <a:pt x="987552" y="94488"/>
                                </a:lnTo>
                                <a:lnTo>
                                  <a:pt x="1018032" y="94488"/>
                                </a:lnTo>
                                <a:close/>
                              </a:path>
                              <a:path w="5605780" h="1369060">
                                <a:moveTo>
                                  <a:pt x="1362456" y="94488"/>
                                </a:moveTo>
                                <a:lnTo>
                                  <a:pt x="1354518" y="79248"/>
                                </a:lnTo>
                                <a:lnTo>
                                  <a:pt x="1322832" y="18288"/>
                                </a:lnTo>
                                <a:lnTo>
                                  <a:pt x="1286256" y="94488"/>
                                </a:lnTo>
                                <a:lnTo>
                                  <a:pt x="1319784" y="94488"/>
                                </a:lnTo>
                                <a:lnTo>
                                  <a:pt x="1319784" y="1018032"/>
                                </a:lnTo>
                                <a:lnTo>
                                  <a:pt x="1322832" y="1024128"/>
                                </a:lnTo>
                                <a:lnTo>
                                  <a:pt x="1328928" y="1018032"/>
                                </a:lnTo>
                                <a:lnTo>
                                  <a:pt x="1328928" y="94488"/>
                                </a:lnTo>
                                <a:lnTo>
                                  <a:pt x="1362456" y="94488"/>
                                </a:lnTo>
                                <a:close/>
                              </a:path>
                              <a:path w="5605780" h="1369060">
                                <a:moveTo>
                                  <a:pt x="1685544" y="115824"/>
                                </a:moveTo>
                                <a:lnTo>
                                  <a:pt x="1676755" y="97536"/>
                                </a:lnTo>
                                <a:lnTo>
                                  <a:pt x="1648968" y="39624"/>
                                </a:lnTo>
                                <a:lnTo>
                                  <a:pt x="1609344" y="115824"/>
                                </a:lnTo>
                                <a:lnTo>
                                  <a:pt x="1642872" y="115824"/>
                                </a:lnTo>
                                <a:lnTo>
                                  <a:pt x="1642872" y="1039368"/>
                                </a:lnTo>
                                <a:lnTo>
                                  <a:pt x="1648968" y="1042416"/>
                                </a:lnTo>
                                <a:lnTo>
                                  <a:pt x="1652016" y="1039368"/>
                                </a:lnTo>
                                <a:lnTo>
                                  <a:pt x="1652016" y="115824"/>
                                </a:lnTo>
                                <a:lnTo>
                                  <a:pt x="1685544" y="115824"/>
                                </a:lnTo>
                                <a:close/>
                              </a:path>
                              <a:path w="5605780" h="1369060">
                                <a:moveTo>
                                  <a:pt x="1999488" y="94488"/>
                                </a:moveTo>
                                <a:lnTo>
                                  <a:pt x="1992172" y="79248"/>
                                </a:lnTo>
                                <a:lnTo>
                                  <a:pt x="1962912" y="18288"/>
                                </a:lnTo>
                                <a:lnTo>
                                  <a:pt x="1923288" y="94488"/>
                                </a:lnTo>
                                <a:lnTo>
                                  <a:pt x="1956816" y="94488"/>
                                </a:lnTo>
                                <a:lnTo>
                                  <a:pt x="1956816" y="1018032"/>
                                </a:lnTo>
                                <a:lnTo>
                                  <a:pt x="1962912" y="1024128"/>
                                </a:lnTo>
                                <a:lnTo>
                                  <a:pt x="1965960" y="1018032"/>
                                </a:lnTo>
                                <a:lnTo>
                                  <a:pt x="1965960" y="94488"/>
                                </a:lnTo>
                                <a:lnTo>
                                  <a:pt x="1999488" y="94488"/>
                                </a:lnTo>
                                <a:close/>
                              </a:path>
                              <a:path w="5605780" h="1369060">
                                <a:moveTo>
                                  <a:pt x="2380488" y="115824"/>
                                </a:moveTo>
                                <a:lnTo>
                                  <a:pt x="2371699" y="97536"/>
                                </a:lnTo>
                                <a:lnTo>
                                  <a:pt x="2343912" y="39624"/>
                                </a:lnTo>
                                <a:lnTo>
                                  <a:pt x="2304288" y="115824"/>
                                </a:lnTo>
                                <a:lnTo>
                                  <a:pt x="2337816" y="115824"/>
                                </a:lnTo>
                                <a:lnTo>
                                  <a:pt x="2337816" y="1039368"/>
                                </a:lnTo>
                                <a:lnTo>
                                  <a:pt x="2343912" y="1042416"/>
                                </a:lnTo>
                                <a:lnTo>
                                  <a:pt x="2346960" y="1039368"/>
                                </a:lnTo>
                                <a:lnTo>
                                  <a:pt x="2346960" y="115824"/>
                                </a:lnTo>
                                <a:lnTo>
                                  <a:pt x="2380488" y="115824"/>
                                </a:lnTo>
                                <a:close/>
                              </a:path>
                              <a:path w="5605780" h="1369060">
                                <a:moveTo>
                                  <a:pt x="2667000" y="94488"/>
                                </a:moveTo>
                                <a:lnTo>
                                  <a:pt x="2658211" y="76200"/>
                                </a:lnTo>
                                <a:lnTo>
                                  <a:pt x="2630424" y="18288"/>
                                </a:lnTo>
                                <a:lnTo>
                                  <a:pt x="2590800" y="94488"/>
                                </a:lnTo>
                                <a:lnTo>
                                  <a:pt x="2624328" y="94488"/>
                                </a:lnTo>
                                <a:lnTo>
                                  <a:pt x="2624328" y="1018032"/>
                                </a:lnTo>
                                <a:lnTo>
                                  <a:pt x="2630424" y="1024128"/>
                                </a:lnTo>
                                <a:lnTo>
                                  <a:pt x="2633472" y="1018032"/>
                                </a:lnTo>
                                <a:lnTo>
                                  <a:pt x="2633472" y="94488"/>
                                </a:lnTo>
                                <a:lnTo>
                                  <a:pt x="2667000" y="94488"/>
                                </a:lnTo>
                                <a:close/>
                              </a:path>
                              <a:path w="5605780" h="1369060">
                                <a:moveTo>
                                  <a:pt x="3011424" y="115824"/>
                                </a:moveTo>
                                <a:lnTo>
                                  <a:pt x="3001911" y="97536"/>
                                </a:lnTo>
                                <a:lnTo>
                                  <a:pt x="2971800" y="39624"/>
                                </a:lnTo>
                                <a:lnTo>
                                  <a:pt x="2935224" y="115824"/>
                                </a:lnTo>
                                <a:lnTo>
                                  <a:pt x="2968752" y="115824"/>
                                </a:lnTo>
                                <a:lnTo>
                                  <a:pt x="2968752" y="1039368"/>
                                </a:lnTo>
                                <a:lnTo>
                                  <a:pt x="2971800" y="1042416"/>
                                </a:lnTo>
                                <a:lnTo>
                                  <a:pt x="2977896" y="1039368"/>
                                </a:lnTo>
                                <a:lnTo>
                                  <a:pt x="2977896" y="115824"/>
                                </a:lnTo>
                                <a:lnTo>
                                  <a:pt x="3011424" y="115824"/>
                                </a:lnTo>
                                <a:close/>
                              </a:path>
                              <a:path w="5605780" h="1369060">
                                <a:moveTo>
                                  <a:pt x="3334512" y="94488"/>
                                </a:moveTo>
                                <a:lnTo>
                                  <a:pt x="3326574" y="79248"/>
                                </a:lnTo>
                                <a:lnTo>
                                  <a:pt x="3294888" y="18288"/>
                                </a:lnTo>
                                <a:lnTo>
                                  <a:pt x="3258312" y="94488"/>
                                </a:lnTo>
                                <a:lnTo>
                                  <a:pt x="3291840" y="94488"/>
                                </a:lnTo>
                                <a:lnTo>
                                  <a:pt x="3291840" y="1018032"/>
                                </a:lnTo>
                                <a:lnTo>
                                  <a:pt x="3294888" y="1024128"/>
                                </a:lnTo>
                                <a:lnTo>
                                  <a:pt x="3300984" y="1018032"/>
                                </a:lnTo>
                                <a:lnTo>
                                  <a:pt x="3300984" y="94488"/>
                                </a:lnTo>
                                <a:lnTo>
                                  <a:pt x="3334512" y="94488"/>
                                </a:lnTo>
                                <a:close/>
                              </a:path>
                              <a:path w="5605780" h="1369060">
                                <a:moveTo>
                                  <a:pt x="3639312" y="76200"/>
                                </a:moveTo>
                                <a:lnTo>
                                  <a:pt x="3629799" y="57912"/>
                                </a:lnTo>
                                <a:lnTo>
                                  <a:pt x="3599688" y="0"/>
                                </a:lnTo>
                                <a:lnTo>
                                  <a:pt x="3563112" y="76200"/>
                                </a:lnTo>
                                <a:lnTo>
                                  <a:pt x="3596640" y="76200"/>
                                </a:lnTo>
                                <a:lnTo>
                                  <a:pt x="3596640" y="999744"/>
                                </a:lnTo>
                                <a:lnTo>
                                  <a:pt x="3599688" y="1005840"/>
                                </a:lnTo>
                                <a:lnTo>
                                  <a:pt x="3605784" y="999744"/>
                                </a:lnTo>
                                <a:lnTo>
                                  <a:pt x="3605784" y="76200"/>
                                </a:lnTo>
                                <a:lnTo>
                                  <a:pt x="3639312" y="76200"/>
                                </a:lnTo>
                                <a:close/>
                              </a:path>
                              <a:path w="5605780" h="1369060">
                                <a:moveTo>
                                  <a:pt x="3944112" y="103632"/>
                                </a:moveTo>
                                <a:lnTo>
                                  <a:pt x="3936187" y="88392"/>
                                </a:lnTo>
                                <a:lnTo>
                                  <a:pt x="3904488" y="27432"/>
                                </a:lnTo>
                                <a:lnTo>
                                  <a:pt x="3867912" y="103632"/>
                                </a:lnTo>
                                <a:lnTo>
                                  <a:pt x="3901440" y="103632"/>
                                </a:lnTo>
                                <a:lnTo>
                                  <a:pt x="3901440" y="1030224"/>
                                </a:lnTo>
                                <a:lnTo>
                                  <a:pt x="3904488" y="1033272"/>
                                </a:lnTo>
                                <a:lnTo>
                                  <a:pt x="3910584" y="1030224"/>
                                </a:lnTo>
                                <a:lnTo>
                                  <a:pt x="3910584" y="103632"/>
                                </a:lnTo>
                                <a:lnTo>
                                  <a:pt x="3944112" y="103632"/>
                                </a:lnTo>
                                <a:close/>
                              </a:path>
                              <a:path w="5605780" h="1369060">
                                <a:moveTo>
                                  <a:pt x="4285488" y="76200"/>
                                </a:moveTo>
                                <a:lnTo>
                                  <a:pt x="4276699" y="57912"/>
                                </a:lnTo>
                                <a:lnTo>
                                  <a:pt x="4248912" y="0"/>
                                </a:lnTo>
                                <a:lnTo>
                                  <a:pt x="4209288" y="76200"/>
                                </a:lnTo>
                                <a:lnTo>
                                  <a:pt x="4242816" y="76200"/>
                                </a:lnTo>
                                <a:lnTo>
                                  <a:pt x="4242816" y="999744"/>
                                </a:lnTo>
                                <a:lnTo>
                                  <a:pt x="4248912" y="1005840"/>
                                </a:lnTo>
                                <a:lnTo>
                                  <a:pt x="4251960" y="999744"/>
                                </a:lnTo>
                                <a:lnTo>
                                  <a:pt x="4251960" y="76200"/>
                                </a:lnTo>
                                <a:lnTo>
                                  <a:pt x="4285488" y="76200"/>
                                </a:lnTo>
                                <a:close/>
                              </a:path>
                              <a:path w="5605780" h="1369060">
                                <a:moveTo>
                                  <a:pt x="4639056" y="112776"/>
                                </a:moveTo>
                                <a:lnTo>
                                  <a:pt x="4631131" y="97536"/>
                                </a:lnTo>
                                <a:lnTo>
                                  <a:pt x="4599432" y="36576"/>
                                </a:lnTo>
                                <a:lnTo>
                                  <a:pt x="4562856" y="112776"/>
                                </a:lnTo>
                                <a:lnTo>
                                  <a:pt x="4596384" y="112776"/>
                                </a:lnTo>
                                <a:lnTo>
                                  <a:pt x="4596384" y="1036320"/>
                                </a:lnTo>
                                <a:lnTo>
                                  <a:pt x="4599432" y="1042416"/>
                                </a:lnTo>
                                <a:lnTo>
                                  <a:pt x="4605528" y="1036320"/>
                                </a:lnTo>
                                <a:lnTo>
                                  <a:pt x="4605528" y="112776"/>
                                </a:lnTo>
                                <a:lnTo>
                                  <a:pt x="4639056" y="112776"/>
                                </a:lnTo>
                                <a:close/>
                              </a:path>
                              <a:path w="5605780" h="1369060">
                                <a:moveTo>
                                  <a:pt x="4962144" y="115824"/>
                                </a:moveTo>
                                <a:lnTo>
                                  <a:pt x="4953355" y="97536"/>
                                </a:lnTo>
                                <a:lnTo>
                                  <a:pt x="4925568" y="39624"/>
                                </a:lnTo>
                                <a:lnTo>
                                  <a:pt x="4885944" y="115824"/>
                                </a:lnTo>
                                <a:lnTo>
                                  <a:pt x="4919472" y="115824"/>
                                </a:lnTo>
                                <a:lnTo>
                                  <a:pt x="4919472" y="1039368"/>
                                </a:lnTo>
                                <a:lnTo>
                                  <a:pt x="4925568" y="1042416"/>
                                </a:lnTo>
                                <a:lnTo>
                                  <a:pt x="4928616" y="1039368"/>
                                </a:lnTo>
                                <a:lnTo>
                                  <a:pt x="4928616" y="115824"/>
                                </a:lnTo>
                                <a:lnTo>
                                  <a:pt x="4962144" y="115824"/>
                                </a:lnTo>
                                <a:close/>
                              </a:path>
                              <a:path w="5605780" h="1369060">
                                <a:moveTo>
                                  <a:pt x="5605272" y="1328928"/>
                                </a:moveTo>
                                <a:lnTo>
                                  <a:pt x="5602224" y="1325880"/>
                                </a:lnTo>
                                <a:lnTo>
                                  <a:pt x="5105400" y="1325880"/>
                                </a:lnTo>
                                <a:lnTo>
                                  <a:pt x="5105400" y="1292352"/>
                                </a:lnTo>
                                <a:lnTo>
                                  <a:pt x="5029200" y="1328928"/>
                                </a:lnTo>
                                <a:lnTo>
                                  <a:pt x="5105400" y="1368552"/>
                                </a:lnTo>
                                <a:lnTo>
                                  <a:pt x="5105400" y="1335024"/>
                                </a:lnTo>
                                <a:lnTo>
                                  <a:pt x="5602224" y="1335024"/>
                                </a:lnTo>
                                <a:lnTo>
                                  <a:pt x="5605272" y="13289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199997pt;margin-top:-96.281097pt;width:476.9pt;height:327.4pt;mso-position-horizontal-relative:page;mso-position-vertical-relative:paragraph;z-index:15753728" id="docshapegroup55" coordorigin="1464,-1926" coordsize="9538,6548">
                <v:shape style="position:absolute;left:1464;top:-937;width:9370;height:5559" type="#_x0000_t75" id="docshape56" stroked="false">
                  <v:imagedata r:id="rId10" o:title=""/>
                </v:shape>
                <v:shape style="position:absolute;left:2174;top:-1926;width:8828;height:2156" id="docshape57" coordorigin="2174,-1926" coordsize="8828,2156" path="m2294,-1777l2283,-1801,2237,-1897,2174,-1777,2227,-1777,2227,-322,2237,-313,2242,-322,2242,-1777,2294,-1777xm2760,-1777l2748,-1801,2698,-1897,2640,-1777,2693,-1777,2693,-322,2698,-313,2707,-322,2707,-1777,2760,-1777xm3298,-1743l3284,-1772,3240,-1863,3178,-1743,3230,-1743,3230,-289,3240,-284,3250,-289,3250,-1743,3298,-1743xm3778,-1777l3766,-1801,3720,-1897,3658,-1777,3710,-1777,3710,-322,3720,-313,3730,-322,3730,-1777,3778,-1777xm4320,-1777l4308,-1801,4258,-1897,4200,-1777,4253,-1777,4253,-322,4258,-313,4267,-322,4267,-1777,4320,-1777xm4829,-1743l4815,-1772,4771,-1863,4709,-1743,4762,-1743,4762,-289,4771,-284,4776,-289,4776,-1743,4829,-1743xm5323,-1777l5312,-1801,5266,-1897,5203,-1777,5256,-1777,5256,-322,5266,-313,5270,-322,5270,-1777,5323,-1777xm5923,-1743l5909,-1772,5866,-1863,5803,-1743,5856,-1743,5856,-289,5866,-284,5870,-289,5870,-1743,5923,-1743xm6374,-1777l6361,-1806,6317,-1897,6254,-1777,6307,-1777,6307,-322,6317,-313,6322,-322,6322,-1777,6374,-1777xm6917,-1743l6902,-1772,6854,-1863,6797,-1743,6850,-1743,6850,-289,6854,-284,6864,-289,6864,-1743,6917,-1743xm7426,-1777l7413,-1801,7363,-1897,7306,-1777,7358,-1777,7358,-322,7363,-313,7373,-322,7373,-1777,7426,-1777xm7906,-1806l7891,-1834,7843,-1926,7786,-1806,7838,-1806,7838,-351,7843,-342,7853,-351,7853,-1806,7906,-1806xm8386,-1762l8373,-1786,8323,-1882,8266,-1762,8318,-1762,8318,-303,8323,-298,8333,-303,8333,-1762,8386,-1762xm8923,-1806l8909,-1834,8866,-1926,8803,-1806,8856,-1806,8856,-351,8866,-342,8870,-351,8870,-1806,8923,-1806xm9480,-1748l9468,-1772,9418,-1868,9360,-1748,9413,-1748,9413,-294,9418,-284,9427,-294,9427,-1748,9480,-1748xm9989,-1743l9975,-1772,9931,-1863,9869,-1743,9922,-1743,9922,-289,9931,-284,9936,-289,9936,-1743,9989,-1743xm11002,167l10997,162,10214,162,10214,110,10094,167,10214,230,10214,177,10997,177,11002,167xe" filled="true" fillcolor="#000000" stroked="false">
                  <v:path arrowok="t"/>
                  <v:fill type="solid"/>
                </v:shape>
                <w10:wrap type="none"/>
              </v:group>
            </w:pict>
          </mc:Fallback>
        </mc:AlternateContent>
      </w:r>
      <w:r>
        <w:rPr>
          <w:spacing w:val="-4"/>
        </w:rPr>
        <w:t>Well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9"/>
      </w:pPr>
    </w:p>
    <w:p>
      <w:pPr>
        <w:pStyle w:val="Heading6"/>
        <w:spacing w:line="278" w:lineRule="auto"/>
        <w:ind w:left="2091" w:right="1171" w:hanging="1172"/>
        <w:jc w:val="both"/>
      </w:pPr>
      <w:r>
        <w:rPr/>
        <w:t>Plate 4.2: 1% Agarose Gel Electrophoresis of Plasmid DNAs from Multiple Antibiotic Resistant Isolates and Transconjugants.</w:t>
      </w:r>
    </w:p>
    <w:p>
      <w:pPr>
        <w:pStyle w:val="BodyText"/>
        <w:spacing w:line="480" w:lineRule="auto" w:before="193"/>
        <w:ind w:left="920" w:right="1174"/>
        <w:jc w:val="both"/>
      </w:pPr>
      <w:r>
        <w:rPr/>
        <w:t>Lane 1: 100bp Plus Ladder. Lane 2: Resistant </w:t>
      </w:r>
      <w:r>
        <w:rPr>
          <w:i/>
        </w:rPr>
        <w:t>E. coli </w:t>
      </w:r>
      <w:r>
        <w:rPr/>
        <w:t>(lab no E23e). Lane 3 to 12: Resistant </w:t>
      </w:r>
      <w:r>
        <w:rPr>
          <w:i/>
        </w:rPr>
        <w:t>Enterobacter species </w:t>
      </w:r>
      <w:r>
        <w:rPr/>
        <w:t>(Lab nos B33e, B5s, B23e, B27s, E22e, B25e, B41s, S36s, S31s, S44e). Lane 13 to 16: Transconjugants ( isolate lab nos. S4e, E6e, S44e and S15e)</w:t>
      </w:r>
    </w:p>
    <w:p>
      <w:pPr>
        <w:spacing w:after="0" w:line="480" w:lineRule="auto"/>
        <w:jc w:val="both"/>
        <w:sectPr>
          <w:type w:val="continuous"/>
          <w:pgSz w:w="12240" w:h="15840"/>
          <w:pgMar w:header="0" w:footer="1017" w:top="1680" w:bottom="280" w:left="520" w:right="260"/>
        </w:sectPr>
      </w:pPr>
    </w:p>
    <w:p>
      <w:pPr>
        <w:pStyle w:val="BodyText"/>
        <w:rPr>
          <w:sz w:val="20"/>
        </w:rPr>
      </w:pPr>
    </w:p>
    <w:p>
      <w:pPr>
        <w:pStyle w:val="BodyText"/>
        <w:rPr>
          <w:sz w:val="20"/>
        </w:rPr>
      </w:pPr>
    </w:p>
    <w:p>
      <w:pPr>
        <w:pStyle w:val="BodyText"/>
        <w:rPr>
          <w:sz w:val="20"/>
        </w:rPr>
      </w:pPr>
    </w:p>
    <w:p>
      <w:pPr>
        <w:pStyle w:val="BodyText"/>
        <w:spacing w:before="192"/>
        <w:rPr>
          <w:sz w:val="20"/>
        </w:rPr>
      </w:pPr>
    </w:p>
    <w:p>
      <w:pPr>
        <w:spacing w:after="0"/>
        <w:rPr>
          <w:sz w:val="20"/>
        </w:rPr>
        <w:sectPr>
          <w:pgSz w:w="12240" w:h="15840"/>
          <w:pgMar w:header="0" w:footer="1017" w:top="1820" w:bottom="1200" w:left="520" w:right="260"/>
        </w:sectPr>
      </w:pPr>
    </w:p>
    <w:p>
      <w:pPr>
        <w:pStyle w:val="BodyText"/>
        <w:tabs>
          <w:tab w:pos="3358" w:val="left" w:leader="none"/>
          <w:tab w:pos="3867" w:val="left" w:leader="none"/>
        </w:tabs>
        <w:spacing w:line="245" w:lineRule="exact" w:before="70"/>
        <w:ind w:left="2849"/>
      </w:pPr>
      <w:r>
        <w:rPr>
          <w:spacing w:val="-10"/>
          <w:position w:val="1"/>
        </w:rPr>
        <w:t>3</w:t>
      </w:r>
      <w:r>
        <w:rPr>
          <w:position w:val="1"/>
        </w:rPr>
        <w:tab/>
      </w:r>
      <w:r>
        <w:rPr>
          <w:spacing w:val="-10"/>
          <w:position w:val="1"/>
        </w:rPr>
        <w:t>4</w:t>
      </w:r>
      <w:r>
        <w:rPr>
          <w:position w:val="1"/>
        </w:rPr>
        <w:tab/>
      </w:r>
      <w:r>
        <w:rPr>
          <w:spacing w:val="-10"/>
        </w:rPr>
        <w:t>5</w:t>
      </w:r>
    </w:p>
    <w:p>
      <w:pPr>
        <w:pStyle w:val="BodyText"/>
        <w:tabs>
          <w:tab w:pos="2307" w:val="left" w:leader="none"/>
        </w:tabs>
        <w:spacing w:line="245" w:lineRule="exact"/>
        <w:ind w:left="1707"/>
      </w:pPr>
      <w:r>
        <w:rPr>
          <w:spacing w:val="-10"/>
        </w:rPr>
        <w:t>1</w:t>
      </w:r>
      <w:r>
        <w:rPr/>
        <w:tab/>
      </w:r>
      <w:r>
        <w:rPr>
          <w:spacing w:val="-10"/>
          <w:position w:val="1"/>
        </w:rPr>
        <w:t>2</w:t>
      </w:r>
    </w:p>
    <w:p>
      <w:pPr>
        <w:spacing w:line="240" w:lineRule="auto" w:before="2"/>
        <w:rPr>
          <w:sz w:val="22"/>
        </w:rPr>
      </w:pPr>
      <w:r>
        <w:rPr/>
        <w:br w:type="column"/>
      </w:r>
      <w:r>
        <w:rPr>
          <w:sz w:val="22"/>
        </w:rPr>
      </w:r>
    </w:p>
    <w:p>
      <w:pPr>
        <w:pStyle w:val="BodyText"/>
        <w:tabs>
          <w:tab w:pos="841" w:val="left" w:leader="none"/>
          <w:tab w:pos="1336" w:val="left" w:leader="none"/>
        </w:tabs>
        <w:ind w:left="376"/>
      </w:pPr>
      <w:r>
        <w:rPr>
          <w:spacing w:val="-10"/>
          <w:position w:val="2"/>
        </w:rPr>
        <w:t>6</w:t>
      </w:r>
      <w:r>
        <w:rPr>
          <w:position w:val="2"/>
        </w:rPr>
        <w:tab/>
      </w:r>
      <w:r>
        <w:rPr>
          <w:spacing w:val="-10"/>
          <w:position w:val="3"/>
        </w:rPr>
        <w:t>7</w:t>
      </w:r>
      <w:r>
        <w:rPr>
          <w:position w:val="3"/>
        </w:rPr>
        <w:tab/>
      </w:r>
      <w:r>
        <w:rPr>
          <w:spacing w:val="-10"/>
        </w:rPr>
        <w:t>8</w:t>
      </w:r>
    </w:p>
    <w:p>
      <w:pPr>
        <w:spacing w:line="240" w:lineRule="auto" w:before="3"/>
        <w:rPr>
          <w:sz w:val="22"/>
        </w:rPr>
      </w:pPr>
      <w:r>
        <w:rPr/>
        <w:br w:type="column"/>
      </w:r>
      <w:r>
        <w:rPr>
          <w:sz w:val="22"/>
        </w:rPr>
      </w:r>
    </w:p>
    <w:p>
      <w:pPr>
        <w:pStyle w:val="BodyText"/>
        <w:tabs>
          <w:tab w:pos="822" w:val="left" w:leader="none"/>
        </w:tabs>
        <w:spacing w:before="1"/>
        <w:ind w:left="385"/>
      </w:pPr>
      <w:r>
        <w:rPr>
          <w:spacing w:val="-10"/>
          <w:position w:val="-1"/>
        </w:rPr>
        <w:t>9</w:t>
      </w:r>
      <w:r>
        <w:rPr>
          <w:position w:val="-1"/>
        </w:rPr>
        <w:tab/>
      </w:r>
      <w:r>
        <w:rPr>
          <w:spacing w:val="-7"/>
        </w:rPr>
        <w:t>10</w:t>
      </w:r>
    </w:p>
    <w:p>
      <w:pPr>
        <w:spacing w:line="240" w:lineRule="auto" w:before="2"/>
        <w:rPr>
          <w:sz w:val="22"/>
        </w:rPr>
      </w:pPr>
      <w:r>
        <w:rPr/>
        <w:br w:type="column"/>
      </w:r>
      <w:r>
        <w:rPr>
          <w:sz w:val="22"/>
        </w:rPr>
      </w:r>
    </w:p>
    <w:p>
      <w:pPr>
        <w:pStyle w:val="BodyText"/>
        <w:tabs>
          <w:tab w:pos="789" w:val="left" w:leader="none"/>
          <w:tab w:pos="1249" w:val="left" w:leader="none"/>
          <w:tab w:pos="1777" w:val="left" w:leader="none"/>
        </w:tabs>
        <w:ind w:left="323"/>
      </w:pPr>
      <w:r>
        <w:rPr>
          <w:spacing w:val="-5"/>
        </w:rPr>
        <w:t>11</w:t>
      </w:r>
      <w:r>
        <w:rPr/>
        <w:tab/>
      </w:r>
      <w:r>
        <w:rPr>
          <w:spacing w:val="-5"/>
          <w:position w:val="3"/>
        </w:rPr>
        <w:t>12</w:t>
      </w:r>
      <w:r>
        <w:rPr>
          <w:position w:val="3"/>
        </w:rPr>
        <w:tab/>
      </w:r>
      <w:r>
        <w:rPr>
          <w:spacing w:val="-5"/>
        </w:rPr>
        <w:t>13</w:t>
      </w:r>
      <w:r>
        <w:rPr/>
        <w:tab/>
      </w:r>
      <w:r>
        <w:rPr>
          <w:spacing w:val="-7"/>
          <w:position w:val="1"/>
        </w:rPr>
        <w:t>14</w:t>
      </w:r>
    </w:p>
    <w:p>
      <w:pPr>
        <w:pStyle w:val="BodyText"/>
        <w:tabs>
          <w:tab w:pos="803" w:val="left" w:leader="none"/>
        </w:tabs>
        <w:spacing w:before="55"/>
        <w:ind w:left="309"/>
      </w:pPr>
      <w:r>
        <w:rPr/>
        <w:br w:type="column"/>
      </w:r>
      <w:r>
        <w:rPr>
          <w:spacing w:val="-5"/>
        </w:rPr>
        <w:t>15</w:t>
      </w:r>
      <w:r>
        <w:rPr/>
        <w:tab/>
      </w:r>
      <w:r>
        <w:rPr>
          <w:spacing w:val="-5"/>
          <w:position w:val="2"/>
        </w:rPr>
        <w:t>16</w:t>
      </w:r>
    </w:p>
    <w:p>
      <w:pPr>
        <w:spacing w:after="0"/>
        <w:sectPr>
          <w:type w:val="continuous"/>
          <w:pgSz w:w="12240" w:h="15840"/>
          <w:pgMar w:header="0" w:footer="1017" w:top="1680" w:bottom="280" w:left="520" w:right="260"/>
          <w:cols w:num="5" w:equalWidth="0">
            <w:col w:w="3979" w:space="40"/>
            <w:col w:w="1448" w:space="39"/>
            <w:col w:w="1045" w:space="40"/>
            <w:col w:w="2000" w:space="40"/>
            <w:col w:w="2829"/>
          </w:cols>
        </w:sectPr>
      </w:pPr>
    </w:p>
    <w:p>
      <w:pPr>
        <w:pStyle w:val="BodyText"/>
        <w:spacing w:before="226"/>
      </w:pPr>
    </w:p>
    <w:p>
      <w:pPr>
        <w:pStyle w:val="BodyText"/>
        <w:ind w:right="326"/>
        <w:jc w:val="right"/>
      </w:pPr>
      <w:r>
        <w:rPr/>
        <mc:AlternateContent>
          <mc:Choice Requires="wps">
            <w:drawing>
              <wp:anchor distT="0" distB="0" distL="0" distR="0" allowOverlap="1" layoutInCell="1" locked="0" behindDoc="0" simplePos="0" relativeHeight="15754240">
                <wp:simplePos x="0" y="0"/>
                <wp:positionH relativeFrom="page">
                  <wp:posOffset>929639</wp:posOffset>
                </wp:positionH>
                <wp:positionV relativeFrom="paragraph">
                  <wp:posOffset>-79899</wp:posOffset>
                </wp:positionV>
                <wp:extent cx="6120765" cy="398399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6120765" cy="3983990"/>
                          <a:chExt cx="6120765" cy="3983990"/>
                        </a:xfrm>
                      </wpg:grpSpPr>
                      <pic:pic>
                        <pic:nvPicPr>
                          <pic:cNvPr id="60" name="Image 60"/>
                          <pic:cNvPicPr/>
                        </pic:nvPicPr>
                        <pic:blipFill>
                          <a:blip r:embed="rId11" cstate="print"/>
                          <a:stretch>
                            <a:fillRect/>
                          </a:stretch>
                        </pic:blipFill>
                        <pic:spPr>
                          <a:xfrm>
                            <a:off x="0" y="0"/>
                            <a:ext cx="5943600" cy="3983736"/>
                          </a:xfrm>
                          <a:prstGeom prst="rect">
                            <a:avLst/>
                          </a:prstGeom>
                        </pic:spPr>
                      </pic:pic>
                      <wps:wsp>
                        <wps:cNvPr id="61" name="Graphic 61"/>
                        <wps:cNvSpPr/>
                        <wps:spPr>
                          <a:xfrm>
                            <a:off x="5544311" y="146304"/>
                            <a:ext cx="576580" cy="76200"/>
                          </a:xfrm>
                          <a:custGeom>
                            <a:avLst/>
                            <a:gdLst/>
                            <a:ahLst/>
                            <a:cxnLst/>
                            <a:rect l="l" t="t" r="r" b="b"/>
                            <a:pathLst>
                              <a:path w="576580" h="76200">
                                <a:moveTo>
                                  <a:pt x="76200" y="0"/>
                                </a:moveTo>
                                <a:lnTo>
                                  <a:pt x="0" y="39624"/>
                                </a:lnTo>
                                <a:lnTo>
                                  <a:pt x="76200" y="76200"/>
                                </a:lnTo>
                                <a:lnTo>
                                  <a:pt x="76200" y="42672"/>
                                </a:lnTo>
                                <a:lnTo>
                                  <a:pt x="64007" y="42672"/>
                                </a:lnTo>
                                <a:lnTo>
                                  <a:pt x="60959" y="39624"/>
                                </a:lnTo>
                                <a:lnTo>
                                  <a:pt x="64007" y="33527"/>
                                </a:lnTo>
                                <a:lnTo>
                                  <a:pt x="76200" y="33527"/>
                                </a:lnTo>
                                <a:lnTo>
                                  <a:pt x="76200" y="0"/>
                                </a:lnTo>
                                <a:close/>
                              </a:path>
                              <a:path w="576580" h="76200">
                                <a:moveTo>
                                  <a:pt x="76200" y="33527"/>
                                </a:moveTo>
                                <a:lnTo>
                                  <a:pt x="64007" y="33527"/>
                                </a:lnTo>
                                <a:lnTo>
                                  <a:pt x="60959" y="39624"/>
                                </a:lnTo>
                                <a:lnTo>
                                  <a:pt x="64007" y="42672"/>
                                </a:lnTo>
                                <a:lnTo>
                                  <a:pt x="76200" y="42672"/>
                                </a:lnTo>
                                <a:lnTo>
                                  <a:pt x="76200" y="33527"/>
                                </a:lnTo>
                                <a:close/>
                              </a:path>
                              <a:path w="576580" h="76200">
                                <a:moveTo>
                                  <a:pt x="573024" y="33527"/>
                                </a:moveTo>
                                <a:lnTo>
                                  <a:pt x="76200" y="33527"/>
                                </a:lnTo>
                                <a:lnTo>
                                  <a:pt x="76200" y="42672"/>
                                </a:lnTo>
                                <a:lnTo>
                                  <a:pt x="573024" y="42672"/>
                                </a:lnTo>
                                <a:lnTo>
                                  <a:pt x="576072" y="39624"/>
                                </a:lnTo>
                                <a:lnTo>
                                  <a:pt x="573024" y="3352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199997pt;margin-top:-6.291328pt;width:481.95pt;height:313.7pt;mso-position-horizontal-relative:page;mso-position-vertical-relative:paragraph;z-index:15754240" id="docshapegroup58" coordorigin="1464,-126" coordsize="9639,6274">
                <v:shape style="position:absolute;left:1464;top:-126;width:9360;height:6274" type="#_x0000_t75" id="docshape59" stroked="false">
                  <v:imagedata r:id="rId11" o:title=""/>
                </v:shape>
                <v:shape style="position:absolute;left:10195;top:104;width:908;height:120" id="docshape60" coordorigin="10195,105" coordsize="908,120" path="m10315,105l10195,167,10315,225,10315,172,10296,172,10291,167,10296,157,10315,157,10315,105xm10315,157l10296,157,10291,167,10296,172,10315,172,10315,157xm11098,157l10315,157,10315,172,11098,172,11102,167,11098,157xe" filled="true" fillcolor="#000000" stroked="false">
                  <v:path arrowok="t"/>
                  <v:fill type="solid"/>
                </v:shape>
                <w10:wrap type="none"/>
              </v:group>
            </w:pict>
          </mc:Fallback>
        </mc:AlternateContent>
      </w:r>
      <w:r>
        <w:rPr>
          <w:spacing w:val="-4"/>
        </w:rPr>
        <w:t>Well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4"/>
      </w:pPr>
    </w:p>
    <w:p>
      <w:pPr>
        <w:pStyle w:val="Heading6"/>
        <w:spacing w:before="1"/>
        <w:ind w:left="920" w:firstLine="0"/>
      </w:pPr>
      <w:r>
        <w:rPr/>
        <w:t>Plate</w:t>
      </w:r>
      <w:r>
        <w:rPr>
          <w:spacing w:val="-8"/>
        </w:rPr>
        <w:t> </w:t>
      </w:r>
      <w:r>
        <w:rPr/>
        <w:t>4.3:</w:t>
      </w:r>
      <w:r>
        <w:rPr>
          <w:spacing w:val="1"/>
        </w:rPr>
        <w:t> </w:t>
      </w:r>
      <w:r>
        <w:rPr/>
        <w:t>1%</w:t>
      </w:r>
      <w:r>
        <w:rPr>
          <w:spacing w:val="-2"/>
        </w:rPr>
        <w:t> </w:t>
      </w:r>
      <w:r>
        <w:rPr/>
        <w:t>Agarose</w:t>
      </w:r>
      <w:r>
        <w:rPr>
          <w:spacing w:val="-6"/>
        </w:rPr>
        <w:t> </w:t>
      </w:r>
      <w:r>
        <w:rPr/>
        <w:t>Gel</w:t>
      </w:r>
      <w:r>
        <w:rPr>
          <w:spacing w:val="-5"/>
        </w:rPr>
        <w:t> </w:t>
      </w:r>
      <w:r>
        <w:rPr/>
        <w:t>Electrophoresis</w:t>
      </w:r>
      <w:r>
        <w:rPr>
          <w:spacing w:val="-6"/>
        </w:rPr>
        <w:t> </w:t>
      </w:r>
      <w:r>
        <w:rPr/>
        <w:t>of</w:t>
      </w:r>
      <w:r>
        <w:rPr>
          <w:spacing w:val="-2"/>
        </w:rPr>
        <w:t> </w:t>
      </w:r>
      <w:r>
        <w:rPr/>
        <w:t>Plasmid</w:t>
      </w:r>
      <w:r>
        <w:rPr>
          <w:spacing w:val="-4"/>
        </w:rPr>
        <w:t> </w:t>
      </w:r>
      <w:r>
        <w:rPr/>
        <w:t>DNAs</w:t>
      </w:r>
      <w:r>
        <w:rPr>
          <w:spacing w:val="-6"/>
        </w:rPr>
        <w:t> </w:t>
      </w:r>
      <w:r>
        <w:rPr/>
        <w:t>from</w:t>
      </w:r>
      <w:r>
        <w:rPr>
          <w:spacing w:val="-6"/>
        </w:rPr>
        <w:t> </w:t>
      </w:r>
      <w:r>
        <w:rPr/>
        <w:t>Transconjugant</w:t>
      </w:r>
      <w:r>
        <w:rPr>
          <w:spacing w:val="-4"/>
        </w:rPr>
        <w:t> </w:t>
      </w:r>
      <w:r>
        <w:rPr>
          <w:spacing w:val="-2"/>
        </w:rPr>
        <w:t>Isolates</w:t>
      </w:r>
    </w:p>
    <w:p>
      <w:pPr>
        <w:pStyle w:val="BodyText"/>
        <w:spacing w:line="480" w:lineRule="auto" w:before="235"/>
        <w:ind w:left="920" w:right="1181"/>
      </w:pPr>
      <w:r>
        <w:rPr/>
        <w:t>Lane</w:t>
      </w:r>
      <w:r>
        <w:rPr>
          <w:spacing w:val="29"/>
        </w:rPr>
        <w:t> </w:t>
      </w:r>
      <w:r>
        <w:rPr/>
        <w:t>1:</w:t>
      </w:r>
      <w:r>
        <w:rPr>
          <w:spacing w:val="27"/>
        </w:rPr>
        <w:t> </w:t>
      </w:r>
      <w:r>
        <w:rPr/>
        <w:t>100bp</w:t>
      </w:r>
      <w:r>
        <w:rPr>
          <w:spacing w:val="28"/>
        </w:rPr>
        <w:t> </w:t>
      </w:r>
      <w:r>
        <w:rPr/>
        <w:t>Plus</w:t>
      </w:r>
      <w:r>
        <w:rPr>
          <w:spacing w:val="29"/>
        </w:rPr>
        <w:t> </w:t>
      </w:r>
      <w:r>
        <w:rPr/>
        <w:t>Ladder.</w:t>
      </w:r>
      <w:r>
        <w:rPr>
          <w:spacing w:val="30"/>
        </w:rPr>
        <w:t> </w:t>
      </w:r>
      <w:r>
        <w:rPr/>
        <w:t>Lane</w:t>
      </w:r>
      <w:r>
        <w:rPr>
          <w:spacing w:val="25"/>
        </w:rPr>
        <w:t> </w:t>
      </w:r>
      <w:r>
        <w:rPr/>
        <w:t>2</w:t>
      </w:r>
      <w:r>
        <w:rPr>
          <w:spacing w:val="27"/>
        </w:rPr>
        <w:t> </w:t>
      </w:r>
      <w:r>
        <w:rPr/>
        <w:t>to</w:t>
      </w:r>
      <w:r>
        <w:rPr>
          <w:spacing w:val="28"/>
        </w:rPr>
        <w:t> </w:t>
      </w:r>
      <w:r>
        <w:rPr/>
        <w:t>16:</w:t>
      </w:r>
      <w:r>
        <w:rPr>
          <w:spacing w:val="27"/>
        </w:rPr>
        <w:t> </w:t>
      </w:r>
      <w:r>
        <w:rPr/>
        <w:t>Transconjugants</w:t>
      </w:r>
      <w:r>
        <w:rPr>
          <w:spacing w:val="29"/>
        </w:rPr>
        <w:t> </w:t>
      </w:r>
      <w:r>
        <w:rPr/>
        <w:t>with</w:t>
      </w:r>
      <w:r>
        <w:rPr>
          <w:spacing w:val="23"/>
        </w:rPr>
        <w:t> </w:t>
      </w:r>
      <w:r>
        <w:rPr/>
        <w:t>isolate</w:t>
      </w:r>
      <w:r>
        <w:rPr>
          <w:spacing w:val="25"/>
        </w:rPr>
        <w:t> </w:t>
      </w:r>
      <w:r>
        <w:rPr/>
        <w:t>lab</w:t>
      </w:r>
      <w:r>
        <w:rPr>
          <w:spacing w:val="23"/>
        </w:rPr>
        <w:t> </w:t>
      </w:r>
      <w:r>
        <w:rPr/>
        <w:t>nos.</w:t>
      </w:r>
      <w:r>
        <w:rPr>
          <w:spacing w:val="30"/>
        </w:rPr>
        <w:t> </w:t>
      </w:r>
      <w:r>
        <w:rPr/>
        <w:t>E4s,</w:t>
      </w:r>
      <w:r>
        <w:rPr>
          <w:spacing w:val="26"/>
        </w:rPr>
        <w:t> </w:t>
      </w:r>
      <w:r>
        <w:rPr/>
        <w:t>B7e,</w:t>
      </w:r>
      <w:r>
        <w:rPr>
          <w:spacing w:val="26"/>
        </w:rPr>
        <w:t> </w:t>
      </w:r>
      <w:r>
        <w:rPr/>
        <w:t>E22s,</w:t>
      </w:r>
      <w:r>
        <w:rPr>
          <w:spacing w:val="26"/>
        </w:rPr>
        <w:t> </w:t>
      </w:r>
      <w:r>
        <w:rPr/>
        <w:t>B36s, S43s, E46e, B33e, B5s, B23e, E22e, B25e, B41s, S36s, S31s, E10e.</w:t>
      </w:r>
    </w:p>
    <w:p>
      <w:pPr>
        <w:spacing w:after="0" w:line="480" w:lineRule="auto"/>
        <w:sectPr>
          <w:type w:val="continuous"/>
          <w:pgSz w:w="12240" w:h="15840"/>
          <w:pgMar w:header="0" w:footer="1017" w:top="1680" w:bottom="280" w:left="52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6"/>
        <w:rPr>
          <w:sz w:val="20"/>
        </w:rPr>
      </w:pPr>
    </w:p>
    <w:p>
      <w:pPr>
        <w:spacing w:before="0"/>
        <w:ind w:left="1611" w:right="0" w:firstLine="0"/>
        <w:jc w:val="left"/>
        <w:rPr>
          <w:rFonts w:ascii="Times New Roman"/>
          <w:sz w:val="20"/>
        </w:rPr>
      </w:pPr>
      <w:r>
        <w:rPr/>
        <mc:AlternateContent>
          <mc:Choice Requires="wps">
            <w:drawing>
              <wp:anchor distT="0" distB="0" distL="0" distR="0" allowOverlap="1" layoutInCell="1" locked="0" behindDoc="0" simplePos="0" relativeHeight="15754752">
                <wp:simplePos x="0" y="0"/>
                <wp:positionH relativeFrom="page">
                  <wp:posOffset>1487424</wp:posOffset>
                </wp:positionH>
                <wp:positionV relativeFrom="paragraph">
                  <wp:posOffset>75904</wp:posOffset>
                </wp:positionV>
                <wp:extent cx="3923029" cy="309689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3923029" cy="3096895"/>
                          <a:chExt cx="3923029" cy="3096895"/>
                        </a:xfrm>
                      </wpg:grpSpPr>
                      <wps:wsp>
                        <wps:cNvPr id="63" name="Graphic 63"/>
                        <wps:cNvSpPr/>
                        <wps:spPr>
                          <a:xfrm>
                            <a:off x="0" y="0"/>
                            <a:ext cx="3923029" cy="3096895"/>
                          </a:xfrm>
                          <a:custGeom>
                            <a:avLst/>
                            <a:gdLst/>
                            <a:ahLst/>
                            <a:cxnLst/>
                            <a:rect l="l" t="t" r="r" b="b"/>
                            <a:pathLst>
                              <a:path w="3923029" h="3096895">
                                <a:moveTo>
                                  <a:pt x="3922776" y="3060192"/>
                                </a:moveTo>
                                <a:lnTo>
                                  <a:pt x="3919728" y="3060192"/>
                                </a:lnTo>
                                <a:lnTo>
                                  <a:pt x="3919728" y="3057144"/>
                                </a:lnTo>
                                <a:lnTo>
                                  <a:pt x="42672" y="3057144"/>
                                </a:lnTo>
                                <a:lnTo>
                                  <a:pt x="42672" y="3048"/>
                                </a:lnTo>
                                <a:lnTo>
                                  <a:pt x="36576" y="3048"/>
                                </a:lnTo>
                                <a:lnTo>
                                  <a:pt x="36576" y="0"/>
                                </a:lnTo>
                                <a:lnTo>
                                  <a:pt x="0" y="0"/>
                                </a:lnTo>
                                <a:lnTo>
                                  <a:pt x="0" y="9144"/>
                                </a:lnTo>
                                <a:lnTo>
                                  <a:pt x="33528" y="9144"/>
                                </a:lnTo>
                                <a:lnTo>
                                  <a:pt x="33528" y="381000"/>
                                </a:lnTo>
                                <a:lnTo>
                                  <a:pt x="0" y="381000"/>
                                </a:lnTo>
                                <a:lnTo>
                                  <a:pt x="0" y="390144"/>
                                </a:lnTo>
                                <a:lnTo>
                                  <a:pt x="33528" y="390144"/>
                                </a:lnTo>
                                <a:lnTo>
                                  <a:pt x="33528" y="762000"/>
                                </a:lnTo>
                                <a:lnTo>
                                  <a:pt x="0" y="762000"/>
                                </a:lnTo>
                                <a:lnTo>
                                  <a:pt x="0" y="771144"/>
                                </a:lnTo>
                                <a:lnTo>
                                  <a:pt x="33528" y="771144"/>
                                </a:lnTo>
                                <a:lnTo>
                                  <a:pt x="33528" y="1146048"/>
                                </a:lnTo>
                                <a:lnTo>
                                  <a:pt x="0" y="1146048"/>
                                </a:lnTo>
                                <a:lnTo>
                                  <a:pt x="0" y="1155192"/>
                                </a:lnTo>
                                <a:lnTo>
                                  <a:pt x="33528" y="1155192"/>
                                </a:lnTo>
                                <a:lnTo>
                                  <a:pt x="33528" y="1527048"/>
                                </a:lnTo>
                                <a:lnTo>
                                  <a:pt x="0" y="1527048"/>
                                </a:lnTo>
                                <a:lnTo>
                                  <a:pt x="0" y="1536192"/>
                                </a:lnTo>
                                <a:lnTo>
                                  <a:pt x="33528" y="1536192"/>
                                </a:lnTo>
                                <a:lnTo>
                                  <a:pt x="33528" y="1908048"/>
                                </a:lnTo>
                                <a:lnTo>
                                  <a:pt x="0" y="1908048"/>
                                </a:lnTo>
                                <a:lnTo>
                                  <a:pt x="0" y="1917192"/>
                                </a:lnTo>
                                <a:lnTo>
                                  <a:pt x="33528" y="1917192"/>
                                </a:lnTo>
                                <a:lnTo>
                                  <a:pt x="33528" y="2292096"/>
                                </a:lnTo>
                                <a:lnTo>
                                  <a:pt x="0" y="2292096"/>
                                </a:lnTo>
                                <a:lnTo>
                                  <a:pt x="0" y="2301240"/>
                                </a:lnTo>
                                <a:lnTo>
                                  <a:pt x="33528" y="2301240"/>
                                </a:lnTo>
                                <a:lnTo>
                                  <a:pt x="33528" y="2673096"/>
                                </a:lnTo>
                                <a:lnTo>
                                  <a:pt x="0" y="2673096"/>
                                </a:lnTo>
                                <a:lnTo>
                                  <a:pt x="0" y="2682240"/>
                                </a:lnTo>
                                <a:lnTo>
                                  <a:pt x="33528" y="2682240"/>
                                </a:lnTo>
                                <a:lnTo>
                                  <a:pt x="33528" y="3054096"/>
                                </a:lnTo>
                                <a:lnTo>
                                  <a:pt x="0" y="3054096"/>
                                </a:lnTo>
                                <a:lnTo>
                                  <a:pt x="0" y="3063240"/>
                                </a:lnTo>
                                <a:lnTo>
                                  <a:pt x="30480" y="3063240"/>
                                </a:lnTo>
                                <a:lnTo>
                                  <a:pt x="30480" y="3096768"/>
                                </a:lnTo>
                                <a:lnTo>
                                  <a:pt x="39624" y="3096768"/>
                                </a:lnTo>
                                <a:lnTo>
                                  <a:pt x="39624" y="3066288"/>
                                </a:lnTo>
                                <a:lnTo>
                                  <a:pt x="676656" y="3066288"/>
                                </a:lnTo>
                                <a:lnTo>
                                  <a:pt x="676656" y="3096768"/>
                                </a:lnTo>
                                <a:lnTo>
                                  <a:pt x="685800" y="3096768"/>
                                </a:lnTo>
                                <a:lnTo>
                                  <a:pt x="685800" y="3066288"/>
                                </a:lnTo>
                                <a:lnTo>
                                  <a:pt x="1325880" y="3066288"/>
                                </a:lnTo>
                                <a:lnTo>
                                  <a:pt x="1325880" y="3096768"/>
                                </a:lnTo>
                                <a:lnTo>
                                  <a:pt x="1335024" y="3096768"/>
                                </a:lnTo>
                                <a:lnTo>
                                  <a:pt x="1335024" y="3066288"/>
                                </a:lnTo>
                                <a:lnTo>
                                  <a:pt x="1972056" y="3066288"/>
                                </a:lnTo>
                                <a:lnTo>
                                  <a:pt x="1972056" y="3096768"/>
                                </a:lnTo>
                                <a:lnTo>
                                  <a:pt x="1981200" y="3096768"/>
                                </a:lnTo>
                                <a:lnTo>
                                  <a:pt x="1981200" y="3066288"/>
                                </a:lnTo>
                                <a:lnTo>
                                  <a:pt x="2618232" y="3066288"/>
                                </a:lnTo>
                                <a:lnTo>
                                  <a:pt x="2618232" y="3096768"/>
                                </a:lnTo>
                                <a:lnTo>
                                  <a:pt x="2627376" y="3096768"/>
                                </a:lnTo>
                                <a:lnTo>
                                  <a:pt x="2627376" y="3066288"/>
                                </a:lnTo>
                                <a:lnTo>
                                  <a:pt x="3267456" y="3066288"/>
                                </a:lnTo>
                                <a:lnTo>
                                  <a:pt x="3267456" y="3096768"/>
                                </a:lnTo>
                                <a:lnTo>
                                  <a:pt x="3276600" y="3096768"/>
                                </a:lnTo>
                                <a:lnTo>
                                  <a:pt x="3276600" y="3066288"/>
                                </a:lnTo>
                                <a:lnTo>
                                  <a:pt x="3913632" y="3066288"/>
                                </a:lnTo>
                                <a:lnTo>
                                  <a:pt x="3913632" y="3096768"/>
                                </a:lnTo>
                                <a:lnTo>
                                  <a:pt x="3922776" y="3096768"/>
                                </a:lnTo>
                                <a:lnTo>
                                  <a:pt x="3922776" y="3060192"/>
                                </a:lnTo>
                                <a:close/>
                              </a:path>
                            </a:pathLst>
                          </a:custGeom>
                          <a:solidFill>
                            <a:srgbClr val="858585"/>
                          </a:solidFill>
                        </wps:spPr>
                        <wps:bodyPr wrap="square" lIns="0" tIns="0" rIns="0" bIns="0" rtlCol="0">
                          <a:prstTxWarp prst="textNoShape">
                            <a:avLst/>
                          </a:prstTxWarp>
                          <a:noAutofit/>
                        </wps:bodyPr>
                      </wps:wsp>
                      <pic:pic>
                        <pic:nvPicPr>
                          <pic:cNvPr id="64" name="Image 64"/>
                          <pic:cNvPicPr/>
                        </pic:nvPicPr>
                        <pic:blipFill>
                          <a:blip r:embed="rId12" cstate="print"/>
                          <a:stretch>
                            <a:fillRect/>
                          </a:stretch>
                        </pic:blipFill>
                        <pic:spPr>
                          <a:xfrm>
                            <a:off x="1277111" y="335279"/>
                            <a:ext cx="103631" cy="103632"/>
                          </a:xfrm>
                          <a:prstGeom prst="rect">
                            <a:avLst/>
                          </a:prstGeom>
                        </pic:spPr>
                      </pic:pic>
                      <pic:pic>
                        <pic:nvPicPr>
                          <pic:cNvPr id="65" name="Image 65"/>
                          <pic:cNvPicPr/>
                        </pic:nvPicPr>
                        <pic:blipFill>
                          <a:blip r:embed="rId12" cstate="print"/>
                          <a:stretch>
                            <a:fillRect/>
                          </a:stretch>
                        </pic:blipFill>
                        <pic:spPr>
                          <a:xfrm>
                            <a:off x="1536191" y="487680"/>
                            <a:ext cx="103631" cy="103632"/>
                          </a:xfrm>
                          <a:prstGeom prst="rect">
                            <a:avLst/>
                          </a:prstGeom>
                        </pic:spPr>
                      </pic:pic>
                      <pic:pic>
                        <pic:nvPicPr>
                          <pic:cNvPr id="66" name="Image 66"/>
                          <pic:cNvPicPr/>
                        </pic:nvPicPr>
                        <pic:blipFill>
                          <a:blip r:embed="rId13" cstate="print"/>
                          <a:stretch>
                            <a:fillRect/>
                          </a:stretch>
                        </pic:blipFill>
                        <pic:spPr>
                          <a:xfrm>
                            <a:off x="1795272" y="563880"/>
                            <a:ext cx="880871" cy="484632"/>
                          </a:xfrm>
                          <a:prstGeom prst="rect">
                            <a:avLst/>
                          </a:prstGeom>
                        </pic:spPr>
                      </pic:pic>
                      <pic:pic>
                        <pic:nvPicPr>
                          <pic:cNvPr id="67" name="Image 67"/>
                          <pic:cNvPicPr/>
                        </pic:nvPicPr>
                        <pic:blipFill>
                          <a:blip r:embed="rId12" cstate="print"/>
                          <a:stretch>
                            <a:fillRect/>
                          </a:stretch>
                        </pic:blipFill>
                        <pic:spPr>
                          <a:xfrm>
                            <a:off x="2831592" y="1021080"/>
                            <a:ext cx="103632" cy="103631"/>
                          </a:xfrm>
                          <a:prstGeom prst="rect">
                            <a:avLst/>
                          </a:prstGeom>
                        </pic:spPr>
                      </pic:pic>
                      <pic:pic>
                        <pic:nvPicPr>
                          <pic:cNvPr id="68" name="Image 68"/>
                          <pic:cNvPicPr/>
                        </pic:nvPicPr>
                        <pic:blipFill>
                          <a:blip r:embed="rId12" cstate="print"/>
                          <a:stretch>
                            <a:fillRect/>
                          </a:stretch>
                        </pic:blipFill>
                        <pic:spPr>
                          <a:xfrm>
                            <a:off x="2959607" y="1097280"/>
                            <a:ext cx="103631" cy="103631"/>
                          </a:xfrm>
                          <a:prstGeom prst="rect">
                            <a:avLst/>
                          </a:prstGeom>
                        </pic:spPr>
                      </pic:pic>
                      <pic:pic>
                        <pic:nvPicPr>
                          <pic:cNvPr id="69" name="Image 69"/>
                          <pic:cNvPicPr/>
                        </pic:nvPicPr>
                        <pic:blipFill>
                          <a:blip r:embed="rId12" cstate="print"/>
                          <a:stretch>
                            <a:fillRect/>
                          </a:stretch>
                        </pic:blipFill>
                        <pic:spPr>
                          <a:xfrm>
                            <a:off x="3090672" y="1249680"/>
                            <a:ext cx="103631" cy="103631"/>
                          </a:xfrm>
                          <a:prstGeom prst="rect">
                            <a:avLst/>
                          </a:prstGeom>
                        </pic:spPr>
                      </pic:pic>
                      <pic:pic>
                        <pic:nvPicPr>
                          <pic:cNvPr id="70" name="Image 70"/>
                          <pic:cNvPicPr/>
                        </pic:nvPicPr>
                        <pic:blipFill>
                          <a:blip r:embed="rId12" cstate="print"/>
                          <a:stretch>
                            <a:fillRect/>
                          </a:stretch>
                        </pic:blipFill>
                        <pic:spPr>
                          <a:xfrm>
                            <a:off x="3218688" y="1478280"/>
                            <a:ext cx="103632" cy="103631"/>
                          </a:xfrm>
                          <a:prstGeom prst="rect">
                            <a:avLst/>
                          </a:prstGeom>
                        </pic:spPr>
                      </pic:pic>
                      <wps:wsp>
                        <wps:cNvPr id="71" name="Graphic 71"/>
                        <wps:cNvSpPr/>
                        <wps:spPr>
                          <a:xfrm>
                            <a:off x="1325880" y="359663"/>
                            <a:ext cx="1950720" cy="1005840"/>
                          </a:xfrm>
                          <a:custGeom>
                            <a:avLst/>
                            <a:gdLst/>
                            <a:ahLst/>
                            <a:cxnLst/>
                            <a:rect l="l" t="t" r="r" b="b"/>
                            <a:pathLst>
                              <a:path w="1950720" h="1005840">
                                <a:moveTo>
                                  <a:pt x="6095" y="0"/>
                                </a:moveTo>
                                <a:lnTo>
                                  <a:pt x="0" y="3048"/>
                                </a:lnTo>
                                <a:lnTo>
                                  <a:pt x="3047" y="9143"/>
                                </a:lnTo>
                                <a:lnTo>
                                  <a:pt x="1944623" y="1005839"/>
                                </a:lnTo>
                                <a:lnTo>
                                  <a:pt x="1950720" y="1002791"/>
                                </a:lnTo>
                                <a:lnTo>
                                  <a:pt x="1947671" y="996695"/>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120003pt;margin-top:5.976719pt;width:308.9pt;height:243.85pt;mso-position-horizontal-relative:page;mso-position-vertical-relative:paragraph;z-index:15754752" id="docshapegroup61" coordorigin="2342,120" coordsize="6178,4877">
                <v:shape style="position:absolute;left:2342;top:119;width:6178;height:4877" id="docshape62" coordorigin="2342,120" coordsize="6178,4877" path="m8520,4939l8515,4939,8515,4934,2410,4934,2410,124,2400,124,2400,120,2342,120,2342,134,2395,134,2395,720,2342,720,2342,734,2395,734,2395,1320,2342,1320,2342,1334,2395,1334,2395,1924,2342,1924,2342,1939,2395,1939,2395,2524,2342,2524,2342,2539,2395,2539,2395,3124,2342,3124,2342,3139,2395,3139,2395,3729,2342,3729,2342,3744,2395,3744,2395,4329,2342,4329,2342,4344,2395,4344,2395,4929,2342,4929,2342,4944,2390,4944,2390,4996,2405,4996,2405,4948,3408,4948,3408,4996,3422,4996,3422,4948,4430,4948,4430,4996,4445,4996,4445,4948,5448,4948,5448,4996,5462,4996,5462,4948,6466,4948,6466,4996,6480,4996,6480,4948,7488,4948,7488,4996,7502,4996,7502,4948,8506,4948,8506,4996,8520,4996,8520,4939xe" filled="true" fillcolor="#858585" stroked="false">
                  <v:path arrowok="t"/>
                  <v:fill type="solid"/>
                </v:shape>
                <v:shape style="position:absolute;left:4353;top:647;width:164;height:164" type="#_x0000_t75" id="docshape63" stroked="false">
                  <v:imagedata r:id="rId12" o:title=""/>
                </v:shape>
                <v:shape style="position:absolute;left:4761;top:887;width:164;height:164" type="#_x0000_t75" id="docshape64" stroked="false">
                  <v:imagedata r:id="rId12" o:title=""/>
                </v:shape>
                <v:shape style="position:absolute;left:5169;top:1007;width:1388;height:764" type="#_x0000_t75" id="docshape65" stroked="false">
                  <v:imagedata r:id="rId13" o:title=""/>
                </v:shape>
                <v:shape style="position:absolute;left:6801;top:1727;width:164;height:164" type="#_x0000_t75" id="docshape66" stroked="false">
                  <v:imagedata r:id="rId12" o:title=""/>
                </v:shape>
                <v:shape style="position:absolute;left:7003;top:1847;width:164;height:164" type="#_x0000_t75" id="docshape67" stroked="false">
                  <v:imagedata r:id="rId12" o:title=""/>
                </v:shape>
                <v:shape style="position:absolute;left:7209;top:2087;width:164;height:164" type="#_x0000_t75" id="docshape68" stroked="false">
                  <v:imagedata r:id="rId12" o:title=""/>
                </v:shape>
                <v:shape style="position:absolute;left:7411;top:2447;width:164;height:164" type="#_x0000_t75" id="docshape69" stroked="false">
                  <v:imagedata r:id="rId12" o:title=""/>
                </v:shape>
                <v:shape style="position:absolute;left:4430;top:685;width:3072;height:1584" id="docshape70" coordorigin="4430,686" coordsize="3072,1584" path="m4440,686l4430,691,4435,700,7493,2270,7502,2265,7498,2256,4440,686xe" filled="true" fillcolor="#000000" stroked="false">
                  <v:path arrowok="t"/>
                  <v:fill type="solid"/>
                </v:shape>
                <w10:wrap type="none"/>
              </v:group>
            </w:pict>
          </mc:Fallback>
        </mc:AlternateContent>
      </w:r>
      <w:r>
        <w:rPr>
          <w:rFonts w:ascii="Times New Roman"/>
          <w:spacing w:val="-10"/>
          <w:sz w:val="20"/>
        </w:rPr>
        <w:t>4</w:t>
      </w:r>
    </w:p>
    <w:p>
      <w:pPr>
        <w:pStyle w:val="BodyText"/>
        <w:spacing w:before="23"/>
        <w:rPr>
          <w:rFonts w:ascii="Times New Roman"/>
          <w:sz w:val="20"/>
        </w:rPr>
      </w:pPr>
    </w:p>
    <w:p>
      <w:pPr>
        <w:spacing w:after="0"/>
        <w:rPr>
          <w:rFonts w:ascii="Times New Roman"/>
          <w:sz w:val="20"/>
        </w:rPr>
        <w:sectPr>
          <w:pgSz w:w="12240" w:h="15840"/>
          <w:pgMar w:header="0" w:footer="1017" w:top="1820" w:bottom="1200" w:left="520" w:right="260"/>
        </w:sectPr>
      </w:pPr>
    </w:p>
    <w:p>
      <w:pPr>
        <w:spacing w:before="122"/>
        <w:ind w:left="0" w:right="38" w:firstLine="0"/>
        <w:jc w:val="right"/>
        <w:rPr>
          <w:rFonts w:ascii="Times New Roman"/>
          <w:sz w:val="20"/>
        </w:rPr>
      </w:pPr>
      <w:r>
        <w:rPr>
          <w:rFonts w:ascii="Times New Roman"/>
          <w:spacing w:val="-5"/>
          <w:sz w:val="20"/>
        </w:rPr>
        <w:t>3.5</w:t>
      </w:r>
    </w:p>
    <w:p>
      <w:pPr>
        <w:pStyle w:val="BodyText"/>
        <w:spacing w:before="139"/>
        <w:rPr>
          <w:rFonts w:ascii="Times New Roman"/>
          <w:sz w:val="20"/>
        </w:rPr>
      </w:pPr>
    </w:p>
    <w:p>
      <w:pPr>
        <w:spacing w:before="1"/>
        <w:ind w:left="0" w:right="38" w:firstLine="0"/>
        <w:jc w:val="right"/>
        <w:rPr>
          <w:rFonts w:ascii="Times New Roman"/>
          <w:sz w:val="20"/>
        </w:rPr>
      </w:pPr>
      <w:r>
        <w:rPr>
          <w:rFonts w:ascii="Times New Roman"/>
          <w:spacing w:val="-10"/>
          <w:sz w:val="20"/>
        </w:rPr>
        <w:t>3</w:t>
      </w:r>
    </w:p>
    <w:p>
      <w:pPr>
        <w:spacing w:line="451" w:lineRule="auto" w:before="98"/>
        <w:ind w:left="1330" w:right="1653" w:firstLine="132"/>
        <w:jc w:val="left"/>
        <w:rPr>
          <w:rFonts w:ascii="Times New Roman"/>
          <w:sz w:val="20"/>
        </w:rPr>
      </w:pPr>
      <w:r>
        <w:rPr/>
        <w:br w:type="column"/>
      </w:r>
      <w:r>
        <w:rPr/>
        <w:drawing>
          <wp:inline distT="0" distB="0" distL="0" distR="0">
            <wp:extent cx="82296" cy="82296"/>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4" cstate="print"/>
                    <a:stretch>
                      <a:fillRect/>
                    </a:stretch>
                  </pic:blipFill>
                  <pic:spPr>
                    <a:xfrm>
                      <a:off x="0" y="0"/>
                      <a:ext cx="82296" cy="82296"/>
                    </a:xfrm>
                    <a:prstGeom prst="rect">
                      <a:avLst/>
                    </a:prstGeom>
                  </pic:spPr>
                </pic:pic>
              </a:graphicData>
            </a:graphic>
          </wp:inline>
        </w:drawing>
      </w:r>
      <w:r>
        <w:rPr/>
      </w:r>
      <w:r>
        <w:rPr>
          <w:rFonts w:ascii="Times New Roman"/>
          <w:spacing w:val="78"/>
          <w:sz w:val="20"/>
        </w:rPr>
        <w:t>   </w:t>
      </w:r>
      <w:r>
        <w:rPr>
          <w:rFonts w:ascii="Times New Roman"/>
          <w:sz w:val="20"/>
        </w:rPr>
        <w:t>Series1</w:t>
      </w:r>
      <w:r>
        <w:rPr>
          <w:rFonts w:ascii="Times New Roman"/>
          <w:spacing w:val="80"/>
          <w:w w:val="150"/>
          <w:sz w:val="20"/>
        </w:rPr>
        <w:t> </w:t>
      </w:r>
      <w:r>
        <w:rPr>
          <w:rFonts w:ascii="Times New Roman"/>
          <w:position w:val="5"/>
          <w:sz w:val="20"/>
        </w:rPr>
        <w:drawing>
          <wp:inline distT="0" distB="0" distL="0" distR="0">
            <wp:extent cx="248602" cy="8890"/>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5" cstate="print"/>
                    <a:stretch>
                      <a:fillRect/>
                    </a:stretch>
                  </pic:blipFill>
                  <pic:spPr>
                    <a:xfrm>
                      <a:off x="0" y="0"/>
                      <a:ext cx="248602" cy="8890"/>
                    </a:xfrm>
                    <a:prstGeom prst="rect">
                      <a:avLst/>
                    </a:prstGeom>
                  </pic:spPr>
                </pic:pic>
              </a:graphicData>
            </a:graphic>
          </wp:inline>
        </w:drawing>
      </w:r>
      <w:r>
        <w:rPr>
          <w:rFonts w:ascii="Times New Roman"/>
          <w:position w:val="5"/>
          <w:sz w:val="20"/>
        </w:rPr>
      </w:r>
      <w:r>
        <w:rPr>
          <w:rFonts w:ascii="Times New Roman"/>
          <w:spacing w:val="-13"/>
          <w:sz w:val="20"/>
        </w:rPr>
        <w:t> </w:t>
      </w:r>
      <w:r>
        <w:rPr>
          <w:rFonts w:ascii="Times New Roman"/>
          <w:sz w:val="20"/>
        </w:rPr>
        <w:t>Linear</w:t>
      </w:r>
      <w:r>
        <w:rPr>
          <w:rFonts w:ascii="Times New Roman"/>
          <w:spacing w:val="-13"/>
          <w:sz w:val="20"/>
        </w:rPr>
        <w:t> </w:t>
      </w:r>
      <w:r>
        <w:rPr>
          <w:rFonts w:ascii="Times New Roman"/>
          <w:sz w:val="20"/>
        </w:rPr>
        <w:t>(Series1)</w:t>
      </w:r>
    </w:p>
    <w:p>
      <w:pPr>
        <w:spacing w:after="0" w:line="451" w:lineRule="auto"/>
        <w:jc w:val="left"/>
        <w:rPr>
          <w:rFonts w:ascii="Times New Roman"/>
          <w:sz w:val="20"/>
        </w:rPr>
        <w:sectPr>
          <w:type w:val="continuous"/>
          <w:pgSz w:w="12240" w:h="15840"/>
          <w:pgMar w:header="0" w:footer="1017" w:top="1680" w:bottom="280" w:left="520" w:right="260"/>
          <w:cols w:num="2" w:equalWidth="0">
            <w:col w:w="1753" w:space="4996"/>
            <w:col w:w="4711"/>
          </w:cols>
        </w:sectPr>
      </w:pPr>
    </w:p>
    <w:p>
      <w:pPr>
        <w:pStyle w:val="BodyText"/>
        <w:spacing w:before="129"/>
        <w:rPr>
          <w:rFonts w:ascii="Times New Roman"/>
          <w:sz w:val="20"/>
        </w:rPr>
      </w:pPr>
    </w:p>
    <w:p>
      <w:pPr>
        <w:spacing w:before="0"/>
        <w:ind w:left="1462" w:right="0" w:firstLine="0"/>
        <w:jc w:val="left"/>
        <w:rPr>
          <w:rFonts w:ascii="Times New Roman"/>
          <w:sz w:val="20"/>
        </w:rPr>
      </w:pPr>
      <w:r>
        <w:rPr/>
        <mc:AlternateContent>
          <mc:Choice Requires="wps">
            <w:drawing>
              <wp:anchor distT="0" distB="0" distL="0" distR="0" allowOverlap="1" layoutInCell="1" locked="0" behindDoc="0" simplePos="0" relativeHeight="15755264">
                <wp:simplePos x="0" y="0"/>
                <wp:positionH relativeFrom="page">
                  <wp:posOffset>1064992</wp:posOffset>
                </wp:positionH>
                <wp:positionV relativeFrom="paragraph">
                  <wp:posOffset>-186331</wp:posOffset>
                </wp:positionV>
                <wp:extent cx="167640" cy="129921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7640" cy="1299210"/>
                        </a:xfrm>
                        <a:prstGeom prst="rect">
                          <a:avLst/>
                        </a:prstGeom>
                      </wps:spPr>
                      <wps:txbx>
                        <w:txbxContent>
                          <w:p>
                            <w:pPr>
                              <w:spacing w:before="13"/>
                              <w:ind w:left="20" w:right="0" w:firstLine="0"/>
                              <w:jc w:val="left"/>
                              <w:rPr>
                                <w:rFonts w:ascii="Times New Roman"/>
                                <w:b/>
                                <w:sz w:val="20"/>
                              </w:rPr>
                            </w:pPr>
                            <w:r>
                              <w:rPr>
                                <w:rFonts w:ascii="Times New Roman"/>
                                <w:b/>
                                <w:sz w:val="20"/>
                              </w:rPr>
                              <w:t>Log</w:t>
                            </w:r>
                            <w:r>
                              <w:rPr>
                                <w:rFonts w:ascii="Times New Roman"/>
                                <w:b/>
                                <w:spacing w:val="-7"/>
                                <w:sz w:val="20"/>
                              </w:rPr>
                              <w:t> </w:t>
                            </w:r>
                            <w:r>
                              <w:rPr>
                                <w:rFonts w:ascii="Times New Roman"/>
                                <w:b/>
                                <w:sz w:val="20"/>
                              </w:rPr>
                              <w:t>molecular</w:t>
                            </w:r>
                            <w:r>
                              <w:rPr>
                                <w:rFonts w:ascii="Times New Roman"/>
                                <w:b/>
                                <w:spacing w:val="-2"/>
                                <w:sz w:val="20"/>
                              </w:rPr>
                              <w:t> </w:t>
                            </w:r>
                            <w:r>
                              <w:rPr>
                                <w:rFonts w:ascii="Times New Roman"/>
                                <w:b/>
                                <w:sz w:val="20"/>
                              </w:rPr>
                              <w:t>size</w:t>
                            </w:r>
                            <w:r>
                              <w:rPr>
                                <w:rFonts w:ascii="Times New Roman"/>
                                <w:b/>
                                <w:spacing w:val="-11"/>
                                <w:sz w:val="20"/>
                              </w:rPr>
                              <w:t> </w:t>
                            </w:r>
                            <w:r>
                              <w:rPr>
                                <w:rFonts w:ascii="Times New Roman"/>
                                <w:b/>
                                <w:spacing w:val="-4"/>
                                <w:sz w:val="20"/>
                              </w:rPr>
                              <w:t>(bp)</w:t>
                            </w:r>
                          </w:p>
                        </w:txbxContent>
                      </wps:txbx>
                      <wps:bodyPr wrap="square" lIns="0" tIns="0" rIns="0" bIns="0" rtlCol="0" vert="vert270">
                        <a:noAutofit/>
                      </wps:bodyPr>
                    </wps:wsp>
                  </a:graphicData>
                </a:graphic>
              </wp:anchor>
            </w:drawing>
          </mc:Choice>
          <mc:Fallback>
            <w:pict>
              <v:shape style="position:absolute;margin-left:83.857666pt;margin-top:-14.671761pt;width:13.2pt;height:102.3pt;mso-position-horizontal-relative:page;mso-position-vertical-relative:paragraph;z-index:15755264" type="#_x0000_t202" id="docshape71" filled="false" stroked="false">
                <v:textbox inset="0,0,0,0" style="layout-flow:vertical;mso-layout-flow-alt:bottom-to-top">
                  <w:txbxContent>
                    <w:p>
                      <w:pPr>
                        <w:spacing w:before="13"/>
                        <w:ind w:left="20" w:right="0" w:firstLine="0"/>
                        <w:jc w:val="left"/>
                        <w:rPr>
                          <w:rFonts w:ascii="Times New Roman"/>
                          <w:b/>
                          <w:sz w:val="20"/>
                        </w:rPr>
                      </w:pPr>
                      <w:r>
                        <w:rPr>
                          <w:rFonts w:ascii="Times New Roman"/>
                          <w:b/>
                          <w:sz w:val="20"/>
                        </w:rPr>
                        <w:t>Log</w:t>
                      </w:r>
                      <w:r>
                        <w:rPr>
                          <w:rFonts w:ascii="Times New Roman"/>
                          <w:b/>
                          <w:spacing w:val="-7"/>
                          <w:sz w:val="20"/>
                        </w:rPr>
                        <w:t> </w:t>
                      </w:r>
                      <w:r>
                        <w:rPr>
                          <w:rFonts w:ascii="Times New Roman"/>
                          <w:b/>
                          <w:sz w:val="20"/>
                        </w:rPr>
                        <w:t>molecular</w:t>
                      </w:r>
                      <w:r>
                        <w:rPr>
                          <w:rFonts w:ascii="Times New Roman"/>
                          <w:b/>
                          <w:spacing w:val="-2"/>
                          <w:sz w:val="20"/>
                        </w:rPr>
                        <w:t> </w:t>
                      </w:r>
                      <w:r>
                        <w:rPr>
                          <w:rFonts w:ascii="Times New Roman"/>
                          <w:b/>
                          <w:sz w:val="20"/>
                        </w:rPr>
                        <w:t>size</w:t>
                      </w:r>
                      <w:r>
                        <w:rPr>
                          <w:rFonts w:ascii="Times New Roman"/>
                          <w:b/>
                          <w:spacing w:val="-11"/>
                          <w:sz w:val="20"/>
                        </w:rPr>
                        <w:t> </w:t>
                      </w:r>
                      <w:r>
                        <w:rPr>
                          <w:rFonts w:ascii="Times New Roman"/>
                          <w:b/>
                          <w:spacing w:val="-4"/>
                          <w:sz w:val="20"/>
                        </w:rPr>
                        <w:t>(bp)</w:t>
                      </w:r>
                    </w:p>
                  </w:txbxContent>
                </v:textbox>
                <w10:wrap type="none"/>
              </v:shape>
            </w:pict>
          </mc:Fallback>
        </mc:AlternateContent>
      </w:r>
      <w:r>
        <w:rPr>
          <w:rFonts w:ascii="Times New Roman"/>
          <w:spacing w:val="-5"/>
          <w:sz w:val="20"/>
        </w:rPr>
        <w:t>2.5</w:t>
      </w:r>
    </w:p>
    <w:p>
      <w:pPr>
        <w:pStyle w:val="BodyText"/>
        <w:spacing w:before="140"/>
        <w:rPr>
          <w:rFonts w:ascii="Times New Roman"/>
          <w:sz w:val="20"/>
        </w:rPr>
      </w:pPr>
    </w:p>
    <w:p>
      <w:pPr>
        <w:spacing w:before="0"/>
        <w:ind w:left="1611" w:right="0" w:firstLine="0"/>
        <w:jc w:val="left"/>
        <w:rPr>
          <w:rFonts w:ascii="Times New Roman"/>
          <w:sz w:val="20"/>
        </w:rPr>
      </w:pPr>
      <w:r>
        <w:rPr>
          <w:rFonts w:ascii="Times New Roman"/>
          <w:spacing w:val="-10"/>
          <w:sz w:val="20"/>
        </w:rPr>
        <w:t>2</w:t>
      </w:r>
    </w:p>
    <w:p>
      <w:pPr>
        <w:pStyle w:val="BodyText"/>
        <w:spacing w:before="145"/>
        <w:rPr>
          <w:rFonts w:ascii="Times New Roman"/>
          <w:sz w:val="20"/>
        </w:rPr>
      </w:pPr>
    </w:p>
    <w:p>
      <w:pPr>
        <w:spacing w:before="0"/>
        <w:ind w:left="1462" w:right="0" w:firstLine="0"/>
        <w:jc w:val="left"/>
        <w:rPr>
          <w:rFonts w:ascii="Times New Roman"/>
          <w:sz w:val="20"/>
        </w:rPr>
      </w:pPr>
      <w:r>
        <w:rPr>
          <w:rFonts w:ascii="Times New Roman"/>
          <w:spacing w:val="-5"/>
          <w:sz w:val="20"/>
        </w:rPr>
        <w:t>1.5</w:t>
      </w:r>
    </w:p>
    <w:p>
      <w:pPr>
        <w:pStyle w:val="BodyText"/>
        <w:spacing w:before="140"/>
        <w:rPr>
          <w:rFonts w:ascii="Times New Roman"/>
          <w:sz w:val="20"/>
        </w:rPr>
      </w:pPr>
    </w:p>
    <w:p>
      <w:pPr>
        <w:spacing w:before="0"/>
        <w:ind w:left="1611" w:right="0" w:firstLine="0"/>
        <w:jc w:val="left"/>
        <w:rPr>
          <w:rFonts w:ascii="Times New Roman"/>
          <w:sz w:val="20"/>
        </w:rPr>
      </w:pPr>
      <w:r>
        <w:rPr>
          <w:rFonts w:ascii="Times New Roman"/>
          <w:spacing w:val="-10"/>
          <w:sz w:val="20"/>
        </w:rPr>
        <w:t>1</w:t>
      </w:r>
    </w:p>
    <w:p>
      <w:pPr>
        <w:pStyle w:val="BodyText"/>
        <w:spacing w:before="140"/>
        <w:rPr>
          <w:rFonts w:ascii="Times New Roman"/>
          <w:sz w:val="20"/>
        </w:rPr>
      </w:pPr>
    </w:p>
    <w:p>
      <w:pPr>
        <w:spacing w:before="0"/>
        <w:ind w:left="1462" w:right="0" w:firstLine="0"/>
        <w:jc w:val="left"/>
        <w:rPr>
          <w:rFonts w:ascii="Times New Roman"/>
          <w:sz w:val="20"/>
        </w:rPr>
      </w:pPr>
      <w:r>
        <w:rPr>
          <w:rFonts w:ascii="Times New Roman"/>
          <w:spacing w:val="-5"/>
          <w:sz w:val="20"/>
        </w:rPr>
        <w:t>0.5</w:t>
      </w:r>
    </w:p>
    <w:p>
      <w:pPr>
        <w:pStyle w:val="BodyText"/>
        <w:spacing w:before="144"/>
        <w:rPr>
          <w:rFonts w:ascii="Times New Roman"/>
          <w:sz w:val="20"/>
        </w:rPr>
      </w:pPr>
    </w:p>
    <w:p>
      <w:pPr>
        <w:spacing w:before="1"/>
        <w:ind w:left="1611" w:right="0" w:firstLine="0"/>
        <w:jc w:val="left"/>
        <w:rPr>
          <w:rFonts w:ascii="Times New Roman"/>
          <w:sz w:val="20"/>
        </w:rPr>
      </w:pPr>
      <w:r>
        <w:rPr>
          <w:rFonts w:ascii="Times New Roman"/>
          <w:spacing w:val="-10"/>
          <w:sz w:val="20"/>
        </w:rPr>
        <w:t>0</w:t>
      </w:r>
    </w:p>
    <w:p>
      <w:pPr>
        <w:tabs>
          <w:tab w:pos="2772" w:val="left" w:leader="none"/>
          <w:tab w:pos="3867" w:val="left" w:leader="none"/>
          <w:tab w:pos="4812" w:val="left" w:leader="none"/>
          <w:tab w:pos="5907" w:val="left" w:leader="none"/>
          <w:tab w:pos="6852" w:val="left" w:leader="none"/>
          <w:tab w:pos="7947" w:val="left" w:leader="none"/>
        </w:tabs>
        <w:spacing w:before="5"/>
        <w:ind w:left="1832" w:right="0" w:firstLine="0"/>
        <w:jc w:val="left"/>
        <w:rPr>
          <w:rFonts w:ascii="Times New Roman"/>
          <w:sz w:val="20"/>
        </w:rPr>
      </w:pPr>
      <w:r>
        <w:rPr>
          <w:rFonts w:ascii="Times New Roman"/>
          <w:spacing w:val="-10"/>
          <w:sz w:val="20"/>
        </w:rPr>
        <w:t>0</w:t>
      </w:r>
      <w:r>
        <w:rPr>
          <w:rFonts w:ascii="Times New Roman"/>
          <w:sz w:val="20"/>
        </w:rPr>
        <w:tab/>
      </w:r>
      <w:r>
        <w:rPr>
          <w:rFonts w:ascii="Times New Roman"/>
          <w:spacing w:val="-5"/>
          <w:sz w:val="20"/>
        </w:rPr>
        <w:t>0.5</w:t>
      </w:r>
      <w:r>
        <w:rPr>
          <w:rFonts w:ascii="Times New Roman"/>
          <w:sz w:val="20"/>
        </w:rPr>
        <w:tab/>
      </w:r>
      <w:r>
        <w:rPr>
          <w:rFonts w:ascii="Times New Roman"/>
          <w:spacing w:val="-10"/>
          <w:sz w:val="20"/>
        </w:rPr>
        <w:t>1</w:t>
      </w:r>
      <w:r>
        <w:rPr>
          <w:rFonts w:ascii="Times New Roman"/>
          <w:sz w:val="20"/>
        </w:rPr>
        <w:tab/>
      </w:r>
      <w:r>
        <w:rPr>
          <w:rFonts w:ascii="Times New Roman"/>
          <w:spacing w:val="-5"/>
          <w:sz w:val="20"/>
        </w:rPr>
        <w:t>1.5</w:t>
      </w:r>
      <w:r>
        <w:rPr>
          <w:rFonts w:ascii="Times New Roman"/>
          <w:sz w:val="20"/>
        </w:rPr>
        <w:tab/>
      </w:r>
      <w:r>
        <w:rPr>
          <w:rFonts w:ascii="Times New Roman"/>
          <w:spacing w:val="-10"/>
          <w:sz w:val="20"/>
        </w:rPr>
        <w:t>2</w:t>
      </w:r>
      <w:r>
        <w:rPr>
          <w:rFonts w:ascii="Times New Roman"/>
          <w:sz w:val="20"/>
        </w:rPr>
        <w:tab/>
      </w:r>
      <w:r>
        <w:rPr>
          <w:rFonts w:ascii="Times New Roman"/>
          <w:spacing w:val="-5"/>
          <w:sz w:val="20"/>
        </w:rPr>
        <w:t>2.5</w:t>
      </w:r>
      <w:r>
        <w:rPr>
          <w:rFonts w:ascii="Times New Roman"/>
          <w:sz w:val="20"/>
        </w:rPr>
        <w:tab/>
      </w:r>
      <w:r>
        <w:rPr>
          <w:rFonts w:ascii="Times New Roman"/>
          <w:spacing w:val="-10"/>
          <w:sz w:val="20"/>
        </w:rPr>
        <w:t>3</w:t>
      </w:r>
    </w:p>
    <w:p>
      <w:pPr>
        <w:spacing w:before="58"/>
        <w:ind w:left="4044" w:right="0" w:firstLine="0"/>
        <w:jc w:val="left"/>
        <w:rPr>
          <w:rFonts w:ascii="Times New Roman"/>
          <w:b/>
          <w:sz w:val="20"/>
        </w:rPr>
      </w:pPr>
      <w:r>
        <w:rPr>
          <w:rFonts w:ascii="Times New Roman"/>
          <w:b/>
          <w:sz w:val="20"/>
        </w:rPr>
        <w:t>Distance</w:t>
      </w:r>
      <w:r>
        <w:rPr>
          <w:rFonts w:ascii="Times New Roman"/>
          <w:b/>
          <w:spacing w:val="-13"/>
          <w:sz w:val="20"/>
        </w:rPr>
        <w:t> </w:t>
      </w:r>
      <w:r>
        <w:rPr>
          <w:rFonts w:ascii="Times New Roman"/>
          <w:b/>
          <w:sz w:val="20"/>
        </w:rPr>
        <w:t>moved</w:t>
      </w:r>
      <w:r>
        <w:rPr>
          <w:rFonts w:ascii="Times New Roman"/>
          <w:b/>
          <w:spacing w:val="-3"/>
          <w:sz w:val="20"/>
        </w:rPr>
        <w:t> </w:t>
      </w:r>
      <w:r>
        <w:rPr>
          <w:rFonts w:ascii="Times New Roman"/>
          <w:b/>
          <w:spacing w:val="-4"/>
          <w:sz w:val="20"/>
        </w:rPr>
        <w:t>(cm)</w:t>
      </w:r>
    </w:p>
    <w:p>
      <w:pPr>
        <w:pStyle w:val="BodyText"/>
        <w:rPr>
          <w:rFonts w:ascii="Times New Roman"/>
          <w:b/>
        </w:rPr>
      </w:pPr>
    </w:p>
    <w:p>
      <w:pPr>
        <w:pStyle w:val="BodyText"/>
        <w:spacing w:before="215"/>
        <w:rPr>
          <w:rFonts w:ascii="Times New Roman"/>
          <w:b/>
        </w:rPr>
      </w:pPr>
    </w:p>
    <w:p>
      <w:pPr>
        <w:spacing w:line="273" w:lineRule="auto" w:before="1"/>
        <w:ind w:left="2182" w:right="1181" w:hanging="1263"/>
        <w:jc w:val="left"/>
        <w:rPr>
          <w:b/>
          <w:sz w:val="22"/>
        </w:rPr>
      </w:pPr>
      <w:r>
        <w:rPr>
          <w:b/>
          <w:sz w:val="22"/>
        </w:rPr>
        <w:t>Figure 4.1: Semi-logarithm graph of the molecular weight of the standard DNA ladder vs the distance </w:t>
      </w:r>
      <w:r>
        <w:rPr>
          <w:b/>
          <w:spacing w:val="-2"/>
          <w:sz w:val="22"/>
        </w:rPr>
        <w:t>travelled.</w:t>
      </w:r>
    </w:p>
    <w:p>
      <w:pPr>
        <w:spacing w:after="0" w:line="273" w:lineRule="auto"/>
        <w:jc w:val="left"/>
        <w:rPr>
          <w:sz w:val="22"/>
        </w:rPr>
        <w:sectPr>
          <w:type w:val="continuous"/>
          <w:pgSz w:w="12240" w:h="15840"/>
          <w:pgMar w:header="0" w:footer="1017" w:top="1680" w:bottom="280" w:left="520" w:right="260"/>
        </w:sectPr>
      </w:pPr>
    </w:p>
    <w:p>
      <w:pPr>
        <w:pStyle w:val="BodyText"/>
        <w:spacing w:before="87"/>
        <w:rPr>
          <w:b/>
        </w:rPr>
      </w:pPr>
    </w:p>
    <w:p>
      <w:pPr>
        <w:spacing w:before="0"/>
        <w:ind w:left="920" w:right="0" w:firstLine="0"/>
        <w:jc w:val="left"/>
        <w:rPr>
          <w:b/>
          <w:sz w:val="22"/>
        </w:rPr>
      </w:pPr>
      <w:r>
        <w:rPr>
          <w:b/>
          <w:sz w:val="22"/>
        </w:rPr>
        <w:t>Table</w:t>
      </w:r>
      <w:r>
        <w:rPr>
          <w:b/>
          <w:spacing w:val="-6"/>
          <w:sz w:val="22"/>
        </w:rPr>
        <w:t> </w:t>
      </w:r>
      <w:r>
        <w:rPr>
          <w:b/>
          <w:sz w:val="22"/>
        </w:rPr>
        <w:t>4.15:</w:t>
      </w:r>
      <w:r>
        <w:rPr>
          <w:b/>
          <w:spacing w:val="-4"/>
          <w:sz w:val="22"/>
        </w:rPr>
        <w:t> </w:t>
      </w:r>
      <w:r>
        <w:rPr>
          <w:b/>
          <w:sz w:val="22"/>
        </w:rPr>
        <w:t>Plasmid</w:t>
      </w:r>
      <w:r>
        <w:rPr>
          <w:b/>
          <w:spacing w:val="-4"/>
          <w:sz w:val="22"/>
        </w:rPr>
        <w:t> </w:t>
      </w:r>
      <w:r>
        <w:rPr>
          <w:b/>
          <w:sz w:val="22"/>
        </w:rPr>
        <w:t>Profile</w:t>
      </w:r>
      <w:r>
        <w:rPr>
          <w:b/>
          <w:spacing w:val="-6"/>
          <w:sz w:val="22"/>
        </w:rPr>
        <w:t> </w:t>
      </w:r>
      <w:r>
        <w:rPr>
          <w:b/>
          <w:sz w:val="22"/>
        </w:rPr>
        <w:t>of</w:t>
      </w:r>
      <w:r>
        <w:rPr>
          <w:b/>
          <w:spacing w:val="-3"/>
          <w:sz w:val="22"/>
        </w:rPr>
        <w:t> </w:t>
      </w:r>
      <w:r>
        <w:rPr>
          <w:b/>
          <w:sz w:val="22"/>
        </w:rPr>
        <w:t>Isolates</w:t>
      </w:r>
      <w:r>
        <w:rPr>
          <w:b/>
          <w:spacing w:val="-6"/>
          <w:sz w:val="22"/>
        </w:rPr>
        <w:t> </w:t>
      </w:r>
      <w:r>
        <w:rPr>
          <w:b/>
          <w:sz w:val="22"/>
        </w:rPr>
        <w:t>Habouring</w:t>
      </w:r>
      <w:r>
        <w:rPr>
          <w:b/>
          <w:spacing w:val="-4"/>
          <w:sz w:val="22"/>
        </w:rPr>
        <w:t> </w:t>
      </w:r>
      <w:r>
        <w:rPr>
          <w:b/>
          <w:spacing w:val="-2"/>
          <w:sz w:val="22"/>
        </w:rPr>
        <w:t>Plasmids</w:t>
      </w:r>
    </w:p>
    <w:p>
      <w:pPr>
        <w:pStyle w:val="BodyText"/>
        <w:spacing w:before="230"/>
        <w:rPr>
          <w:b/>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0"/>
        <w:gridCol w:w="3527"/>
        <w:gridCol w:w="1086"/>
        <w:gridCol w:w="1425"/>
        <w:gridCol w:w="2034"/>
        <w:gridCol w:w="372"/>
      </w:tblGrid>
      <w:tr>
        <w:trPr>
          <w:trHeight w:val="877" w:hRule="atLeast"/>
        </w:trPr>
        <w:tc>
          <w:tcPr>
            <w:tcW w:w="1140" w:type="dxa"/>
            <w:tcBorders>
              <w:top w:val="single" w:sz="4" w:space="0" w:color="000000"/>
              <w:bottom w:val="single" w:sz="4" w:space="0" w:color="000000"/>
            </w:tcBorders>
          </w:tcPr>
          <w:p>
            <w:pPr>
              <w:pStyle w:val="TableParagraph"/>
              <w:spacing w:line="240" w:lineRule="auto" w:before="1"/>
              <w:ind w:left="117" w:right="346"/>
              <w:jc w:val="left"/>
              <w:rPr>
                <w:b/>
                <w:sz w:val="24"/>
              </w:rPr>
            </w:pPr>
            <w:r>
              <w:rPr>
                <w:b/>
                <w:spacing w:val="-2"/>
                <w:sz w:val="24"/>
              </w:rPr>
              <w:t>Isolate </w:t>
            </w:r>
            <w:r>
              <w:rPr>
                <w:b/>
                <w:spacing w:val="-4"/>
                <w:sz w:val="24"/>
              </w:rPr>
              <w:t>Code</w:t>
            </w:r>
          </w:p>
        </w:tc>
        <w:tc>
          <w:tcPr>
            <w:tcW w:w="3527" w:type="dxa"/>
            <w:tcBorders>
              <w:top w:val="single" w:sz="4" w:space="0" w:color="000000"/>
              <w:bottom w:val="single" w:sz="4" w:space="0" w:color="000000"/>
            </w:tcBorders>
          </w:tcPr>
          <w:p>
            <w:pPr>
              <w:pStyle w:val="TableParagraph"/>
              <w:spacing w:line="240" w:lineRule="auto" w:before="1"/>
              <w:ind w:left="355"/>
              <w:jc w:val="left"/>
              <w:rPr>
                <w:b/>
                <w:sz w:val="24"/>
              </w:rPr>
            </w:pPr>
            <w:r>
              <w:rPr>
                <w:b/>
                <w:spacing w:val="-2"/>
                <w:sz w:val="24"/>
              </w:rPr>
              <w:t>Isolate</w:t>
            </w:r>
          </w:p>
        </w:tc>
        <w:tc>
          <w:tcPr>
            <w:tcW w:w="1086" w:type="dxa"/>
            <w:tcBorders>
              <w:top w:val="single" w:sz="4" w:space="0" w:color="000000"/>
              <w:bottom w:val="single" w:sz="4" w:space="0" w:color="000000"/>
            </w:tcBorders>
          </w:tcPr>
          <w:p>
            <w:pPr>
              <w:pStyle w:val="TableParagraph"/>
              <w:spacing w:line="240" w:lineRule="auto"/>
              <w:ind w:left="212" w:right="244"/>
              <w:jc w:val="left"/>
              <w:rPr>
                <w:b/>
                <w:sz w:val="22"/>
              </w:rPr>
            </w:pPr>
            <w:r>
              <w:rPr>
                <w:b/>
                <w:spacing w:val="-4"/>
                <w:sz w:val="22"/>
              </w:rPr>
              <w:t>Milk </w:t>
            </w:r>
            <w:r>
              <w:rPr>
                <w:b/>
                <w:spacing w:val="-2"/>
                <w:sz w:val="22"/>
              </w:rPr>
              <w:t>Brand Source</w:t>
            </w:r>
          </w:p>
        </w:tc>
        <w:tc>
          <w:tcPr>
            <w:tcW w:w="1425" w:type="dxa"/>
            <w:tcBorders>
              <w:top w:val="single" w:sz="4" w:space="0" w:color="000000"/>
              <w:bottom w:val="single" w:sz="4" w:space="0" w:color="000000"/>
            </w:tcBorders>
          </w:tcPr>
          <w:p>
            <w:pPr>
              <w:pStyle w:val="TableParagraph"/>
              <w:spacing w:line="240" w:lineRule="auto" w:before="1"/>
              <w:ind w:left="326" w:right="309"/>
              <w:jc w:val="left"/>
              <w:rPr>
                <w:b/>
                <w:sz w:val="24"/>
              </w:rPr>
            </w:pPr>
            <w:r>
              <w:rPr>
                <w:b/>
                <w:sz w:val="24"/>
              </w:rPr>
              <w:t>No of </w:t>
            </w:r>
            <w:r>
              <w:rPr>
                <w:b/>
                <w:spacing w:val="-2"/>
                <w:sz w:val="24"/>
              </w:rPr>
              <w:t>Plasmid</w:t>
            </w:r>
          </w:p>
        </w:tc>
        <w:tc>
          <w:tcPr>
            <w:tcW w:w="2034" w:type="dxa"/>
            <w:tcBorders>
              <w:top w:val="single" w:sz="4" w:space="0" w:color="000000"/>
              <w:bottom w:val="single" w:sz="4" w:space="0" w:color="000000"/>
            </w:tcBorders>
          </w:tcPr>
          <w:p>
            <w:pPr>
              <w:pStyle w:val="TableParagraph"/>
              <w:spacing w:line="290" w:lineRule="atLeast"/>
              <w:ind w:left="317"/>
              <w:jc w:val="left"/>
              <w:rPr>
                <w:b/>
                <w:sz w:val="24"/>
              </w:rPr>
            </w:pPr>
            <w:r>
              <w:rPr>
                <w:b/>
                <w:spacing w:val="-2"/>
                <w:sz w:val="24"/>
              </w:rPr>
              <w:t>Estimated </w:t>
            </w:r>
            <w:r>
              <w:rPr>
                <w:b/>
                <w:sz w:val="24"/>
              </w:rPr>
              <w:t>Molecular</w:t>
            </w:r>
            <w:r>
              <w:rPr>
                <w:b/>
                <w:spacing w:val="58"/>
                <w:sz w:val="24"/>
              </w:rPr>
              <w:t> </w:t>
            </w:r>
            <w:r>
              <w:rPr>
                <w:b/>
                <w:sz w:val="24"/>
              </w:rPr>
              <w:t>Sizes base pairs (bp)</w:t>
            </w:r>
          </w:p>
        </w:tc>
        <w:tc>
          <w:tcPr>
            <w:tcW w:w="372" w:type="dxa"/>
            <w:tcBorders>
              <w:top w:val="single" w:sz="4" w:space="0" w:color="000000"/>
              <w:bottom w:val="single" w:sz="4" w:space="0" w:color="000000"/>
            </w:tcBorders>
          </w:tcPr>
          <w:p>
            <w:pPr>
              <w:pStyle w:val="TableParagraph"/>
              <w:spacing w:line="240" w:lineRule="auto" w:before="1"/>
              <w:jc w:val="left"/>
              <w:rPr>
                <w:b/>
                <w:sz w:val="24"/>
              </w:rPr>
            </w:pPr>
          </w:p>
          <w:p>
            <w:pPr>
              <w:pStyle w:val="TableParagraph"/>
              <w:spacing w:line="240" w:lineRule="auto"/>
              <w:ind w:left="77"/>
              <w:jc w:val="left"/>
              <w:rPr>
                <w:b/>
                <w:sz w:val="24"/>
              </w:rPr>
            </w:pPr>
            <w:r>
              <w:rPr>
                <w:b/>
                <w:spacing w:val="-5"/>
                <w:sz w:val="24"/>
              </w:rPr>
              <w:t>in</w:t>
            </w:r>
          </w:p>
        </w:tc>
      </w:tr>
      <w:tr>
        <w:trPr>
          <w:trHeight w:val="382" w:hRule="atLeast"/>
        </w:trPr>
        <w:tc>
          <w:tcPr>
            <w:tcW w:w="1140" w:type="dxa"/>
            <w:tcBorders>
              <w:top w:val="single" w:sz="4" w:space="0" w:color="000000"/>
            </w:tcBorders>
          </w:tcPr>
          <w:p>
            <w:pPr>
              <w:pStyle w:val="TableParagraph"/>
              <w:spacing w:line="289" w:lineRule="exact"/>
              <w:ind w:left="117"/>
              <w:jc w:val="left"/>
              <w:rPr>
                <w:sz w:val="24"/>
              </w:rPr>
            </w:pPr>
            <w:r>
              <w:rPr>
                <w:spacing w:val="-5"/>
                <w:sz w:val="24"/>
              </w:rPr>
              <w:t>S8e</w:t>
            </w:r>
          </w:p>
        </w:tc>
        <w:tc>
          <w:tcPr>
            <w:tcW w:w="3527" w:type="dxa"/>
            <w:tcBorders>
              <w:top w:val="single" w:sz="4" w:space="0" w:color="000000"/>
            </w:tcBorders>
          </w:tcPr>
          <w:p>
            <w:pPr>
              <w:pStyle w:val="TableParagraph"/>
              <w:spacing w:line="289" w:lineRule="exact"/>
              <w:ind w:left="355"/>
              <w:jc w:val="left"/>
              <w:rPr>
                <w:i/>
                <w:sz w:val="24"/>
              </w:rPr>
            </w:pPr>
            <w:r>
              <w:rPr>
                <w:i/>
                <w:sz w:val="24"/>
              </w:rPr>
              <w:t>E.</w:t>
            </w:r>
            <w:r>
              <w:rPr>
                <w:i/>
                <w:spacing w:val="-4"/>
                <w:sz w:val="24"/>
              </w:rPr>
              <w:t> coli</w:t>
            </w:r>
          </w:p>
        </w:tc>
        <w:tc>
          <w:tcPr>
            <w:tcW w:w="1086" w:type="dxa"/>
            <w:tcBorders>
              <w:top w:val="single" w:sz="4" w:space="0" w:color="000000"/>
            </w:tcBorders>
          </w:tcPr>
          <w:p>
            <w:pPr>
              <w:pStyle w:val="TableParagraph"/>
              <w:spacing w:line="264" w:lineRule="exact"/>
              <w:ind w:left="212"/>
              <w:jc w:val="left"/>
              <w:rPr>
                <w:sz w:val="22"/>
              </w:rPr>
            </w:pPr>
            <w:r>
              <w:rPr>
                <w:spacing w:val="-10"/>
                <w:sz w:val="22"/>
              </w:rPr>
              <w:t>4</w:t>
            </w:r>
          </w:p>
        </w:tc>
        <w:tc>
          <w:tcPr>
            <w:tcW w:w="1425" w:type="dxa"/>
            <w:tcBorders>
              <w:top w:val="single" w:sz="4" w:space="0" w:color="000000"/>
            </w:tcBorders>
          </w:tcPr>
          <w:p>
            <w:pPr>
              <w:pStyle w:val="TableParagraph"/>
              <w:spacing w:line="289" w:lineRule="exact"/>
              <w:ind w:left="326"/>
              <w:jc w:val="left"/>
              <w:rPr>
                <w:sz w:val="24"/>
              </w:rPr>
            </w:pPr>
            <w:r>
              <w:rPr>
                <w:spacing w:val="-10"/>
                <w:sz w:val="24"/>
              </w:rPr>
              <w:t>1</w:t>
            </w:r>
          </w:p>
        </w:tc>
        <w:tc>
          <w:tcPr>
            <w:tcW w:w="2034" w:type="dxa"/>
            <w:tcBorders>
              <w:top w:val="single" w:sz="4" w:space="0" w:color="000000"/>
            </w:tcBorders>
          </w:tcPr>
          <w:p>
            <w:pPr>
              <w:pStyle w:val="TableParagraph"/>
              <w:spacing w:line="289" w:lineRule="exact"/>
              <w:ind w:left="317"/>
              <w:jc w:val="left"/>
              <w:rPr>
                <w:sz w:val="24"/>
              </w:rPr>
            </w:pPr>
            <w:r>
              <w:rPr>
                <w:spacing w:val="-4"/>
                <w:sz w:val="24"/>
              </w:rPr>
              <w:t>7079</w:t>
            </w:r>
          </w:p>
        </w:tc>
        <w:tc>
          <w:tcPr>
            <w:tcW w:w="372" w:type="dxa"/>
            <w:tcBorders>
              <w:top w:val="single" w:sz="4" w:space="0" w:color="000000"/>
            </w:tcBorders>
          </w:tcPr>
          <w:p>
            <w:pPr>
              <w:pStyle w:val="TableParagraph"/>
              <w:spacing w:line="240" w:lineRule="auto"/>
              <w:jc w:val="left"/>
              <w:rPr>
                <w:rFonts w:ascii="Times New Roman"/>
                <w:sz w:val="22"/>
              </w:rPr>
            </w:pPr>
          </w:p>
        </w:tc>
      </w:tr>
      <w:tr>
        <w:trPr>
          <w:trHeight w:val="441" w:hRule="atLeast"/>
        </w:trPr>
        <w:tc>
          <w:tcPr>
            <w:tcW w:w="1140" w:type="dxa"/>
          </w:tcPr>
          <w:p>
            <w:pPr>
              <w:pStyle w:val="TableParagraph"/>
              <w:spacing w:line="240" w:lineRule="auto" w:before="54"/>
              <w:ind w:left="117"/>
              <w:jc w:val="left"/>
              <w:rPr>
                <w:sz w:val="24"/>
              </w:rPr>
            </w:pPr>
            <w:r>
              <w:rPr>
                <w:spacing w:val="-4"/>
                <w:sz w:val="24"/>
              </w:rPr>
              <w:t>E46e</w:t>
            </w:r>
          </w:p>
        </w:tc>
        <w:tc>
          <w:tcPr>
            <w:tcW w:w="3527" w:type="dxa"/>
          </w:tcPr>
          <w:p>
            <w:pPr>
              <w:pStyle w:val="TableParagraph"/>
              <w:spacing w:line="240" w:lineRule="auto" w:before="54"/>
              <w:ind w:left="355"/>
              <w:jc w:val="left"/>
              <w:rPr>
                <w:i/>
                <w:sz w:val="24"/>
              </w:rPr>
            </w:pPr>
            <w:r>
              <w:rPr>
                <w:i/>
                <w:sz w:val="24"/>
              </w:rPr>
              <w:t>E.</w:t>
            </w:r>
            <w:r>
              <w:rPr>
                <w:i/>
                <w:spacing w:val="-4"/>
                <w:sz w:val="24"/>
              </w:rPr>
              <w:t> coli</w:t>
            </w:r>
          </w:p>
        </w:tc>
        <w:tc>
          <w:tcPr>
            <w:tcW w:w="1086" w:type="dxa"/>
          </w:tcPr>
          <w:p>
            <w:pPr>
              <w:pStyle w:val="TableParagraph"/>
              <w:spacing w:line="240" w:lineRule="auto" w:before="54"/>
              <w:ind w:left="212"/>
              <w:jc w:val="left"/>
              <w:rPr>
                <w:sz w:val="22"/>
              </w:rPr>
            </w:pPr>
            <w:r>
              <w:rPr>
                <w:spacing w:val="-10"/>
                <w:sz w:val="22"/>
              </w:rPr>
              <w:t>1</w:t>
            </w:r>
          </w:p>
        </w:tc>
        <w:tc>
          <w:tcPr>
            <w:tcW w:w="1425" w:type="dxa"/>
          </w:tcPr>
          <w:p>
            <w:pPr>
              <w:pStyle w:val="TableParagraph"/>
              <w:spacing w:line="240" w:lineRule="auto" w:before="54"/>
              <w:ind w:left="326"/>
              <w:jc w:val="left"/>
              <w:rPr>
                <w:sz w:val="24"/>
              </w:rPr>
            </w:pPr>
            <w:r>
              <w:rPr>
                <w:spacing w:val="-10"/>
                <w:sz w:val="24"/>
              </w:rPr>
              <w:t>2</w:t>
            </w:r>
          </w:p>
        </w:tc>
        <w:tc>
          <w:tcPr>
            <w:tcW w:w="2034" w:type="dxa"/>
          </w:tcPr>
          <w:p>
            <w:pPr>
              <w:pStyle w:val="TableParagraph"/>
              <w:spacing w:line="240" w:lineRule="auto" w:before="54"/>
              <w:ind w:left="317"/>
              <w:jc w:val="left"/>
              <w:rPr>
                <w:sz w:val="24"/>
              </w:rPr>
            </w:pPr>
            <w:r>
              <w:rPr>
                <w:sz w:val="24"/>
              </w:rPr>
              <w:t>10000,</w:t>
            </w:r>
            <w:r>
              <w:rPr>
                <w:spacing w:val="-11"/>
                <w:sz w:val="24"/>
              </w:rPr>
              <w:t> </w:t>
            </w:r>
            <w:r>
              <w:rPr>
                <w:spacing w:val="-4"/>
                <w:sz w:val="24"/>
              </w:rPr>
              <w:t>3548</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4"/>
              <w:ind w:left="117"/>
              <w:jc w:val="left"/>
              <w:rPr>
                <w:sz w:val="24"/>
              </w:rPr>
            </w:pPr>
            <w:r>
              <w:rPr>
                <w:spacing w:val="-4"/>
                <w:sz w:val="24"/>
              </w:rPr>
              <w:t>E10e</w:t>
            </w:r>
          </w:p>
        </w:tc>
        <w:tc>
          <w:tcPr>
            <w:tcW w:w="3527" w:type="dxa"/>
          </w:tcPr>
          <w:p>
            <w:pPr>
              <w:pStyle w:val="TableParagraph"/>
              <w:spacing w:line="240" w:lineRule="auto" w:before="54"/>
              <w:ind w:left="355"/>
              <w:jc w:val="left"/>
              <w:rPr>
                <w:i/>
                <w:sz w:val="24"/>
              </w:rPr>
            </w:pPr>
            <w:r>
              <w:rPr>
                <w:i/>
                <w:spacing w:val="-2"/>
                <w:sz w:val="24"/>
              </w:rPr>
              <w:t>Providencia</w:t>
            </w:r>
            <w:r>
              <w:rPr>
                <w:i/>
                <w:spacing w:val="4"/>
                <w:sz w:val="24"/>
              </w:rPr>
              <w:t> </w:t>
            </w:r>
            <w:r>
              <w:rPr>
                <w:i/>
                <w:spacing w:val="-5"/>
                <w:sz w:val="24"/>
              </w:rPr>
              <w:t>spp</w:t>
            </w:r>
          </w:p>
        </w:tc>
        <w:tc>
          <w:tcPr>
            <w:tcW w:w="1086" w:type="dxa"/>
          </w:tcPr>
          <w:p>
            <w:pPr>
              <w:pStyle w:val="TableParagraph"/>
              <w:spacing w:line="240" w:lineRule="auto" w:before="54"/>
              <w:ind w:left="212"/>
              <w:jc w:val="left"/>
              <w:rPr>
                <w:sz w:val="22"/>
              </w:rPr>
            </w:pPr>
            <w:r>
              <w:rPr>
                <w:spacing w:val="-10"/>
                <w:sz w:val="22"/>
              </w:rPr>
              <w:t>1</w:t>
            </w:r>
          </w:p>
        </w:tc>
        <w:tc>
          <w:tcPr>
            <w:tcW w:w="1425" w:type="dxa"/>
          </w:tcPr>
          <w:p>
            <w:pPr>
              <w:pStyle w:val="TableParagraph"/>
              <w:spacing w:line="240" w:lineRule="auto" w:before="54"/>
              <w:ind w:left="326"/>
              <w:jc w:val="left"/>
              <w:rPr>
                <w:sz w:val="24"/>
              </w:rPr>
            </w:pPr>
            <w:r>
              <w:rPr>
                <w:spacing w:val="-10"/>
                <w:sz w:val="24"/>
              </w:rPr>
              <w:t>1</w:t>
            </w:r>
          </w:p>
        </w:tc>
        <w:tc>
          <w:tcPr>
            <w:tcW w:w="2034" w:type="dxa"/>
          </w:tcPr>
          <w:p>
            <w:pPr>
              <w:pStyle w:val="TableParagraph"/>
              <w:spacing w:line="240" w:lineRule="auto" w:before="54"/>
              <w:ind w:left="317"/>
              <w:jc w:val="left"/>
              <w:rPr>
                <w:sz w:val="24"/>
              </w:rPr>
            </w:pPr>
            <w:r>
              <w:rPr>
                <w:sz w:val="24"/>
              </w:rPr>
              <w:t>10000,</w:t>
            </w:r>
            <w:r>
              <w:rPr>
                <w:spacing w:val="-11"/>
                <w:sz w:val="24"/>
              </w:rPr>
              <w:t> </w:t>
            </w:r>
            <w:r>
              <w:rPr>
                <w:spacing w:val="-4"/>
                <w:sz w:val="24"/>
              </w:rPr>
              <w:t>5623</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2"/>
              <w:ind w:left="117"/>
              <w:jc w:val="left"/>
              <w:rPr>
                <w:sz w:val="24"/>
              </w:rPr>
            </w:pPr>
            <w:r>
              <w:rPr>
                <w:spacing w:val="-4"/>
                <w:sz w:val="24"/>
              </w:rPr>
              <w:t>S15e</w:t>
            </w:r>
          </w:p>
        </w:tc>
        <w:tc>
          <w:tcPr>
            <w:tcW w:w="3527" w:type="dxa"/>
          </w:tcPr>
          <w:p>
            <w:pPr>
              <w:pStyle w:val="TableParagraph"/>
              <w:spacing w:line="240" w:lineRule="auto" w:before="52"/>
              <w:ind w:left="355"/>
              <w:jc w:val="left"/>
              <w:rPr>
                <w:i/>
                <w:sz w:val="24"/>
              </w:rPr>
            </w:pPr>
            <w:r>
              <w:rPr>
                <w:i/>
                <w:spacing w:val="-2"/>
                <w:sz w:val="24"/>
              </w:rPr>
              <w:t>Providencia</w:t>
            </w:r>
            <w:r>
              <w:rPr>
                <w:i/>
                <w:spacing w:val="4"/>
                <w:sz w:val="24"/>
              </w:rPr>
              <w:t> </w:t>
            </w:r>
            <w:r>
              <w:rPr>
                <w:i/>
                <w:spacing w:val="-5"/>
                <w:sz w:val="24"/>
              </w:rPr>
              <w:t>spp</w:t>
            </w:r>
          </w:p>
        </w:tc>
        <w:tc>
          <w:tcPr>
            <w:tcW w:w="1086" w:type="dxa"/>
          </w:tcPr>
          <w:p>
            <w:pPr>
              <w:pStyle w:val="TableParagraph"/>
              <w:spacing w:line="240" w:lineRule="auto" w:before="52"/>
              <w:ind w:left="212"/>
              <w:jc w:val="left"/>
              <w:rPr>
                <w:sz w:val="22"/>
              </w:rPr>
            </w:pPr>
            <w:r>
              <w:rPr>
                <w:spacing w:val="-10"/>
                <w:sz w:val="22"/>
              </w:rPr>
              <w:t>4</w:t>
            </w:r>
          </w:p>
        </w:tc>
        <w:tc>
          <w:tcPr>
            <w:tcW w:w="1425" w:type="dxa"/>
          </w:tcPr>
          <w:p>
            <w:pPr>
              <w:pStyle w:val="TableParagraph"/>
              <w:spacing w:line="240" w:lineRule="auto" w:before="52"/>
              <w:ind w:left="326"/>
              <w:jc w:val="left"/>
              <w:rPr>
                <w:sz w:val="24"/>
              </w:rPr>
            </w:pPr>
            <w:r>
              <w:rPr>
                <w:spacing w:val="-10"/>
                <w:sz w:val="24"/>
              </w:rPr>
              <w:t>1</w:t>
            </w:r>
          </w:p>
        </w:tc>
        <w:tc>
          <w:tcPr>
            <w:tcW w:w="2034" w:type="dxa"/>
          </w:tcPr>
          <w:p>
            <w:pPr>
              <w:pStyle w:val="TableParagraph"/>
              <w:spacing w:line="240" w:lineRule="auto" w:before="52"/>
              <w:ind w:left="317"/>
              <w:jc w:val="left"/>
              <w:rPr>
                <w:sz w:val="24"/>
              </w:rPr>
            </w:pPr>
            <w:r>
              <w:rPr>
                <w:spacing w:val="-4"/>
                <w:sz w:val="24"/>
              </w:rPr>
              <w:t>5623</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4"/>
              <w:ind w:left="117"/>
              <w:jc w:val="left"/>
              <w:rPr>
                <w:sz w:val="24"/>
              </w:rPr>
            </w:pPr>
            <w:r>
              <w:rPr>
                <w:spacing w:val="-5"/>
                <w:sz w:val="24"/>
              </w:rPr>
              <w:t>E8s</w:t>
            </w:r>
          </w:p>
        </w:tc>
        <w:tc>
          <w:tcPr>
            <w:tcW w:w="3527" w:type="dxa"/>
          </w:tcPr>
          <w:p>
            <w:pPr>
              <w:pStyle w:val="TableParagraph"/>
              <w:spacing w:line="240" w:lineRule="auto" w:before="54"/>
              <w:ind w:left="355"/>
              <w:jc w:val="left"/>
              <w:rPr>
                <w:i/>
                <w:sz w:val="24"/>
              </w:rPr>
            </w:pPr>
            <w:r>
              <w:rPr>
                <w:i/>
                <w:sz w:val="24"/>
              </w:rPr>
              <w:t>Proteus</w:t>
            </w:r>
            <w:r>
              <w:rPr>
                <w:i/>
                <w:spacing w:val="-10"/>
                <w:sz w:val="24"/>
              </w:rPr>
              <w:t> </w:t>
            </w:r>
            <w:r>
              <w:rPr>
                <w:i/>
                <w:spacing w:val="-5"/>
                <w:sz w:val="24"/>
              </w:rPr>
              <w:t>spp</w:t>
            </w:r>
          </w:p>
        </w:tc>
        <w:tc>
          <w:tcPr>
            <w:tcW w:w="1086" w:type="dxa"/>
          </w:tcPr>
          <w:p>
            <w:pPr>
              <w:pStyle w:val="TableParagraph"/>
              <w:spacing w:line="240" w:lineRule="auto" w:before="54"/>
              <w:ind w:left="212"/>
              <w:jc w:val="left"/>
              <w:rPr>
                <w:sz w:val="22"/>
              </w:rPr>
            </w:pPr>
            <w:r>
              <w:rPr>
                <w:spacing w:val="-10"/>
                <w:sz w:val="22"/>
              </w:rPr>
              <w:t>1</w:t>
            </w:r>
          </w:p>
        </w:tc>
        <w:tc>
          <w:tcPr>
            <w:tcW w:w="1425" w:type="dxa"/>
          </w:tcPr>
          <w:p>
            <w:pPr>
              <w:pStyle w:val="TableParagraph"/>
              <w:spacing w:line="240" w:lineRule="auto" w:before="54"/>
              <w:ind w:left="326"/>
              <w:jc w:val="left"/>
              <w:rPr>
                <w:sz w:val="24"/>
              </w:rPr>
            </w:pPr>
            <w:r>
              <w:rPr>
                <w:spacing w:val="-10"/>
                <w:sz w:val="24"/>
              </w:rPr>
              <w:t>1</w:t>
            </w:r>
          </w:p>
        </w:tc>
        <w:tc>
          <w:tcPr>
            <w:tcW w:w="2034" w:type="dxa"/>
          </w:tcPr>
          <w:p>
            <w:pPr>
              <w:pStyle w:val="TableParagraph"/>
              <w:spacing w:line="240" w:lineRule="auto" w:before="54"/>
              <w:ind w:left="317"/>
              <w:jc w:val="left"/>
              <w:rPr>
                <w:sz w:val="24"/>
              </w:rPr>
            </w:pPr>
            <w:r>
              <w:rPr>
                <w:spacing w:val="-4"/>
                <w:sz w:val="24"/>
              </w:rPr>
              <w:t>5623</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2"/>
              <w:ind w:left="117"/>
              <w:jc w:val="left"/>
              <w:rPr>
                <w:sz w:val="24"/>
              </w:rPr>
            </w:pPr>
            <w:r>
              <w:rPr>
                <w:spacing w:val="-5"/>
                <w:sz w:val="24"/>
              </w:rPr>
              <w:t>E4s</w:t>
            </w:r>
          </w:p>
        </w:tc>
        <w:tc>
          <w:tcPr>
            <w:tcW w:w="3527" w:type="dxa"/>
          </w:tcPr>
          <w:p>
            <w:pPr>
              <w:pStyle w:val="TableParagraph"/>
              <w:spacing w:line="240" w:lineRule="auto" w:before="52"/>
              <w:ind w:left="355"/>
              <w:jc w:val="left"/>
              <w:rPr>
                <w:i/>
                <w:sz w:val="24"/>
              </w:rPr>
            </w:pPr>
            <w:r>
              <w:rPr>
                <w:i/>
                <w:sz w:val="24"/>
              </w:rPr>
              <w:t>Proteus</w:t>
            </w:r>
            <w:r>
              <w:rPr>
                <w:i/>
                <w:spacing w:val="-10"/>
                <w:sz w:val="24"/>
              </w:rPr>
              <w:t> </w:t>
            </w:r>
            <w:r>
              <w:rPr>
                <w:i/>
                <w:spacing w:val="-5"/>
                <w:sz w:val="24"/>
              </w:rPr>
              <w:t>spp</w:t>
            </w:r>
          </w:p>
        </w:tc>
        <w:tc>
          <w:tcPr>
            <w:tcW w:w="1086" w:type="dxa"/>
          </w:tcPr>
          <w:p>
            <w:pPr>
              <w:pStyle w:val="TableParagraph"/>
              <w:spacing w:line="240" w:lineRule="auto" w:before="52"/>
              <w:ind w:left="212"/>
              <w:jc w:val="left"/>
              <w:rPr>
                <w:sz w:val="22"/>
              </w:rPr>
            </w:pPr>
            <w:r>
              <w:rPr>
                <w:spacing w:val="-10"/>
                <w:sz w:val="22"/>
              </w:rPr>
              <w:t>1</w:t>
            </w:r>
          </w:p>
        </w:tc>
        <w:tc>
          <w:tcPr>
            <w:tcW w:w="1425" w:type="dxa"/>
          </w:tcPr>
          <w:p>
            <w:pPr>
              <w:pStyle w:val="TableParagraph"/>
              <w:spacing w:line="240" w:lineRule="auto" w:before="52"/>
              <w:ind w:left="326"/>
              <w:jc w:val="left"/>
              <w:rPr>
                <w:sz w:val="24"/>
              </w:rPr>
            </w:pPr>
            <w:r>
              <w:rPr>
                <w:spacing w:val="-10"/>
                <w:sz w:val="24"/>
              </w:rPr>
              <w:t>1</w:t>
            </w:r>
          </w:p>
        </w:tc>
        <w:tc>
          <w:tcPr>
            <w:tcW w:w="2034" w:type="dxa"/>
          </w:tcPr>
          <w:p>
            <w:pPr>
              <w:pStyle w:val="TableParagraph"/>
              <w:spacing w:line="240" w:lineRule="auto" w:before="52"/>
              <w:ind w:left="317"/>
              <w:jc w:val="left"/>
              <w:rPr>
                <w:sz w:val="24"/>
              </w:rPr>
            </w:pPr>
            <w:r>
              <w:rPr>
                <w:spacing w:val="-4"/>
                <w:sz w:val="24"/>
              </w:rPr>
              <w:t>5623</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4"/>
              <w:ind w:left="117"/>
              <w:jc w:val="left"/>
              <w:rPr>
                <w:sz w:val="24"/>
              </w:rPr>
            </w:pPr>
            <w:r>
              <w:rPr>
                <w:spacing w:val="-4"/>
                <w:sz w:val="24"/>
              </w:rPr>
              <w:t>S48e</w:t>
            </w:r>
          </w:p>
        </w:tc>
        <w:tc>
          <w:tcPr>
            <w:tcW w:w="3527" w:type="dxa"/>
          </w:tcPr>
          <w:p>
            <w:pPr>
              <w:pStyle w:val="TableParagraph"/>
              <w:spacing w:line="240" w:lineRule="auto" w:before="54"/>
              <w:ind w:left="355"/>
              <w:jc w:val="left"/>
              <w:rPr>
                <w:i/>
                <w:sz w:val="24"/>
              </w:rPr>
            </w:pPr>
            <w:r>
              <w:rPr>
                <w:i/>
                <w:spacing w:val="-2"/>
                <w:sz w:val="24"/>
              </w:rPr>
              <w:t>Enterobacter</w:t>
            </w:r>
            <w:r>
              <w:rPr>
                <w:i/>
                <w:spacing w:val="8"/>
                <w:sz w:val="24"/>
              </w:rPr>
              <w:t> </w:t>
            </w:r>
            <w:r>
              <w:rPr>
                <w:i/>
                <w:spacing w:val="-5"/>
                <w:sz w:val="24"/>
              </w:rPr>
              <w:t>spp</w:t>
            </w:r>
          </w:p>
        </w:tc>
        <w:tc>
          <w:tcPr>
            <w:tcW w:w="1086" w:type="dxa"/>
          </w:tcPr>
          <w:p>
            <w:pPr>
              <w:pStyle w:val="TableParagraph"/>
              <w:spacing w:line="240" w:lineRule="auto" w:before="54"/>
              <w:ind w:left="212"/>
              <w:jc w:val="left"/>
              <w:rPr>
                <w:sz w:val="22"/>
              </w:rPr>
            </w:pPr>
            <w:r>
              <w:rPr>
                <w:spacing w:val="-10"/>
                <w:sz w:val="22"/>
              </w:rPr>
              <w:t>4</w:t>
            </w:r>
          </w:p>
        </w:tc>
        <w:tc>
          <w:tcPr>
            <w:tcW w:w="1425" w:type="dxa"/>
          </w:tcPr>
          <w:p>
            <w:pPr>
              <w:pStyle w:val="TableParagraph"/>
              <w:spacing w:line="240" w:lineRule="auto" w:before="54"/>
              <w:ind w:left="326"/>
              <w:jc w:val="left"/>
              <w:rPr>
                <w:sz w:val="24"/>
              </w:rPr>
            </w:pPr>
            <w:r>
              <w:rPr>
                <w:spacing w:val="-10"/>
                <w:sz w:val="24"/>
              </w:rPr>
              <w:t>2</w:t>
            </w:r>
          </w:p>
        </w:tc>
        <w:tc>
          <w:tcPr>
            <w:tcW w:w="2034" w:type="dxa"/>
          </w:tcPr>
          <w:p>
            <w:pPr>
              <w:pStyle w:val="TableParagraph"/>
              <w:spacing w:line="240" w:lineRule="auto" w:before="54"/>
              <w:ind w:left="317"/>
              <w:jc w:val="left"/>
              <w:rPr>
                <w:sz w:val="24"/>
              </w:rPr>
            </w:pPr>
            <w:r>
              <w:rPr>
                <w:sz w:val="24"/>
              </w:rPr>
              <w:t>3981,</w:t>
            </w:r>
            <w:r>
              <w:rPr>
                <w:spacing w:val="-13"/>
                <w:sz w:val="24"/>
              </w:rPr>
              <w:t> </w:t>
            </w:r>
            <w:r>
              <w:rPr>
                <w:spacing w:val="-4"/>
                <w:sz w:val="24"/>
              </w:rPr>
              <w:t>3162</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2"/>
              <w:ind w:left="117"/>
              <w:jc w:val="left"/>
              <w:rPr>
                <w:sz w:val="24"/>
              </w:rPr>
            </w:pPr>
            <w:r>
              <w:rPr>
                <w:spacing w:val="-5"/>
                <w:sz w:val="24"/>
              </w:rPr>
              <w:t>B7e</w:t>
            </w:r>
          </w:p>
        </w:tc>
        <w:tc>
          <w:tcPr>
            <w:tcW w:w="3527" w:type="dxa"/>
          </w:tcPr>
          <w:p>
            <w:pPr>
              <w:pStyle w:val="TableParagraph"/>
              <w:spacing w:line="240" w:lineRule="auto" w:before="52"/>
              <w:ind w:left="355"/>
              <w:jc w:val="left"/>
              <w:rPr>
                <w:i/>
                <w:sz w:val="24"/>
              </w:rPr>
            </w:pPr>
            <w:r>
              <w:rPr>
                <w:i/>
                <w:spacing w:val="-2"/>
                <w:sz w:val="24"/>
              </w:rPr>
              <w:t>Enterobacter</w:t>
            </w:r>
            <w:r>
              <w:rPr>
                <w:i/>
                <w:spacing w:val="8"/>
                <w:sz w:val="24"/>
              </w:rPr>
              <w:t> </w:t>
            </w:r>
            <w:r>
              <w:rPr>
                <w:i/>
                <w:spacing w:val="-5"/>
                <w:sz w:val="24"/>
              </w:rPr>
              <w:t>spp</w:t>
            </w:r>
          </w:p>
        </w:tc>
        <w:tc>
          <w:tcPr>
            <w:tcW w:w="1086" w:type="dxa"/>
          </w:tcPr>
          <w:p>
            <w:pPr>
              <w:pStyle w:val="TableParagraph"/>
              <w:spacing w:line="240" w:lineRule="auto" w:before="52"/>
              <w:ind w:left="212"/>
              <w:jc w:val="left"/>
              <w:rPr>
                <w:sz w:val="22"/>
              </w:rPr>
            </w:pPr>
            <w:r>
              <w:rPr>
                <w:spacing w:val="-10"/>
                <w:sz w:val="22"/>
              </w:rPr>
              <w:t>2</w:t>
            </w:r>
          </w:p>
        </w:tc>
        <w:tc>
          <w:tcPr>
            <w:tcW w:w="1425" w:type="dxa"/>
          </w:tcPr>
          <w:p>
            <w:pPr>
              <w:pStyle w:val="TableParagraph"/>
              <w:spacing w:line="240" w:lineRule="auto" w:before="52"/>
              <w:ind w:left="326"/>
              <w:jc w:val="left"/>
              <w:rPr>
                <w:sz w:val="24"/>
              </w:rPr>
            </w:pPr>
            <w:r>
              <w:rPr>
                <w:spacing w:val="-10"/>
                <w:sz w:val="24"/>
              </w:rPr>
              <w:t>2</w:t>
            </w:r>
          </w:p>
        </w:tc>
        <w:tc>
          <w:tcPr>
            <w:tcW w:w="2034" w:type="dxa"/>
          </w:tcPr>
          <w:p>
            <w:pPr>
              <w:pStyle w:val="TableParagraph"/>
              <w:spacing w:line="240" w:lineRule="auto" w:before="52"/>
              <w:ind w:left="317"/>
              <w:jc w:val="left"/>
              <w:rPr>
                <w:sz w:val="24"/>
              </w:rPr>
            </w:pPr>
            <w:r>
              <w:rPr>
                <w:sz w:val="24"/>
              </w:rPr>
              <w:t>3981,</w:t>
            </w:r>
            <w:r>
              <w:rPr>
                <w:spacing w:val="-13"/>
                <w:sz w:val="24"/>
              </w:rPr>
              <w:t> </w:t>
            </w:r>
            <w:r>
              <w:rPr>
                <w:spacing w:val="-4"/>
                <w:sz w:val="24"/>
              </w:rPr>
              <w:t>3162</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4"/>
              <w:ind w:left="117"/>
              <w:jc w:val="left"/>
              <w:rPr>
                <w:sz w:val="24"/>
              </w:rPr>
            </w:pPr>
            <w:r>
              <w:rPr>
                <w:spacing w:val="-4"/>
                <w:sz w:val="24"/>
              </w:rPr>
              <w:t>E22s</w:t>
            </w:r>
          </w:p>
        </w:tc>
        <w:tc>
          <w:tcPr>
            <w:tcW w:w="3527" w:type="dxa"/>
          </w:tcPr>
          <w:p>
            <w:pPr>
              <w:pStyle w:val="TableParagraph"/>
              <w:spacing w:line="240" w:lineRule="auto" w:before="54"/>
              <w:ind w:left="355"/>
              <w:jc w:val="left"/>
              <w:rPr>
                <w:i/>
                <w:sz w:val="24"/>
              </w:rPr>
            </w:pPr>
            <w:r>
              <w:rPr>
                <w:i/>
                <w:spacing w:val="-2"/>
                <w:sz w:val="24"/>
              </w:rPr>
              <w:t>Enterobacter</w:t>
            </w:r>
            <w:r>
              <w:rPr>
                <w:i/>
                <w:spacing w:val="8"/>
                <w:sz w:val="24"/>
              </w:rPr>
              <w:t> </w:t>
            </w:r>
            <w:r>
              <w:rPr>
                <w:i/>
                <w:spacing w:val="-5"/>
                <w:sz w:val="24"/>
              </w:rPr>
              <w:t>spp</w:t>
            </w:r>
          </w:p>
        </w:tc>
        <w:tc>
          <w:tcPr>
            <w:tcW w:w="1086" w:type="dxa"/>
          </w:tcPr>
          <w:p>
            <w:pPr>
              <w:pStyle w:val="TableParagraph"/>
              <w:spacing w:line="240" w:lineRule="auto" w:before="54"/>
              <w:ind w:left="212"/>
              <w:jc w:val="left"/>
              <w:rPr>
                <w:sz w:val="22"/>
              </w:rPr>
            </w:pPr>
            <w:r>
              <w:rPr>
                <w:spacing w:val="-10"/>
                <w:sz w:val="22"/>
              </w:rPr>
              <w:t>1</w:t>
            </w:r>
          </w:p>
        </w:tc>
        <w:tc>
          <w:tcPr>
            <w:tcW w:w="1425" w:type="dxa"/>
          </w:tcPr>
          <w:p>
            <w:pPr>
              <w:pStyle w:val="TableParagraph"/>
              <w:spacing w:line="240" w:lineRule="auto" w:before="54"/>
              <w:ind w:left="326"/>
              <w:jc w:val="left"/>
              <w:rPr>
                <w:sz w:val="24"/>
              </w:rPr>
            </w:pPr>
            <w:r>
              <w:rPr>
                <w:spacing w:val="-10"/>
                <w:sz w:val="24"/>
              </w:rPr>
              <w:t>2</w:t>
            </w:r>
          </w:p>
        </w:tc>
        <w:tc>
          <w:tcPr>
            <w:tcW w:w="2034" w:type="dxa"/>
          </w:tcPr>
          <w:p>
            <w:pPr>
              <w:pStyle w:val="TableParagraph"/>
              <w:spacing w:line="240" w:lineRule="auto" w:before="54"/>
              <w:ind w:left="317"/>
              <w:jc w:val="left"/>
              <w:rPr>
                <w:sz w:val="24"/>
              </w:rPr>
            </w:pPr>
            <w:r>
              <w:rPr>
                <w:sz w:val="24"/>
              </w:rPr>
              <w:t>3981,</w:t>
            </w:r>
            <w:r>
              <w:rPr>
                <w:spacing w:val="-13"/>
                <w:sz w:val="24"/>
              </w:rPr>
              <w:t> </w:t>
            </w:r>
            <w:r>
              <w:rPr>
                <w:spacing w:val="-4"/>
                <w:sz w:val="24"/>
              </w:rPr>
              <w:t>3162</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2"/>
              <w:ind w:left="117"/>
              <w:jc w:val="left"/>
              <w:rPr>
                <w:sz w:val="24"/>
              </w:rPr>
            </w:pPr>
            <w:r>
              <w:rPr>
                <w:spacing w:val="-4"/>
                <w:sz w:val="24"/>
              </w:rPr>
              <w:t>B36s</w:t>
            </w:r>
          </w:p>
        </w:tc>
        <w:tc>
          <w:tcPr>
            <w:tcW w:w="3527" w:type="dxa"/>
          </w:tcPr>
          <w:p>
            <w:pPr>
              <w:pStyle w:val="TableParagraph"/>
              <w:spacing w:line="240" w:lineRule="auto" w:before="52"/>
              <w:ind w:left="355"/>
              <w:jc w:val="left"/>
              <w:rPr>
                <w:i/>
                <w:sz w:val="24"/>
              </w:rPr>
            </w:pPr>
            <w:r>
              <w:rPr>
                <w:i/>
                <w:spacing w:val="-2"/>
                <w:sz w:val="24"/>
              </w:rPr>
              <w:t>Enterobacter</w:t>
            </w:r>
            <w:r>
              <w:rPr>
                <w:i/>
                <w:spacing w:val="8"/>
                <w:sz w:val="24"/>
              </w:rPr>
              <w:t> </w:t>
            </w:r>
            <w:r>
              <w:rPr>
                <w:i/>
                <w:spacing w:val="-5"/>
                <w:sz w:val="24"/>
              </w:rPr>
              <w:t>spp</w:t>
            </w:r>
          </w:p>
        </w:tc>
        <w:tc>
          <w:tcPr>
            <w:tcW w:w="1086" w:type="dxa"/>
          </w:tcPr>
          <w:p>
            <w:pPr>
              <w:pStyle w:val="TableParagraph"/>
              <w:spacing w:line="240" w:lineRule="auto" w:before="52"/>
              <w:ind w:left="212"/>
              <w:jc w:val="left"/>
              <w:rPr>
                <w:sz w:val="22"/>
              </w:rPr>
            </w:pPr>
            <w:r>
              <w:rPr>
                <w:spacing w:val="-10"/>
                <w:sz w:val="22"/>
              </w:rPr>
              <w:t>2</w:t>
            </w:r>
          </w:p>
        </w:tc>
        <w:tc>
          <w:tcPr>
            <w:tcW w:w="1425" w:type="dxa"/>
          </w:tcPr>
          <w:p>
            <w:pPr>
              <w:pStyle w:val="TableParagraph"/>
              <w:spacing w:line="240" w:lineRule="auto" w:before="52"/>
              <w:ind w:left="326"/>
              <w:jc w:val="left"/>
              <w:rPr>
                <w:sz w:val="24"/>
              </w:rPr>
            </w:pPr>
            <w:r>
              <w:rPr>
                <w:spacing w:val="-10"/>
                <w:sz w:val="24"/>
              </w:rPr>
              <w:t>2</w:t>
            </w:r>
          </w:p>
        </w:tc>
        <w:tc>
          <w:tcPr>
            <w:tcW w:w="2034" w:type="dxa"/>
          </w:tcPr>
          <w:p>
            <w:pPr>
              <w:pStyle w:val="TableParagraph"/>
              <w:spacing w:line="240" w:lineRule="auto" w:before="52"/>
              <w:ind w:left="317"/>
              <w:jc w:val="left"/>
              <w:rPr>
                <w:sz w:val="24"/>
              </w:rPr>
            </w:pPr>
            <w:r>
              <w:rPr>
                <w:sz w:val="24"/>
              </w:rPr>
              <w:t>3981,</w:t>
            </w:r>
            <w:r>
              <w:rPr>
                <w:spacing w:val="-13"/>
                <w:sz w:val="24"/>
              </w:rPr>
              <w:t> </w:t>
            </w:r>
            <w:r>
              <w:rPr>
                <w:spacing w:val="-4"/>
                <w:sz w:val="24"/>
              </w:rPr>
              <w:t>3162</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4"/>
              <w:ind w:left="117"/>
              <w:jc w:val="left"/>
              <w:rPr>
                <w:sz w:val="24"/>
              </w:rPr>
            </w:pPr>
            <w:r>
              <w:rPr>
                <w:spacing w:val="-4"/>
                <w:sz w:val="24"/>
              </w:rPr>
              <w:t>S43s</w:t>
            </w:r>
          </w:p>
        </w:tc>
        <w:tc>
          <w:tcPr>
            <w:tcW w:w="3527" w:type="dxa"/>
          </w:tcPr>
          <w:p>
            <w:pPr>
              <w:pStyle w:val="TableParagraph"/>
              <w:spacing w:line="240" w:lineRule="auto" w:before="54"/>
              <w:ind w:left="355"/>
              <w:jc w:val="left"/>
              <w:rPr>
                <w:i/>
                <w:sz w:val="24"/>
              </w:rPr>
            </w:pPr>
            <w:r>
              <w:rPr>
                <w:i/>
                <w:sz w:val="24"/>
              </w:rPr>
              <w:t>E.</w:t>
            </w:r>
            <w:r>
              <w:rPr>
                <w:i/>
                <w:spacing w:val="-4"/>
                <w:sz w:val="24"/>
              </w:rPr>
              <w:t> coli</w:t>
            </w:r>
          </w:p>
        </w:tc>
        <w:tc>
          <w:tcPr>
            <w:tcW w:w="1086" w:type="dxa"/>
          </w:tcPr>
          <w:p>
            <w:pPr>
              <w:pStyle w:val="TableParagraph"/>
              <w:spacing w:line="240" w:lineRule="auto" w:before="54"/>
              <w:ind w:left="212"/>
              <w:jc w:val="left"/>
              <w:rPr>
                <w:sz w:val="22"/>
              </w:rPr>
            </w:pPr>
            <w:r>
              <w:rPr>
                <w:spacing w:val="-10"/>
                <w:sz w:val="22"/>
              </w:rPr>
              <w:t>4</w:t>
            </w:r>
          </w:p>
        </w:tc>
        <w:tc>
          <w:tcPr>
            <w:tcW w:w="1425" w:type="dxa"/>
          </w:tcPr>
          <w:p>
            <w:pPr>
              <w:pStyle w:val="TableParagraph"/>
              <w:spacing w:line="240" w:lineRule="auto" w:before="54"/>
              <w:ind w:left="326"/>
              <w:jc w:val="left"/>
              <w:rPr>
                <w:sz w:val="24"/>
              </w:rPr>
            </w:pPr>
            <w:r>
              <w:rPr>
                <w:spacing w:val="-10"/>
                <w:sz w:val="24"/>
              </w:rPr>
              <w:t>1</w:t>
            </w:r>
          </w:p>
        </w:tc>
        <w:tc>
          <w:tcPr>
            <w:tcW w:w="2034" w:type="dxa"/>
          </w:tcPr>
          <w:p>
            <w:pPr>
              <w:pStyle w:val="TableParagraph"/>
              <w:spacing w:line="240" w:lineRule="auto" w:before="54"/>
              <w:ind w:left="317"/>
              <w:jc w:val="left"/>
              <w:rPr>
                <w:sz w:val="24"/>
              </w:rPr>
            </w:pPr>
            <w:r>
              <w:rPr>
                <w:spacing w:val="-2"/>
                <w:sz w:val="24"/>
              </w:rPr>
              <w:t>10000</w:t>
            </w:r>
          </w:p>
        </w:tc>
        <w:tc>
          <w:tcPr>
            <w:tcW w:w="372" w:type="dxa"/>
          </w:tcPr>
          <w:p>
            <w:pPr>
              <w:pStyle w:val="TableParagraph"/>
              <w:spacing w:line="240" w:lineRule="auto"/>
              <w:jc w:val="left"/>
              <w:rPr>
                <w:rFonts w:ascii="Times New Roman"/>
                <w:sz w:val="22"/>
              </w:rPr>
            </w:pPr>
          </w:p>
        </w:tc>
      </w:tr>
      <w:tr>
        <w:trPr>
          <w:trHeight w:val="439" w:hRule="atLeast"/>
        </w:trPr>
        <w:tc>
          <w:tcPr>
            <w:tcW w:w="1140" w:type="dxa"/>
          </w:tcPr>
          <w:p>
            <w:pPr>
              <w:pStyle w:val="TableParagraph"/>
              <w:spacing w:line="240" w:lineRule="auto" w:before="52"/>
              <w:ind w:left="117"/>
              <w:jc w:val="left"/>
              <w:rPr>
                <w:sz w:val="24"/>
              </w:rPr>
            </w:pPr>
            <w:r>
              <w:rPr>
                <w:spacing w:val="-4"/>
                <w:sz w:val="24"/>
              </w:rPr>
              <w:t>B41s</w:t>
            </w:r>
          </w:p>
        </w:tc>
        <w:tc>
          <w:tcPr>
            <w:tcW w:w="3527" w:type="dxa"/>
          </w:tcPr>
          <w:p>
            <w:pPr>
              <w:pStyle w:val="TableParagraph"/>
              <w:spacing w:line="240" w:lineRule="auto" w:before="52"/>
              <w:ind w:left="355"/>
              <w:jc w:val="left"/>
              <w:rPr>
                <w:i/>
                <w:sz w:val="24"/>
              </w:rPr>
            </w:pPr>
            <w:r>
              <w:rPr>
                <w:i/>
                <w:spacing w:val="-2"/>
                <w:sz w:val="24"/>
              </w:rPr>
              <w:t>Enterobacter</w:t>
            </w:r>
            <w:r>
              <w:rPr>
                <w:i/>
                <w:spacing w:val="9"/>
                <w:sz w:val="24"/>
              </w:rPr>
              <w:t> </w:t>
            </w:r>
            <w:r>
              <w:rPr>
                <w:i/>
                <w:spacing w:val="-5"/>
                <w:sz w:val="24"/>
              </w:rPr>
              <w:t>spp</w:t>
            </w:r>
          </w:p>
        </w:tc>
        <w:tc>
          <w:tcPr>
            <w:tcW w:w="1086" w:type="dxa"/>
          </w:tcPr>
          <w:p>
            <w:pPr>
              <w:pStyle w:val="TableParagraph"/>
              <w:spacing w:line="240" w:lineRule="auto" w:before="52"/>
              <w:ind w:left="212"/>
              <w:jc w:val="left"/>
              <w:rPr>
                <w:sz w:val="22"/>
              </w:rPr>
            </w:pPr>
            <w:r>
              <w:rPr>
                <w:spacing w:val="-10"/>
                <w:sz w:val="22"/>
              </w:rPr>
              <w:t>2</w:t>
            </w:r>
          </w:p>
        </w:tc>
        <w:tc>
          <w:tcPr>
            <w:tcW w:w="1425" w:type="dxa"/>
          </w:tcPr>
          <w:p>
            <w:pPr>
              <w:pStyle w:val="TableParagraph"/>
              <w:spacing w:line="240" w:lineRule="auto" w:before="52"/>
              <w:ind w:left="326"/>
              <w:jc w:val="left"/>
              <w:rPr>
                <w:sz w:val="24"/>
              </w:rPr>
            </w:pPr>
            <w:r>
              <w:rPr>
                <w:spacing w:val="-10"/>
                <w:sz w:val="24"/>
              </w:rPr>
              <w:t>1</w:t>
            </w:r>
          </w:p>
        </w:tc>
        <w:tc>
          <w:tcPr>
            <w:tcW w:w="2034" w:type="dxa"/>
          </w:tcPr>
          <w:p>
            <w:pPr>
              <w:pStyle w:val="TableParagraph"/>
              <w:spacing w:line="240" w:lineRule="auto" w:before="52"/>
              <w:ind w:left="317"/>
              <w:jc w:val="left"/>
              <w:rPr>
                <w:sz w:val="24"/>
              </w:rPr>
            </w:pPr>
            <w:r>
              <w:rPr>
                <w:spacing w:val="-4"/>
                <w:sz w:val="24"/>
              </w:rPr>
              <w:t>7079</w:t>
            </w:r>
          </w:p>
        </w:tc>
        <w:tc>
          <w:tcPr>
            <w:tcW w:w="372" w:type="dxa"/>
          </w:tcPr>
          <w:p>
            <w:pPr>
              <w:pStyle w:val="TableParagraph"/>
              <w:spacing w:line="240" w:lineRule="auto"/>
              <w:jc w:val="left"/>
              <w:rPr>
                <w:rFonts w:ascii="Times New Roman"/>
                <w:sz w:val="22"/>
              </w:rPr>
            </w:pPr>
          </w:p>
        </w:tc>
      </w:tr>
      <w:tr>
        <w:trPr>
          <w:trHeight w:val="441" w:hRule="atLeast"/>
        </w:trPr>
        <w:tc>
          <w:tcPr>
            <w:tcW w:w="1140" w:type="dxa"/>
          </w:tcPr>
          <w:p>
            <w:pPr>
              <w:pStyle w:val="TableParagraph"/>
              <w:spacing w:line="240" w:lineRule="auto" w:before="54"/>
              <w:ind w:left="117"/>
              <w:jc w:val="left"/>
              <w:rPr>
                <w:sz w:val="24"/>
              </w:rPr>
            </w:pPr>
            <w:r>
              <w:rPr>
                <w:spacing w:val="-4"/>
                <w:sz w:val="24"/>
              </w:rPr>
              <w:t>S31s</w:t>
            </w:r>
          </w:p>
        </w:tc>
        <w:tc>
          <w:tcPr>
            <w:tcW w:w="3527" w:type="dxa"/>
          </w:tcPr>
          <w:p>
            <w:pPr>
              <w:pStyle w:val="TableParagraph"/>
              <w:spacing w:line="240" w:lineRule="auto" w:before="54"/>
              <w:ind w:left="355"/>
              <w:jc w:val="left"/>
              <w:rPr>
                <w:i/>
                <w:sz w:val="24"/>
              </w:rPr>
            </w:pPr>
            <w:r>
              <w:rPr>
                <w:i/>
                <w:spacing w:val="-2"/>
                <w:sz w:val="24"/>
              </w:rPr>
              <w:t>Enterobacter</w:t>
            </w:r>
            <w:r>
              <w:rPr>
                <w:i/>
                <w:spacing w:val="8"/>
                <w:sz w:val="24"/>
              </w:rPr>
              <w:t> </w:t>
            </w:r>
            <w:r>
              <w:rPr>
                <w:i/>
                <w:spacing w:val="-5"/>
                <w:sz w:val="24"/>
              </w:rPr>
              <w:t>spp</w:t>
            </w:r>
          </w:p>
        </w:tc>
        <w:tc>
          <w:tcPr>
            <w:tcW w:w="1086" w:type="dxa"/>
          </w:tcPr>
          <w:p>
            <w:pPr>
              <w:pStyle w:val="TableParagraph"/>
              <w:spacing w:line="240" w:lineRule="auto" w:before="54"/>
              <w:ind w:left="212"/>
              <w:jc w:val="left"/>
              <w:rPr>
                <w:sz w:val="22"/>
              </w:rPr>
            </w:pPr>
            <w:r>
              <w:rPr>
                <w:spacing w:val="-10"/>
                <w:sz w:val="22"/>
              </w:rPr>
              <w:t>4</w:t>
            </w:r>
          </w:p>
        </w:tc>
        <w:tc>
          <w:tcPr>
            <w:tcW w:w="1425" w:type="dxa"/>
          </w:tcPr>
          <w:p>
            <w:pPr>
              <w:pStyle w:val="TableParagraph"/>
              <w:spacing w:line="240" w:lineRule="auto" w:before="54"/>
              <w:ind w:left="326"/>
              <w:jc w:val="left"/>
              <w:rPr>
                <w:sz w:val="24"/>
              </w:rPr>
            </w:pPr>
            <w:r>
              <w:rPr>
                <w:spacing w:val="-10"/>
                <w:sz w:val="24"/>
              </w:rPr>
              <w:t>2</w:t>
            </w:r>
          </w:p>
        </w:tc>
        <w:tc>
          <w:tcPr>
            <w:tcW w:w="2034" w:type="dxa"/>
          </w:tcPr>
          <w:p>
            <w:pPr>
              <w:pStyle w:val="TableParagraph"/>
              <w:spacing w:line="240" w:lineRule="auto" w:before="54"/>
              <w:ind w:left="317"/>
              <w:jc w:val="left"/>
              <w:rPr>
                <w:sz w:val="24"/>
              </w:rPr>
            </w:pPr>
            <w:r>
              <w:rPr>
                <w:sz w:val="24"/>
              </w:rPr>
              <w:t>3162,</w:t>
            </w:r>
            <w:r>
              <w:rPr>
                <w:spacing w:val="-13"/>
                <w:sz w:val="24"/>
              </w:rPr>
              <w:t> </w:t>
            </w:r>
            <w:r>
              <w:rPr>
                <w:spacing w:val="-4"/>
                <w:sz w:val="24"/>
              </w:rPr>
              <w:t>2512</w:t>
            </w:r>
          </w:p>
        </w:tc>
        <w:tc>
          <w:tcPr>
            <w:tcW w:w="372" w:type="dxa"/>
          </w:tcPr>
          <w:p>
            <w:pPr>
              <w:pStyle w:val="TableParagraph"/>
              <w:spacing w:line="240" w:lineRule="auto"/>
              <w:jc w:val="left"/>
              <w:rPr>
                <w:rFonts w:ascii="Times New Roman"/>
                <w:sz w:val="22"/>
              </w:rPr>
            </w:pPr>
          </w:p>
        </w:tc>
      </w:tr>
      <w:tr>
        <w:trPr>
          <w:trHeight w:val="410" w:hRule="atLeast"/>
        </w:trPr>
        <w:tc>
          <w:tcPr>
            <w:tcW w:w="1140" w:type="dxa"/>
          </w:tcPr>
          <w:p>
            <w:pPr>
              <w:pStyle w:val="TableParagraph"/>
              <w:spacing w:line="240" w:lineRule="auto" w:before="54"/>
              <w:ind w:left="117"/>
              <w:jc w:val="left"/>
              <w:rPr>
                <w:sz w:val="22"/>
              </w:rPr>
            </w:pPr>
            <w:r>
              <w:rPr>
                <w:spacing w:val="-4"/>
                <w:sz w:val="22"/>
              </w:rPr>
              <w:t>S43s</w:t>
            </w:r>
          </w:p>
        </w:tc>
        <w:tc>
          <w:tcPr>
            <w:tcW w:w="3527" w:type="dxa"/>
          </w:tcPr>
          <w:p>
            <w:pPr>
              <w:pStyle w:val="TableParagraph"/>
              <w:spacing w:line="240" w:lineRule="auto" w:before="54"/>
              <w:ind w:left="355"/>
              <w:jc w:val="left"/>
              <w:rPr>
                <w:sz w:val="22"/>
              </w:rPr>
            </w:pPr>
            <w:r>
              <w:rPr>
                <w:i/>
                <w:sz w:val="22"/>
              </w:rPr>
              <w:t>E. coli </w:t>
            </w:r>
            <w:r>
              <w:rPr>
                <w:spacing w:val="-2"/>
                <w:sz w:val="22"/>
              </w:rPr>
              <w:t>(Transconjugant)</w:t>
            </w:r>
          </w:p>
        </w:tc>
        <w:tc>
          <w:tcPr>
            <w:tcW w:w="1086" w:type="dxa"/>
          </w:tcPr>
          <w:p>
            <w:pPr>
              <w:pStyle w:val="TableParagraph"/>
              <w:spacing w:line="240" w:lineRule="auto" w:before="54"/>
              <w:ind w:left="212"/>
              <w:jc w:val="left"/>
              <w:rPr>
                <w:sz w:val="22"/>
              </w:rPr>
            </w:pPr>
            <w:r>
              <w:rPr>
                <w:spacing w:val="-10"/>
                <w:sz w:val="22"/>
              </w:rPr>
              <w:t>4</w:t>
            </w:r>
          </w:p>
        </w:tc>
        <w:tc>
          <w:tcPr>
            <w:tcW w:w="1425" w:type="dxa"/>
          </w:tcPr>
          <w:p>
            <w:pPr>
              <w:pStyle w:val="TableParagraph"/>
              <w:spacing w:line="240" w:lineRule="auto" w:before="54"/>
              <w:ind w:left="326"/>
              <w:jc w:val="left"/>
              <w:rPr>
                <w:sz w:val="22"/>
              </w:rPr>
            </w:pPr>
            <w:r>
              <w:rPr>
                <w:spacing w:val="-10"/>
                <w:sz w:val="22"/>
              </w:rPr>
              <w:t>1</w:t>
            </w:r>
          </w:p>
        </w:tc>
        <w:tc>
          <w:tcPr>
            <w:tcW w:w="2034" w:type="dxa"/>
          </w:tcPr>
          <w:p>
            <w:pPr>
              <w:pStyle w:val="TableParagraph"/>
              <w:spacing w:line="240" w:lineRule="auto" w:before="54"/>
              <w:ind w:left="317"/>
              <w:jc w:val="left"/>
              <w:rPr>
                <w:sz w:val="22"/>
              </w:rPr>
            </w:pPr>
            <w:r>
              <w:rPr>
                <w:spacing w:val="-2"/>
                <w:sz w:val="22"/>
              </w:rPr>
              <w:t>10000</w:t>
            </w:r>
          </w:p>
        </w:tc>
        <w:tc>
          <w:tcPr>
            <w:tcW w:w="372" w:type="dxa"/>
          </w:tcPr>
          <w:p>
            <w:pPr>
              <w:pStyle w:val="TableParagraph"/>
              <w:spacing w:line="240" w:lineRule="auto"/>
              <w:jc w:val="left"/>
              <w:rPr>
                <w:rFonts w:ascii="Times New Roman"/>
                <w:sz w:val="22"/>
              </w:rPr>
            </w:pPr>
          </w:p>
        </w:tc>
      </w:tr>
      <w:tr>
        <w:trPr>
          <w:trHeight w:val="400" w:hRule="atLeast"/>
        </w:trPr>
        <w:tc>
          <w:tcPr>
            <w:tcW w:w="1140" w:type="dxa"/>
          </w:tcPr>
          <w:p>
            <w:pPr>
              <w:pStyle w:val="TableParagraph"/>
              <w:spacing w:line="240" w:lineRule="auto" w:before="47"/>
              <w:ind w:left="117"/>
              <w:jc w:val="left"/>
              <w:rPr>
                <w:sz w:val="22"/>
              </w:rPr>
            </w:pPr>
            <w:r>
              <w:rPr>
                <w:spacing w:val="-4"/>
                <w:sz w:val="22"/>
              </w:rPr>
              <w:t>E46e</w:t>
            </w:r>
          </w:p>
        </w:tc>
        <w:tc>
          <w:tcPr>
            <w:tcW w:w="3527" w:type="dxa"/>
          </w:tcPr>
          <w:p>
            <w:pPr>
              <w:pStyle w:val="TableParagraph"/>
              <w:spacing w:line="240" w:lineRule="auto" w:before="47"/>
              <w:ind w:left="355"/>
              <w:jc w:val="left"/>
              <w:rPr>
                <w:sz w:val="22"/>
              </w:rPr>
            </w:pPr>
            <w:r>
              <w:rPr>
                <w:i/>
                <w:sz w:val="22"/>
              </w:rPr>
              <w:t>E. coli </w:t>
            </w:r>
            <w:r>
              <w:rPr>
                <w:spacing w:val="-2"/>
                <w:sz w:val="22"/>
              </w:rPr>
              <w:t>(Transconjugant)</w:t>
            </w:r>
          </w:p>
        </w:tc>
        <w:tc>
          <w:tcPr>
            <w:tcW w:w="1086" w:type="dxa"/>
          </w:tcPr>
          <w:p>
            <w:pPr>
              <w:pStyle w:val="TableParagraph"/>
              <w:spacing w:line="240" w:lineRule="auto" w:before="47"/>
              <w:ind w:left="212"/>
              <w:jc w:val="left"/>
              <w:rPr>
                <w:sz w:val="22"/>
              </w:rPr>
            </w:pPr>
            <w:r>
              <w:rPr>
                <w:spacing w:val="-10"/>
                <w:sz w:val="22"/>
              </w:rPr>
              <w:t>1</w:t>
            </w:r>
          </w:p>
        </w:tc>
        <w:tc>
          <w:tcPr>
            <w:tcW w:w="1425" w:type="dxa"/>
          </w:tcPr>
          <w:p>
            <w:pPr>
              <w:pStyle w:val="TableParagraph"/>
              <w:spacing w:line="240" w:lineRule="auto" w:before="47"/>
              <w:ind w:left="326"/>
              <w:jc w:val="left"/>
              <w:rPr>
                <w:sz w:val="22"/>
              </w:rPr>
            </w:pPr>
            <w:r>
              <w:rPr>
                <w:spacing w:val="-10"/>
                <w:sz w:val="22"/>
              </w:rPr>
              <w:t>1</w:t>
            </w:r>
          </w:p>
        </w:tc>
        <w:tc>
          <w:tcPr>
            <w:tcW w:w="2034" w:type="dxa"/>
          </w:tcPr>
          <w:p>
            <w:pPr>
              <w:pStyle w:val="TableParagraph"/>
              <w:spacing w:line="240" w:lineRule="auto" w:before="47"/>
              <w:ind w:left="317"/>
              <w:jc w:val="left"/>
              <w:rPr>
                <w:sz w:val="22"/>
              </w:rPr>
            </w:pPr>
            <w:r>
              <w:rPr>
                <w:spacing w:val="-2"/>
                <w:sz w:val="22"/>
              </w:rPr>
              <w:t>10000</w:t>
            </w:r>
          </w:p>
        </w:tc>
        <w:tc>
          <w:tcPr>
            <w:tcW w:w="372" w:type="dxa"/>
          </w:tcPr>
          <w:p>
            <w:pPr>
              <w:pStyle w:val="TableParagraph"/>
              <w:spacing w:line="240" w:lineRule="auto"/>
              <w:jc w:val="left"/>
              <w:rPr>
                <w:rFonts w:ascii="Times New Roman"/>
                <w:sz w:val="22"/>
              </w:rPr>
            </w:pPr>
          </w:p>
        </w:tc>
      </w:tr>
      <w:tr>
        <w:trPr>
          <w:trHeight w:val="450" w:hRule="atLeast"/>
        </w:trPr>
        <w:tc>
          <w:tcPr>
            <w:tcW w:w="1140" w:type="dxa"/>
            <w:tcBorders>
              <w:bottom w:val="single" w:sz="4" w:space="0" w:color="000000"/>
            </w:tcBorders>
          </w:tcPr>
          <w:p>
            <w:pPr>
              <w:pStyle w:val="TableParagraph"/>
              <w:spacing w:line="240" w:lineRule="auto" w:before="45"/>
              <w:ind w:left="117"/>
              <w:jc w:val="left"/>
              <w:rPr>
                <w:sz w:val="22"/>
              </w:rPr>
            </w:pPr>
            <w:r>
              <w:rPr>
                <w:spacing w:val="-4"/>
                <w:sz w:val="22"/>
              </w:rPr>
              <w:t>E10e</w:t>
            </w:r>
          </w:p>
        </w:tc>
        <w:tc>
          <w:tcPr>
            <w:tcW w:w="3527" w:type="dxa"/>
            <w:tcBorders>
              <w:bottom w:val="single" w:sz="4" w:space="0" w:color="000000"/>
            </w:tcBorders>
          </w:tcPr>
          <w:p>
            <w:pPr>
              <w:pStyle w:val="TableParagraph"/>
              <w:spacing w:line="240" w:lineRule="auto" w:before="45"/>
              <w:ind w:left="355"/>
              <w:jc w:val="left"/>
              <w:rPr>
                <w:sz w:val="22"/>
              </w:rPr>
            </w:pPr>
            <w:r>
              <w:rPr>
                <w:i/>
                <w:sz w:val="22"/>
              </w:rPr>
              <w:t>Providencia</w:t>
            </w:r>
            <w:r>
              <w:rPr>
                <w:i/>
                <w:spacing w:val="-4"/>
                <w:sz w:val="22"/>
              </w:rPr>
              <w:t> </w:t>
            </w:r>
            <w:r>
              <w:rPr>
                <w:i/>
                <w:sz w:val="22"/>
              </w:rPr>
              <w:t>spp</w:t>
            </w:r>
            <w:r>
              <w:rPr>
                <w:i/>
                <w:spacing w:val="-3"/>
                <w:sz w:val="22"/>
              </w:rPr>
              <w:t> </w:t>
            </w:r>
            <w:r>
              <w:rPr>
                <w:spacing w:val="-2"/>
                <w:sz w:val="22"/>
              </w:rPr>
              <w:t>(Transconjugant)</w:t>
            </w:r>
          </w:p>
        </w:tc>
        <w:tc>
          <w:tcPr>
            <w:tcW w:w="1086" w:type="dxa"/>
            <w:tcBorders>
              <w:bottom w:val="single" w:sz="4" w:space="0" w:color="000000"/>
            </w:tcBorders>
          </w:tcPr>
          <w:p>
            <w:pPr>
              <w:pStyle w:val="TableParagraph"/>
              <w:spacing w:line="240" w:lineRule="auto" w:before="45"/>
              <w:ind w:left="212"/>
              <w:jc w:val="left"/>
              <w:rPr>
                <w:sz w:val="22"/>
              </w:rPr>
            </w:pPr>
            <w:r>
              <w:rPr>
                <w:spacing w:val="-10"/>
                <w:sz w:val="22"/>
              </w:rPr>
              <w:t>1</w:t>
            </w:r>
          </w:p>
        </w:tc>
        <w:tc>
          <w:tcPr>
            <w:tcW w:w="1425" w:type="dxa"/>
            <w:tcBorders>
              <w:bottom w:val="single" w:sz="4" w:space="0" w:color="000000"/>
            </w:tcBorders>
          </w:tcPr>
          <w:p>
            <w:pPr>
              <w:pStyle w:val="TableParagraph"/>
              <w:spacing w:line="240" w:lineRule="auto" w:before="45"/>
              <w:ind w:left="326"/>
              <w:jc w:val="left"/>
              <w:rPr>
                <w:sz w:val="22"/>
              </w:rPr>
            </w:pPr>
            <w:r>
              <w:rPr>
                <w:spacing w:val="-10"/>
                <w:sz w:val="22"/>
              </w:rPr>
              <w:t>1</w:t>
            </w:r>
          </w:p>
        </w:tc>
        <w:tc>
          <w:tcPr>
            <w:tcW w:w="2034" w:type="dxa"/>
            <w:tcBorders>
              <w:bottom w:val="single" w:sz="4" w:space="0" w:color="000000"/>
            </w:tcBorders>
          </w:tcPr>
          <w:p>
            <w:pPr>
              <w:pStyle w:val="TableParagraph"/>
              <w:spacing w:line="240" w:lineRule="auto" w:before="45"/>
              <w:ind w:left="317"/>
              <w:jc w:val="left"/>
              <w:rPr>
                <w:sz w:val="22"/>
              </w:rPr>
            </w:pPr>
            <w:r>
              <w:rPr>
                <w:spacing w:val="-2"/>
                <w:sz w:val="22"/>
              </w:rPr>
              <w:t>10000</w:t>
            </w:r>
          </w:p>
        </w:tc>
        <w:tc>
          <w:tcPr>
            <w:tcW w:w="372" w:type="dxa"/>
            <w:tcBorders>
              <w:bottom w:val="single" w:sz="4" w:space="0" w:color="000000"/>
            </w:tcBorders>
          </w:tcPr>
          <w:p>
            <w:pPr>
              <w:pStyle w:val="TableParagraph"/>
              <w:spacing w:line="240" w:lineRule="auto"/>
              <w:jc w:val="left"/>
              <w:rPr>
                <w:rFonts w:ascii="Times New Roman"/>
                <w:sz w:val="22"/>
              </w:rPr>
            </w:pPr>
          </w:p>
        </w:tc>
      </w:tr>
    </w:tbl>
    <w:p>
      <w:pPr>
        <w:spacing w:after="0" w:line="240" w:lineRule="auto"/>
        <w:jc w:val="left"/>
        <w:rPr>
          <w:rFonts w:ascii="Times New Roman"/>
          <w:sz w:val="22"/>
        </w:rPr>
        <w:sectPr>
          <w:pgSz w:w="12240" w:h="15840"/>
          <w:pgMar w:header="0" w:footer="1017" w:top="1820" w:bottom="1200" w:left="520" w:right="260"/>
        </w:sectPr>
      </w:pPr>
    </w:p>
    <w:p>
      <w:pPr>
        <w:pStyle w:val="Heading5"/>
        <w:ind w:left="940" w:right="1205" w:firstLine="0"/>
        <w:jc w:val="center"/>
      </w:pPr>
      <w:bookmarkStart w:name="_TOC_250007" w:id="84"/>
      <w:r>
        <w:rPr/>
        <w:t>CHAPTER</w:t>
      </w:r>
      <w:r>
        <w:rPr>
          <w:spacing w:val="-10"/>
        </w:rPr>
        <w:t> </w:t>
      </w:r>
      <w:bookmarkEnd w:id="84"/>
      <w:r>
        <w:rPr>
          <w:spacing w:val="-4"/>
        </w:rPr>
        <w:t>FIVE</w:t>
      </w:r>
    </w:p>
    <w:p>
      <w:pPr>
        <w:pStyle w:val="BodyText"/>
        <w:spacing w:before="202"/>
        <w:rPr>
          <w:b/>
        </w:rPr>
      </w:pPr>
    </w:p>
    <w:p>
      <w:pPr>
        <w:pStyle w:val="ListParagraph"/>
        <w:numPr>
          <w:ilvl w:val="1"/>
          <w:numId w:val="19"/>
        </w:numPr>
        <w:tabs>
          <w:tab w:pos="4865" w:val="left" w:leader="none"/>
        </w:tabs>
        <w:spacing w:line="240" w:lineRule="auto" w:before="0" w:after="0"/>
        <w:ind w:left="4865" w:right="0" w:hanging="3945"/>
        <w:jc w:val="both"/>
        <w:rPr>
          <w:rFonts w:ascii="Calibri"/>
          <w:b/>
          <w:sz w:val="22"/>
        </w:rPr>
      </w:pPr>
      <w:bookmarkStart w:name="_TOC_250006" w:id="85"/>
      <w:bookmarkEnd w:id="85"/>
      <w:r>
        <w:rPr>
          <w:rFonts w:ascii="Calibri"/>
          <w:b/>
          <w:spacing w:val="-2"/>
          <w:sz w:val="22"/>
        </w:rPr>
        <w:t>DISCUSSION</w:t>
      </w:r>
    </w:p>
    <w:p>
      <w:pPr>
        <w:pStyle w:val="BodyText"/>
        <w:spacing w:before="197"/>
        <w:rPr>
          <w:b/>
        </w:rPr>
      </w:pPr>
    </w:p>
    <w:p>
      <w:pPr>
        <w:pStyle w:val="Heading6"/>
        <w:numPr>
          <w:ilvl w:val="1"/>
          <w:numId w:val="19"/>
        </w:numPr>
        <w:tabs>
          <w:tab w:pos="1245" w:val="left" w:leader="none"/>
        </w:tabs>
        <w:spacing w:line="240" w:lineRule="auto" w:before="0" w:after="0"/>
        <w:ind w:left="1245" w:right="0" w:hanging="325"/>
        <w:jc w:val="both"/>
      </w:pPr>
      <w:r>
        <w:rPr/>
        <w:t>Bacterial</w:t>
      </w:r>
      <w:r>
        <w:rPr>
          <w:spacing w:val="-5"/>
        </w:rPr>
        <w:t> </w:t>
      </w:r>
      <w:r>
        <w:rPr/>
        <w:t>contamination</w:t>
      </w:r>
      <w:r>
        <w:rPr>
          <w:spacing w:val="-2"/>
        </w:rPr>
        <w:t> </w:t>
      </w:r>
      <w:r>
        <w:rPr/>
        <w:t>of</w:t>
      </w:r>
      <w:r>
        <w:rPr>
          <w:spacing w:val="-2"/>
        </w:rPr>
        <w:t> </w:t>
      </w:r>
      <w:r>
        <w:rPr/>
        <w:t>milk</w:t>
      </w:r>
      <w:r>
        <w:rPr>
          <w:spacing w:val="-4"/>
        </w:rPr>
        <w:t> </w:t>
      </w:r>
      <w:r>
        <w:rPr/>
        <w:t>product</w:t>
      </w:r>
      <w:r>
        <w:rPr>
          <w:spacing w:val="-4"/>
        </w:rPr>
        <w:t> </w:t>
      </w:r>
      <w:r>
        <w:rPr/>
        <w:t>sold</w:t>
      </w:r>
      <w:r>
        <w:rPr>
          <w:spacing w:val="-3"/>
        </w:rPr>
        <w:t> </w:t>
      </w:r>
      <w:r>
        <w:rPr/>
        <w:t>in</w:t>
      </w:r>
      <w:r>
        <w:rPr>
          <w:spacing w:val="-2"/>
        </w:rPr>
        <w:t> </w:t>
      </w:r>
      <w:r>
        <w:rPr>
          <w:spacing w:val="-4"/>
        </w:rPr>
        <w:t>Zaria</w:t>
      </w:r>
    </w:p>
    <w:p>
      <w:pPr>
        <w:pStyle w:val="BodyText"/>
        <w:spacing w:before="202"/>
        <w:rPr>
          <w:b/>
        </w:rPr>
      </w:pPr>
    </w:p>
    <w:p>
      <w:pPr>
        <w:pStyle w:val="BodyText"/>
        <w:spacing w:line="477" w:lineRule="auto"/>
        <w:ind w:left="920" w:right="1176"/>
        <w:jc w:val="both"/>
      </w:pPr>
      <w:r>
        <w:rPr/>
        <w:t>The results obtained from the bacteriological analysis of milk samples obtained from Samaru, Sabon Gari,</w:t>
      </w:r>
      <w:r>
        <w:rPr>
          <w:spacing w:val="-2"/>
        </w:rPr>
        <w:t> </w:t>
      </w:r>
      <w:r>
        <w:rPr/>
        <w:t>Wusasa and Zaria City showed that</w:t>
      </w:r>
      <w:r>
        <w:rPr>
          <w:spacing w:val="-1"/>
        </w:rPr>
        <w:t> </w:t>
      </w:r>
      <w:r>
        <w:rPr/>
        <w:t>the products were grossly contaminated with bacteria of public health concern. The bacterial load count</w:t>
      </w:r>
      <w:r>
        <w:rPr>
          <w:spacing w:val="-1"/>
        </w:rPr>
        <w:t> </w:t>
      </w:r>
      <w:r>
        <w:rPr/>
        <w:t>from milk products in this study range from 19.4</w:t>
      </w:r>
      <w:r>
        <w:rPr>
          <w:spacing w:val="-1"/>
        </w:rPr>
        <w:t> </w:t>
      </w:r>
      <w:r>
        <w:rPr/>
        <w:t>x 10</w:t>
      </w:r>
      <w:r>
        <w:rPr>
          <w:vertAlign w:val="superscript"/>
        </w:rPr>
        <w:t>6</w:t>
      </w:r>
      <w:r>
        <w:rPr>
          <w:vertAlign w:val="baseline"/>
        </w:rPr>
        <w:t>cfu/ml to</w:t>
      </w:r>
    </w:p>
    <w:p>
      <w:pPr>
        <w:pStyle w:val="BodyText"/>
        <w:spacing w:line="480" w:lineRule="auto" w:before="5"/>
        <w:ind w:left="920" w:right="1177"/>
        <w:jc w:val="both"/>
      </w:pPr>
      <w:r>
        <w:rPr/>
        <w:t>1.1 x 10</w:t>
      </w:r>
      <w:r>
        <w:rPr>
          <w:vertAlign w:val="superscript"/>
        </w:rPr>
        <w:t>6</w:t>
      </w:r>
      <w:r>
        <w:rPr>
          <w:vertAlign w:val="baseline"/>
        </w:rPr>
        <w:t>cfu/ml. The high total aerobic bacterial counts in the milk products examined could be a consequence of the low level of hygiene maintained during the processing of the milk products. It has been reported that the unclean hands of workers, poor quality of milk, unhygienic conditions of the manufacturing unit and water supplied for washing the utensils could be the source for accelerating bacterial contamination of milk products beside the post manufacturing contamination (El-Mahmood and Doughari,2007). The high numbers of the isolated bacteria observed in this study could</w:t>
      </w:r>
      <w:r>
        <w:rPr>
          <w:spacing w:val="40"/>
          <w:vertAlign w:val="baseline"/>
        </w:rPr>
        <w:t> </w:t>
      </w:r>
      <w:r>
        <w:rPr>
          <w:vertAlign w:val="baseline"/>
        </w:rPr>
        <w:t>be due</w:t>
      </w:r>
      <w:r>
        <w:rPr>
          <w:spacing w:val="40"/>
          <w:vertAlign w:val="baseline"/>
        </w:rPr>
        <w:t> </w:t>
      </w:r>
      <w:r>
        <w:rPr>
          <w:vertAlign w:val="baseline"/>
        </w:rPr>
        <w:t>to the fact that milk being a good nutritive medium enhanced the growth of bacteria contaminant in the mik investigated (International Dairy Federation, 1994a; Adesiyun </w:t>
      </w:r>
      <w:r>
        <w:rPr>
          <w:i/>
          <w:vertAlign w:val="baseline"/>
        </w:rPr>
        <w:t>et al</w:t>
      </w:r>
      <w:r>
        <w:rPr>
          <w:vertAlign w:val="baseline"/>
        </w:rPr>
        <w:t>., 1997b).</w:t>
      </w:r>
    </w:p>
    <w:p>
      <w:pPr>
        <w:spacing w:line="480" w:lineRule="auto" w:before="244"/>
        <w:ind w:left="920" w:right="1175" w:firstLine="0"/>
        <w:jc w:val="both"/>
        <w:rPr>
          <w:sz w:val="22"/>
        </w:rPr>
      </w:pPr>
      <w:r>
        <w:rPr>
          <w:sz w:val="22"/>
        </w:rPr>
        <w:t>The detection of bacteria from enterobacteriaceae group such as </w:t>
      </w:r>
      <w:r>
        <w:rPr>
          <w:i/>
          <w:sz w:val="22"/>
        </w:rPr>
        <w:t>Escherichia coli,Enterobacter spp</w:t>
      </w:r>
      <w:r>
        <w:rPr>
          <w:sz w:val="22"/>
        </w:rPr>
        <w:t>, </w:t>
      </w:r>
      <w:r>
        <w:rPr>
          <w:i/>
          <w:sz w:val="22"/>
        </w:rPr>
        <w:t>Klebsiella spp</w:t>
      </w:r>
      <w:r>
        <w:rPr>
          <w:sz w:val="22"/>
        </w:rPr>
        <w:t>, </w:t>
      </w:r>
      <w:r>
        <w:rPr>
          <w:i/>
          <w:sz w:val="22"/>
        </w:rPr>
        <w:t>Proteus spp</w:t>
      </w:r>
      <w:r>
        <w:rPr>
          <w:sz w:val="22"/>
        </w:rPr>
        <w:t>, </w:t>
      </w:r>
      <w:r>
        <w:rPr>
          <w:i/>
          <w:sz w:val="22"/>
        </w:rPr>
        <w:t>Citrobacter spp</w:t>
      </w:r>
      <w:r>
        <w:rPr>
          <w:sz w:val="22"/>
        </w:rPr>
        <w:t>, </w:t>
      </w:r>
      <w:r>
        <w:rPr>
          <w:i/>
          <w:sz w:val="22"/>
        </w:rPr>
        <w:t>Yersinia spp</w:t>
      </w:r>
      <w:r>
        <w:rPr>
          <w:sz w:val="22"/>
        </w:rPr>
        <w:t>, </w:t>
      </w:r>
      <w:r>
        <w:rPr>
          <w:i/>
          <w:sz w:val="22"/>
        </w:rPr>
        <w:t>Salmonella spp </w:t>
      </w:r>
      <w:r>
        <w:rPr>
          <w:sz w:val="22"/>
        </w:rPr>
        <w:t>and </w:t>
      </w:r>
      <w:r>
        <w:rPr>
          <w:i/>
          <w:sz w:val="22"/>
        </w:rPr>
        <w:t>Providencia spp </w:t>
      </w:r>
      <w:r>
        <w:rPr>
          <w:sz w:val="22"/>
        </w:rPr>
        <w:t>in the studied milk products, probably indicates possible faecal contamination (Talaro and Talaro, 2006). Similar bacteria isolates from milk products have been previously reported from milk products (Yagoub </w:t>
      </w:r>
      <w:r>
        <w:rPr>
          <w:i/>
          <w:sz w:val="22"/>
        </w:rPr>
        <w:t>et al</w:t>
      </w:r>
      <w:r>
        <w:rPr>
          <w:sz w:val="22"/>
        </w:rPr>
        <w:t>., 2005; Oranusi </w:t>
      </w:r>
      <w:r>
        <w:rPr>
          <w:i/>
          <w:sz w:val="22"/>
        </w:rPr>
        <w:t>et al., </w:t>
      </w:r>
      <w:r>
        <w:rPr>
          <w:sz w:val="22"/>
        </w:rPr>
        <w:t>2007)</w:t>
      </w:r>
    </w:p>
    <w:p>
      <w:pPr>
        <w:pStyle w:val="BodyText"/>
      </w:pPr>
    </w:p>
    <w:p>
      <w:pPr>
        <w:pStyle w:val="BodyText"/>
      </w:pPr>
    </w:p>
    <w:p>
      <w:pPr>
        <w:pStyle w:val="BodyText"/>
        <w:spacing w:before="209"/>
      </w:pPr>
    </w:p>
    <w:p>
      <w:pPr>
        <w:pStyle w:val="BodyText"/>
        <w:spacing w:line="480" w:lineRule="auto"/>
        <w:ind w:left="920" w:right="1177"/>
        <w:jc w:val="both"/>
      </w:pPr>
      <w:r>
        <w:rPr/>
        <w:t>Being enteric bacteria, their presence indicates poor hygienic practices among handlers of these products.</w:t>
      </w:r>
      <w:r>
        <w:rPr>
          <w:spacing w:val="26"/>
        </w:rPr>
        <w:t> </w:t>
      </w:r>
      <w:r>
        <w:rPr/>
        <w:t>Due</w:t>
      </w:r>
      <w:r>
        <w:rPr>
          <w:spacing w:val="24"/>
        </w:rPr>
        <w:t> </w:t>
      </w:r>
      <w:r>
        <w:rPr/>
        <w:t>to</w:t>
      </w:r>
      <w:r>
        <w:rPr>
          <w:spacing w:val="28"/>
        </w:rPr>
        <w:t> </w:t>
      </w:r>
      <w:r>
        <w:rPr/>
        <w:t>the</w:t>
      </w:r>
      <w:r>
        <w:rPr>
          <w:spacing w:val="24"/>
        </w:rPr>
        <w:t> </w:t>
      </w:r>
      <w:r>
        <w:rPr/>
        <w:t>significance</w:t>
      </w:r>
      <w:r>
        <w:rPr>
          <w:spacing w:val="24"/>
        </w:rPr>
        <w:t> </w:t>
      </w:r>
      <w:r>
        <w:rPr/>
        <w:t>of</w:t>
      </w:r>
      <w:r>
        <w:rPr>
          <w:spacing w:val="24"/>
        </w:rPr>
        <w:t> </w:t>
      </w:r>
      <w:r>
        <w:rPr/>
        <w:t>the</w:t>
      </w:r>
      <w:r>
        <w:rPr>
          <w:spacing w:val="24"/>
        </w:rPr>
        <w:t> </w:t>
      </w:r>
      <w:r>
        <w:rPr/>
        <w:t>faecal-oral</w:t>
      </w:r>
      <w:r>
        <w:rPr>
          <w:spacing w:val="26"/>
        </w:rPr>
        <w:t> </w:t>
      </w:r>
      <w:r>
        <w:rPr/>
        <w:t>route</w:t>
      </w:r>
      <w:r>
        <w:rPr>
          <w:spacing w:val="24"/>
        </w:rPr>
        <w:t> </w:t>
      </w:r>
      <w:r>
        <w:rPr/>
        <w:t>transmission</w:t>
      </w:r>
      <w:r>
        <w:rPr>
          <w:spacing w:val="23"/>
        </w:rPr>
        <w:t> </w:t>
      </w:r>
      <w:r>
        <w:rPr/>
        <w:t>for</w:t>
      </w:r>
      <w:r>
        <w:rPr>
          <w:spacing w:val="24"/>
        </w:rPr>
        <w:t> </w:t>
      </w:r>
      <w:r>
        <w:rPr/>
        <w:t>many</w:t>
      </w:r>
      <w:r>
        <w:rPr>
          <w:spacing w:val="25"/>
        </w:rPr>
        <w:t> </w:t>
      </w:r>
      <w:r>
        <w:rPr/>
        <w:t>bacterial</w:t>
      </w:r>
      <w:r>
        <w:rPr>
          <w:spacing w:val="26"/>
        </w:rPr>
        <w:t> </w:t>
      </w:r>
      <w:r>
        <w:rPr/>
        <w:t>food</w:t>
      </w:r>
      <w:r>
        <w:rPr>
          <w:spacing w:val="23"/>
        </w:rPr>
        <w:t> </w:t>
      </w:r>
      <w:r>
        <w:rPr/>
        <w:t>borne</w:t>
      </w:r>
    </w:p>
    <w:p>
      <w:pPr>
        <w:spacing w:after="0" w:line="480" w:lineRule="auto"/>
        <w:jc w:val="both"/>
        <w:sectPr>
          <w:pgSz w:w="12240" w:h="15840"/>
          <w:pgMar w:header="0" w:footer="1017" w:top="1400" w:bottom="1200" w:left="520" w:right="260"/>
        </w:sectPr>
      </w:pPr>
    </w:p>
    <w:p>
      <w:pPr>
        <w:pStyle w:val="BodyText"/>
        <w:spacing w:line="480" w:lineRule="auto" w:before="37"/>
        <w:ind w:left="920" w:right="1176"/>
        <w:jc w:val="both"/>
      </w:pPr>
      <w:r>
        <w:rPr/>
        <w:t>diseases,</w:t>
      </w:r>
      <w:r>
        <w:rPr>
          <w:spacing w:val="-1"/>
        </w:rPr>
        <w:t> </w:t>
      </w:r>
      <w:r>
        <w:rPr/>
        <w:t>basic</w:t>
      </w:r>
      <w:r>
        <w:rPr>
          <w:spacing w:val="-1"/>
        </w:rPr>
        <w:t> </w:t>
      </w:r>
      <w:r>
        <w:rPr/>
        <w:t>hygiene measures assume a decisive importance in food safety management (Utermann, 1998). The presence of these bacteria in milk also suggests contamination from various sources, which may include animal, human, environment, utensils and others (Murphy and Boor, 2000).</w:t>
      </w:r>
    </w:p>
    <w:p>
      <w:pPr>
        <w:pStyle w:val="BodyText"/>
        <w:spacing w:line="477" w:lineRule="auto" w:before="241"/>
        <w:ind w:left="920" w:right="1178"/>
        <w:jc w:val="both"/>
      </w:pPr>
      <w:r>
        <w:rPr/>
        <w:t>Isolation of </w:t>
      </w:r>
      <w:r>
        <w:rPr>
          <w:i/>
        </w:rPr>
        <w:t>E. coli </w:t>
      </w:r>
      <w:r>
        <w:rPr/>
        <w:t>could be due to faecal contaminated water used in milk production, raw materials, storage environment. </w:t>
      </w:r>
      <w:r>
        <w:rPr>
          <w:i/>
        </w:rPr>
        <w:t>Escherichia coli </w:t>
      </w:r>
      <w:r>
        <w:rPr/>
        <w:t>have been reported linked to diarrheal diseases, urethrocystitis, prostatitis and pyelonephritis (Kurt and Wolfgang, 2000;</w:t>
      </w:r>
      <w:r>
        <w:rPr>
          <w:spacing w:val="40"/>
        </w:rPr>
        <w:t> </w:t>
      </w:r>
      <w:r>
        <w:rPr/>
        <w:t>Leflon-Guibouta</w:t>
      </w:r>
      <w:r>
        <w:rPr>
          <w:i/>
        </w:rPr>
        <w:t>et al</w:t>
      </w:r>
      <w:r>
        <w:rPr/>
        <w:t>., 2002).</w:t>
      </w:r>
    </w:p>
    <w:p>
      <w:pPr>
        <w:pStyle w:val="BodyText"/>
        <w:spacing w:line="480" w:lineRule="auto" w:before="245"/>
        <w:ind w:left="920" w:right="1172"/>
        <w:jc w:val="both"/>
      </w:pPr>
      <w:r>
        <w:rPr/>
        <w:t>Other bacteria isolated in this study include </w:t>
      </w:r>
      <w:r>
        <w:rPr>
          <w:i/>
        </w:rPr>
        <w:t>Pseudomonas species </w:t>
      </w:r>
      <w:r>
        <w:rPr/>
        <w:t>and </w:t>
      </w:r>
      <w:r>
        <w:rPr>
          <w:i/>
        </w:rPr>
        <w:t>Staphylococcus aureus</w:t>
      </w:r>
      <w:r>
        <w:rPr/>
        <w:t>. </w:t>
      </w:r>
      <w:r>
        <w:rPr>
          <w:i/>
        </w:rPr>
        <w:t>Pseudomonas species </w:t>
      </w:r>
      <w:r>
        <w:rPr/>
        <w:t>have been implicated in the spoilage of milk and its products at even refrigerator temperatures (Gilmour and Rowe, 1990). </w:t>
      </w:r>
      <w:r>
        <w:rPr>
          <w:i/>
        </w:rPr>
        <w:t>Pseudomonas </w:t>
      </w:r>
      <w:r>
        <w:rPr/>
        <w:t>has been implicated in localized/generalized infections following surgery or burns, nosocomial infections e.g. Urinary tract infections following catheterization, eye and ear infections which may be serious in hospitalized patients or those with cancer who consume pasteurized milk (Okpalugo </w:t>
      </w:r>
      <w:r>
        <w:rPr>
          <w:i/>
        </w:rPr>
        <w:t>et al</w:t>
      </w:r>
      <w:r>
        <w:rPr/>
        <w:t>., 2008). Detection of </w:t>
      </w:r>
      <w:r>
        <w:rPr>
          <w:i/>
        </w:rPr>
        <w:t>Pseudomonas spp </w:t>
      </w:r>
      <w:r>
        <w:rPr/>
        <w:t>can also be due to the low temperature of storage of pasteurized milk, which might have supported the growth of psychrotrophs as reported by Holm </w:t>
      </w:r>
      <w:r>
        <w:rPr>
          <w:i/>
        </w:rPr>
        <w:t>et al. </w:t>
      </w:r>
      <w:r>
        <w:rPr/>
        <w:t>(2004)</w:t>
      </w:r>
      <w:r>
        <w:rPr>
          <w:sz w:val="20"/>
        </w:rPr>
        <w:t>. </w:t>
      </w:r>
      <w:r>
        <w:rPr/>
        <w:t>Valbuena </w:t>
      </w:r>
      <w:r>
        <w:rPr>
          <w:i/>
        </w:rPr>
        <w:t>et al</w:t>
      </w:r>
      <w:r>
        <w:rPr/>
        <w:t>. (2004) also reported detection of </w:t>
      </w:r>
      <w:r>
        <w:rPr>
          <w:i/>
        </w:rPr>
        <w:t>Pseudomonas spp </w:t>
      </w:r>
      <w:r>
        <w:rPr/>
        <w:t>in milk products.</w:t>
      </w:r>
    </w:p>
    <w:p>
      <w:pPr>
        <w:pStyle w:val="BodyText"/>
        <w:spacing w:line="480" w:lineRule="auto" w:before="239"/>
        <w:ind w:left="920" w:right="1174"/>
        <w:jc w:val="both"/>
      </w:pPr>
      <w:r>
        <w:rPr/>
        <w:t>The detection of </w:t>
      </w:r>
      <w:r>
        <w:rPr>
          <w:i/>
        </w:rPr>
        <w:t>Staphylococcus</w:t>
      </w:r>
      <w:r>
        <w:rPr>
          <w:i/>
          <w:spacing w:val="-4"/>
        </w:rPr>
        <w:t> </w:t>
      </w:r>
      <w:r>
        <w:rPr>
          <w:i/>
        </w:rPr>
        <w:t>aureus</w:t>
      </w:r>
      <w:r>
        <w:rPr>
          <w:i/>
          <w:spacing w:val="-2"/>
        </w:rPr>
        <w:t> </w:t>
      </w:r>
      <w:r>
        <w:rPr/>
        <w:t>is</w:t>
      </w:r>
      <w:r>
        <w:rPr>
          <w:spacing w:val="-4"/>
        </w:rPr>
        <w:t> </w:t>
      </w:r>
      <w:r>
        <w:rPr/>
        <w:t>also</w:t>
      </w:r>
      <w:r>
        <w:rPr>
          <w:spacing w:val="-1"/>
        </w:rPr>
        <w:t> </w:t>
      </w:r>
      <w:r>
        <w:rPr/>
        <w:t>of public</w:t>
      </w:r>
      <w:r>
        <w:rPr>
          <w:spacing w:val="-2"/>
        </w:rPr>
        <w:t> </w:t>
      </w:r>
      <w:r>
        <w:rPr/>
        <w:t>health importance because of its ability to</w:t>
      </w:r>
      <w:r>
        <w:rPr>
          <w:spacing w:val="-1"/>
        </w:rPr>
        <w:t> </w:t>
      </w:r>
      <w:r>
        <w:rPr/>
        <w:t>cause a wide range of infections especially food-borne intoxication. Isolation of </w:t>
      </w:r>
      <w:r>
        <w:rPr>
          <w:i/>
        </w:rPr>
        <w:t>Staphylococcus aureus </w:t>
      </w:r>
      <w:r>
        <w:rPr/>
        <w:t>from milk products have been reported in other works (Teale, 2002; Jayarao and Wolfgang, 2003; Sato </w:t>
      </w:r>
      <w:r>
        <w:rPr>
          <w:i/>
        </w:rPr>
        <w:t>et al</w:t>
      </w:r>
      <w:r>
        <w:rPr/>
        <w:t>., 2004). </w:t>
      </w:r>
      <w:r>
        <w:rPr>
          <w:i/>
        </w:rPr>
        <w:t>Staphylococcus aureus </w:t>
      </w:r>
      <w:r>
        <w:rPr/>
        <w:t>has been linked to gastroenteritis by producing toxic chemical enterotoxins. As little as 1.0 µg of the toxin in contaminated food produces symptoms of illness. This level of the toxin has been found at 10</w:t>
      </w:r>
      <w:r>
        <w:rPr>
          <w:vertAlign w:val="superscript"/>
        </w:rPr>
        <w:t>5</w:t>
      </w:r>
      <w:r>
        <w:rPr>
          <w:vertAlign w:val="baseline"/>
        </w:rPr>
        <w:t> cells /g of food (Ananthanarayanand Panikaran,2001). </w:t>
      </w:r>
      <w:r>
        <w:rPr>
          <w:i/>
          <w:vertAlign w:val="baseline"/>
        </w:rPr>
        <w:t>Staphylococcus aureus </w:t>
      </w:r>
      <w:r>
        <w:rPr>
          <w:vertAlign w:val="baseline"/>
        </w:rPr>
        <w:t>has also been reported linked to boils, skin infections, (pneumonia, deep abscesses</w:t>
      </w:r>
      <w:r>
        <w:rPr>
          <w:spacing w:val="53"/>
          <w:vertAlign w:val="baseline"/>
        </w:rPr>
        <w:t> </w:t>
      </w:r>
      <w:r>
        <w:rPr>
          <w:vertAlign w:val="baseline"/>
        </w:rPr>
        <w:t>and</w:t>
      </w:r>
      <w:r>
        <w:rPr>
          <w:spacing w:val="55"/>
          <w:vertAlign w:val="baseline"/>
        </w:rPr>
        <w:t> </w:t>
      </w:r>
      <w:r>
        <w:rPr>
          <w:vertAlign w:val="baseline"/>
        </w:rPr>
        <w:t>meningitis</w:t>
      </w:r>
      <w:r>
        <w:rPr>
          <w:spacing w:val="52"/>
          <w:vertAlign w:val="baseline"/>
        </w:rPr>
        <w:t> </w:t>
      </w:r>
      <w:r>
        <w:rPr>
          <w:vertAlign w:val="baseline"/>
        </w:rPr>
        <w:t>in</w:t>
      </w:r>
      <w:r>
        <w:rPr>
          <w:spacing w:val="55"/>
          <w:vertAlign w:val="baseline"/>
        </w:rPr>
        <w:t> </w:t>
      </w:r>
      <w:r>
        <w:rPr>
          <w:vertAlign w:val="baseline"/>
        </w:rPr>
        <w:t>debilitated</w:t>
      </w:r>
      <w:r>
        <w:rPr>
          <w:spacing w:val="56"/>
          <w:vertAlign w:val="baseline"/>
        </w:rPr>
        <w:t> </w:t>
      </w:r>
      <w:r>
        <w:rPr>
          <w:vertAlign w:val="baseline"/>
        </w:rPr>
        <w:t>persons).</w:t>
      </w:r>
      <w:r>
        <w:rPr>
          <w:spacing w:val="60"/>
          <w:vertAlign w:val="baseline"/>
        </w:rPr>
        <w:t> </w:t>
      </w:r>
      <w:r>
        <w:rPr>
          <w:i/>
          <w:vertAlign w:val="baseline"/>
        </w:rPr>
        <w:t>Staphylococcus</w:t>
      </w:r>
      <w:r>
        <w:rPr>
          <w:i/>
          <w:spacing w:val="52"/>
          <w:vertAlign w:val="baseline"/>
        </w:rPr>
        <w:t> </w:t>
      </w:r>
      <w:r>
        <w:rPr>
          <w:i/>
          <w:vertAlign w:val="baseline"/>
        </w:rPr>
        <w:t>aureus</w:t>
      </w:r>
      <w:r>
        <w:rPr>
          <w:i/>
          <w:spacing w:val="52"/>
          <w:vertAlign w:val="baseline"/>
        </w:rPr>
        <w:t> </w:t>
      </w:r>
      <w:r>
        <w:rPr>
          <w:vertAlign w:val="baseline"/>
        </w:rPr>
        <w:t>has</w:t>
      </w:r>
      <w:r>
        <w:rPr>
          <w:spacing w:val="56"/>
          <w:vertAlign w:val="baseline"/>
        </w:rPr>
        <w:t> </w:t>
      </w:r>
      <w:r>
        <w:rPr>
          <w:vertAlign w:val="baseline"/>
        </w:rPr>
        <w:t>been</w:t>
      </w:r>
      <w:r>
        <w:rPr>
          <w:spacing w:val="50"/>
          <w:vertAlign w:val="baseline"/>
        </w:rPr>
        <w:t> </w:t>
      </w:r>
      <w:r>
        <w:rPr>
          <w:vertAlign w:val="baseline"/>
        </w:rPr>
        <w:t>reported</w:t>
      </w:r>
      <w:r>
        <w:rPr>
          <w:spacing w:val="56"/>
          <w:vertAlign w:val="baseline"/>
        </w:rPr>
        <w:t> </w:t>
      </w:r>
      <w:r>
        <w:rPr>
          <w:spacing w:val="-2"/>
          <w:vertAlign w:val="baseline"/>
        </w:rPr>
        <w:t>highly</w:t>
      </w:r>
    </w:p>
    <w:p>
      <w:pPr>
        <w:spacing w:after="0" w:line="480" w:lineRule="auto"/>
        <w:jc w:val="both"/>
        <w:sectPr>
          <w:pgSz w:w="12240" w:h="15840"/>
          <w:pgMar w:header="0" w:footer="1017" w:top="1400" w:bottom="1200" w:left="520" w:right="260"/>
        </w:sectPr>
      </w:pPr>
    </w:p>
    <w:p>
      <w:pPr>
        <w:pStyle w:val="BodyText"/>
        <w:spacing w:line="480" w:lineRule="auto" w:before="37"/>
        <w:ind w:left="920" w:right="1177"/>
        <w:jc w:val="both"/>
      </w:pPr>
      <w:r>
        <w:rPr/>
        <w:t>vulnerable to destruction by heat treatment and nearly all sanitizing agents; therefore, the presence of this bacterium in milk is an indication of poor sanitationduring processing, handling and packaging or post pasteurization contamination (Ahmed </w:t>
      </w:r>
      <w:r>
        <w:rPr>
          <w:i/>
        </w:rPr>
        <w:t>et al</w:t>
      </w:r>
      <w:r>
        <w:rPr/>
        <w:t>., 2009).</w:t>
      </w:r>
    </w:p>
    <w:p>
      <w:pPr>
        <w:pStyle w:val="Heading6"/>
        <w:spacing w:before="241"/>
        <w:ind w:left="920" w:firstLine="0"/>
        <w:jc w:val="both"/>
      </w:pPr>
      <w:r>
        <w:rPr/>
        <w:t>5.2.</w:t>
      </w:r>
      <w:r>
        <w:rPr>
          <w:spacing w:val="-8"/>
        </w:rPr>
        <w:t> </w:t>
      </w:r>
      <w:r>
        <w:rPr/>
        <w:t>Antibiotics</w:t>
      </w:r>
      <w:r>
        <w:rPr>
          <w:spacing w:val="-6"/>
        </w:rPr>
        <w:t> </w:t>
      </w:r>
      <w:r>
        <w:rPr/>
        <w:t>Susceptibility</w:t>
      </w:r>
      <w:r>
        <w:rPr>
          <w:spacing w:val="-4"/>
        </w:rPr>
        <w:t> </w:t>
      </w:r>
      <w:r>
        <w:rPr/>
        <w:t>of</w:t>
      </w:r>
      <w:r>
        <w:rPr>
          <w:spacing w:val="-3"/>
        </w:rPr>
        <w:t> </w:t>
      </w:r>
      <w:r>
        <w:rPr/>
        <w:t>Bacterial</w:t>
      </w:r>
      <w:r>
        <w:rPr>
          <w:spacing w:val="-6"/>
        </w:rPr>
        <w:t> </w:t>
      </w:r>
      <w:r>
        <w:rPr/>
        <w:t>Isolates</w:t>
      </w:r>
      <w:r>
        <w:rPr>
          <w:spacing w:val="-6"/>
        </w:rPr>
        <w:t> </w:t>
      </w:r>
      <w:r>
        <w:rPr/>
        <w:t>from</w:t>
      </w:r>
      <w:r>
        <w:rPr>
          <w:spacing w:val="-7"/>
        </w:rPr>
        <w:t> </w:t>
      </w:r>
      <w:r>
        <w:rPr/>
        <w:t>Packaged</w:t>
      </w:r>
      <w:r>
        <w:rPr>
          <w:spacing w:val="-3"/>
        </w:rPr>
        <w:t> </w:t>
      </w:r>
      <w:r>
        <w:rPr/>
        <w:t>Milk</w:t>
      </w:r>
      <w:r>
        <w:rPr>
          <w:spacing w:val="-5"/>
        </w:rPr>
        <w:t> </w:t>
      </w:r>
      <w:r>
        <w:rPr/>
        <w:t>sold</w:t>
      </w:r>
      <w:r>
        <w:rPr>
          <w:spacing w:val="-4"/>
        </w:rPr>
        <w:t> </w:t>
      </w:r>
      <w:r>
        <w:rPr/>
        <w:t>in</w:t>
      </w:r>
      <w:r>
        <w:rPr>
          <w:spacing w:val="-3"/>
        </w:rPr>
        <w:t> </w:t>
      </w:r>
      <w:r>
        <w:rPr>
          <w:spacing w:val="-2"/>
        </w:rPr>
        <w:t>Zaria</w:t>
      </w:r>
    </w:p>
    <w:p>
      <w:pPr>
        <w:pStyle w:val="BodyText"/>
        <w:spacing w:before="240"/>
        <w:rPr>
          <w:b/>
        </w:rPr>
      </w:pPr>
    </w:p>
    <w:p>
      <w:pPr>
        <w:pStyle w:val="BodyText"/>
        <w:spacing w:line="477" w:lineRule="auto" w:before="1"/>
        <w:ind w:left="920" w:right="1172"/>
        <w:jc w:val="both"/>
      </w:pPr>
      <w:r>
        <w:rPr/>
        <w:t>Antibiotics susceptibility assessment of bacteria isolates from milk products sold in Zaria, Nigeria in this work showed varying degrees of bacterial resistance as well as multiple antibiotics resistancesin</w:t>
      </w:r>
      <w:r>
        <w:rPr>
          <w:spacing w:val="40"/>
        </w:rPr>
        <w:t> </w:t>
      </w:r>
      <w:r>
        <w:rPr/>
        <w:t>bacterial isolates. Result of antibiotic susceptibility tests on isolates</w:t>
      </w:r>
    </w:p>
    <w:p>
      <w:pPr>
        <w:pStyle w:val="BodyText"/>
        <w:spacing w:line="480" w:lineRule="auto" w:before="244"/>
        <w:ind w:left="920" w:right="1178" w:firstLine="48"/>
        <w:jc w:val="both"/>
      </w:pPr>
      <w:r>
        <w:rPr/>
        <w:t>revealed that most of the isolates were multiresistant to more than three of the antibiotics as also reported in other studies on milk and milk products (Guta </w:t>
      </w:r>
      <w:r>
        <w:rPr>
          <w:i/>
        </w:rPr>
        <w:t>et al</w:t>
      </w:r>
      <w:r>
        <w:rPr/>
        <w:t>., 2002; Ahmed </w:t>
      </w:r>
      <w:r>
        <w:rPr>
          <w:i/>
        </w:rPr>
        <w:t>et al</w:t>
      </w:r>
      <w:r>
        <w:rPr/>
        <w:t>., 2001; Okpalugo </w:t>
      </w:r>
      <w:r>
        <w:rPr>
          <w:i/>
        </w:rPr>
        <w:t>et al</w:t>
      </w:r>
      <w:r>
        <w:rPr/>
        <w:t>., 2008; Nováková </w:t>
      </w:r>
      <w:r>
        <w:rPr>
          <w:i/>
        </w:rPr>
        <w:t>et al</w:t>
      </w:r>
      <w:r>
        <w:rPr/>
        <w:t>., 2010).The order of antibacterial ineffectiveness of the studied antibiotics generally was Cloxacillin (99%) ˃ erythromycin (98%) ˃ amoxicillin (83%) ˃ chloramphenicol (83%) ˃ tetracycline (81.7%) ˃ amoxicillin/clavulanic acid (77%) ˃ nitrofurantoin (70.6%) ˃ co-trimoxazole</w:t>
      </w:r>
      <w:r>
        <w:rPr>
          <w:spacing w:val="40"/>
        </w:rPr>
        <w:t> </w:t>
      </w:r>
      <w:r>
        <w:rPr/>
        <w:t>(64.1%) ˃ 61.4% to cefuroxime (61.4%) ˃ nalidixic acid (41.8%). Majority of the bacterial isolates obtained from packaged milk products in Zaria, Nigeria were susceptible to ofloxacin (99.3%) and gentamicin (83%)</w:t>
      </w:r>
      <w:r>
        <w:rPr>
          <w:spacing w:val="40"/>
        </w:rPr>
        <w:t> </w:t>
      </w:r>
      <w:r>
        <w:rPr/>
        <w:t>(Table 4.6). The effectiveness of ofloxacin might be attributed to the fact that ofloxacin is a relatively new antibiotic and has not been extensively used to warrant resistance developing against it by pathogens.</w:t>
      </w:r>
    </w:p>
    <w:p>
      <w:pPr>
        <w:pStyle w:val="BodyText"/>
        <w:spacing w:line="480" w:lineRule="auto" w:before="240"/>
        <w:ind w:left="920" w:right="1175"/>
        <w:jc w:val="both"/>
      </w:pPr>
      <w:r>
        <w:rPr/>
        <w:t>The findings from this present study agreed with work reported by Okonko </w:t>
      </w:r>
      <w:r>
        <w:rPr>
          <w:i/>
        </w:rPr>
        <w:t>et al</w:t>
      </w:r>
      <w:r>
        <w:rPr/>
        <w:t>. (2009a), who reported high bacterial isolates resistance to amoxicillin, tetracycline and cotrimoxazole (60 to 100%). Other workers have reported bacterial</w:t>
      </w:r>
      <w:r>
        <w:rPr>
          <w:spacing w:val="-2"/>
        </w:rPr>
        <w:t> </w:t>
      </w:r>
      <w:r>
        <w:rPr/>
        <w:t>isolates obtained from milk to</w:t>
      </w:r>
      <w:r>
        <w:rPr>
          <w:spacing w:val="-1"/>
        </w:rPr>
        <w:t> </w:t>
      </w:r>
      <w:r>
        <w:rPr/>
        <w:t>be resistant</w:t>
      </w:r>
      <w:r>
        <w:rPr>
          <w:spacing w:val="-1"/>
        </w:rPr>
        <w:t> </w:t>
      </w:r>
      <w:r>
        <w:rPr/>
        <w:t>to</w:t>
      </w:r>
      <w:r>
        <w:rPr>
          <w:spacing w:val="-1"/>
        </w:rPr>
        <w:t> </w:t>
      </w:r>
      <w:r>
        <w:rPr/>
        <w:t>cotrimoxazole (Alos </w:t>
      </w:r>
      <w:r>
        <w:rPr>
          <w:i/>
        </w:rPr>
        <w:t>et</w:t>
      </w:r>
      <w:r>
        <w:rPr>
          <w:i/>
          <w:spacing w:val="-1"/>
        </w:rPr>
        <w:t> </w:t>
      </w:r>
      <w:r>
        <w:rPr>
          <w:i/>
        </w:rPr>
        <w:t>al</w:t>
      </w:r>
      <w:r>
        <w:rPr/>
        <w:t>., 2009; Christiaens </w:t>
      </w:r>
      <w:r>
        <w:rPr>
          <w:i/>
        </w:rPr>
        <w:t>et al</w:t>
      </w:r>
      <w:r>
        <w:rPr/>
        <w:t>., 1998; Oteo </w:t>
      </w:r>
      <w:r>
        <w:rPr>
          <w:i/>
        </w:rPr>
        <w:t>et al</w:t>
      </w:r>
      <w:r>
        <w:rPr/>
        <w:t>., 2002; Aiyegoro </w:t>
      </w:r>
      <w:r>
        <w:rPr>
          <w:i/>
        </w:rPr>
        <w:t>et al</w:t>
      </w:r>
      <w:r>
        <w:rPr/>
        <w:t>., 2007). This study highlights a highly diverse antibiotics resistance rates among the bacterial isolates.</w:t>
      </w:r>
    </w:p>
    <w:p>
      <w:pPr>
        <w:spacing w:after="0" w:line="480" w:lineRule="auto"/>
        <w:jc w:val="both"/>
        <w:sectPr>
          <w:pgSz w:w="12240" w:h="15840"/>
          <w:pgMar w:header="0" w:footer="1017" w:top="1400" w:bottom="1200" w:left="520" w:right="260"/>
        </w:sectPr>
      </w:pPr>
    </w:p>
    <w:p>
      <w:pPr>
        <w:pStyle w:val="BodyText"/>
        <w:spacing w:line="480" w:lineRule="auto" w:before="37"/>
        <w:ind w:left="920" w:right="1177"/>
        <w:jc w:val="both"/>
      </w:pPr>
      <w:r>
        <w:rPr/>
        <w:t>Antibiotic</w:t>
      </w:r>
      <w:r>
        <w:rPr>
          <w:spacing w:val="-3"/>
        </w:rPr>
        <w:t> </w:t>
      </w:r>
      <w:r>
        <w:rPr/>
        <w:t>resistance of</w:t>
      </w:r>
      <w:r>
        <w:rPr>
          <w:spacing w:val="-1"/>
        </w:rPr>
        <w:t> </w:t>
      </w:r>
      <w:r>
        <w:rPr/>
        <w:t>isolated</w:t>
      </w:r>
      <w:r>
        <w:rPr>
          <w:spacing w:val="-1"/>
        </w:rPr>
        <w:t> </w:t>
      </w:r>
      <w:r>
        <w:rPr/>
        <w:t>bacteria</w:t>
      </w:r>
      <w:r>
        <w:rPr>
          <w:spacing w:val="-5"/>
        </w:rPr>
        <w:t> </w:t>
      </w:r>
      <w:r>
        <w:rPr/>
        <w:t>from</w:t>
      </w:r>
      <w:r>
        <w:rPr>
          <w:spacing w:val="-4"/>
        </w:rPr>
        <w:t> </w:t>
      </w:r>
      <w:r>
        <w:rPr/>
        <w:t>milk products may be a</w:t>
      </w:r>
      <w:r>
        <w:rPr>
          <w:spacing w:val="-5"/>
        </w:rPr>
        <w:t> </w:t>
      </w:r>
      <w:r>
        <w:rPr/>
        <w:t>reflection</w:t>
      </w:r>
      <w:r>
        <w:rPr>
          <w:spacing w:val="-1"/>
        </w:rPr>
        <w:t> </w:t>
      </w:r>
      <w:r>
        <w:rPr/>
        <w:t>of</w:t>
      </w:r>
      <w:r>
        <w:rPr>
          <w:spacing w:val="-1"/>
        </w:rPr>
        <w:t> </w:t>
      </w:r>
      <w:r>
        <w:rPr/>
        <w:t>the harmful</w:t>
      </w:r>
      <w:r>
        <w:rPr>
          <w:spacing w:val="-3"/>
        </w:rPr>
        <w:t> </w:t>
      </w:r>
      <w:r>
        <w:rPr/>
        <w:t>effects of self medication. Many antibiotics have been reported to be persistent in the environment and have</w:t>
      </w:r>
      <w:r>
        <w:rPr>
          <w:spacing w:val="40"/>
        </w:rPr>
        <w:t> </w:t>
      </w:r>
      <w:r>
        <w:rPr/>
        <w:t>been isolated from ground water (Thurman and Hostetler, 1999) which could probably be used at times in the preparation of milk products. This could enhance the emergence and spread of bacterial resistance among people who may consume these milk products.</w:t>
      </w:r>
    </w:p>
    <w:p>
      <w:pPr>
        <w:pStyle w:val="BodyText"/>
        <w:spacing w:line="480" w:lineRule="auto" w:before="237"/>
        <w:ind w:left="920" w:right="1173"/>
        <w:jc w:val="both"/>
      </w:pPr>
      <w:r>
        <w:rPr/>
        <w:t>In this study, </w:t>
      </w:r>
      <w:r>
        <w:rPr>
          <w:i/>
        </w:rPr>
        <w:t>Klebsiella spp </w:t>
      </w:r>
      <w:r>
        <w:rPr/>
        <w:t>was 100% susceptible to cefuroxime, gentamicin, nalidixic acid,</w:t>
      </w:r>
      <w:r>
        <w:rPr>
          <w:spacing w:val="40"/>
        </w:rPr>
        <w:t> </w:t>
      </w:r>
      <w:r>
        <w:rPr/>
        <w:t>nitrofurantoin and ofloxacin. However, they were 100% resistant to amoxicillin/clavulanic acid, chloramphenicol, cotrimoxazole, cloxacillin, erythromycin, tetracycline and 50% resistant to amoxicillin. This is a deviation to what has been previously reported (Resih </w:t>
      </w:r>
      <w:r>
        <w:rPr>
          <w:i/>
        </w:rPr>
        <w:t>et al</w:t>
      </w:r>
      <w:r>
        <w:rPr/>
        <w:t>., 1993; Aiyegoro </w:t>
      </w:r>
      <w:r>
        <w:rPr>
          <w:i/>
        </w:rPr>
        <w:t>et al</w:t>
      </w:r>
      <w:r>
        <w:rPr/>
        <w:t>., 2007;</w:t>
      </w:r>
      <w:r>
        <w:rPr>
          <w:spacing w:val="40"/>
        </w:rPr>
        <w:t> </w:t>
      </w:r>
      <w:r>
        <w:rPr/>
        <w:t>Okonko</w:t>
      </w:r>
      <w:r>
        <w:rPr>
          <w:spacing w:val="-1"/>
        </w:rPr>
        <w:t> </w:t>
      </w:r>
      <w:r>
        <w:rPr>
          <w:i/>
        </w:rPr>
        <w:t>et</w:t>
      </w:r>
      <w:r>
        <w:rPr>
          <w:i/>
          <w:spacing w:val="-1"/>
        </w:rPr>
        <w:t> </w:t>
      </w:r>
      <w:r>
        <w:rPr>
          <w:i/>
        </w:rPr>
        <w:t>al</w:t>
      </w:r>
      <w:r>
        <w:rPr/>
        <w:t>.,</w:t>
      </w:r>
      <w:r>
        <w:rPr>
          <w:spacing w:val="-2"/>
        </w:rPr>
        <w:t> </w:t>
      </w:r>
      <w:r>
        <w:rPr/>
        <w:t>2009a). Resih </w:t>
      </w:r>
      <w:r>
        <w:rPr>
          <w:i/>
        </w:rPr>
        <w:t>et</w:t>
      </w:r>
      <w:r>
        <w:rPr>
          <w:i/>
          <w:spacing w:val="-1"/>
        </w:rPr>
        <w:t> </w:t>
      </w:r>
      <w:r>
        <w:rPr>
          <w:i/>
        </w:rPr>
        <w:t>al</w:t>
      </w:r>
      <w:r>
        <w:rPr/>
        <w:t>. (1993) and Aiyegoro </w:t>
      </w:r>
      <w:r>
        <w:rPr>
          <w:i/>
        </w:rPr>
        <w:t>et</w:t>
      </w:r>
      <w:r>
        <w:rPr>
          <w:i/>
          <w:spacing w:val="-1"/>
        </w:rPr>
        <w:t> </w:t>
      </w:r>
      <w:r>
        <w:rPr>
          <w:i/>
        </w:rPr>
        <w:t>al</w:t>
      </w:r>
      <w:r>
        <w:rPr/>
        <w:t>. (2007) reported resistance of 66.7% against amoxicillin and cotrimoxazole and 55.6% to tetracycline by </w:t>
      </w:r>
      <w:r>
        <w:rPr>
          <w:i/>
        </w:rPr>
        <w:t>Klebsiella </w:t>
      </w:r>
      <w:r>
        <w:rPr/>
        <w:t>spp.</w:t>
      </w:r>
    </w:p>
    <w:p>
      <w:pPr>
        <w:pStyle w:val="BodyText"/>
        <w:spacing w:line="480" w:lineRule="auto" w:before="243"/>
        <w:ind w:left="920" w:right="1177"/>
        <w:jc w:val="both"/>
      </w:pPr>
      <w:r>
        <w:rPr>
          <w:i/>
        </w:rPr>
        <w:t>Escherichia coli</w:t>
      </w:r>
      <w:r>
        <w:rPr/>
        <w:t>isolates were observed to be resistant to most of the tested antibiotics in this study but 100% susceptible to ofloxacin and 88.9% susceptible to gentamicin. This observation is in contrast with what</w:t>
      </w:r>
      <w:r>
        <w:rPr>
          <w:spacing w:val="-1"/>
        </w:rPr>
        <w:t> </w:t>
      </w:r>
      <w:r>
        <w:rPr/>
        <w:t>was reported by other workers who</w:t>
      </w:r>
      <w:r>
        <w:rPr>
          <w:spacing w:val="-1"/>
        </w:rPr>
        <w:t> </w:t>
      </w:r>
      <w:r>
        <w:rPr/>
        <w:t>reported sensitivity of </w:t>
      </w:r>
      <w:r>
        <w:rPr>
          <w:i/>
        </w:rPr>
        <w:t>E. coli</w:t>
      </w:r>
      <w:r>
        <w:rPr>
          <w:i/>
          <w:spacing w:val="-2"/>
        </w:rPr>
        <w:t> </w:t>
      </w:r>
      <w:r>
        <w:rPr/>
        <w:t>isolated from</w:t>
      </w:r>
      <w:r>
        <w:rPr>
          <w:spacing w:val="-3"/>
        </w:rPr>
        <w:t> </w:t>
      </w:r>
      <w:r>
        <w:rPr/>
        <w:t>milk to</w:t>
      </w:r>
      <w:r>
        <w:rPr>
          <w:spacing w:val="-1"/>
        </w:rPr>
        <w:t> </w:t>
      </w:r>
      <w:r>
        <w:rPr/>
        <w:t>tetracycline and cotrimoxazole (Gupta </w:t>
      </w:r>
      <w:r>
        <w:rPr>
          <w:i/>
        </w:rPr>
        <w:t>et al</w:t>
      </w:r>
      <w:r>
        <w:rPr/>
        <w:t>., 1999; Aiyegoro </w:t>
      </w:r>
      <w:r>
        <w:rPr>
          <w:i/>
        </w:rPr>
        <w:t>et al</w:t>
      </w:r>
      <w:r>
        <w:rPr/>
        <w:t>., 2007).</w:t>
      </w:r>
    </w:p>
    <w:p>
      <w:pPr>
        <w:pStyle w:val="BodyText"/>
        <w:spacing w:line="480" w:lineRule="auto" w:before="237"/>
        <w:ind w:left="920" w:right="1176"/>
        <w:jc w:val="both"/>
      </w:pPr>
      <w:r>
        <w:rPr>
          <w:i/>
        </w:rPr>
        <w:t>Pseudomonas spp </w:t>
      </w:r>
      <w:r>
        <w:rPr/>
        <w:t>isolated from milk in this investigation showed resistance to majority of the test antibiotics except ofloxacin (100%) and gentamicin (98.3%) which is similar to the findings of Okonko </w:t>
      </w:r>
      <w:r>
        <w:rPr>
          <w:i/>
        </w:rPr>
        <w:t>et al. </w:t>
      </w:r>
      <w:r>
        <w:rPr/>
        <w:t>(2009a).</w:t>
      </w:r>
    </w:p>
    <w:p>
      <w:pPr>
        <w:pStyle w:val="Heading6"/>
        <w:numPr>
          <w:ilvl w:val="1"/>
          <w:numId w:val="20"/>
        </w:numPr>
        <w:tabs>
          <w:tab w:pos="1245" w:val="left" w:leader="none"/>
        </w:tabs>
        <w:spacing w:line="240" w:lineRule="auto" w:before="242" w:after="0"/>
        <w:ind w:left="1245" w:right="0" w:hanging="325"/>
        <w:jc w:val="both"/>
      </w:pPr>
      <w:r>
        <w:rPr/>
        <w:t>Multiple</w:t>
      </w:r>
      <w:r>
        <w:rPr>
          <w:spacing w:val="-6"/>
        </w:rPr>
        <w:t> </w:t>
      </w:r>
      <w:r>
        <w:rPr/>
        <w:t>Antibiotics</w:t>
      </w:r>
      <w:r>
        <w:rPr>
          <w:spacing w:val="-5"/>
        </w:rPr>
        <w:t> </w:t>
      </w:r>
      <w:r>
        <w:rPr/>
        <w:t>Resistance</w:t>
      </w:r>
      <w:r>
        <w:rPr>
          <w:spacing w:val="-5"/>
        </w:rPr>
        <w:t> </w:t>
      </w:r>
      <w:r>
        <w:rPr/>
        <w:t>Index</w:t>
      </w:r>
      <w:r>
        <w:rPr>
          <w:spacing w:val="-5"/>
        </w:rPr>
        <w:t> </w:t>
      </w:r>
      <w:r>
        <w:rPr/>
        <w:t>of</w:t>
      </w:r>
      <w:r>
        <w:rPr>
          <w:spacing w:val="-2"/>
        </w:rPr>
        <w:t> </w:t>
      </w:r>
      <w:r>
        <w:rPr/>
        <w:t>Bacterial</w:t>
      </w:r>
      <w:r>
        <w:rPr>
          <w:spacing w:val="-6"/>
        </w:rPr>
        <w:t> </w:t>
      </w:r>
      <w:r>
        <w:rPr/>
        <w:t>Isolates</w:t>
      </w:r>
      <w:r>
        <w:rPr>
          <w:spacing w:val="-5"/>
        </w:rPr>
        <w:t> </w:t>
      </w:r>
      <w:r>
        <w:rPr/>
        <w:t>from</w:t>
      </w:r>
      <w:r>
        <w:rPr>
          <w:spacing w:val="-6"/>
        </w:rPr>
        <w:t> </w:t>
      </w:r>
      <w:r>
        <w:rPr>
          <w:spacing w:val="-4"/>
        </w:rPr>
        <w:t>Milk</w:t>
      </w:r>
    </w:p>
    <w:p>
      <w:pPr>
        <w:pStyle w:val="BodyText"/>
        <w:spacing w:before="240"/>
        <w:rPr>
          <w:b/>
        </w:rPr>
      </w:pPr>
    </w:p>
    <w:p>
      <w:pPr>
        <w:pStyle w:val="BodyText"/>
        <w:spacing w:line="480" w:lineRule="auto"/>
        <w:ind w:left="920" w:right="1174"/>
        <w:jc w:val="both"/>
      </w:pPr>
      <w:r>
        <w:rPr/>
        <w:t>The multiple antibiotic resistance indices (MARI) give an indirect suggestion of the probable sources of an organism. According to previous workers Krumperman(1983) and Paul </w:t>
      </w:r>
      <w:r>
        <w:rPr>
          <w:i/>
        </w:rPr>
        <w:t>et al</w:t>
      </w:r>
      <w:r>
        <w:rPr/>
        <w:t>.(1997), MAR index greater</w:t>
      </w:r>
      <w:r>
        <w:rPr>
          <w:spacing w:val="73"/>
        </w:rPr>
        <w:t> </w:t>
      </w:r>
      <w:r>
        <w:rPr/>
        <w:t>than</w:t>
      </w:r>
      <w:r>
        <w:rPr>
          <w:spacing w:val="72"/>
        </w:rPr>
        <w:t> </w:t>
      </w:r>
      <w:r>
        <w:rPr/>
        <w:t>0.2</w:t>
      </w:r>
      <w:r>
        <w:rPr>
          <w:spacing w:val="71"/>
        </w:rPr>
        <w:t> </w:t>
      </w:r>
      <w:r>
        <w:rPr/>
        <w:t>indicates</w:t>
      </w:r>
      <w:r>
        <w:rPr>
          <w:spacing w:val="73"/>
        </w:rPr>
        <w:t> </w:t>
      </w:r>
      <w:r>
        <w:rPr/>
        <w:t>that</w:t>
      </w:r>
      <w:r>
        <w:rPr>
          <w:spacing w:val="71"/>
        </w:rPr>
        <w:t> </w:t>
      </w:r>
      <w:r>
        <w:rPr/>
        <w:t>an</w:t>
      </w:r>
      <w:r>
        <w:rPr>
          <w:spacing w:val="72"/>
        </w:rPr>
        <w:t> </w:t>
      </w:r>
      <w:r>
        <w:rPr/>
        <w:t>organism</w:t>
      </w:r>
      <w:r>
        <w:rPr>
          <w:spacing w:val="70"/>
        </w:rPr>
        <w:t> </w:t>
      </w:r>
      <w:r>
        <w:rPr/>
        <w:t>must</w:t>
      </w:r>
      <w:r>
        <w:rPr>
          <w:spacing w:val="66"/>
        </w:rPr>
        <w:t> </w:t>
      </w:r>
      <w:r>
        <w:rPr/>
        <w:t>have</w:t>
      </w:r>
      <w:r>
        <w:rPr>
          <w:spacing w:val="74"/>
        </w:rPr>
        <w:t> </w:t>
      </w:r>
      <w:r>
        <w:rPr/>
        <w:t>originated</w:t>
      </w:r>
      <w:r>
        <w:rPr>
          <w:spacing w:val="72"/>
        </w:rPr>
        <w:t> </w:t>
      </w:r>
      <w:r>
        <w:rPr/>
        <w:t>from</w:t>
      </w:r>
      <w:r>
        <w:rPr>
          <w:spacing w:val="74"/>
        </w:rPr>
        <w:t> </w:t>
      </w:r>
      <w:r>
        <w:rPr/>
        <w:t>an</w:t>
      </w:r>
      <w:r>
        <w:rPr>
          <w:spacing w:val="72"/>
        </w:rPr>
        <w:t> </w:t>
      </w:r>
      <w:r>
        <w:rPr/>
        <w:t>environment</w:t>
      </w:r>
      <w:r>
        <w:rPr>
          <w:spacing w:val="71"/>
        </w:rPr>
        <w:t> </w:t>
      </w:r>
      <w:r>
        <w:rPr/>
        <w:t>where</w:t>
      </w:r>
    </w:p>
    <w:p>
      <w:pPr>
        <w:spacing w:after="0" w:line="480" w:lineRule="auto"/>
        <w:jc w:val="both"/>
        <w:sectPr>
          <w:pgSz w:w="12240" w:h="15840"/>
          <w:pgMar w:header="0" w:footer="1017" w:top="1400" w:bottom="1200" w:left="520" w:right="260"/>
        </w:sectPr>
      </w:pPr>
    </w:p>
    <w:p>
      <w:pPr>
        <w:pStyle w:val="BodyText"/>
        <w:spacing w:line="480" w:lineRule="auto" w:before="37"/>
        <w:ind w:left="920" w:right="1175"/>
        <w:jc w:val="both"/>
      </w:pPr>
      <w:r>
        <w:rPr/>
        <w:t>antibiotics are often used. Multi-antibiotic resistance of three to eight antibiotics was frequent observations in this study among the bacterial isolates. Out of ninety enterobacteriaceae studied82.2% had MAR index of 0.5 and above, while 17.8% had MAR index of less than 0.5. Such multi-antibiotic resistance has important implications for the empiric therapy of infections caused by </w:t>
      </w:r>
      <w:r>
        <w:rPr>
          <w:i/>
        </w:rPr>
        <w:t>Escherichia coli,Enterobacter spp,Klebsiella spp</w:t>
      </w:r>
      <w:r>
        <w:rPr/>
        <w:t>, </w:t>
      </w:r>
      <w:r>
        <w:rPr>
          <w:i/>
        </w:rPr>
        <w:t>Proteus spp</w:t>
      </w:r>
      <w:r>
        <w:rPr/>
        <w:t>, </w:t>
      </w:r>
      <w:r>
        <w:rPr>
          <w:i/>
        </w:rPr>
        <w:t>Citrobacter spp</w:t>
      </w:r>
      <w:r>
        <w:rPr/>
        <w:t>, </w:t>
      </w:r>
      <w:r>
        <w:rPr>
          <w:i/>
        </w:rPr>
        <w:t>Yersinia spp</w:t>
      </w:r>
      <w:r>
        <w:rPr/>
        <w:t>, </w:t>
      </w:r>
      <w:r>
        <w:rPr>
          <w:i/>
        </w:rPr>
        <w:t>Salmonella spp</w:t>
      </w:r>
      <w:r>
        <w:rPr/>
        <w:t>, </w:t>
      </w:r>
      <w:r>
        <w:rPr>
          <w:i/>
        </w:rPr>
        <w:t>Ps. aeruginosa</w:t>
      </w:r>
      <w:r>
        <w:rPr/>
        <w:t>, </w:t>
      </w:r>
      <w:r>
        <w:rPr>
          <w:i/>
        </w:rPr>
        <w:t>and S. aureus </w:t>
      </w:r>
      <w:r>
        <w:rPr/>
        <w:t>and for the possible co-selection of antibiotic resistance mediated by multi- antibiotic resistance plasmids (Oteo </w:t>
      </w:r>
      <w:r>
        <w:rPr>
          <w:i/>
        </w:rPr>
        <w:t>et al</w:t>
      </w:r>
      <w:r>
        <w:rPr/>
        <w:t>., 2002; Sherley </w:t>
      </w:r>
      <w:r>
        <w:rPr>
          <w:i/>
        </w:rPr>
        <w:t>et al</w:t>
      </w:r>
      <w:r>
        <w:rPr/>
        <w:t>., 2004). It has been well documented that gram negative bacilli habour series of antibiotic resistance genes like transposons or integrons and R- plasmids which can be transferred to other bacteria horizontally (Piddock, 2006; Depardieu </w:t>
      </w:r>
      <w:r>
        <w:rPr>
          <w:i/>
        </w:rPr>
        <w:t>et al</w:t>
      </w:r>
      <w:r>
        <w:rPr/>
        <w:t>., 2007; Leavitt </w:t>
      </w:r>
      <w:r>
        <w:rPr>
          <w:i/>
        </w:rPr>
        <w:t>et al</w:t>
      </w:r>
      <w:r>
        <w:rPr/>
        <w:t>., 2007; Lockhart </w:t>
      </w:r>
      <w:r>
        <w:rPr>
          <w:i/>
        </w:rPr>
        <w:t>et al</w:t>
      </w:r>
      <w:r>
        <w:rPr/>
        <w:t>., 2007).</w:t>
      </w:r>
    </w:p>
    <w:p>
      <w:pPr>
        <w:pStyle w:val="Heading6"/>
        <w:numPr>
          <w:ilvl w:val="1"/>
          <w:numId w:val="20"/>
        </w:numPr>
        <w:tabs>
          <w:tab w:pos="1245" w:val="left" w:leader="none"/>
        </w:tabs>
        <w:spacing w:line="240" w:lineRule="auto" w:before="240" w:after="0"/>
        <w:ind w:left="1245" w:right="0" w:hanging="325"/>
        <w:jc w:val="both"/>
      </w:pPr>
      <w:r>
        <w:rPr/>
        <w:t>Beta-lactamase</w:t>
      </w:r>
      <w:r>
        <w:rPr>
          <w:spacing w:val="-7"/>
        </w:rPr>
        <w:t> </w:t>
      </w:r>
      <w:r>
        <w:rPr/>
        <w:t>Production</w:t>
      </w:r>
      <w:r>
        <w:rPr>
          <w:spacing w:val="-5"/>
        </w:rPr>
        <w:t> </w:t>
      </w:r>
      <w:r>
        <w:rPr/>
        <w:t>of</w:t>
      </w:r>
      <w:r>
        <w:rPr>
          <w:spacing w:val="-3"/>
        </w:rPr>
        <w:t> </w:t>
      </w:r>
      <w:r>
        <w:rPr/>
        <w:t>Bacteria</w:t>
      </w:r>
      <w:r>
        <w:rPr>
          <w:spacing w:val="-4"/>
        </w:rPr>
        <w:t> </w:t>
      </w:r>
      <w:r>
        <w:rPr/>
        <w:t>Isolates</w:t>
      </w:r>
      <w:r>
        <w:rPr>
          <w:spacing w:val="-6"/>
        </w:rPr>
        <w:t> </w:t>
      </w:r>
      <w:r>
        <w:rPr/>
        <w:t>from</w:t>
      </w:r>
      <w:r>
        <w:rPr>
          <w:spacing w:val="-8"/>
        </w:rPr>
        <w:t> </w:t>
      </w:r>
      <w:r>
        <w:rPr/>
        <w:t>Milk</w:t>
      </w:r>
      <w:r>
        <w:rPr>
          <w:spacing w:val="-1"/>
        </w:rPr>
        <w:t> </w:t>
      </w:r>
      <w:r>
        <w:rPr>
          <w:spacing w:val="-2"/>
        </w:rPr>
        <w:t>Sample</w:t>
      </w:r>
    </w:p>
    <w:p>
      <w:pPr>
        <w:pStyle w:val="BodyText"/>
        <w:spacing w:before="240"/>
        <w:rPr>
          <w:b/>
        </w:rPr>
      </w:pPr>
    </w:p>
    <w:p>
      <w:pPr>
        <w:pStyle w:val="BodyText"/>
        <w:spacing w:line="480" w:lineRule="auto"/>
        <w:ind w:left="920" w:right="1174"/>
        <w:jc w:val="both"/>
      </w:pPr>
      <w:r>
        <w:rPr/>
        <w:t>Beta-lactamase production investigation revealed that the twenty-six resistant bacterial isolates tested for ß-lactamase enzyme from milk product in this study produced beta-lactamase enzyme capable of hydrolysing</w:t>
      </w:r>
      <w:r>
        <w:rPr>
          <w:spacing w:val="-2"/>
        </w:rPr>
        <w:t> </w:t>
      </w:r>
      <w:r>
        <w:rPr/>
        <w:t>beta</w:t>
      </w:r>
      <w:r>
        <w:rPr>
          <w:spacing w:val="-4"/>
        </w:rPr>
        <w:t> </w:t>
      </w:r>
      <w:r>
        <w:rPr/>
        <w:t>lactam</w:t>
      </w:r>
      <w:r>
        <w:rPr>
          <w:spacing w:val="-3"/>
        </w:rPr>
        <w:t> </w:t>
      </w:r>
      <w:r>
        <w:rPr/>
        <w:t>antibiotics.</w:t>
      </w:r>
      <w:r>
        <w:rPr>
          <w:spacing w:val="-2"/>
        </w:rPr>
        <w:t> </w:t>
      </w:r>
      <w:r>
        <w:rPr/>
        <w:t>Akpan,</w:t>
      </w:r>
      <w:r>
        <w:rPr>
          <w:spacing w:val="-6"/>
        </w:rPr>
        <w:t> </w:t>
      </w:r>
      <w:r>
        <w:rPr/>
        <w:t>(1992)also</w:t>
      </w:r>
      <w:r>
        <w:rPr>
          <w:spacing w:val="-1"/>
        </w:rPr>
        <w:t> </w:t>
      </w:r>
      <w:r>
        <w:rPr/>
        <w:t>reported</w:t>
      </w:r>
      <w:r>
        <w:rPr>
          <w:spacing w:val="-5"/>
        </w:rPr>
        <w:t> </w:t>
      </w:r>
      <w:r>
        <w:rPr/>
        <w:t>similar</w:t>
      </w:r>
      <w:r>
        <w:rPr>
          <w:spacing w:val="-4"/>
        </w:rPr>
        <w:t> </w:t>
      </w:r>
      <w:r>
        <w:rPr/>
        <w:t>result</w:t>
      </w:r>
      <w:r>
        <w:rPr>
          <w:spacing w:val="-6"/>
        </w:rPr>
        <w:t> </w:t>
      </w:r>
      <w:r>
        <w:rPr/>
        <w:t>in</w:t>
      </w:r>
      <w:r>
        <w:rPr>
          <w:spacing w:val="-5"/>
        </w:rPr>
        <w:t> </w:t>
      </w:r>
      <w:r>
        <w:rPr/>
        <w:t>Nigeria.</w:t>
      </w:r>
      <w:r>
        <w:rPr>
          <w:spacing w:val="-1"/>
        </w:rPr>
        <w:t> </w:t>
      </w:r>
      <w:r>
        <w:rPr/>
        <w:t>This</w:t>
      </w:r>
      <w:r>
        <w:rPr>
          <w:spacing w:val="-4"/>
        </w:rPr>
        <w:t> </w:t>
      </w:r>
      <w:r>
        <w:rPr/>
        <w:t>observation confirmed the high beta-lactam antibiotics resistance that was observed against amoxicillin and cloxacillin.</w:t>
      </w:r>
      <w:r>
        <w:rPr>
          <w:spacing w:val="40"/>
        </w:rPr>
        <w:t> </w:t>
      </w:r>
      <w:r>
        <w:rPr/>
        <w:t>The implication of these resistances is that many bacterial diseases that could be treated</w:t>
      </w:r>
      <w:r>
        <w:rPr>
          <w:spacing w:val="40"/>
        </w:rPr>
        <w:t> </w:t>
      </w:r>
      <w:r>
        <w:rPr/>
        <w:t>with inexpensive antibiotics, has recently been made more expensive and less successful by the emergence and spread of resistant organisms (Okeke </w:t>
      </w:r>
      <w:r>
        <w:rPr>
          <w:i/>
        </w:rPr>
        <w:t>et al</w:t>
      </w:r>
      <w:r>
        <w:rPr/>
        <w:t>., 2007; Okonko </w:t>
      </w:r>
      <w:r>
        <w:rPr>
          <w:i/>
        </w:rPr>
        <w:t>et al</w:t>
      </w:r>
      <w:r>
        <w:rPr/>
        <w:t>., 2009a, b). However, these multi-antibiotic resistances observed among some of the bacteria isolates from milk products in this study has now become a large and growing problem in infections that account for most of Africa's disease burden, including respiratory and diarrheal diseases (Okeke </w:t>
      </w:r>
      <w:r>
        <w:rPr>
          <w:i/>
        </w:rPr>
        <w:t>et al</w:t>
      </w:r>
      <w:r>
        <w:rPr/>
        <w:t>., 2007).</w:t>
      </w:r>
    </w:p>
    <w:p>
      <w:pPr>
        <w:spacing w:after="0" w:line="480" w:lineRule="auto"/>
        <w:jc w:val="both"/>
        <w:sectPr>
          <w:pgSz w:w="12240" w:h="15840"/>
          <w:pgMar w:header="0" w:footer="1017" w:top="1400" w:bottom="1200" w:left="520" w:right="260"/>
        </w:sectPr>
      </w:pPr>
    </w:p>
    <w:p>
      <w:pPr>
        <w:pStyle w:val="Heading6"/>
        <w:numPr>
          <w:ilvl w:val="1"/>
          <w:numId w:val="20"/>
        </w:numPr>
        <w:tabs>
          <w:tab w:pos="1244" w:val="left" w:leader="none"/>
        </w:tabs>
        <w:spacing w:line="240" w:lineRule="auto" w:before="37" w:after="0"/>
        <w:ind w:left="1244" w:right="0" w:hanging="324"/>
        <w:jc w:val="left"/>
      </w:pPr>
      <w:r>
        <w:rPr/>
        <w:t>Conjugation</w:t>
      </w:r>
      <w:r>
        <w:rPr>
          <w:spacing w:val="-4"/>
        </w:rPr>
        <w:t> </w:t>
      </w:r>
      <w:r>
        <w:rPr/>
        <w:t>Studies</w:t>
      </w:r>
      <w:r>
        <w:rPr>
          <w:spacing w:val="-6"/>
        </w:rPr>
        <w:t> </w:t>
      </w:r>
      <w:r>
        <w:rPr/>
        <w:t>of</w:t>
      </w:r>
      <w:r>
        <w:rPr>
          <w:spacing w:val="-2"/>
        </w:rPr>
        <w:t> </w:t>
      </w:r>
      <w:r>
        <w:rPr/>
        <w:t>Bacteria</w:t>
      </w:r>
      <w:r>
        <w:rPr>
          <w:spacing w:val="-3"/>
        </w:rPr>
        <w:t> </w:t>
      </w:r>
      <w:r>
        <w:rPr/>
        <w:t>Isolates</w:t>
      </w:r>
      <w:r>
        <w:rPr>
          <w:spacing w:val="-5"/>
        </w:rPr>
        <w:t> </w:t>
      </w:r>
      <w:r>
        <w:rPr/>
        <w:t>from</w:t>
      </w:r>
      <w:r>
        <w:rPr>
          <w:spacing w:val="-7"/>
        </w:rPr>
        <w:t> </w:t>
      </w:r>
      <w:r>
        <w:rPr/>
        <w:t>Milk </w:t>
      </w:r>
      <w:r>
        <w:rPr>
          <w:spacing w:val="-2"/>
        </w:rPr>
        <w:t>Product</w:t>
      </w:r>
    </w:p>
    <w:p>
      <w:pPr>
        <w:pStyle w:val="BodyText"/>
        <w:spacing w:before="240"/>
        <w:rPr>
          <w:b/>
        </w:rPr>
      </w:pPr>
    </w:p>
    <w:p>
      <w:pPr>
        <w:pStyle w:val="BodyText"/>
        <w:spacing w:line="480" w:lineRule="auto"/>
        <w:ind w:left="920" w:right="1172"/>
        <w:jc w:val="both"/>
      </w:pPr>
      <w:r>
        <w:rPr/>
        <w:t>Resistance genes are often located on extra-chromosomal genetic elements or in segments inserted within the chromosome that originates from other genomes (Carattoli, 2003; Yah </w:t>
      </w:r>
      <w:r>
        <w:rPr>
          <w:i/>
        </w:rPr>
        <w:t>et al</w:t>
      </w:r>
      <w:r>
        <w:rPr/>
        <w:t>., 2007). The acquisition of a new gene may occur by genetic transformation or through mobilization by conjugative transfer. The latter may occur at high frequency and efficiency, and several resistance genes can be acquired simultaneously (Carattoli, 2003). Plasmid profiles have been reported to be useful in tracing</w:t>
      </w:r>
      <w:r>
        <w:rPr>
          <w:spacing w:val="40"/>
        </w:rPr>
        <w:t> </w:t>
      </w:r>
      <w:r>
        <w:rPr/>
        <w:t>the epidemiology of antibiotic resistance. The result of the conjugation studies suggested possible acquisition of R-plasmids by sensitive</w:t>
      </w:r>
      <w:r>
        <w:rPr>
          <w:spacing w:val="-2"/>
        </w:rPr>
        <w:t> </w:t>
      </w:r>
      <w:r>
        <w:rPr>
          <w:i/>
        </w:rPr>
        <w:t>Proteus spp </w:t>
      </w:r>
      <w:r>
        <w:rPr/>
        <w:t>and</w:t>
      </w:r>
      <w:r>
        <w:rPr>
          <w:spacing w:val="-5"/>
        </w:rPr>
        <w:t> </w:t>
      </w:r>
      <w:r>
        <w:rPr>
          <w:i/>
        </w:rPr>
        <w:t>E. coli </w:t>
      </w:r>
      <w:r>
        <w:rPr/>
        <w:t>from</w:t>
      </w:r>
      <w:r>
        <w:rPr>
          <w:spacing w:val="-3"/>
        </w:rPr>
        <w:t> </w:t>
      </w:r>
      <w:r>
        <w:rPr/>
        <w:t>multiple antibiotic</w:t>
      </w:r>
      <w:r>
        <w:rPr>
          <w:spacing w:val="-2"/>
        </w:rPr>
        <w:t> </w:t>
      </w:r>
      <w:r>
        <w:rPr/>
        <w:t>resistant</w:t>
      </w:r>
      <w:r>
        <w:rPr>
          <w:spacing w:val="-1"/>
        </w:rPr>
        <w:t> </w:t>
      </w:r>
      <w:r>
        <w:rPr/>
        <w:t>isolates. It was obsereved that out of twenty six donor bacteria isolates, nineteen transferred resistance traits to ofloxacin sensitive </w:t>
      </w:r>
      <w:r>
        <w:rPr>
          <w:i/>
        </w:rPr>
        <w:t>Proteus spp </w:t>
      </w:r>
      <w:r>
        <w:rPr/>
        <w:t>and </w:t>
      </w:r>
      <w:r>
        <w:rPr>
          <w:i/>
        </w:rPr>
        <w:t>E. coli </w:t>
      </w:r>
      <w:r>
        <w:rPr/>
        <w:t>(Table 4.14). The result of antibiotics susceptibility of the transconjugants using M.I.C</w:t>
      </w:r>
      <w:r>
        <w:rPr>
          <w:spacing w:val="-2"/>
        </w:rPr>
        <w:t> </w:t>
      </w:r>
      <w:r>
        <w:rPr/>
        <w:t>method was seen to</w:t>
      </w:r>
      <w:r>
        <w:rPr>
          <w:spacing w:val="-1"/>
        </w:rPr>
        <w:t> </w:t>
      </w:r>
      <w:r>
        <w:rPr/>
        <w:t>have changed after conjugation. There was an increase in the M.I.Cs of the bacterial isolates. Changes were observed in the sensitivity pattern of tested transconjugants after curing with acridine dye. Decrease in minimum inhibitory concentration of transconjugants after curing as compared to those before curing revealed that acridine dye was</w:t>
      </w:r>
      <w:r>
        <w:rPr>
          <w:spacing w:val="40"/>
        </w:rPr>
        <w:t> </w:t>
      </w:r>
      <w:r>
        <w:rPr/>
        <w:t>effective curing agent. However, conjugation analysis revealed that apart from plasmids that were transferable by conjugation, other resistance determinants were transferable to sensitive recipient</w:t>
      </w:r>
      <w:r>
        <w:rPr>
          <w:spacing w:val="40"/>
        </w:rPr>
        <w:t> </w:t>
      </w:r>
      <w:r>
        <w:rPr/>
        <w:t>strain of </w:t>
      </w:r>
      <w:r>
        <w:rPr>
          <w:i/>
        </w:rPr>
        <w:t>Proteus </w:t>
      </w:r>
      <w:r>
        <w:rPr/>
        <w:t>spp and E</w:t>
      </w:r>
      <w:r>
        <w:rPr>
          <w:i/>
        </w:rPr>
        <w:t>. coli </w:t>
      </w:r>
      <w:r>
        <w:rPr/>
        <w:t>since their M.I.Cs increased. This suggests that these resistance determinants were carried extra-chromosomally on R-plasmids.Similar resistance determinants movement have been attributed to the selection pressure created by uncontrolled use of antibiotics in feed-stuff</w:t>
      </w:r>
      <w:r>
        <w:rPr>
          <w:spacing w:val="-1"/>
        </w:rPr>
        <w:t> </w:t>
      </w:r>
      <w:r>
        <w:rPr/>
        <w:t>for animals,</w:t>
      </w:r>
      <w:r>
        <w:rPr>
          <w:spacing w:val="-3"/>
        </w:rPr>
        <w:t> </w:t>
      </w:r>
      <w:r>
        <w:rPr/>
        <w:t>in</w:t>
      </w:r>
      <w:r>
        <w:rPr>
          <w:spacing w:val="-1"/>
        </w:rPr>
        <w:t> </w:t>
      </w:r>
      <w:r>
        <w:rPr/>
        <w:t>addition</w:t>
      </w:r>
      <w:r>
        <w:rPr>
          <w:spacing w:val="-1"/>
        </w:rPr>
        <w:t> </w:t>
      </w:r>
      <w:r>
        <w:rPr/>
        <w:t>to</w:t>
      </w:r>
      <w:r>
        <w:rPr>
          <w:spacing w:val="-2"/>
        </w:rPr>
        <w:t> </w:t>
      </w:r>
      <w:r>
        <w:rPr/>
        <w:t>the unregulated</w:t>
      </w:r>
      <w:r>
        <w:rPr>
          <w:spacing w:val="-1"/>
        </w:rPr>
        <w:t> </w:t>
      </w:r>
      <w:r>
        <w:rPr/>
        <w:t>use of</w:t>
      </w:r>
      <w:r>
        <w:rPr>
          <w:spacing w:val="-1"/>
        </w:rPr>
        <w:t> </w:t>
      </w:r>
      <w:r>
        <w:rPr/>
        <w:t>antibiotics by humans (Aarestrup,</w:t>
      </w:r>
      <w:r>
        <w:rPr>
          <w:spacing w:val="-3"/>
        </w:rPr>
        <w:t> </w:t>
      </w:r>
      <w:r>
        <w:rPr/>
        <w:t>1999;</w:t>
      </w:r>
      <w:r>
        <w:rPr>
          <w:spacing w:val="-2"/>
        </w:rPr>
        <w:t> </w:t>
      </w:r>
      <w:r>
        <w:rPr/>
        <w:t>Van den Bogaard and Stobberingh, 2000; Teuber, 2001). Indiscriminate use of antibiotic agents and</w:t>
      </w:r>
      <w:r>
        <w:rPr>
          <w:spacing w:val="80"/>
        </w:rPr>
        <w:t> </w:t>
      </w:r>
      <w:r>
        <w:rPr/>
        <w:t>antibiotic sale behaviour (for example, sale of antibiotics without prescription, sale of under dose and substituting brands) has been reported to enhance the development of antibiotic resistance among pathogenic bacteria (Indalo, 1997). In developed countries, the main reservoirs for antibiotic resistance</w:t>
      </w:r>
    </w:p>
    <w:p>
      <w:pPr>
        <w:spacing w:after="0" w:line="480" w:lineRule="auto"/>
        <w:jc w:val="both"/>
        <w:sectPr>
          <w:pgSz w:w="12240" w:h="15840"/>
          <w:pgMar w:header="0" w:footer="1017" w:top="1400" w:bottom="1200" w:left="520" w:right="260"/>
        </w:sectPr>
      </w:pPr>
    </w:p>
    <w:p>
      <w:pPr>
        <w:pStyle w:val="BodyText"/>
        <w:spacing w:line="480" w:lineRule="auto" w:before="37"/>
        <w:ind w:left="920" w:right="1175"/>
        <w:jc w:val="both"/>
      </w:pPr>
      <w:r>
        <w:rPr/>
        <w:t>in enteric bacteria has been attributed to farm animals such as cattle, sheep, pigs and poultry (CDC, 1996;</w:t>
      </w:r>
      <w:r>
        <w:rPr>
          <w:spacing w:val="-1"/>
        </w:rPr>
        <w:t> </w:t>
      </w:r>
      <w:r>
        <w:rPr/>
        <w:t>Pohl </w:t>
      </w:r>
      <w:r>
        <w:rPr>
          <w:i/>
        </w:rPr>
        <w:t>et</w:t>
      </w:r>
      <w:r>
        <w:rPr>
          <w:i/>
          <w:spacing w:val="-1"/>
        </w:rPr>
        <w:t> </w:t>
      </w:r>
      <w:r>
        <w:rPr>
          <w:i/>
        </w:rPr>
        <w:t>al</w:t>
      </w:r>
      <w:r>
        <w:rPr/>
        <w:t>.,</w:t>
      </w:r>
      <w:r>
        <w:rPr>
          <w:spacing w:val="-2"/>
        </w:rPr>
        <w:t> </w:t>
      </w:r>
      <w:r>
        <w:rPr/>
        <w:t>1999). Contact</w:t>
      </w:r>
      <w:r>
        <w:rPr>
          <w:spacing w:val="-1"/>
        </w:rPr>
        <w:t> </w:t>
      </w:r>
      <w:r>
        <w:rPr/>
        <w:t>with these animals or</w:t>
      </w:r>
      <w:r>
        <w:rPr>
          <w:spacing w:val="-4"/>
        </w:rPr>
        <w:t> </w:t>
      </w:r>
      <w:r>
        <w:rPr/>
        <w:t>consumption of food products from them such as milk has been the main route of dissemination of resistance into the human populations.</w:t>
      </w:r>
    </w:p>
    <w:p>
      <w:pPr>
        <w:pStyle w:val="Heading6"/>
        <w:numPr>
          <w:ilvl w:val="1"/>
          <w:numId w:val="20"/>
        </w:numPr>
        <w:tabs>
          <w:tab w:pos="1245" w:val="left" w:leader="none"/>
        </w:tabs>
        <w:spacing w:line="240" w:lineRule="auto" w:before="241" w:after="0"/>
        <w:ind w:left="1245" w:right="0" w:hanging="325"/>
        <w:jc w:val="both"/>
      </w:pPr>
      <w:bookmarkStart w:name="_TOC_250005" w:id="86"/>
      <w:r>
        <w:rPr/>
        <w:t>Plasmid</w:t>
      </w:r>
      <w:r>
        <w:rPr>
          <w:spacing w:val="-4"/>
        </w:rPr>
        <w:t> </w:t>
      </w:r>
      <w:r>
        <w:rPr/>
        <w:t>investigation</w:t>
      </w:r>
      <w:r>
        <w:rPr>
          <w:spacing w:val="-3"/>
        </w:rPr>
        <w:t> </w:t>
      </w:r>
      <w:r>
        <w:rPr/>
        <w:t>using</w:t>
      </w:r>
      <w:r>
        <w:rPr>
          <w:spacing w:val="-4"/>
        </w:rPr>
        <w:t> </w:t>
      </w:r>
      <w:r>
        <w:rPr/>
        <w:t>Agarose</w:t>
      </w:r>
      <w:r>
        <w:rPr>
          <w:spacing w:val="-5"/>
        </w:rPr>
        <w:t> </w:t>
      </w:r>
      <w:r>
        <w:rPr/>
        <w:t>gel</w:t>
      </w:r>
      <w:r>
        <w:rPr>
          <w:spacing w:val="-5"/>
        </w:rPr>
        <w:t> </w:t>
      </w:r>
      <w:bookmarkEnd w:id="86"/>
      <w:r>
        <w:rPr>
          <w:spacing w:val="-2"/>
        </w:rPr>
        <w:t>electrophoresis</w:t>
      </w:r>
    </w:p>
    <w:p>
      <w:pPr>
        <w:pStyle w:val="BodyText"/>
        <w:spacing w:before="240"/>
        <w:rPr>
          <w:b/>
        </w:rPr>
      </w:pPr>
    </w:p>
    <w:p>
      <w:pPr>
        <w:pStyle w:val="BodyText"/>
        <w:spacing w:line="480" w:lineRule="auto" w:before="1"/>
        <w:ind w:left="920" w:right="1174"/>
        <w:jc w:val="both"/>
      </w:pPr>
      <w:r>
        <w:rPr/>
        <w:t>Agarose gel electrophoresis analysis showed the presence of plasmid of various sizes among resistant isolates ranging from 2512 – 10000bp. Some of their corresponding transconjugants contained similar plasmid sizes. Plasmid transfer was observed among </w:t>
      </w:r>
      <w:r>
        <w:rPr>
          <w:i/>
        </w:rPr>
        <w:t>E. coli</w:t>
      </w:r>
      <w:r>
        <w:rPr/>
        <w:t>, </w:t>
      </w:r>
      <w:r>
        <w:rPr>
          <w:i/>
        </w:rPr>
        <w:t>Proteus spp</w:t>
      </w:r>
      <w:r>
        <w:rPr/>
        <w:t>, </w:t>
      </w:r>
      <w:r>
        <w:rPr>
          <w:i/>
        </w:rPr>
        <w:t>Enterobacter spp </w:t>
      </w:r>
      <w:r>
        <w:rPr/>
        <w:t>and </w:t>
      </w:r>
      <w:r>
        <w:rPr>
          <w:i/>
        </w:rPr>
        <w:t>Providencia spp </w:t>
      </w:r>
      <w:r>
        <w:rPr/>
        <w:t>which were isolated from milk brands 1, 2 and 4. Milk brand 1 displayed high level of bacterial isolates with plasmids; this was closely followed by brand 4. However, brand 2 had only three bacterial isolates that harboured plasmids. The result also showed that out of twenty- six (26) resistant isolates analysed, thirteen (13) were shown to harbour one or two plasmids. Resistant </w:t>
      </w:r>
      <w:r>
        <w:rPr>
          <w:i/>
        </w:rPr>
        <w:t>E.coli </w:t>
      </w:r>
      <w:r>
        <w:rPr/>
        <w:t>harboured plasmid of sizes 3548, 7079 and 10000bp. Plasmid sizes of </w:t>
      </w:r>
      <w:r>
        <w:rPr>
          <w:i/>
        </w:rPr>
        <w:t>Providencia spp </w:t>
      </w:r>
      <w:r>
        <w:rPr/>
        <w:t>were 5623 and 10000bp</w:t>
      </w:r>
      <w:r>
        <w:rPr>
          <w:spacing w:val="40"/>
        </w:rPr>
        <w:t> </w:t>
      </w:r>
      <w:r>
        <w:rPr/>
        <w:t>while that of </w:t>
      </w:r>
      <w:r>
        <w:rPr>
          <w:i/>
        </w:rPr>
        <w:t>Proteus spp </w:t>
      </w:r>
      <w:r>
        <w:rPr/>
        <w:t>were estimated to be 5623bp. This study also revealed that all the</w:t>
      </w:r>
      <w:r>
        <w:rPr>
          <w:spacing w:val="40"/>
        </w:rPr>
        <w:t> </w:t>
      </w:r>
      <w:r>
        <w:rPr>
          <w:i/>
        </w:rPr>
        <w:t>Enterobacter spp </w:t>
      </w:r>
      <w:r>
        <w:rPr/>
        <w:t>harboured plasmid of sizes of approximately 3162 and 3981bp.</w:t>
      </w:r>
    </w:p>
    <w:p>
      <w:pPr>
        <w:pStyle w:val="BodyText"/>
        <w:spacing w:line="480" w:lineRule="auto" w:before="240"/>
        <w:ind w:left="920" w:right="1173"/>
        <w:jc w:val="both"/>
      </w:pPr>
      <w:r>
        <w:rPr/>
        <w:t>The plasmid profiles observed in this study indicated that the plasmids are distributed at random in these isolates. In most of the cases, bacterial isolates having similar antibiotic sensitivity patterns had different plasmid patterns,</w:t>
      </w:r>
      <w:r>
        <w:rPr>
          <w:spacing w:val="-1"/>
        </w:rPr>
        <w:t> </w:t>
      </w:r>
      <w:r>
        <w:rPr/>
        <w:t>implying that plasmid</w:t>
      </w:r>
      <w:r>
        <w:rPr>
          <w:spacing w:val="-4"/>
        </w:rPr>
        <w:t> </w:t>
      </w:r>
      <w:r>
        <w:rPr/>
        <w:t>may</w:t>
      </w:r>
      <w:r>
        <w:rPr>
          <w:spacing w:val="-2"/>
        </w:rPr>
        <w:t> </w:t>
      </w:r>
      <w:r>
        <w:rPr/>
        <w:t>not have link with the resistance. This supposition can be further supported by the finding that all the plasmidless strains were resistant to one or more </w:t>
      </w:r>
      <w:r>
        <w:rPr>
          <w:spacing w:val="-2"/>
        </w:rPr>
        <w:t>antibiotics.</w:t>
      </w:r>
    </w:p>
    <w:p>
      <w:pPr>
        <w:pStyle w:val="BodyText"/>
        <w:spacing w:line="480" w:lineRule="auto" w:before="237"/>
        <w:ind w:left="920" w:right="1181"/>
        <w:jc w:val="both"/>
      </w:pPr>
      <w:r>
        <w:rPr/>
        <w:t>According to some workers Carattoli(2003) and Yah </w:t>
      </w:r>
      <w:r>
        <w:rPr>
          <w:i/>
        </w:rPr>
        <w:t>et al</w:t>
      </w:r>
      <w:r>
        <w:rPr/>
        <w:t>. (2007), antibiotic resistance in some bacterial isolates which seem not to possess plasmids was associated with chromosome and/or transposons. In determining</w:t>
      </w:r>
      <w:r>
        <w:rPr>
          <w:spacing w:val="34"/>
        </w:rPr>
        <w:t> </w:t>
      </w:r>
      <w:r>
        <w:rPr/>
        <w:t>whether</w:t>
      </w:r>
      <w:r>
        <w:rPr>
          <w:spacing w:val="34"/>
        </w:rPr>
        <w:t> </w:t>
      </w:r>
      <w:r>
        <w:rPr/>
        <w:t>the</w:t>
      </w:r>
      <w:r>
        <w:rPr>
          <w:spacing w:val="34"/>
        </w:rPr>
        <w:t> </w:t>
      </w:r>
      <w:r>
        <w:rPr/>
        <w:t>plasmids</w:t>
      </w:r>
      <w:r>
        <w:rPr>
          <w:spacing w:val="34"/>
        </w:rPr>
        <w:t> </w:t>
      </w:r>
      <w:r>
        <w:rPr/>
        <w:t>resistance</w:t>
      </w:r>
      <w:r>
        <w:rPr>
          <w:spacing w:val="34"/>
        </w:rPr>
        <w:t> </w:t>
      </w:r>
      <w:r>
        <w:rPr/>
        <w:t>markers</w:t>
      </w:r>
      <w:r>
        <w:rPr>
          <w:spacing w:val="33"/>
        </w:rPr>
        <w:t> </w:t>
      </w:r>
      <w:r>
        <w:rPr/>
        <w:t>could</w:t>
      </w:r>
      <w:r>
        <w:rPr>
          <w:spacing w:val="33"/>
        </w:rPr>
        <w:t> </w:t>
      </w:r>
      <w:r>
        <w:rPr/>
        <w:t>be</w:t>
      </w:r>
      <w:r>
        <w:rPr>
          <w:spacing w:val="34"/>
        </w:rPr>
        <w:t> </w:t>
      </w:r>
      <w:r>
        <w:rPr/>
        <w:t>transferred</w:t>
      </w:r>
      <w:r>
        <w:rPr>
          <w:spacing w:val="38"/>
        </w:rPr>
        <w:t> </w:t>
      </w:r>
      <w:r>
        <w:rPr/>
        <w:t>to</w:t>
      </w:r>
      <w:r>
        <w:rPr>
          <w:spacing w:val="32"/>
        </w:rPr>
        <w:t> </w:t>
      </w:r>
      <w:r>
        <w:rPr/>
        <w:t>sensitive</w:t>
      </w:r>
      <w:r>
        <w:rPr>
          <w:spacing w:val="34"/>
        </w:rPr>
        <w:t> </w:t>
      </w:r>
      <w:r>
        <w:rPr/>
        <w:t>isolates,</w:t>
      </w:r>
      <w:r>
        <w:rPr>
          <w:spacing w:val="31"/>
        </w:rPr>
        <w:t> </w:t>
      </w:r>
      <w:r>
        <w:rPr>
          <w:spacing w:val="-5"/>
        </w:rPr>
        <w:t>the</w:t>
      </w:r>
    </w:p>
    <w:p>
      <w:pPr>
        <w:spacing w:after="0" w:line="480" w:lineRule="auto"/>
        <w:jc w:val="both"/>
        <w:sectPr>
          <w:pgSz w:w="12240" w:h="15840"/>
          <w:pgMar w:header="0" w:footer="1017" w:top="1400" w:bottom="1200" w:left="520" w:right="260"/>
        </w:sectPr>
      </w:pPr>
    </w:p>
    <w:p>
      <w:pPr>
        <w:pStyle w:val="BodyText"/>
        <w:spacing w:line="480" w:lineRule="auto" w:before="37"/>
        <w:ind w:left="920" w:right="1174"/>
        <w:jc w:val="both"/>
      </w:pPr>
      <w:r>
        <w:rPr/>
        <w:t>results showed that only three of the transconjugants expressed plasmid DNA that migrated approximately on agarose gels. The transferred plasmids DNA varied among the bacterial isolates.Based on resistant phenotypic pattern, bacteria isolates that were resistant to eleven antibiotics harboured plasmid size of 7079bp while bacteria isolates that were resistant to nine or ten antibiotics harboured plasmids that range from 2513 to 10000bp. This shows that there was no relationship between the resistance phenotypic pattern and the plasmid size.</w:t>
      </w:r>
    </w:p>
    <w:p>
      <w:pPr>
        <w:pStyle w:val="BodyText"/>
        <w:spacing w:line="480" w:lineRule="auto" w:before="238"/>
        <w:ind w:left="920" w:right="1172"/>
        <w:jc w:val="both"/>
      </w:pPr>
      <w:r>
        <w:rPr/>
        <w:t>Multiple resistance genes clusters in large plasmids are usually associated with transposons and</w:t>
      </w:r>
      <w:r>
        <w:rPr>
          <w:spacing w:val="40"/>
        </w:rPr>
        <w:t> </w:t>
      </w:r>
      <w:r>
        <w:rPr/>
        <w:t>insertion sequences (Miriagou </w:t>
      </w:r>
      <w:r>
        <w:rPr>
          <w:i/>
        </w:rPr>
        <w:t>et al</w:t>
      </w:r>
      <w:r>
        <w:rPr/>
        <w:t>., 2006). Plasmid profiles revealed that bacterial isolates with the same resistance profile may differ</w:t>
      </w:r>
      <w:r>
        <w:rPr>
          <w:spacing w:val="-4"/>
        </w:rPr>
        <w:t> </w:t>
      </w:r>
      <w:r>
        <w:rPr/>
        <w:t>in their plasmid profiles. This suggests diversity in plasmid contents of bacterial isolates and the contribution of different plasmids in the resistance to a certain antibiotic. The exchange of plasmids between bacterial cells and the integration of resistance genes into specialized genetic</w:t>
      </w:r>
      <w:r>
        <w:rPr>
          <w:spacing w:val="-2"/>
        </w:rPr>
        <w:t> </w:t>
      </w:r>
      <w:r>
        <w:rPr/>
        <w:t>elements play a</w:t>
      </w:r>
      <w:r>
        <w:rPr>
          <w:spacing w:val="-4"/>
        </w:rPr>
        <w:t> </w:t>
      </w:r>
      <w:r>
        <w:rPr/>
        <w:t>major role in</w:t>
      </w:r>
      <w:r>
        <w:rPr>
          <w:spacing w:val="-5"/>
        </w:rPr>
        <w:t> </w:t>
      </w:r>
      <w:r>
        <w:rPr/>
        <w:t>acquisition</w:t>
      </w:r>
      <w:r>
        <w:rPr>
          <w:spacing w:val="-5"/>
        </w:rPr>
        <w:t> </w:t>
      </w:r>
      <w:r>
        <w:rPr/>
        <w:t>and dissemination of antibiotic</w:t>
      </w:r>
      <w:r>
        <w:rPr>
          <w:spacing w:val="-2"/>
        </w:rPr>
        <w:t> </w:t>
      </w:r>
      <w:r>
        <w:rPr/>
        <w:t>resistance genes among bacteria isolates (Winokur </w:t>
      </w:r>
      <w:r>
        <w:rPr>
          <w:i/>
        </w:rPr>
        <w:t>et al</w:t>
      </w:r>
      <w:r>
        <w:rPr/>
        <w:t>.,</w:t>
      </w:r>
      <w:r>
        <w:rPr>
          <w:spacing w:val="-1"/>
        </w:rPr>
        <w:t> </w:t>
      </w:r>
      <w:r>
        <w:rPr/>
        <w:t>2000; Carattoli,</w:t>
      </w:r>
      <w:r>
        <w:rPr>
          <w:spacing w:val="-1"/>
        </w:rPr>
        <w:t> </w:t>
      </w:r>
      <w:r>
        <w:rPr/>
        <w:t>2003; Helms </w:t>
      </w:r>
      <w:r>
        <w:rPr>
          <w:i/>
        </w:rPr>
        <w:t>et al</w:t>
      </w:r>
      <w:r>
        <w:rPr/>
        <w:t>.,</w:t>
      </w:r>
      <w:r>
        <w:rPr>
          <w:spacing w:val="-1"/>
        </w:rPr>
        <w:t> </w:t>
      </w:r>
      <w:r>
        <w:rPr/>
        <w:t>2004; Osman </w:t>
      </w:r>
      <w:r>
        <w:rPr>
          <w:i/>
        </w:rPr>
        <w:t>et al</w:t>
      </w:r>
      <w:r>
        <w:rPr/>
        <w:t>.,</w:t>
      </w:r>
      <w:r>
        <w:rPr>
          <w:spacing w:val="-1"/>
        </w:rPr>
        <w:t> </w:t>
      </w:r>
      <w:r>
        <w:rPr/>
        <w:t>2006; Yah </w:t>
      </w:r>
      <w:r>
        <w:rPr>
          <w:i/>
        </w:rPr>
        <w:t>et al</w:t>
      </w:r>
      <w:r>
        <w:rPr/>
        <w:t>., </w:t>
      </w:r>
      <w:r>
        <w:rPr>
          <w:spacing w:val="-2"/>
        </w:rPr>
        <w:t>2007).</w:t>
      </w:r>
    </w:p>
    <w:p>
      <w:pPr>
        <w:spacing w:after="0" w:line="480" w:lineRule="auto"/>
        <w:jc w:val="both"/>
        <w:sectPr>
          <w:pgSz w:w="12240" w:h="15840"/>
          <w:pgMar w:header="0" w:footer="1017" w:top="1400" w:bottom="1200" w:left="520" w:right="260"/>
        </w:sectPr>
      </w:pPr>
    </w:p>
    <w:p>
      <w:pPr>
        <w:pStyle w:val="Heading5"/>
        <w:ind w:left="0" w:right="261" w:firstLine="0"/>
        <w:jc w:val="center"/>
      </w:pPr>
      <w:bookmarkStart w:name="_TOC_250004" w:id="87"/>
      <w:r>
        <w:rPr/>
        <w:t>CHAPTER</w:t>
      </w:r>
      <w:r>
        <w:rPr>
          <w:spacing w:val="-8"/>
        </w:rPr>
        <w:t> </w:t>
      </w:r>
      <w:bookmarkEnd w:id="87"/>
      <w:r>
        <w:rPr>
          <w:spacing w:val="-5"/>
        </w:rPr>
        <w:t>SIX</w:t>
      </w:r>
    </w:p>
    <w:p>
      <w:pPr>
        <w:pStyle w:val="BodyText"/>
        <w:spacing w:before="240"/>
        <w:rPr>
          <w:b/>
        </w:rPr>
      </w:pPr>
    </w:p>
    <w:p>
      <w:pPr>
        <w:pStyle w:val="ListParagraph"/>
        <w:numPr>
          <w:ilvl w:val="1"/>
          <w:numId w:val="21"/>
        </w:numPr>
        <w:tabs>
          <w:tab w:pos="2604" w:val="left" w:leader="none"/>
        </w:tabs>
        <w:spacing w:line="240" w:lineRule="auto" w:before="0" w:after="0"/>
        <w:ind w:left="2604" w:right="0" w:hanging="1684"/>
        <w:jc w:val="left"/>
        <w:rPr>
          <w:rFonts w:ascii="Calibri"/>
          <w:b/>
          <w:sz w:val="22"/>
        </w:rPr>
      </w:pPr>
      <w:bookmarkStart w:name="_TOC_250003" w:id="88"/>
      <w:r>
        <w:rPr>
          <w:rFonts w:ascii="Calibri"/>
          <w:b/>
          <w:sz w:val="22"/>
        </w:rPr>
        <w:t>SUMMARY,</w:t>
      </w:r>
      <w:r>
        <w:rPr>
          <w:rFonts w:ascii="Calibri"/>
          <w:b/>
          <w:spacing w:val="-7"/>
          <w:sz w:val="22"/>
        </w:rPr>
        <w:t> </w:t>
      </w:r>
      <w:r>
        <w:rPr>
          <w:rFonts w:ascii="Calibri"/>
          <w:b/>
          <w:sz w:val="22"/>
        </w:rPr>
        <w:t>CONCLUSION,</w:t>
      </w:r>
      <w:r>
        <w:rPr>
          <w:rFonts w:ascii="Calibri"/>
          <w:b/>
          <w:spacing w:val="-7"/>
          <w:sz w:val="22"/>
        </w:rPr>
        <w:t> </w:t>
      </w:r>
      <w:bookmarkEnd w:id="88"/>
      <w:r>
        <w:rPr>
          <w:rFonts w:ascii="Calibri"/>
          <w:b/>
          <w:spacing w:val="-2"/>
          <w:sz w:val="22"/>
        </w:rPr>
        <w:t>RECOMMENDATION</w:t>
      </w:r>
    </w:p>
    <w:p>
      <w:pPr>
        <w:pStyle w:val="BodyText"/>
        <w:spacing w:before="240"/>
        <w:rPr>
          <w:b/>
        </w:rPr>
      </w:pPr>
    </w:p>
    <w:p>
      <w:pPr>
        <w:pStyle w:val="ListParagraph"/>
        <w:numPr>
          <w:ilvl w:val="1"/>
          <w:numId w:val="21"/>
        </w:numPr>
        <w:tabs>
          <w:tab w:pos="1245" w:val="left" w:leader="none"/>
        </w:tabs>
        <w:spacing w:line="240" w:lineRule="auto" w:before="1" w:after="0"/>
        <w:ind w:left="1245" w:right="0" w:hanging="325"/>
        <w:jc w:val="left"/>
        <w:rPr>
          <w:rFonts w:ascii="Calibri"/>
          <w:b/>
          <w:sz w:val="22"/>
        </w:rPr>
      </w:pPr>
      <w:bookmarkStart w:name="_TOC_250002" w:id="89"/>
      <w:bookmarkEnd w:id="89"/>
      <w:r>
        <w:rPr>
          <w:rFonts w:ascii="Calibri"/>
          <w:b/>
          <w:spacing w:val="-2"/>
          <w:sz w:val="22"/>
        </w:rPr>
        <w:t>SUMMARY</w:t>
      </w:r>
    </w:p>
    <w:p>
      <w:pPr>
        <w:pStyle w:val="BodyText"/>
        <w:spacing w:before="240"/>
        <w:rPr>
          <w:b/>
        </w:rPr>
      </w:pPr>
    </w:p>
    <w:p>
      <w:pPr>
        <w:pStyle w:val="BodyText"/>
        <w:spacing w:line="480" w:lineRule="auto"/>
        <w:ind w:left="920" w:right="1173"/>
        <w:jc w:val="both"/>
      </w:pPr>
      <w:r>
        <w:rPr/>
        <w:t>The major contaminants of packaged</w:t>
      </w:r>
      <w:r>
        <w:rPr>
          <w:spacing w:val="-1"/>
        </w:rPr>
        <w:t> </w:t>
      </w:r>
      <w:r>
        <w:rPr/>
        <w:t>milk products analysed</w:t>
      </w:r>
      <w:r>
        <w:rPr>
          <w:spacing w:val="-1"/>
        </w:rPr>
        <w:t> </w:t>
      </w:r>
      <w:r>
        <w:rPr/>
        <w:t>were </w:t>
      </w:r>
      <w:r>
        <w:rPr>
          <w:i/>
        </w:rPr>
        <w:t>Pseudomonas spp </w:t>
      </w:r>
      <w:r>
        <w:rPr/>
        <w:t>closely</w:t>
      </w:r>
      <w:r>
        <w:rPr>
          <w:spacing w:val="-4"/>
        </w:rPr>
        <w:t> </w:t>
      </w:r>
      <w:r>
        <w:rPr/>
        <w:t>followed</w:t>
      </w:r>
      <w:r>
        <w:rPr>
          <w:spacing w:val="-1"/>
        </w:rPr>
        <w:t> </w:t>
      </w:r>
      <w:r>
        <w:rPr/>
        <w:t>by </w:t>
      </w:r>
      <w:r>
        <w:rPr>
          <w:i/>
        </w:rPr>
        <w:t>Enterobacter spp </w:t>
      </w:r>
      <w:r>
        <w:rPr/>
        <w:t>and </w:t>
      </w:r>
      <w:r>
        <w:rPr>
          <w:i/>
        </w:rPr>
        <w:t>E. coli </w:t>
      </w:r>
      <w:r>
        <w:rPr/>
        <w:t>and the overall contamination level of bacterial isolates in this study was 76.5%. Varying degrees of resistance as well as multiple resistances were found in the tested isolates with cloxacillin, erythromycin, amoxicillin, chloramphenicol and tetracycline. However, most isolates were susceptible to ofloxacin and gentamicin. Conjugation analysis revealed that there was transfer of resistance determinants to nineteen bacterial isolates while agarose gel electrophoresis revealed presence of plasmids with various sizes ranging from 2512 to 10000bp.</w:t>
      </w:r>
    </w:p>
    <w:p>
      <w:pPr>
        <w:pStyle w:val="ListParagraph"/>
        <w:numPr>
          <w:ilvl w:val="1"/>
          <w:numId w:val="21"/>
        </w:numPr>
        <w:tabs>
          <w:tab w:pos="1245" w:val="left" w:leader="none"/>
        </w:tabs>
        <w:spacing w:line="240" w:lineRule="auto" w:before="239" w:after="0"/>
        <w:ind w:left="1245" w:right="0" w:hanging="325"/>
        <w:jc w:val="left"/>
        <w:rPr>
          <w:rFonts w:ascii="Calibri"/>
          <w:b/>
          <w:sz w:val="22"/>
        </w:rPr>
      </w:pPr>
      <w:bookmarkStart w:name="_TOC_250001" w:id="90"/>
      <w:bookmarkEnd w:id="90"/>
      <w:r>
        <w:rPr>
          <w:rFonts w:ascii="Calibri"/>
          <w:b/>
          <w:spacing w:val="-2"/>
          <w:sz w:val="22"/>
        </w:rPr>
        <w:t>CONCLUSION</w:t>
      </w:r>
    </w:p>
    <w:p>
      <w:pPr>
        <w:pStyle w:val="BodyText"/>
        <w:spacing w:before="235"/>
        <w:rPr>
          <w:b/>
        </w:rPr>
      </w:pPr>
    </w:p>
    <w:p>
      <w:pPr>
        <w:pStyle w:val="ListParagraph"/>
        <w:numPr>
          <w:ilvl w:val="2"/>
          <w:numId w:val="21"/>
        </w:numPr>
        <w:tabs>
          <w:tab w:pos="1640" w:val="left" w:leader="none"/>
        </w:tabs>
        <w:spacing w:line="480" w:lineRule="auto" w:before="0" w:after="0"/>
        <w:ind w:left="1640" w:right="1183" w:hanging="360"/>
        <w:jc w:val="both"/>
        <w:rPr>
          <w:i/>
          <w:sz w:val="24"/>
        </w:rPr>
      </w:pPr>
      <w:r>
        <w:rPr>
          <w:sz w:val="24"/>
        </w:rPr>
        <w:t>Findings from</w:t>
      </w:r>
      <w:r>
        <w:rPr>
          <w:spacing w:val="-1"/>
          <w:sz w:val="24"/>
        </w:rPr>
        <w:t> </w:t>
      </w:r>
      <w:r>
        <w:rPr>
          <w:sz w:val="24"/>
        </w:rPr>
        <w:t>this study</w:t>
      </w:r>
      <w:r>
        <w:rPr>
          <w:spacing w:val="-2"/>
          <w:sz w:val="24"/>
        </w:rPr>
        <w:t> </w:t>
      </w:r>
      <w:r>
        <w:rPr>
          <w:sz w:val="24"/>
        </w:rPr>
        <w:t>showed that packaged milk samples sold in Zaria, Nigeria were contaminated</w:t>
      </w:r>
      <w:r>
        <w:rPr>
          <w:spacing w:val="-1"/>
          <w:sz w:val="24"/>
        </w:rPr>
        <w:t> </w:t>
      </w:r>
      <w:r>
        <w:rPr>
          <w:sz w:val="24"/>
        </w:rPr>
        <w:t>with</w:t>
      </w:r>
      <w:r>
        <w:rPr>
          <w:spacing w:val="-1"/>
          <w:sz w:val="24"/>
        </w:rPr>
        <w:t> </w:t>
      </w:r>
      <w:r>
        <w:rPr>
          <w:sz w:val="24"/>
        </w:rPr>
        <w:t>bacteria majorly</w:t>
      </w:r>
      <w:r>
        <w:rPr>
          <w:spacing w:val="-5"/>
          <w:sz w:val="24"/>
        </w:rPr>
        <w:t> </w:t>
      </w:r>
      <w:r>
        <w:rPr>
          <w:sz w:val="24"/>
        </w:rPr>
        <w:t>of</w:t>
      </w:r>
      <w:r>
        <w:rPr>
          <w:spacing w:val="-9"/>
          <w:sz w:val="24"/>
        </w:rPr>
        <w:t> </w:t>
      </w:r>
      <w:r>
        <w:rPr>
          <w:sz w:val="24"/>
        </w:rPr>
        <w:t>Enterobacteriaceae group,</w:t>
      </w:r>
      <w:r>
        <w:rPr>
          <w:i/>
          <w:sz w:val="24"/>
        </w:rPr>
        <w:t>Pseudomonas</w:t>
      </w:r>
      <w:r>
        <w:rPr>
          <w:i/>
          <w:spacing w:val="-3"/>
          <w:sz w:val="24"/>
        </w:rPr>
        <w:t> </w:t>
      </w:r>
      <w:r>
        <w:rPr>
          <w:i/>
          <w:sz w:val="24"/>
        </w:rPr>
        <w:t>spp </w:t>
      </w:r>
      <w:r>
        <w:rPr>
          <w:sz w:val="24"/>
        </w:rPr>
        <w:t>and</w:t>
      </w:r>
      <w:r>
        <w:rPr>
          <w:spacing w:val="-1"/>
          <w:sz w:val="24"/>
        </w:rPr>
        <w:t> </w:t>
      </w:r>
      <w:r>
        <w:rPr>
          <w:i/>
          <w:sz w:val="24"/>
        </w:rPr>
        <w:t>S. </w:t>
      </w:r>
      <w:r>
        <w:rPr>
          <w:i/>
          <w:spacing w:val="-2"/>
          <w:sz w:val="24"/>
        </w:rPr>
        <w:t>aureus.</w:t>
      </w:r>
    </w:p>
    <w:p>
      <w:pPr>
        <w:pStyle w:val="ListParagraph"/>
        <w:numPr>
          <w:ilvl w:val="2"/>
          <w:numId w:val="21"/>
        </w:numPr>
        <w:tabs>
          <w:tab w:pos="1638" w:val="left" w:leader="none"/>
          <w:tab w:pos="1640" w:val="left" w:leader="none"/>
        </w:tabs>
        <w:spacing w:line="480" w:lineRule="auto" w:before="0" w:after="0"/>
        <w:ind w:left="1640" w:right="1184" w:hanging="360"/>
        <w:jc w:val="both"/>
        <w:rPr>
          <w:sz w:val="24"/>
        </w:rPr>
      </w:pPr>
      <w:r>
        <w:rPr>
          <w:sz w:val="24"/>
        </w:rPr>
        <w:t>The Bacterial isolates were resistant to test antibiotics in the order of cloxacillin &gt; erythromycin &gt; amoxicillin &gt; chloramphenicol &gt; tetracycline &gt; amoxicillin/clavulanic acid&gt; nitrofurantoin,But sensitive to ofloxacin (99.3%) and gentamicin (83%).</w:t>
      </w:r>
    </w:p>
    <w:p>
      <w:pPr>
        <w:pStyle w:val="ListParagraph"/>
        <w:numPr>
          <w:ilvl w:val="2"/>
          <w:numId w:val="21"/>
        </w:numPr>
        <w:tabs>
          <w:tab w:pos="1640" w:val="left" w:leader="none"/>
        </w:tabs>
        <w:spacing w:line="480" w:lineRule="auto" w:before="1" w:after="0"/>
        <w:ind w:left="1640" w:right="1182" w:hanging="360"/>
        <w:jc w:val="both"/>
        <w:rPr>
          <w:sz w:val="24"/>
        </w:rPr>
      </w:pPr>
      <w:r>
        <w:rPr>
          <w:sz w:val="24"/>
        </w:rPr>
        <w:t>Agarose gel electrophoresis analysis revealed presence of plasmids of various sizes ranging from 2512 to 10000bp.</w:t>
      </w:r>
    </w:p>
    <w:p>
      <w:pPr>
        <w:pStyle w:val="ListParagraph"/>
        <w:numPr>
          <w:ilvl w:val="2"/>
          <w:numId w:val="21"/>
        </w:numPr>
        <w:tabs>
          <w:tab w:pos="1639" w:val="left" w:leader="none"/>
        </w:tabs>
        <w:spacing w:line="240" w:lineRule="auto" w:before="0" w:after="0"/>
        <w:ind w:left="1639" w:right="0" w:hanging="359"/>
        <w:jc w:val="both"/>
        <w:rPr>
          <w:sz w:val="24"/>
        </w:rPr>
      </w:pPr>
      <w:r>
        <w:rPr>
          <w:sz w:val="24"/>
        </w:rPr>
        <w:t>Thirteen</w:t>
      </w:r>
      <w:r>
        <w:rPr>
          <w:spacing w:val="-9"/>
          <w:sz w:val="24"/>
        </w:rPr>
        <w:t> </w:t>
      </w:r>
      <w:r>
        <w:rPr>
          <w:sz w:val="24"/>
        </w:rPr>
        <w:t>out</w:t>
      </w:r>
      <w:r>
        <w:rPr>
          <w:spacing w:val="-9"/>
          <w:sz w:val="24"/>
        </w:rPr>
        <w:t> </w:t>
      </w:r>
      <w:r>
        <w:rPr>
          <w:sz w:val="24"/>
        </w:rPr>
        <w:t>of</w:t>
      </w:r>
      <w:r>
        <w:rPr>
          <w:spacing w:val="-11"/>
          <w:sz w:val="24"/>
        </w:rPr>
        <w:t> </w:t>
      </w:r>
      <w:r>
        <w:rPr>
          <w:sz w:val="24"/>
        </w:rPr>
        <w:t>twenty-six</w:t>
      </w:r>
      <w:r>
        <w:rPr>
          <w:spacing w:val="-9"/>
          <w:sz w:val="24"/>
        </w:rPr>
        <w:t> </w:t>
      </w:r>
      <w:r>
        <w:rPr>
          <w:sz w:val="24"/>
        </w:rPr>
        <w:t>resistant isolates</w:t>
      </w:r>
      <w:r>
        <w:rPr>
          <w:spacing w:val="-7"/>
          <w:sz w:val="24"/>
        </w:rPr>
        <w:t> </w:t>
      </w:r>
      <w:r>
        <w:rPr>
          <w:sz w:val="24"/>
        </w:rPr>
        <w:t>harboured</w:t>
      </w:r>
      <w:r>
        <w:rPr>
          <w:spacing w:val="-9"/>
          <w:sz w:val="24"/>
        </w:rPr>
        <w:t> </w:t>
      </w:r>
      <w:r>
        <w:rPr>
          <w:sz w:val="24"/>
        </w:rPr>
        <w:t>one</w:t>
      </w:r>
      <w:r>
        <w:rPr>
          <w:spacing w:val="-5"/>
          <w:sz w:val="24"/>
        </w:rPr>
        <w:t> </w:t>
      </w:r>
      <w:r>
        <w:rPr>
          <w:sz w:val="24"/>
        </w:rPr>
        <w:t>or</w:t>
      </w:r>
      <w:r>
        <w:rPr>
          <w:spacing w:val="-12"/>
          <w:sz w:val="24"/>
        </w:rPr>
        <w:t> </w:t>
      </w:r>
      <w:r>
        <w:rPr>
          <w:sz w:val="24"/>
        </w:rPr>
        <w:t>two </w:t>
      </w:r>
      <w:r>
        <w:rPr>
          <w:spacing w:val="-2"/>
          <w:sz w:val="24"/>
        </w:rPr>
        <w:t>plasmids.</w:t>
      </w:r>
    </w:p>
    <w:p>
      <w:pPr>
        <w:pStyle w:val="ListParagraph"/>
        <w:numPr>
          <w:ilvl w:val="2"/>
          <w:numId w:val="21"/>
        </w:numPr>
        <w:tabs>
          <w:tab w:pos="1640" w:val="left" w:leader="none"/>
        </w:tabs>
        <w:spacing w:line="480" w:lineRule="auto" w:before="276" w:after="0"/>
        <w:ind w:left="1640" w:right="1182" w:hanging="360"/>
        <w:jc w:val="both"/>
        <w:rPr>
          <w:sz w:val="24"/>
        </w:rPr>
      </w:pPr>
      <w:r>
        <w:rPr>
          <w:sz w:val="24"/>
        </w:rPr>
        <w:t>Plasmidresistance markers could be transferred from the resistant isolates to sensitive isolates as demonstrated by three of the transconjugants S43s, E46e, E10e.</w:t>
      </w:r>
    </w:p>
    <w:p>
      <w:pPr>
        <w:spacing w:after="0" w:line="480" w:lineRule="auto"/>
        <w:jc w:val="both"/>
        <w:rPr>
          <w:sz w:val="24"/>
        </w:rPr>
        <w:sectPr>
          <w:pgSz w:w="12240" w:h="15840"/>
          <w:pgMar w:header="0" w:footer="1017" w:top="1400" w:bottom="1200" w:left="520" w:right="260"/>
        </w:sectPr>
      </w:pPr>
    </w:p>
    <w:p>
      <w:pPr>
        <w:pStyle w:val="Heading5"/>
        <w:numPr>
          <w:ilvl w:val="1"/>
          <w:numId w:val="21"/>
        </w:numPr>
        <w:tabs>
          <w:tab w:pos="1245" w:val="left" w:leader="none"/>
        </w:tabs>
        <w:spacing w:line="240" w:lineRule="auto" w:before="37" w:after="0"/>
        <w:ind w:left="1245" w:right="0" w:hanging="325"/>
        <w:jc w:val="left"/>
      </w:pPr>
      <w:r>
        <w:rPr>
          <w:spacing w:val="-2"/>
        </w:rPr>
        <w:t>RECOMMENDATIONS</w:t>
      </w:r>
    </w:p>
    <w:p>
      <w:pPr>
        <w:pStyle w:val="BodyText"/>
        <w:spacing w:before="240"/>
        <w:rPr>
          <w:b/>
        </w:rPr>
      </w:pPr>
    </w:p>
    <w:p>
      <w:pPr>
        <w:pStyle w:val="BodyText"/>
        <w:spacing w:line="480" w:lineRule="auto"/>
        <w:ind w:left="920" w:right="1176"/>
        <w:jc w:val="both"/>
      </w:pPr>
      <w:r>
        <w:rPr/>
        <w:t>Based on the results obtained from this study, strict hygienic measures should be applied during production, processing and distribution of milk and its products to avoid contamination by resistant bacteria pathogens.</w:t>
      </w:r>
    </w:p>
    <w:p>
      <w:pPr>
        <w:pStyle w:val="BodyText"/>
        <w:spacing w:line="480" w:lineRule="auto" w:before="242"/>
        <w:ind w:left="920" w:right="1172"/>
        <w:jc w:val="both"/>
      </w:pPr>
      <w:r>
        <w:rPr/>
        <w:t>The key to preventing contamination of milk products is to prevent post-pasteurizationcontamination through well designed quality assurance. It isalso the key responsibility of both consumers and suppliersto adequately store milk at suitable temperatures in order tocontrol the levels of bacteria and to retard the rateof milk spoilage.</w:t>
      </w:r>
    </w:p>
    <w:p>
      <w:pPr>
        <w:pStyle w:val="BodyText"/>
        <w:spacing w:line="480" w:lineRule="auto" w:before="237"/>
        <w:ind w:left="920" w:right="1182"/>
        <w:jc w:val="both"/>
      </w:pPr>
      <w:r>
        <w:rPr/>
        <w:t>Effective measures to ensure safe milk for human consumption such as the phosphatase and methylene blue reduction tests should be routinely performed on each batch of milk processed by dairy plants.</w:t>
      </w:r>
    </w:p>
    <w:p>
      <w:pPr>
        <w:pStyle w:val="BodyText"/>
        <w:spacing w:line="480" w:lineRule="auto" w:before="241"/>
        <w:ind w:left="920" w:right="1180"/>
        <w:jc w:val="both"/>
      </w:pPr>
      <w:r>
        <w:rPr/>
        <w:t>Since public perception of food quality is critical in the marketing of any product, it is very important</w:t>
      </w:r>
      <w:r>
        <w:rPr>
          <w:spacing w:val="40"/>
        </w:rPr>
        <w:t> </w:t>
      </w:r>
      <w:r>
        <w:rPr/>
        <w:t>that the Nigerian milk products industries maintain high processing standards.</w:t>
      </w:r>
    </w:p>
    <w:p>
      <w:pPr>
        <w:pStyle w:val="BodyText"/>
        <w:spacing w:line="480" w:lineRule="auto" w:before="241"/>
        <w:ind w:left="920" w:right="1174"/>
        <w:jc w:val="both"/>
      </w:pPr>
      <w:r>
        <w:rPr/>
        <w:t>Overall, control of all the routes by which multiple antibiotic resistant bacteria and their related genes can arise in the human patient, of which food is but one such route, requires a response from all stakeholders to acknowledge their responsibilities for preventing both the development and spread of such bacteria, each in their own area of activity including medicine, veterinary medicine, primary food animal production, food processing and food preparation, as well as in the regulation of food safety.</w:t>
      </w:r>
    </w:p>
    <w:p>
      <w:pPr>
        <w:spacing w:after="0" w:line="480" w:lineRule="auto"/>
        <w:jc w:val="both"/>
        <w:sectPr>
          <w:pgSz w:w="12240" w:h="15840"/>
          <w:pgMar w:header="0" w:footer="1017" w:top="1400" w:bottom="1200" w:left="520" w:right="260"/>
        </w:sectPr>
      </w:pPr>
    </w:p>
    <w:p>
      <w:pPr>
        <w:pStyle w:val="Heading5"/>
        <w:spacing w:before="41"/>
        <w:ind w:left="0" w:right="263" w:firstLine="0"/>
        <w:jc w:val="center"/>
      </w:pPr>
      <w:bookmarkStart w:name="_TOC_250000" w:id="91"/>
      <w:bookmarkEnd w:id="91"/>
      <w:r>
        <w:rPr>
          <w:spacing w:val="-2"/>
        </w:rPr>
        <w:t>REFERENCES</w:t>
      </w:r>
    </w:p>
    <w:p>
      <w:pPr>
        <w:pStyle w:val="BodyText"/>
        <w:rPr>
          <w:b/>
        </w:rPr>
      </w:pPr>
    </w:p>
    <w:p>
      <w:pPr>
        <w:pStyle w:val="BodyText"/>
        <w:spacing w:before="212"/>
        <w:rPr>
          <w:b/>
        </w:rPr>
      </w:pPr>
    </w:p>
    <w:p>
      <w:pPr>
        <w:spacing w:line="276" w:lineRule="auto" w:before="0"/>
        <w:ind w:left="1640" w:right="1179" w:hanging="720"/>
        <w:jc w:val="both"/>
        <w:rPr>
          <w:sz w:val="22"/>
        </w:rPr>
      </w:pPr>
      <w:r>
        <w:rPr>
          <w:sz w:val="22"/>
        </w:rPr>
        <w:t>Aarestrup, F.M. (1999). Association between the consumption of antimicrobial agents in animal husbandry and</w:t>
      </w:r>
      <w:r>
        <w:rPr>
          <w:spacing w:val="-1"/>
          <w:sz w:val="22"/>
        </w:rPr>
        <w:t> </w:t>
      </w:r>
      <w:r>
        <w:rPr>
          <w:sz w:val="22"/>
        </w:rPr>
        <w:t>the occurrence of resistant</w:t>
      </w:r>
      <w:r>
        <w:rPr>
          <w:spacing w:val="-2"/>
          <w:sz w:val="22"/>
        </w:rPr>
        <w:t> </w:t>
      </w:r>
      <w:r>
        <w:rPr>
          <w:sz w:val="22"/>
        </w:rPr>
        <w:t>bacteria</w:t>
      </w:r>
      <w:r>
        <w:rPr>
          <w:spacing w:val="-1"/>
          <w:sz w:val="22"/>
        </w:rPr>
        <w:t> </w:t>
      </w:r>
      <w:r>
        <w:rPr>
          <w:sz w:val="22"/>
        </w:rPr>
        <w:t>among food</w:t>
      </w:r>
      <w:r>
        <w:rPr>
          <w:spacing w:val="-1"/>
          <w:sz w:val="22"/>
        </w:rPr>
        <w:t> </w:t>
      </w:r>
      <w:r>
        <w:rPr>
          <w:sz w:val="22"/>
        </w:rPr>
        <w:t>animals.</w:t>
      </w:r>
      <w:r>
        <w:rPr>
          <w:i/>
          <w:sz w:val="22"/>
        </w:rPr>
        <w:t>International Journal of Antimicrobial Agents</w:t>
      </w:r>
      <w:r>
        <w:rPr>
          <w:sz w:val="22"/>
        </w:rPr>
        <w:t>, 12: 279-285.</w:t>
      </w:r>
    </w:p>
    <w:p>
      <w:pPr>
        <w:pStyle w:val="BodyText"/>
      </w:pPr>
    </w:p>
    <w:p>
      <w:pPr>
        <w:pStyle w:val="BodyText"/>
        <w:spacing w:before="173"/>
      </w:pPr>
    </w:p>
    <w:p>
      <w:pPr>
        <w:spacing w:line="273" w:lineRule="auto" w:before="1"/>
        <w:ind w:left="1640" w:right="1176" w:hanging="720"/>
        <w:jc w:val="both"/>
        <w:rPr>
          <w:sz w:val="22"/>
        </w:rPr>
      </w:pPr>
      <w:r>
        <w:rPr>
          <w:sz w:val="22"/>
        </w:rPr>
        <w:t>Aarts, H.J.M., Guerra, B and Malorny, B. (2006).Molecular methods for detection of antimicrobial resistance. In: Aarestrup, F.M. (Ed.) </w:t>
      </w:r>
      <w:r>
        <w:rPr>
          <w:i/>
          <w:sz w:val="22"/>
        </w:rPr>
        <w:t>Antimicrobial Resistance in Bacteria of Animal Origin</w:t>
      </w:r>
      <w:r>
        <w:rPr>
          <w:sz w:val="22"/>
        </w:rPr>
        <w:t>. ASM press, Washington, D.C PP. 37-48.</w:t>
      </w:r>
    </w:p>
    <w:p>
      <w:pPr>
        <w:pStyle w:val="BodyText"/>
      </w:pPr>
    </w:p>
    <w:p>
      <w:pPr>
        <w:pStyle w:val="BodyText"/>
        <w:spacing w:before="176"/>
      </w:pPr>
    </w:p>
    <w:p>
      <w:pPr>
        <w:pStyle w:val="BodyText"/>
        <w:ind w:left="920"/>
      </w:pPr>
      <w:r>
        <w:rPr/>
        <w:t>Ackers,</w:t>
      </w:r>
      <w:r>
        <w:rPr>
          <w:spacing w:val="8"/>
        </w:rPr>
        <w:t> </w:t>
      </w:r>
      <w:r>
        <w:rPr/>
        <w:t>M.L.,</w:t>
      </w:r>
      <w:r>
        <w:rPr>
          <w:spacing w:val="8"/>
        </w:rPr>
        <w:t> </w:t>
      </w:r>
      <w:r>
        <w:rPr/>
        <w:t>Schoenfeld,</w:t>
      </w:r>
      <w:r>
        <w:rPr>
          <w:spacing w:val="8"/>
        </w:rPr>
        <w:t> </w:t>
      </w:r>
      <w:r>
        <w:rPr/>
        <w:t>S.,</w:t>
      </w:r>
      <w:r>
        <w:rPr>
          <w:spacing w:val="8"/>
        </w:rPr>
        <w:t> </w:t>
      </w:r>
      <w:r>
        <w:rPr/>
        <w:t>Markman,</w:t>
      </w:r>
      <w:r>
        <w:rPr>
          <w:spacing w:val="8"/>
        </w:rPr>
        <w:t> </w:t>
      </w:r>
      <w:r>
        <w:rPr/>
        <w:t>J.,</w:t>
      </w:r>
      <w:r>
        <w:rPr>
          <w:spacing w:val="8"/>
        </w:rPr>
        <w:t> </w:t>
      </w:r>
      <w:r>
        <w:rPr/>
        <w:t>Smith,</w:t>
      </w:r>
      <w:r>
        <w:rPr>
          <w:spacing w:val="8"/>
        </w:rPr>
        <w:t> </w:t>
      </w:r>
      <w:r>
        <w:rPr/>
        <w:t>G.,</w:t>
      </w:r>
      <w:r>
        <w:rPr>
          <w:spacing w:val="8"/>
        </w:rPr>
        <w:t> </w:t>
      </w:r>
      <w:r>
        <w:rPr/>
        <w:t>Nicholson,</w:t>
      </w:r>
      <w:r>
        <w:rPr>
          <w:spacing w:val="8"/>
        </w:rPr>
        <w:t> </w:t>
      </w:r>
      <w:r>
        <w:rPr/>
        <w:t>M.A.,</w:t>
      </w:r>
      <w:r>
        <w:rPr>
          <w:spacing w:val="8"/>
        </w:rPr>
        <w:t> </w:t>
      </w:r>
      <w:r>
        <w:rPr/>
        <w:t>Dewitt,</w:t>
      </w:r>
      <w:r>
        <w:rPr>
          <w:spacing w:val="8"/>
        </w:rPr>
        <w:t> </w:t>
      </w:r>
      <w:r>
        <w:rPr/>
        <w:t>W.,</w:t>
      </w:r>
      <w:r>
        <w:rPr>
          <w:spacing w:val="8"/>
        </w:rPr>
        <w:t> </w:t>
      </w:r>
      <w:r>
        <w:rPr/>
        <w:t>Cameron,</w:t>
      </w:r>
      <w:r>
        <w:rPr>
          <w:spacing w:val="8"/>
        </w:rPr>
        <w:t> </w:t>
      </w:r>
      <w:r>
        <w:rPr/>
        <w:t>D.N.,</w:t>
      </w:r>
      <w:r>
        <w:rPr>
          <w:spacing w:val="8"/>
        </w:rPr>
        <w:t> </w:t>
      </w:r>
      <w:r>
        <w:rPr>
          <w:spacing w:val="-2"/>
        </w:rPr>
        <w:t>Riffin,</w:t>
      </w:r>
    </w:p>
    <w:p>
      <w:pPr>
        <w:spacing w:line="273" w:lineRule="auto" w:before="43"/>
        <w:ind w:left="1640" w:right="1181" w:firstLine="0"/>
        <w:jc w:val="left"/>
        <w:rPr>
          <w:sz w:val="22"/>
        </w:rPr>
      </w:pPr>
      <w:r>
        <w:rPr>
          <w:sz w:val="22"/>
        </w:rPr>
        <w:t>P.M</w:t>
      </w:r>
      <w:r>
        <w:rPr>
          <w:spacing w:val="-5"/>
          <w:sz w:val="22"/>
        </w:rPr>
        <w:t> </w:t>
      </w:r>
      <w:r>
        <w:rPr>
          <w:sz w:val="22"/>
        </w:rPr>
        <w:t>and</w:t>
      </w:r>
      <w:r>
        <w:rPr>
          <w:spacing w:val="-5"/>
          <w:sz w:val="22"/>
        </w:rPr>
        <w:t> </w:t>
      </w:r>
      <w:r>
        <w:rPr>
          <w:sz w:val="22"/>
        </w:rPr>
        <w:t>Slutsker,</w:t>
      </w:r>
      <w:r>
        <w:rPr>
          <w:spacing w:val="-6"/>
          <w:sz w:val="22"/>
        </w:rPr>
        <w:t> </w:t>
      </w:r>
      <w:r>
        <w:rPr>
          <w:sz w:val="22"/>
        </w:rPr>
        <w:t>L.</w:t>
      </w:r>
      <w:r>
        <w:rPr>
          <w:spacing w:val="-2"/>
          <w:sz w:val="22"/>
        </w:rPr>
        <w:t> </w:t>
      </w:r>
      <w:r>
        <w:rPr>
          <w:sz w:val="22"/>
        </w:rPr>
        <w:t>(2000).</w:t>
      </w:r>
      <w:r>
        <w:rPr>
          <w:spacing w:val="-2"/>
          <w:sz w:val="22"/>
        </w:rPr>
        <w:t> </w:t>
      </w:r>
      <w:r>
        <w:rPr>
          <w:sz w:val="22"/>
        </w:rPr>
        <w:t>An</w:t>
      </w:r>
      <w:r>
        <w:rPr>
          <w:spacing w:val="-5"/>
          <w:sz w:val="22"/>
        </w:rPr>
        <w:t> </w:t>
      </w:r>
      <w:r>
        <w:rPr>
          <w:sz w:val="22"/>
        </w:rPr>
        <w:t>outbreak</w:t>
      </w:r>
      <w:r>
        <w:rPr>
          <w:spacing w:val="-4"/>
          <w:sz w:val="22"/>
        </w:rPr>
        <w:t> </w:t>
      </w:r>
      <w:r>
        <w:rPr>
          <w:sz w:val="22"/>
        </w:rPr>
        <w:t>of </w:t>
      </w:r>
      <w:r>
        <w:rPr>
          <w:i/>
          <w:sz w:val="22"/>
        </w:rPr>
        <w:t>Yersinia</w:t>
      </w:r>
      <w:r>
        <w:rPr>
          <w:i/>
          <w:spacing w:val="-2"/>
          <w:sz w:val="22"/>
        </w:rPr>
        <w:t> </w:t>
      </w:r>
      <w:r>
        <w:rPr>
          <w:i/>
          <w:sz w:val="22"/>
        </w:rPr>
        <w:t>enterocolitica</w:t>
      </w:r>
      <w:r>
        <w:rPr>
          <w:i/>
          <w:spacing w:val="-1"/>
          <w:sz w:val="22"/>
        </w:rPr>
        <w:t> </w:t>
      </w:r>
      <w:r>
        <w:rPr>
          <w:sz w:val="22"/>
        </w:rPr>
        <w:t>O:</w:t>
      </w:r>
      <w:r>
        <w:rPr>
          <w:spacing w:val="-5"/>
          <w:sz w:val="22"/>
        </w:rPr>
        <w:t> </w:t>
      </w:r>
      <w:r>
        <w:rPr>
          <w:sz w:val="22"/>
        </w:rPr>
        <w:t>8</w:t>
      </w:r>
      <w:r>
        <w:rPr>
          <w:spacing w:val="-5"/>
          <w:sz w:val="22"/>
        </w:rPr>
        <w:t> </w:t>
      </w:r>
      <w:r>
        <w:rPr>
          <w:sz w:val="22"/>
        </w:rPr>
        <w:t>infections</w:t>
      </w:r>
      <w:r>
        <w:rPr>
          <w:spacing w:val="-4"/>
          <w:sz w:val="22"/>
        </w:rPr>
        <w:t> </w:t>
      </w:r>
      <w:r>
        <w:rPr>
          <w:sz w:val="22"/>
        </w:rPr>
        <w:t>associated with pasteurized milk. </w:t>
      </w:r>
      <w:r>
        <w:rPr>
          <w:i/>
          <w:sz w:val="22"/>
        </w:rPr>
        <w:t>Journal of Infectious Diseases</w:t>
      </w:r>
      <w:r>
        <w:rPr>
          <w:sz w:val="22"/>
        </w:rPr>
        <w:t>, 181: 1834-1837.</w:t>
      </w:r>
    </w:p>
    <w:p>
      <w:pPr>
        <w:pStyle w:val="BodyText"/>
      </w:pPr>
    </w:p>
    <w:p>
      <w:pPr>
        <w:pStyle w:val="BodyText"/>
        <w:spacing w:before="176"/>
      </w:pPr>
    </w:p>
    <w:p>
      <w:pPr>
        <w:spacing w:line="273" w:lineRule="auto" w:before="0"/>
        <w:ind w:left="1640" w:right="1178" w:hanging="720"/>
        <w:jc w:val="both"/>
        <w:rPr>
          <w:sz w:val="22"/>
        </w:rPr>
      </w:pPr>
      <w:r>
        <w:rPr>
          <w:sz w:val="22"/>
        </w:rPr>
        <w:t>Adeleke,</w:t>
      </w:r>
      <w:r>
        <w:rPr>
          <w:spacing w:val="-3"/>
          <w:sz w:val="22"/>
        </w:rPr>
        <w:t> </w:t>
      </w:r>
      <w:r>
        <w:rPr>
          <w:sz w:val="22"/>
        </w:rPr>
        <w:t>O.E.,</w:t>
      </w:r>
      <w:r>
        <w:rPr>
          <w:spacing w:val="-3"/>
          <w:sz w:val="22"/>
        </w:rPr>
        <w:t> </w:t>
      </w:r>
      <w:r>
        <w:rPr>
          <w:sz w:val="22"/>
        </w:rPr>
        <w:t>Adeniyi,</w:t>
      </w:r>
      <w:r>
        <w:rPr>
          <w:spacing w:val="-3"/>
          <w:sz w:val="22"/>
        </w:rPr>
        <w:t> </w:t>
      </w:r>
      <w:r>
        <w:rPr>
          <w:sz w:val="22"/>
        </w:rPr>
        <w:t>B.A and</w:t>
      </w:r>
      <w:r>
        <w:rPr>
          <w:spacing w:val="-6"/>
          <w:sz w:val="22"/>
        </w:rPr>
        <w:t> </w:t>
      </w:r>
      <w:r>
        <w:rPr>
          <w:sz w:val="22"/>
        </w:rPr>
        <w:t>Akinrinmisi,</w:t>
      </w:r>
      <w:r>
        <w:rPr>
          <w:spacing w:val="-3"/>
          <w:sz w:val="22"/>
        </w:rPr>
        <w:t> </w:t>
      </w:r>
      <w:r>
        <w:rPr>
          <w:sz w:val="22"/>
        </w:rPr>
        <w:t>A. A. (2000). Microbiological quality of</w:t>
      </w:r>
      <w:r>
        <w:rPr>
          <w:spacing w:val="-5"/>
          <w:sz w:val="22"/>
        </w:rPr>
        <w:t> </w:t>
      </w:r>
      <w:r>
        <w:rPr>
          <w:sz w:val="22"/>
        </w:rPr>
        <w:t>local soymilk:</w:t>
      </w:r>
      <w:r>
        <w:rPr>
          <w:spacing w:val="-2"/>
          <w:sz w:val="22"/>
        </w:rPr>
        <w:t> </w:t>
      </w:r>
      <w:r>
        <w:rPr>
          <w:sz w:val="22"/>
        </w:rPr>
        <w:t>a</w:t>
      </w:r>
      <w:r>
        <w:rPr>
          <w:spacing w:val="-1"/>
          <w:sz w:val="22"/>
        </w:rPr>
        <w:t> </w:t>
      </w:r>
      <w:r>
        <w:rPr>
          <w:sz w:val="22"/>
        </w:rPr>
        <w:t>public health appraisal. </w:t>
      </w:r>
      <w:r>
        <w:rPr>
          <w:i/>
          <w:sz w:val="22"/>
        </w:rPr>
        <w:t>African Journal of Biomedical Research </w:t>
      </w:r>
      <w:r>
        <w:rPr>
          <w:sz w:val="22"/>
        </w:rPr>
        <w:t>3: 89 – 92.</w:t>
      </w:r>
    </w:p>
    <w:p>
      <w:pPr>
        <w:pStyle w:val="BodyText"/>
      </w:pPr>
    </w:p>
    <w:p>
      <w:pPr>
        <w:pStyle w:val="BodyText"/>
        <w:spacing w:before="175"/>
      </w:pPr>
    </w:p>
    <w:p>
      <w:pPr>
        <w:pStyle w:val="BodyText"/>
        <w:spacing w:line="276" w:lineRule="auto"/>
        <w:ind w:left="1640" w:right="1178" w:hanging="720"/>
        <w:jc w:val="both"/>
      </w:pPr>
      <w:r>
        <w:rPr/>
        <w:t>Adesiyun, A.A., Webb, L.A., Romain, Hand Kaminjolo, J.S. (1997a). Prevalence and characteristics of strains of </w:t>
      </w:r>
      <w:r>
        <w:rPr>
          <w:i/>
        </w:rPr>
        <w:t>Escherichia coli </w:t>
      </w:r>
      <w:r>
        <w:rPr/>
        <w:t>isolated from milk and faeces of cows on dairy farms in Trinidad. </w:t>
      </w:r>
      <w:r>
        <w:rPr>
          <w:i/>
        </w:rPr>
        <w:t>Journal of Food Protection</w:t>
      </w:r>
      <w:r>
        <w:rPr/>
        <w:t>, 60: 1174-1181.</w:t>
      </w:r>
    </w:p>
    <w:p>
      <w:pPr>
        <w:pStyle w:val="BodyText"/>
      </w:pPr>
    </w:p>
    <w:p>
      <w:pPr>
        <w:pStyle w:val="BodyText"/>
        <w:spacing w:before="173"/>
      </w:pPr>
    </w:p>
    <w:p>
      <w:pPr>
        <w:pStyle w:val="BodyText"/>
        <w:spacing w:line="278" w:lineRule="auto"/>
        <w:ind w:left="1640" w:right="1172" w:hanging="720"/>
        <w:jc w:val="both"/>
      </w:pPr>
      <w:r>
        <w:rPr/>
        <w:t>Adesiyun, A.A., Webb, L.A and Balbirsingh, V. (1997b).Prevalence of antimicrobial residues in pre- processed and processed cows’ milk in Trinidad.</w:t>
      </w:r>
      <w:r>
        <w:rPr>
          <w:i/>
        </w:rPr>
        <w:t>Journal of Food Safety, 16</w:t>
      </w:r>
      <w:r>
        <w:rPr/>
        <w:t>: 301–310.</w:t>
      </w:r>
    </w:p>
    <w:p>
      <w:pPr>
        <w:pStyle w:val="BodyText"/>
      </w:pPr>
    </w:p>
    <w:p>
      <w:pPr>
        <w:pStyle w:val="BodyText"/>
        <w:spacing w:before="162"/>
      </w:pPr>
    </w:p>
    <w:p>
      <w:pPr>
        <w:spacing w:line="237" w:lineRule="auto" w:before="0"/>
        <w:ind w:left="1640" w:right="1178" w:hanging="720"/>
        <w:jc w:val="both"/>
        <w:rPr>
          <w:rFonts w:ascii="Times New Roman"/>
          <w:sz w:val="24"/>
        </w:rPr>
      </w:pPr>
      <w:r>
        <w:rPr>
          <w:rFonts w:ascii="Times New Roman"/>
          <w:sz w:val="24"/>
        </w:rPr>
        <w:t>Adwan, G., Abu-Shanab, B and Adwan, K. (2005).Enterotoxigenic </w:t>
      </w:r>
      <w:r>
        <w:rPr>
          <w:rFonts w:ascii="Times New Roman"/>
          <w:i/>
          <w:sz w:val="24"/>
        </w:rPr>
        <w:t>Staphylococcus aureus </w:t>
      </w:r>
      <w:r>
        <w:rPr>
          <w:rFonts w:ascii="Times New Roman"/>
          <w:sz w:val="24"/>
        </w:rPr>
        <w:t>in Raw Milk in the North of Palestine.</w:t>
      </w:r>
      <w:r>
        <w:rPr>
          <w:rFonts w:ascii="Times New Roman"/>
          <w:i/>
          <w:sz w:val="24"/>
        </w:rPr>
        <w:t>Turkey Journal of Biology</w:t>
      </w:r>
      <w:r>
        <w:rPr>
          <w:rFonts w:ascii="Times New Roman"/>
          <w:sz w:val="24"/>
        </w:rPr>
        <w:t>, 29: 229-232.</w:t>
      </w:r>
    </w:p>
    <w:p>
      <w:pPr>
        <w:pStyle w:val="BodyText"/>
        <w:spacing w:before="246"/>
        <w:rPr>
          <w:rFonts w:ascii="Times New Roman"/>
          <w:sz w:val="24"/>
        </w:rPr>
      </w:pPr>
    </w:p>
    <w:p>
      <w:pPr>
        <w:spacing w:line="273" w:lineRule="auto" w:before="0"/>
        <w:ind w:left="1548" w:right="1175" w:hanging="629"/>
        <w:jc w:val="both"/>
        <w:rPr>
          <w:sz w:val="22"/>
        </w:rPr>
      </w:pPr>
      <w:r>
        <w:rPr>
          <w:sz w:val="22"/>
        </w:rPr>
        <w:t>Ahmed, A., Jamee, N., Ansari, A. and Khatoon, H. (2001). Multiple antibiotic resistances among gram negative bacteria isolated from milk in Karachi</w:t>
      </w:r>
      <w:r>
        <w:rPr>
          <w:b/>
          <w:sz w:val="22"/>
        </w:rPr>
        <w:t>. </w:t>
      </w:r>
      <w:r>
        <w:rPr>
          <w:i/>
          <w:sz w:val="22"/>
        </w:rPr>
        <w:t>Pakistan Journal of Pharmaceutical Sciences</w:t>
      </w:r>
      <w:r>
        <w:rPr>
          <w:sz w:val="22"/>
        </w:rPr>
        <w:t>, 14(1): 25-31.</w:t>
      </w:r>
    </w:p>
    <w:p>
      <w:pPr>
        <w:spacing w:after="0" w:line="273" w:lineRule="auto"/>
        <w:jc w:val="both"/>
        <w:rPr>
          <w:sz w:val="22"/>
        </w:rPr>
        <w:sectPr>
          <w:pgSz w:w="12240" w:h="15840"/>
          <w:pgMar w:header="0" w:footer="1017" w:top="1400" w:bottom="1200" w:left="520" w:right="260"/>
        </w:sectPr>
      </w:pPr>
    </w:p>
    <w:p>
      <w:pPr>
        <w:pStyle w:val="BodyText"/>
        <w:spacing w:line="273" w:lineRule="auto" w:before="41"/>
        <w:ind w:left="1640" w:right="1180" w:hanging="720"/>
        <w:jc w:val="both"/>
      </w:pPr>
      <w:r>
        <w:rPr/>
        <w:t>Ahmed, K., Hussaain, A., Qazalbash, M.A and Hussain, W. (2009). Microbiological quality of ice cream sold in Gilgit Town. </w:t>
      </w:r>
      <w:r>
        <w:rPr>
          <w:i/>
        </w:rPr>
        <w:t>Pakistan Journal of Nutrition</w:t>
      </w:r>
      <w:r>
        <w:rPr/>
        <w:t>, 8 (9): 1397-1400.</w:t>
      </w:r>
    </w:p>
    <w:p>
      <w:pPr>
        <w:pStyle w:val="BodyText"/>
      </w:pPr>
    </w:p>
    <w:p>
      <w:pPr>
        <w:pStyle w:val="BodyText"/>
        <w:spacing w:before="176"/>
      </w:pPr>
    </w:p>
    <w:p>
      <w:pPr>
        <w:pStyle w:val="BodyText"/>
        <w:spacing w:line="276" w:lineRule="auto"/>
        <w:ind w:left="1640" w:right="1175" w:hanging="720"/>
        <w:jc w:val="both"/>
      </w:pPr>
      <w:r>
        <w:rPr/>
        <w:t>Aiyegoro, O.A., Igbinosa, O.O., Ogunmwonyi, I.N., Odjadjare, E.E., Igbinosa, O.E and</w:t>
      </w:r>
      <w:r>
        <w:rPr>
          <w:spacing w:val="40"/>
        </w:rPr>
        <w:t> </w:t>
      </w:r>
      <w:r>
        <w:rPr/>
        <w:t>Okoh, A.I. (2007). Incidence of urinary tract infections (UTI) among children and adolescents in Ile-Ife, Nigeria.</w:t>
      </w:r>
      <w:r>
        <w:rPr>
          <w:i/>
        </w:rPr>
        <w:t>Africa Journal of Microbiology Research</w:t>
      </w:r>
      <w:r>
        <w:rPr/>
        <w:t>, 1(2):013-019.</w:t>
      </w:r>
    </w:p>
    <w:p>
      <w:pPr>
        <w:pStyle w:val="BodyText"/>
      </w:pPr>
    </w:p>
    <w:p>
      <w:pPr>
        <w:pStyle w:val="BodyText"/>
        <w:spacing w:before="173"/>
      </w:pPr>
    </w:p>
    <w:p>
      <w:pPr>
        <w:spacing w:line="273" w:lineRule="auto" w:before="0"/>
        <w:ind w:left="1640" w:right="1175" w:hanging="720"/>
        <w:jc w:val="both"/>
        <w:rPr>
          <w:sz w:val="22"/>
        </w:rPr>
      </w:pPr>
      <w:r>
        <w:rPr>
          <w:sz w:val="22"/>
        </w:rPr>
        <w:t>Akpan, U.E. (1992). Antibiotic Usage: A need for an antibiotic Policy in Nigeria. </w:t>
      </w:r>
      <w:r>
        <w:rPr>
          <w:i/>
          <w:sz w:val="22"/>
        </w:rPr>
        <w:t>Pharmaceutical World Journal</w:t>
      </w:r>
      <w:r>
        <w:rPr>
          <w:sz w:val="22"/>
        </w:rPr>
        <w:t>, 19 (2): 42-44.</w:t>
      </w:r>
    </w:p>
    <w:p>
      <w:pPr>
        <w:pStyle w:val="BodyText"/>
      </w:pPr>
    </w:p>
    <w:p>
      <w:pPr>
        <w:pStyle w:val="BodyText"/>
        <w:spacing w:before="175"/>
      </w:pPr>
    </w:p>
    <w:p>
      <w:pPr>
        <w:pStyle w:val="BodyText"/>
        <w:spacing w:line="278" w:lineRule="auto"/>
        <w:ind w:left="1640" w:right="1188" w:hanging="720"/>
        <w:jc w:val="both"/>
      </w:pPr>
      <w:r>
        <w:rPr/>
        <w:t>Alatossava, P.M and Alatossava, T. (2007). Antibiotic resistance of raw milk associated psychrotrophic bacteria. </w:t>
      </w:r>
      <w:r>
        <w:rPr>
          <w:i/>
        </w:rPr>
        <w:t>Microbiology Research</w:t>
      </w:r>
      <w:r>
        <w:rPr/>
        <w:t>, 162: 115-123.</w:t>
      </w:r>
    </w:p>
    <w:p>
      <w:pPr>
        <w:pStyle w:val="BodyText"/>
      </w:pPr>
    </w:p>
    <w:p>
      <w:pPr>
        <w:pStyle w:val="BodyText"/>
        <w:spacing w:before="170"/>
      </w:pPr>
    </w:p>
    <w:p>
      <w:pPr>
        <w:pStyle w:val="BodyText"/>
        <w:spacing w:line="273" w:lineRule="auto"/>
        <w:ind w:left="1640" w:right="1184" w:hanging="720"/>
        <w:jc w:val="both"/>
      </w:pPr>
      <w:r>
        <w:rPr/>
        <w:t>Allmeier, H., Cresnar, B., Greck, M and Schmitt, R. (1992). Complete nucleotide sequence of Tn1721: gene organization and a novel gene product with features of chemotaxis protein. </w:t>
      </w:r>
      <w:r>
        <w:rPr>
          <w:i/>
        </w:rPr>
        <w:t>Gene</w:t>
      </w:r>
      <w:r>
        <w:rPr/>
        <w:t>, 111:11- </w:t>
      </w:r>
      <w:r>
        <w:rPr>
          <w:spacing w:val="-4"/>
        </w:rPr>
        <w:t>20.</w:t>
      </w:r>
    </w:p>
    <w:p>
      <w:pPr>
        <w:pStyle w:val="BodyText"/>
      </w:pPr>
    </w:p>
    <w:p>
      <w:pPr>
        <w:pStyle w:val="BodyText"/>
        <w:spacing w:before="176"/>
      </w:pPr>
    </w:p>
    <w:p>
      <w:pPr>
        <w:pStyle w:val="BodyText"/>
        <w:spacing w:line="276" w:lineRule="auto"/>
        <w:ind w:left="1640" w:right="1177" w:hanging="720"/>
        <w:jc w:val="both"/>
      </w:pPr>
      <w:r>
        <w:rPr/>
        <w:t>Alos, J.I., Gómez-Garcés, J.L., García-Bermejo, I., García-Gómez, J.J., Amin, A., Ghumro, P. B., Hussain, S and Hameed, A. (2009). Prevalence of antibiotic resistance among clinical isolates of </w:t>
      </w:r>
      <w:r>
        <w:rPr>
          <w:i/>
        </w:rPr>
        <w:t>Klebsiella pneumonia </w:t>
      </w:r>
      <w:r>
        <w:rPr/>
        <w:t>isolated from a Tertiary Care Hospital in Pakistan. </w:t>
      </w:r>
      <w:r>
        <w:rPr>
          <w:i/>
        </w:rPr>
        <w:t>Malaysia Journal of Microbiology, </w:t>
      </w:r>
      <w:r>
        <w:rPr/>
        <w:t>5(2): 81- 86.</w:t>
      </w:r>
    </w:p>
    <w:p>
      <w:pPr>
        <w:pStyle w:val="BodyText"/>
      </w:pPr>
    </w:p>
    <w:p>
      <w:pPr>
        <w:pStyle w:val="BodyText"/>
        <w:spacing w:before="176"/>
      </w:pPr>
    </w:p>
    <w:p>
      <w:pPr>
        <w:spacing w:line="273" w:lineRule="auto" w:before="1"/>
        <w:ind w:left="1640" w:right="1179" w:hanging="720"/>
        <w:jc w:val="both"/>
        <w:rPr>
          <w:sz w:val="22"/>
        </w:rPr>
      </w:pPr>
      <w:r>
        <w:rPr>
          <w:sz w:val="22"/>
        </w:rPr>
        <w:t>Alterkruse, S.F., Cohen, M. L and Swerdlow, D. L (1997).Emerging Foodborne Disease.</w:t>
      </w:r>
      <w:r>
        <w:rPr>
          <w:i/>
          <w:sz w:val="22"/>
        </w:rPr>
        <w:t>Emerging</w:t>
      </w:r>
      <w:r>
        <w:rPr>
          <w:i/>
          <w:spacing w:val="40"/>
          <w:sz w:val="22"/>
        </w:rPr>
        <w:t> </w:t>
      </w:r>
      <w:r>
        <w:rPr>
          <w:i/>
          <w:sz w:val="22"/>
        </w:rPr>
        <w:t>Infectious Diseases, </w:t>
      </w:r>
      <w:r>
        <w:rPr>
          <w:sz w:val="22"/>
        </w:rPr>
        <w:t>3 (3): 285-293.</w:t>
      </w:r>
    </w:p>
    <w:p>
      <w:pPr>
        <w:pStyle w:val="BodyText"/>
      </w:pPr>
    </w:p>
    <w:p>
      <w:pPr>
        <w:pStyle w:val="BodyText"/>
        <w:spacing w:before="175"/>
      </w:pPr>
    </w:p>
    <w:p>
      <w:pPr>
        <w:pStyle w:val="BodyText"/>
        <w:spacing w:line="273" w:lineRule="auto"/>
        <w:ind w:left="1640" w:right="1175" w:hanging="720"/>
        <w:jc w:val="both"/>
      </w:pPr>
      <w:r>
        <w:rPr/>
        <w:t>Altug,</w:t>
      </w:r>
      <w:r>
        <w:rPr>
          <w:spacing w:val="-1"/>
        </w:rPr>
        <w:t> </w:t>
      </w:r>
      <w:r>
        <w:rPr/>
        <w:t>G and Bayrak,</w:t>
      </w:r>
      <w:r>
        <w:rPr>
          <w:spacing w:val="-1"/>
        </w:rPr>
        <w:t> </w:t>
      </w:r>
      <w:r>
        <w:rPr/>
        <w:t>Y. (2003).Microbiological analysis</w:t>
      </w:r>
      <w:r>
        <w:rPr>
          <w:spacing w:val="-3"/>
        </w:rPr>
        <w:t> </w:t>
      </w:r>
      <w:r>
        <w:rPr/>
        <w:t>of caviar from Russia and Iran.</w:t>
      </w:r>
      <w:r>
        <w:rPr>
          <w:i/>
        </w:rPr>
        <w:t>Food Microbiology</w:t>
      </w:r>
      <w:r>
        <w:rPr/>
        <w:t>, 2: 83-86.</w:t>
      </w:r>
    </w:p>
    <w:p>
      <w:pPr>
        <w:pStyle w:val="BodyText"/>
      </w:pPr>
    </w:p>
    <w:p>
      <w:pPr>
        <w:pStyle w:val="BodyText"/>
        <w:spacing w:before="175"/>
      </w:pPr>
    </w:p>
    <w:p>
      <w:pPr>
        <w:pStyle w:val="BodyText"/>
        <w:ind w:left="920"/>
      </w:pPr>
      <w:r>
        <w:rPr/>
        <w:t>Aly,</w:t>
      </w:r>
      <w:r>
        <w:rPr>
          <w:spacing w:val="18"/>
        </w:rPr>
        <w:t> </w:t>
      </w:r>
      <w:r>
        <w:rPr/>
        <w:t>S.A</w:t>
      </w:r>
      <w:r>
        <w:rPr>
          <w:spacing w:val="21"/>
        </w:rPr>
        <w:t> </w:t>
      </w:r>
      <w:r>
        <w:rPr/>
        <w:t>and</w:t>
      </w:r>
      <w:r>
        <w:rPr>
          <w:spacing w:val="19"/>
        </w:rPr>
        <w:t> </w:t>
      </w:r>
      <w:r>
        <w:rPr/>
        <w:t>Galal,</w:t>
      </w:r>
      <w:r>
        <w:rPr>
          <w:spacing w:val="19"/>
        </w:rPr>
        <w:t> </w:t>
      </w:r>
      <w:r>
        <w:rPr/>
        <w:t>E.A.</w:t>
      </w:r>
      <w:r>
        <w:rPr>
          <w:spacing w:val="21"/>
        </w:rPr>
        <w:t> </w:t>
      </w:r>
      <w:r>
        <w:rPr/>
        <w:t>(2002).</w:t>
      </w:r>
      <w:r>
        <w:rPr>
          <w:spacing w:val="22"/>
        </w:rPr>
        <w:t> </w:t>
      </w:r>
      <w:r>
        <w:rPr/>
        <w:t>Effect</w:t>
      </w:r>
      <w:r>
        <w:rPr>
          <w:spacing w:val="18"/>
        </w:rPr>
        <w:t> </w:t>
      </w:r>
      <w:r>
        <w:rPr/>
        <w:t>of</w:t>
      </w:r>
      <w:r>
        <w:rPr>
          <w:spacing w:val="20"/>
        </w:rPr>
        <w:t> </w:t>
      </w:r>
      <w:r>
        <w:rPr/>
        <w:t>milk</w:t>
      </w:r>
      <w:r>
        <w:rPr>
          <w:spacing w:val="17"/>
        </w:rPr>
        <w:t> </w:t>
      </w:r>
      <w:r>
        <w:rPr/>
        <w:t>pretreatment</w:t>
      </w:r>
      <w:r>
        <w:rPr>
          <w:spacing w:val="18"/>
        </w:rPr>
        <w:t> </w:t>
      </w:r>
      <w:r>
        <w:rPr/>
        <w:t>on</w:t>
      </w:r>
      <w:r>
        <w:rPr>
          <w:spacing w:val="19"/>
        </w:rPr>
        <w:t> </w:t>
      </w:r>
      <w:r>
        <w:rPr/>
        <w:t>the</w:t>
      </w:r>
      <w:r>
        <w:rPr>
          <w:spacing w:val="20"/>
        </w:rPr>
        <w:t> </w:t>
      </w:r>
      <w:r>
        <w:rPr/>
        <w:t>keeping</w:t>
      </w:r>
      <w:r>
        <w:rPr>
          <w:spacing w:val="17"/>
        </w:rPr>
        <w:t> </w:t>
      </w:r>
      <w:r>
        <w:rPr/>
        <w:t>quality</w:t>
      </w:r>
      <w:r>
        <w:rPr>
          <w:spacing w:val="21"/>
        </w:rPr>
        <w:t> </w:t>
      </w:r>
      <w:r>
        <w:rPr/>
        <w:t>of</w:t>
      </w:r>
      <w:r>
        <w:rPr>
          <w:spacing w:val="20"/>
        </w:rPr>
        <w:t> </w:t>
      </w:r>
      <w:r>
        <w:rPr/>
        <w:t>Domiati</w:t>
      </w:r>
      <w:r>
        <w:rPr>
          <w:spacing w:val="66"/>
          <w:w w:val="150"/>
        </w:rPr>
        <w:t> </w:t>
      </w:r>
      <w:r>
        <w:rPr>
          <w:spacing w:val="-2"/>
        </w:rPr>
        <w:t>cheese.</w:t>
      </w:r>
    </w:p>
    <w:p>
      <w:pPr>
        <w:spacing w:before="44"/>
        <w:ind w:left="1640" w:right="0" w:firstLine="0"/>
        <w:jc w:val="left"/>
        <w:rPr>
          <w:sz w:val="22"/>
        </w:rPr>
      </w:pPr>
      <w:r>
        <w:rPr>
          <w:i/>
          <w:sz w:val="22"/>
        </w:rPr>
        <w:t>Pakistan</w:t>
      </w:r>
      <w:r>
        <w:rPr>
          <w:i/>
          <w:spacing w:val="-5"/>
          <w:sz w:val="22"/>
        </w:rPr>
        <w:t> </w:t>
      </w:r>
      <w:r>
        <w:rPr>
          <w:i/>
          <w:sz w:val="22"/>
        </w:rPr>
        <w:t>Journal</w:t>
      </w:r>
      <w:r>
        <w:rPr>
          <w:i/>
          <w:spacing w:val="-3"/>
          <w:sz w:val="22"/>
        </w:rPr>
        <w:t> </w:t>
      </w:r>
      <w:r>
        <w:rPr>
          <w:i/>
          <w:sz w:val="22"/>
        </w:rPr>
        <w:t>of</w:t>
      </w:r>
      <w:r>
        <w:rPr>
          <w:i/>
          <w:spacing w:val="-4"/>
          <w:sz w:val="22"/>
        </w:rPr>
        <w:t> </w:t>
      </w:r>
      <w:r>
        <w:rPr>
          <w:i/>
          <w:sz w:val="22"/>
        </w:rPr>
        <w:t>Nutrition</w:t>
      </w:r>
      <w:r>
        <w:rPr>
          <w:sz w:val="22"/>
        </w:rPr>
        <w:t>,</w:t>
      </w:r>
      <w:r>
        <w:rPr>
          <w:spacing w:val="-7"/>
          <w:sz w:val="22"/>
        </w:rPr>
        <w:t> </w:t>
      </w:r>
      <w:r>
        <w:rPr>
          <w:sz w:val="22"/>
        </w:rPr>
        <w:t>1:</w:t>
      </w:r>
      <w:r>
        <w:rPr>
          <w:spacing w:val="-5"/>
          <w:sz w:val="22"/>
        </w:rPr>
        <w:t> </w:t>
      </w:r>
      <w:r>
        <w:rPr>
          <w:spacing w:val="-2"/>
          <w:sz w:val="22"/>
        </w:rPr>
        <w:t>132–136.</w:t>
      </w:r>
    </w:p>
    <w:p>
      <w:pPr>
        <w:spacing w:after="0"/>
        <w:jc w:val="left"/>
        <w:rPr>
          <w:sz w:val="22"/>
        </w:rPr>
        <w:sectPr>
          <w:pgSz w:w="12240" w:h="15840"/>
          <w:pgMar w:header="0" w:footer="1017" w:top="1400" w:bottom="1200" w:left="520" w:right="260"/>
        </w:sectPr>
      </w:pPr>
    </w:p>
    <w:p>
      <w:pPr>
        <w:pStyle w:val="BodyText"/>
        <w:spacing w:line="276" w:lineRule="auto" w:before="41"/>
        <w:ind w:left="1640" w:right="1180" w:hanging="720"/>
        <w:jc w:val="both"/>
      </w:pPr>
      <w:r>
        <w:rPr/>
        <w:t>Aminov,</w:t>
      </w:r>
      <w:r>
        <w:rPr>
          <w:spacing w:val="-4"/>
        </w:rPr>
        <w:t> </w:t>
      </w:r>
      <w:r>
        <w:rPr/>
        <w:t>R.I.,</w:t>
      </w:r>
      <w:r>
        <w:rPr>
          <w:spacing w:val="-4"/>
        </w:rPr>
        <w:t> </w:t>
      </w:r>
      <w:r>
        <w:rPr/>
        <w:t>Garrigues-Jeanjean,</w:t>
      </w:r>
      <w:r>
        <w:rPr>
          <w:spacing w:val="-4"/>
        </w:rPr>
        <w:t> </w:t>
      </w:r>
      <w:r>
        <w:rPr/>
        <w:t>N and</w:t>
      </w:r>
      <w:r>
        <w:rPr>
          <w:spacing w:val="-2"/>
        </w:rPr>
        <w:t> </w:t>
      </w:r>
      <w:r>
        <w:rPr/>
        <w:t>Mackie,</w:t>
      </w:r>
      <w:r>
        <w:rPr>
          <w:spacing w:val="-4"/>
        </w:rPr>
        <w:t> </w:t>
      </w:r>
      <w:r>
        <w:rPr/>
        <w:t>R.I. (2001). Molecular</w:t>
      </w:r>
      <w:r>
        <w:rPr>
          <w:spacing w:val="-1"/>
        </w:rPr>
        <w:t> </w:t>
      </w:r>
      <w:r>
        <w:rPr/>
        <w:t>ecology</w:t>
      </w:r>
      <w:r>
        <w:rPr>
          <w:spacing w:val="-5"/>
        </w:rPr>
        <w:t> </w:t>
      </w:r>
      <w:r>
        <w:rPr/>
        <w:t>of</w:t>
      </w:r>
      <w:r>
        <w:rPr>
          <w:spacing w:val="-2"/>
        </w:rPr>
        <w:t> </w:t>
      </w:r>
      <w:r>
        <w:rPr/>
        <w:t>tetracycline</w:t>
      </w:r>
      <w:r>
        <w:rPr>
          <w:spacing w:val="-1"/>
        </w:rPr>
        <w:t> </w:t>
      </w:r>
      <w:r>
        <w:rPr/>
        <w:t>resistance: development and validation of primers for detection of tetracycline resistance genes encoding ribosomal protection proteins. </w:t>
      </w:r>
      <w:r>
        <w:rPr>
          <w:i/>
        </w:rPr>
        <w:t>Applied Environmental Microbiology, </w:t>
      </w:r>
      <w:r>
        <w:rPr/>
        <w:t>67: 22-32.</w:t>
      </w:r>
    </w:p>
    <w:p>
      <w:pPr>
        <w:pStyle w:val="BodyText"/>
      </w:pPr>
    </w:p>
    <w:p>
      <w:pPr>
        <w:pStyle w:val="BodyText"/>
        <w:spacing w:before="173"/>
      </w:pPr>
    </w:p>
    <w:p>
      <w:pPr>
        <w:pStyle w:val="BodyText"/>
        <w:spacing w:before="1"/>
        <w:ind w:left="920"/>
      </w:pPr>
      <w:r>
        <w:rPr/>
        <w:t>Ananthanarayan,</w:t>
      </w:r>
      <w:r>
        <w:rPr>
          <w:spacing w:val="12"/>
        </w:rPr>
        <w:t> </w:t>
      </w:r>
      <w:r>
        <w:rPr/>
        <w:t>R</w:t>
      </w:r>
      <w:r>
        <w:rPr>
          <w:spacing w:val="14"/>
        </w:rPr>
        <w:t> </w:t>
      </w:r>
      <w:r>
        <w:rPr/>
        <w:t>and</w:t>
      </w:r>
      <w:r>
        <w:rPr>
          <w:spacing w:val="13"/>
        </w:rPr>
        <w:t> </w:t>
      </w:r>
      <w:r>
        <w:rPr/>
        <w:t>Panikaran,</w:t>
      </w:r>
      <w:r>
        <w:rPr>
          <w:spacing w:val="12"/>
        </w:rPr>
        <w:t> </w:t>
      </w:r>
      <w:r>
        <w:rPr/>
        <w:t>C.K.J.</w:t>
      </w:r>
      <w:r>
        <w:rPr>
          <w:spacing w:val="16"/>
        </w:rPr>
        <w:t> </w:t>
      </w:r>
      <w:r>
        <w:rPr/>
        <w:t>(2001).Diagnostic</w:t>
      </w:r>
      <w:r>
        <w:rPr>
          <w:spacing w:val="13"/>
        </w:rPr>
        <w:t> </w:t>
      </w:r>
      <w:r>
        <w:rPr/>
        <w:t>value</w:t>
      </w:r>
      <w:r>
        <w:rPr>
          <w:spacing w:val="14"/>
        </w:rPr>
        <w:t> </w:t>
      </w:r>
      <w:r>
        <w:rPr/>
        <w:t>of</w:t>
      </w:r>
      <w:r>
        <w:rPr>
          <w:spacing w:val="14"/>
        </w:rPr>
        <w:t> </w:t>
      </w:r>
      <w:r>
        <w:rPr/>
        <w:t>mannitol</w:t>
      </w:r>
      <w:r>
        <w:rPr>
          <w:spacing w:val="16"/>
        </w:rPr>
        <w:t> </w:t>
      </w:r>
      <w:r>
        <w:rPr/>
        <w:t>for</w:t>
      </w:r>
      <w:r>
        <w:rPr>
          <w:spacing w:val="14"/>
        </w:rPr>
        <w:t> </w:t>
      </w:r>
      <w:r>
        <w:rPr/>
        <w:t>sugar</w:t>
      </w:r>
      <w:r>
        <w:rPr>
          <w:spacing w:val="14"/>
        </w:rPr>
        <w:t> </w:t>
      </w:r>
      <w:r>
        <w:rPr/>
        <w:t>fermentation</w:t>
      </w:r>
      <w:r>
        <w:rPr>
          <w:spacing w:val="14"/>
        </w:rPr>
        <w:t> </w:t>
      </w:r>
      <w:r>
        <w:rPr>
          <w:spacing w:val="-5"/>
        </w:rPr>
        <w:t>in</w:t>
      </w:r>
    </w:p>
    <w:p>
      <w:pPr>
        <w:spacing w:before="38"/>
        <w:ind w:left="1640" w:right="0" w:firstLine="0"/>
        <w:jc w:val="left"/>
        <w:rPr>
          <w:sz w:val="22"/>
        </w:rPr>
      </w:pPr>
      <w:r>
        <w:rPr>
          <w:i/>
          <w:sz w:val="22"/>
        </w:rPr>
        <w:t>Staph.aureus</w:t>
      </w:r>
      <w:r>
        <w:rPr>
          <w:sz w:val="22"/>
        </w:rPr>
        <w:t>.</w:t>
      </w:r>
      <w:r>
        <w:rPr>
          <w:spacing w:val="-4"/>
          <w:sz w:val="22"/>
        </w:rPr>
        <w:t> </w:t>
      </w:r>
      <w:r>
        <w:rPr>
          <w:i/>
          <w:sz w:val="22"/>
        </w:rPr>
        <w:t>Textbook</w:t>
      </w:r>
      <w:r>
        <w:rPr>
          <w:i/>
          <w:spacing w:val="-5"/>
          <w:sz w:val="22"/>
        </w:rPr>
        <w:t> </w:t>
      </w:r>
      <w:r>
        <w:rPr>
          <w:i/>
          <w:sz w:val="22"/>
        </w:rPr>
        <w:t>of</w:t>
      </w:r>
      <w:r>
        <w:rPr>
          <w:i/>
          <w:spacing w:val="-5"/>
          <w:sz w:val="22"/>
        </w:rPr>
        <w:t> </w:t>
      </w:r>
      <w:r>
        <w:rPr>
          <w:i/>
          <w:sz w:val="22"/>
        </w:rPr>
        <w:t>Microbiology</w:t>
      </w:r>
      <w:r>
        <w:rPr>
          <w:sz w:val="22"/>
        </w:rPr>
        <w:t>,</w:t>
      </w:r>
      <w:r>
        <w:rPr>
          <w:spacing w:val="-7"/>
          <w:sz w:val="22"/>
        </w:rPr>
        <w:t> </w:t>
      </w:r>
      <w:r>
        <w:rPr>
          <w:sz w:val="22"/>
        </w:rPr>
        <w:t>6:</w:t>
      </w:r>
      <w:r>
        <w:rPr>
          <w:spacing w:val="-6"/>
          <w:sz w:val="22"/>
        </w:rPr>
        <w:t> </w:t>
      </w:r>
      <w:r>
        <w:rPr>
          <w:spacing w:val="-2"/>
          <w:sz w:val="22"/>
        </w:rPr>
        <w:t>178–186.</w:t>
      </w:r>
    </w:p>
    <w:p>
      <w:pPr>
        <w:pStyle w:val="BodyText"/>
      </w:pPr>
    </w:p>
    <w:p>
      <w:pPr>
        <w:pStyle w:val="BodyText"/>
        <w:spacing w:before="212"/>
      </w:pPr>
    </w:p>
    <w:p>
      <w:pPr>
        <w:pStyle w:val="BodyText"/>
        <w:spacing w:line="276" w:lineRule="auto"/>
        <w:ind w:left="1640" w:right="1174" w:hanging="720"/>
        <w:jc w:val="both"/>
      </w:pPr>
      <w:r>
        <w:rPr/>
        <w:t>Anderson, A.D., Nelson, J. M., Rossiter, S and Augulo, F.J. (2003).Public health consequences of use of antimicrobial agents in food animals in the United States.</w:t>
      </w:r>
      <w:r>
        <w:rPr>
          <w:i/>
        </w:rPr>
        <w:t>Microbial Drug Resistance, </w:t>
      </w:r>
      <w:r>
        <w:rPr/>
        <w:t>9(4): 373- </w:t>
      </w:r>
      <w:r>
        <w:rPr>
          <w:spacing w:val="-4"/>
        </w:rPr>
        <w:t>379.</w:t>
      </w:r>
    </w:p>
    <w:p>
      <w:pPr>
        <w:pStyle w:val="BodyText"/>
      </w:pPr>
    </w:p>
    <w:p>
      <w:pPr>
        <w:pStyle w:val="BodyText"/>
        <w:spacing w:before="173"/>
      </w:pPr>
    </w:p>
    <w:p>
      <w:pPr>
        <w:spacing w:line="273" w:lineRule="auto" w:before="0"/>
        <w:ind w:left="1640" w:right="1177" w:hanging="720"/>
        <w:jc w:val="both"/>
        <w:rPr>
          <w:sz w:val="22"/>
        </w:rPr>
      </w:pPr>
      <w:r>
        <w:rPr>
          <w:sz w:val="22"/>
        </w:rPr>
        <w:t>Andersson, D.I. (2003). Persistence of antibiotic resistant bacteria.</w:t>
      </w:r>
      <w:r>
        <w:rPr>
          <w:i/>
          <w:sz w:val="22"/>
        </w:rPr>
        <w:t>Current Opinion in Microbiology.6 (5): </w:t>
      </w:r>
      <w:r>
        <w:rPr>
          <w:i/>
          <w:spacing w:val="-2"/>
          <w:sz w:val="22"/>
        </w:rPr>
        <w:t>452-456</w:t>
      </w:r>
      <w:r>
        <w:rPr>
          <w:spacing w:val="-2"/>
          <w:sz w:val="22"/>
        </w:rPr>
        <w:t>.</w:t>
      </w:r>
    </w:p>
    <w:p>
      <w:pPr>
        <w:pStyle w:val="BodyText"/>
      </w:pPr>
    </w:p>
    <w:p>
      <w:pPr>
        <w:pStyle w:val="BodyText"/>
        <w:spacing w:before="176"/>
      </w:pPr>
    </w:p>
    <w:p>
      <w:pPr>
        <w:spacing w:line="273" w:lineRule="auto" w:before="0"/>
        <w:ind w:left="1640" w:right="1181" w:hanging="720"/>
        <w:jc w:val="both"/>
        <w:rPr>
          <w:sz w:val="22"/>
        </w:rPr>
      </w:pPr>
      <w:r>
        <w:rPr>
          <w:sz w:val="22"/>
        </w:rPr>
        <w:t>Andersson,</w:t>
      </w:r>
      <w:r>
        <w:rPr>
          <w:spacing w:val="-4"/>
          <w:sz w:val="22"/>
        </w:rPr>
        <w:t> </w:t>
      </w:r>
      <w:r>
        <w:rPr>
          <w:sz w:val="22"/>
        </w:rPr>
        <w:t>M.I</w:t>
      </w:r>
      <w:r>
        <w:rPr>
          <w:spacing w:val="-4"/>
          <w:sz w:val="22"/>
        </w:rPr>
        <w:t> </w:t>
      </w:r>
      <w:r>
        <w:rPr>
          <w:sz w:val="22"/>
        </w:rPr>
        <w:t>and</w:t>
      </w:r>
      <w:r>
        <w:rPr>
          <w:spacing w:val="-2"/>
          <w:sz w:val="22"/>
        </w:rPr>
        <w:t> </w:t>
      </w:r>
      <w:r>
        <w:rPr>
          <w:sz w:val="22"/>
        </w:rPr>
        <w:t>MacGowan,</w:t>
      </w:r>
      <w:r>
        <w:rPr>
          <w:spacing w:val="-4"/>
          <w:sz w:val="22"/>
        </w:rPr>
        <w:t> </w:t>
      </w:r>
      <w:r>
        <w:rPr>
          <w:sz w:val="22"/>
        </w:rPr>
        <w:t>A.P.</w:t>
      </w:r>
      <w:r>
        <w:rPr>
          <w:spacing w:val="-4"/>
          <w:sz w:val="22"/>
        </w:rPr>
        <w:t> </w:t>
      </w:r>
      <w:r>
        <w:rPr>
          <w:sz w:val="22"/>
        </w:rPr>
        <w:t>(2003).Development</w:t>
      </w:r>
      <w:r>
        <w:rPr>
          <w:spacing w:val="-3"/>
          <w:sz w:val="22"/>
        </w:rPr>
        <w:t> </w:t>
      </w:r>
      <w:r>
        <w:rPr>
          <w:sz w:val="22"/>
        </w:rPr>
        <w:t>of</w:t>
      </w:r>
      <w:r>
        <w:rPr>
          <w:spacing w:val="-2"/>
          <w:sz w:val="22"/>
        </w:rPr>
        <w:t> </w:t>
      </w:r>
      <w:r>
        <w:rPr>
          <w:sz w:val="22"/>
        </w:rPr>
        <w:t>the</w:t>
      </w:r>
      <w:r>
        <w:rPr>
          <w:spacing w:val="-1"/>
          <w:sz w:val="22"/>
        </w:rPr>
        <w:t> </w:t>
      </w:r>
      <w:r>
        <w:rPr>
          <w:sz w:val="22"/>
        </w:rPr>
        <w:t>quinolones.</w:t>
      </w:r>
      <w:r>
        <w:rPr>
          <w:i/>
          <w:sz w:val="22"/>
        </w:rPr>
        <w:t>Journal</w:t>
      </w:r>
      <w:r>
        <w:rPr>
          <w:i/>
          <w:spacing w:val="-4"/>
          <w:sz w:val="22"/>
        </w:rPr>
        <w:t> </w:t>
      </w:r>
      <w:r>
        <w:rPr>
          <w:i/>
          <w:sz w:val="22"/>
        </w:rPr>
        <w:t>of</w:t>
      </w:r>
      <w:r>
        <w:rPr>
          <w:i/>
          <w:spacing w:val="-6"/>
          <w:sz w:val="22"/>
        </w:rPr>
        <w:t> </w:t>
      </w:r>
      <w:r>
        <w:rPr>
          <w:i/>
          <w:sz w:val="22"/>
        </w:rPr>
        <w:t>Antimicrobial</w:t>
      </w:r>
      <w:r>
        <w:rPr>
          <w:i/>
          <w:spacing w:val="-4"/>
          <w:sz w:val="22"/>
        </w:rPr>
        <w:t> </w:t>
      </w:r>
      <w:r>
        <w:rPr>
          <w:i/>
          <w:sz w:val="22"/>
        </w:rPr>
        <w:t>and Chemotherapy</w:t>
      </w:r>
      <w:r>
        <w:rPr>
          <w:sz w:val="22"/>
        </w:rPr>
        <w:t>, 51(1): 1–11.</w:t>
      </w:r>
    </w:p>
    <w:p>
      <w:pPr>
        <w:pStyle w:val="BodyText"/>
      </w:pPr>
    </w:p>
    <w:p>
      <w:pPr>
        <w:pStyle w:val="BodyText"/>
        <w:spacing w:before="175"/>
      </w:pPr>
    </w:p>
    <w:p>
      <w:pPr>
        <w:spacing w:line="278" w:lineRule="auto" w:before="0"/>
        <w:ind w:left="1640" w:right="1179" w:hanging="720"/>
        <w:jc w:val="both"/>
        <w:rPr>
          <w:sz w:val="22"/>
        </w:rPr>
      </w:pPr>
      <w:r>
        <w:rPr>
          <w:sz w:val="22"/>
        </w:rPr>
        <w:t>Anjum, M. S., Lodhi, K and Raza, A.A. (1989). Pakistan’s Dairy Industry: </w:t>
      </w:r>
      <w:r>
        <w:rPr>
          <w:i/>
          <w:sz w:val="22"/>
        </w:rPr>
        <w:t>Issues and policy alternatives Special report </w:t>
      </w:r>
      <w:r>
        <w:rPr>
          <w:sz w:val="22"/>
        </w:rPr>
        <w:t>series No. 14. Pakistan Economy Analysis network project, Islamabad.</w:t>
      </w:r>
    </w:p>
    <w:p>
      <w:pPr>
        <w:pStyle w:val="BodyText"/>
      </w:pPr>
    </w:p>
    <w:p>
      <w:pPr>
        <w:pStyle w:val="BodyText"/>
        <w:spacing w:before="169"/>
      </w:pPr>
    </w:p>
    <w:p>
      <w:pPr>
        <w:spacing w:line="276" w:lineRule="auto" w:before="1"/>
        <w:ind w:left="1640" w:right="1179" w:hanging="720"/>
        <w:jc w:val="both"/>
        <w:rPr>
          <w:sz w:val="22"/>
        </w:rPr>
      </w:pPr>
      <w:r>
        <w:rPr>
          <w:sz w:val="22"/>
        </w:rPr>
        <w:t>Antunes, P., Ren, C., Sousa, J. C., Peixe, L and Pestana, N. (2002).Incidence of </w:t>
      </w:r>
      <w:r>
        <w:rPr>
          <w:i/>
          <w:sz w:val="22"/>
        </w:rPr>
        <w:t>Salmonella </w:t>
      </w:r>
      <w:r>
        <w:rPr>
          <w:sz w:val="22"/>
        </w:rPr>
        <w:t>from poultry products and their susceptibility to antimicrobial agents.</w:t>
      </w:r>
      <w:r>
        <w:rPr>
          <w:i/>
          <w:sz w:val="22"/>
        </w:rPr>
        <w:t>International Journal of Food Microbiology Agents </w:t>
      </w:r>
      <w:r>
        <w:rPr>
          <w:sz w:val="22"/>
        </w:rPr>
        <w:t>82: 97-103.</w:t>
      </w:r>
    </w:p>
    <w:p>
      <w:pPr>
        <w:pStyle w:val="BodyText"/>
      </w:pPr>
    </w:p>
    <w:p>
      <w:pPr>
        <w:pStyle w:val="BodyText"/>
        <w:spacing w:before="173"/>
      </w:pPr>
    </w:p>
    <w:p>
      <w:pPr>
        <w:pStyle w:val="BodyText"/>
        <w:spacing w:line="273" w:lineRule="auto"/>
        <w:ind w:left="1640" w:right="1173" w:hanging="720"/>
        <w:jc w:val="both"/>
      </w:pPr>
      <w:r>
        <w:rPr/>
        <w:t>Asai, T., Harada, K., Ishihara, K., Kojima, A., Sameshima, T., Tamura, Y and Takahashi, T. (2007). Association of</w:t>
      </w:r>
      <w:r>
        <w:rPr>
          <w:spacing w:val="-2"/>
        </w:rPr>
        <w:t> </w:t>
      </w:r>
      <w:r>
        <w:rPr/>
        <w:t>Antimicrobial Resistance in</w:t>
      </w:r>
      <w:r>
        <w:rPr>
          <w:spacing w:val="-1"/>
        </w:rPr>
        <w:t> </w:t>
      </w:r>
      <w:r>
        <w:rPr>
          <w:i/>
        </w:rPr>
        <w:t>Campylobacter </w:t>
      </w:r>
      <w:r>
        <w:rPr/>
        <w:t>Isolated</w:t>
      </w:r>
      <w:r>
        <w:rPr>
          <w:spacing w:val="-2"/>
        </w:rPr>
        <w:t> </w:t>
      </w:r>
      <w:r>
        <w:rPr/>
        <w:t>from Food-Producing Animals with Antimicrobial Use on Farms. </w:t>
      </w:r>
      <w:r>
        <w:rPr>
          <w:i/>
        </w:rPr>
        <w:t>Japanese Journal of Infectious Disease</w:t>
      </w:r>
      <w:r>
        <w:rPr/>
        <w:t>, 60: 290-294.</w:t>
      </w:r>
    </w:p>
    <w:p>
      <w:pPr>
        <w:spacing w:line="278" w:lineRule="auto" w:before="243"/>
        <w:ind w:left="1640" w:right="1180" w:hanging="720"/>
        <w:jc w:val="both"/>
        <w:rPr>
          <w:sz w:val="22"/>
        </w:rPr>
      </w:pPr>
      <w:r>
        <w:rPr>
          <w:sz w:val="22"/>
        </w:rPr>
        <w:t>Ashenafi, M and Beyene, F. (1994).Microbial load, microflora, and keeping quality of raw and</w:t>
      </w:r>
      <w:r>
        <w:rPr>
          <w:spacing w:val="40"/>
          <w:sz w:val="22"/>
        </w:rPr>
        <w:t> </w:t>
      </w:r>
      <w:r>
        <w:rPr>
          <w:sz w:val="22"/>
        </w:rPr>
        <w:t>pasteurized</w:t>
      </w:r>
      <w:r>
        <w:rPr>
          <w:spacing w:val="-2"/>
          <w:sz w:val="22"/>
        </w:rPr>
        <w:t> </w:t>
      </w:r>
      <w:r>
        <w:rPr>
          <w:sz w:val="22"/>
        </w:rPr>
        <w:t>milk</w:t>
      </w:r>
      <w:r>
        <w:rPr>
          <w:spacing w:val="-1"/>
          <w:sz w:val="22"/>
        </w:rPr>
        <w:t> </w:t>
      </w:r>
      <w:r>
        <w:rPr>
          <w:sz w:val="22"/>
        </w:rPr>
        <w:t>from a</w:t>
      </w:r>
      <w:r>
        <w:rPr>
          <w:spacing w:val="-1"/>
          <w:sz w:val="22"/>
        </w:rPr>
        <w:t> </w:t>
      </w:r>
      <w:r>
        <w:rPr>
          <w:sz w:val="22"/>
        </w:rPr>
        <w:t>dairy Farm.</w:t>
      </w:r>
      <w:r>
        <w:rPr>
          <w:i/>
          <w:sz w:val="22"/>
        </w:rPr>
        <w:t>Bulletin of</w:t>
      </w:r>
      <w:r>
        <w:rPr>
          <w:i/>
          <w:spacing w:val="-1"/>
          <w:sz w:val="22"/>
        </w:rPr>
        <w:t> </w:t>
      </w:r>
      <w:r>
        <w:rPr>
          <w:i/>
          <w:sz w:val="22"/>
        </w:rPr>
        <w:t>Animal</w:t>
      </w:r>
      <w:r>
        <w:rPr>
          <w:i/>
          <w:spacing w:val="-4"/>
          <w:sz w:val="22"/>
        </w:rPr>
        <w:t> </w:t>
      </w:r>
      <w:r>
        <w:rPr>
          <w:i/>
          <w:sz w:val="22"/>
        </w:rPr>
        <w:t>Health and Production in Africa,</w:t>
      </w:r>
      <w:r>
        <w:rPr>
          <w:i/>
          <w:spacing w:val="-1"/>
          <w:sz w:val="22"/>
        </w:rPr>
        <w:t> </w:t>
      </w:r>
      <w:r>
        <w:rPr>
          <w:sz w:val="22"/>
        </w:rPr>
        <w:t>42:</w:t>
      </w:r>
      <w:r>
        <w:rPr>
          <w:spacing w:val="-2"/>
          <w:sz w:val="22"/>
        </w:rPr>
        <w:t> </w:t>
      </w:r>
      <w:r>
        <w:rPr>
          <w:sz w:val="22"/>
        </w:rPr>
        <w:t>55-59.</w:t>
      </w:r>
    </w:p>
    <w:p>
      <w:pPr>
        <w:pStyle w:val="BodyText"/>
        <w:spacing w:line="278" w:lineRule="auto" w:before="236"/>
        <w:ind w:left="1640" w:right="1179" w:hanging="720"/>
        <w:jc w:val="both"/>
      </w:pPr>
      <w:r>
        <w:rPr/>
        <w:t>Ayebo, D., Assoku, R.K. G and Oppong, E.N.W. (1976). A study of the bacteriology of raw milk produced on the Accra Plains of Ghana. </w:t>
      </w:r>
      <w:r>
        <w:rPr>
          <w:i/>
        </w:rPr>
        <w:t>Ghana Journal of Science, </w:t>
      </w:r>
      <w:r>
        <w:rPr/>
        <w:t>16: 9-18.</w:t>
      </w:r>
    </w:p>
    <w:p>
      <w:pPr>
        <w:spacing w:after="0" w:line="278" w:lineRule="auto"/>
        <w:jc w:val="both"/>
        <w:sectPr>
          <w:pgSz w:w="12240" w:h="15840"/>
          <w:pgMar w:header="0" w:footer="1017" w:top="1400" w:bottom="1200" w:left="520" w:right="260"/>
        </w:sectPr>
      </w:pPr>
    </w:p>
    <w:p>
      <w:pPr>
        <w:spacing w:line="273" w:lineRule="auto" w:before="41"/>
        <w:ind w:left="1640" w:right="1176" w:hanging="720"/>
        <w:jc w:val="both"/>
        <w:rPr>
          <w:sz w:val="22"/>
        </w:rPr>
      </w:pPr>
      <w:r>
        <w:rPr>
          <w:sz w:val="22"/>
        </w:rPr>
        <w:t>Bager, F and Helmuth, R. (2001).Epidemiology of quinolone resistance in </w:t>
      </w:r>
      <w:r>
        <w:rPr>
          <w:i/>
          <w:sz w:val="22"/>
        </w:rPr>
        <w:t>Salmonella.Veterinary</w:t>
      </w:r>
      <w:r>
        <w:rPr>
          <w:i/>
          <w:spacing w:val="40"/>
          <w:sz w:val="22"/>
        </w:rPr>
        <w:t> </w:t>
      </w:r>
      <w:r>
        <w:rPr>
          <w:i/>
          <w:sz w:val="22"/>
        </w:rPr>
        <w:t>Research, </w:t>
      </w:r>
      <w:r>
        <w:rPr>
          <w:sz w:val="22"/>
        </w:rPr>
        <w:t>32: 285-290.</w:t>
      </w:r>
    </w:p>
    <w:p>
      <w:pPr>
        <w:spacing w:line="278" w:lineRule="auto" w:before="243"/>
        <w:ind w:left="1640" w:right="1178" w:hanging="720"/>
        <w:jc w:val="both"/>
        <w:rPr>
          <w:sz w:val="22"/>
        </w:rPr>
      </w:pPr>
      <w:r>
        <w:rPr>
          <w:sz w:val="22"/>
        </w:rPr>
        <w:t>Bar-Oz, B., Preminger, A., Peleg, O., Block, C and Arad, I. (2001).</w:t>
      </w:r>
      <w:r>
        <w:rPr>
          <w:i/>
          <w:sz w:val="22"/>
        </w:rPr>
        <w:t>Enterobacter sakazakii</w:t>
      </w:r>
      <w:r>
        <w:rPr>
          <w:i/>
          <w:spacing w:val="40"/>
          <w:sz w:val="22"/>
        </w:rPr>
        <w:t> </w:t>
      </w:r>
      <w:r>
        <w:rPr>
          <w:sz w:val="22"/>
        </w:rPr>
        <w:t>infection in the newborn. </w:t>
      </w:r>
      <w:r>
        <w:rPr>
          <w:i/>
          <w:sz w:val="22"/>
        </w:rPr>
        <w:t>Acta Paediatrica, 90</w:t>
      </w:r>
      <w:r>
        <w:rPr>
          <w:sz w:val="22"/>
        </w:rPr>
        <w:t>: 356– 358.</w:t>
      </w:r>
    </w:p>
    <w:p>
      <w:pPr>
        <w:pStyle w:val="BodyText"/>
        <w:spacing w:before="236"/>
        <w:ind w:left="920"/>
      </w:pPr>
      <w:r>
        <w:rPr/>
        <w:t>Barrow,</w:t>
      </w:r>
      <w:r>
        <w:rPr>
          <w:spacing w:val="-5"/>
        </w:rPr>
        <w:t> </w:t>
      </w:r>
      <w:r>
        <w:rPr/>
        <w:t>G.</w:t>
      </w:r>
      <w:r>
        <w:rPr>
          <w:spacing w:val="2"/>
        </w:rPr>
        <w:t> </w:t>
      </w:r>
      <w:r>
        <w:rPr/>
        <w:t>I</w:t>
      </w:r>
      <w:r>
        <w:rPr>
          <w:spacing w:val="2"/>
        </w:rPr>
        <w:t> </w:t>
      </w:r>
      <w:r>
        <w:rPr/>
        <w:t>and</w:t>
      </w:r>
      <w:r>
        <w:rPr>
          <w:spacing w:val="-1"/>
        </w:rPr>
        <w:t> </w:t>
      </w:r>
      <w:r>
        <w:rPr/>
        <w:t>Feltham,</w:t>
      </w:r>
      <w:r>
        <w:rPr>
          <w:spacing w:val="-3"/>
        </w:rPr>
        <w:t> </w:t>
      </w:r>
      <w:r>
        <w:rPr/>
        <w:t>K.A.</w:t>
      </w:r>
      <w:r>
        <w:rPr>
          <w:spacing w:val="1"/>
        </w:rPr>
        <w:t> </w:t>
      </w:r>
      <w:r>
        <w:rPr/>
        <w:t>(1993) Cowan</w:t>
      </w:r>
      <w:r>
        <w:rPr>
          <w:spacing w:val="-1"/>
        </w:rPr>
        <w:t> </w:t>
      </w:r>
      <w:r>
        <w:rPr/>
        <w:t>and Steel</w:t>
      </w:r>
      <w:r>
        <w:rPr>
          <w:spacing w:val="-3"/>
        </w:rPr>
        <w:t> </w:t>
      </w:r>
      <w:r>
        <w:rPr/>
        <w:t>Manual</w:t>
      </w:r>
      <w:r>
        <w:rPr>
          <w:spacing w:val="2"/>
        </w:rPr>
        <w:t> </w:t>
      </w:r>
      <w:r>
        <w:rPr/>
        <w:t>for the Identification</w:t>
      </w:r>
      <w:r>
        <w:rPr>
          <w:spacing w:val="2"/>
        </w:rPr>
        <w:t> </w:t>
      </w:r>
      <w:r>
        <w:rPr/>
        <w:t>of</w:t>
      </w:r>
      <w:r>
        <w:rPr>
          <w:spacing w:val="-1"/>
        </w:rPr>
        <w:t> </w:t>
      </w:r>
      <w:r>
        <w:rPr/>
        <w:t>Medical</w:t>
      </w:r>
      <w:r>
        <w:rPr>
          <w:spacing w:val="-2"/>
        </w:rPr>
        <w:t> Bacteria.</w:t>
      </w:r>
    </w:p>
    <w:p>
      <w:pPr>
        <w:pStyle w:val="BodyText"/>
        <w:spacing w:before="43"/>
        <w:ind w:left="1640"/>
      </w:pPr>
      <w:r>
        <w:rPr/>
        <w:t>3rd</w:t>
      </w:r>
      <w:r>
        <w:rPr>
          <w:spacing w:val="-8"/>
        </w:rPr>
        <w:t> </w:t>
      </w:r>
      <w:r>
        <w:rPr/>
        <w:t>edition,</w:t>
      </w:r>
      <w:r>
        <w:rPr>
          <w:spacing w:val="-6"/>
        </w:rPr>
        <w:t> </w:t>
      </w:r>
      <w:r>
        <w:rPr/>
        <w:t>London</w:t>
      </w:r>
      <w:r>
        <w:rPr>
          <w:spacing w:val="-5"/>
        </w:rPr>
        <w:t> </w:t>
      </w:r>
      <w:r>
        <w:rPr/>
        <w:t>Cambridge</w:t>
      </w:r>
      <w:r>
        <w:rPr>
          <w:spacing w:val="-4"/>
        </w:rPr>
        <w:t> </w:t>
      </w:r>
      <w:r>
        <w:rPr/>
        <w:t>University</w:t>
      </w:r>
      <w:r>
        <w:rPr>
          <w:spacing w:val="-4"/>
        </w:rPr>
        <w:t> </w:t>
      </w:r>
      <w:r>
        <w:rPr/>
        <w:t>Press.</w:t>
      </w:r>
      <w:r>
        <w:rPr>
          <w:spacing w:val="-2"/>
        </w:rPr>
        <w:t> </w:t>
      </w:r>
      <w:r>
        <w:rPr/>
        <w:t>PP.</w:t>
      </w:r>
      <w:r>
        <w:rPr>
          <w:spacing w:val="-2"/>
        </w:rPr>
        <w:t> </w:t>
      </w:r>
      <w:r>
        <w:rPr/>
        <w:t>197-</w:t>
      </w:r>
      <w:r>
        <w:rPr>
          <w:spacing w:val="-4"/>
        </w:rPr>
        <w:t>211.</w:t>
      </w:r>
    </w:p>
    <w:p>
      <w:pPr>
        <w:pStyle w:val="BodyText"/>
      </w:pPr>
    </w:p>
    <w:p>
      <w:pPr>
        <w:pStyle w:val="BodyText"/>
        <w:spacing w:before="212"/>
      </w:pPr>
    </w:p>
    <w:p>
      <w:pPr>
        <w:spacing w:line="273" w:lineRule="auto" w:before="0"/>
        <w:ind w:left="1640" w:right="1180" w:hanging="720"/>
        <w:jc w:val="both"/>
        <w:rPr>
          <w:sz w:val="22"/>
        </w:rPr>
      </w:pPr>
      <w:r>
        <w:rPr>
          <w:sz w:val="22"/>
        </w:rPr>
        <w:t>Barton, M. </w:t>
      </w:r>
      <w:r>
        <w:rPr>
          <w:b/>
          <w:sz w:val="22"/>
        </w:rPr>
        <w:t>(</w:t>
      </w:r>
      <w:r>
        <w:rPr>
          <w:sz w:val="22"/>
        </w:rPr>
        <w:t>2000).Antibiotic use in animal feed and its impact on human health.</w:t>
      </w:r>
      <w:r>
        <w:rPr>
          <w:i/>
          <w:sz w:val="22"/>
        </w:rPr>
        <w:t>Nutrition Research Reviews</w:t>
      </w:r>
      <w:r>
        <w:rPr>
          <w:sz w:val="22"/>
        </w:rPr>
        <w:t>, 13:279-299.</w:t>
      </w:r>
    </w:p>
    <w:p>
      <w:pPr>
        <w:pStyle w:val="BodyText"/>
      </w:pPr>
    </w:p>
    <w:p>
      <w:pPr>
        <w:pStyle w:val="BodyText"/>
        <w:spacing w:before="175"/>
      </w:pPr>
    </w:p>
    <w:p>
      <w:pPr>
        <w:spacing w:line="276" w:lineRule="auto" w:before="0"/>
        <w:ind w:left="1640" w:right="1176" w:hanging="720"/>
        <w:jc w:val="both"/>
        <w:rPr>
          <w:sz w:val="22"/>
        </w:rPr>
      </w:pPr>
      <w:r>
        <w:rPr>
          <w:sz w:val="22"/>
        </w:rPr>
        <w:t>Bean, D.C., Livermore, D.M., Papa, I and Hall, L.M. (2005)."Resistance among </w:t>
      </w:r>
      <w:r>
        <w:rPr>
          <w:i/>
          <w:sz w:val="22"/>
        </w:rPr>
        <w:t>Escherichia coli </w:t>
      </w:r>
      <w:r>
        <w:rPr>
          <w:sz w:val="22"/>
        </w:rPr>
        <w:t>to sulphonamides and other antimicrobials now little used in man". </w:t>
      </w:r>
      <w:r>
        <w:rPr>
          <w:i/>
          <w:sz w:val="22"/>
        </w:rPr>
        <w:t>Journal of Antimicrobial Chemotherapy,</w:t>
      </w:r>
      <w:r>
        <w:rPr>
          <w:sz w:val="22"/>
        </w:rPr>
        <w:t>56 (5): 962–964.</w:t>
      </w:r>
    </w:p>
    <w:p>
      <w:pPr>
        <w:spacing w:line="276" w:lineRule="auto" w:before="240"/>
        <w:ind w:left="1640" w:right="1175" w:hanging="720"/>
        <w:jc w:val="both"/>
        <w:rPr>
          <w:sz w:val="22"/>
        </w:rPr>
      </w:pPr>
      <w:r>
        <w:rPr>
          <w:sz w:val="22"/>
        </w:rPr>
        <w:t>Bennasar, A., Gloria de Luna, B., Cabrer, L</w:t>
      </w:r>
      <w:r>
        <w:rPr>
          <w:spacing w:val="-1"/>
          <w:sz w:val="22"/>
        </w:rPr>
        <w:t> </w:t>
      </w:r>
      <w:r>
        <w:rPr>
          <w:sz w:val="22"/>
        </w:rPr>
        <w:t>and Lalucat, J. (2000).Rapid identification of </w:t>
      </w:r>
      <w:r>
        <w:rPr>
          <w:i/>
          <w:sz w:val="22"/>
        </w:rPr>
        <w:t>S.typhimurium</w:t>
      </w:r>
      <w:r>
        <w:rPr>
          <w:sz w:val="22"/>
        </w:rPr>
        <w:t>, </w:t>
      </w:r>
      <w:r>
        <w:rPr>
          <w:i/>
          <w:sz w:val="22"/>
        </w:rPr>
        <w:t>S. enteritidis </w:t>
      </w:r>
      <w:r>
        <w:rPr>
          <w:sz w:val="22"/>
        </w:rPr>
        <w:t>and </w:t>
      </w:r>
      <w:r>
        <w:rPr>
          <w:i/>
          <w:sz w:val="22"/>
        </w:rPr>
        <w:t>S. Virchow </w:t>
      </w:r>
      <w:r>
        <w:rPr>
          <w:sz w:val="22"/>
        </w:rPr>
        <w:t>isolates by Polymerase Chain Reaction based</w:t>
      </w:r>
      <w:r>
        <w:rPr>
          <w:spacing w:val="40"/>
          <w:sz w:val="22"/>
        </w:rPr>
        <w:t> </w:t>
      </w:r>
      <w:r>
        <w:rPr>
          <w:sz w:val="22"/>
        </w:rPr>
        <w:t>fingerprinting Methods. </w:t>
      </w:r>
      <w:r>
        <w:rPr>
          <w:i/>
          <w:sz w:val="22"/>
        </w:rPr>
        <w:t>International Journal of Microbiology</w:t>
      </w:r>
      <w:r>
        <w:rPr>
          <w:sz w:val="22"/>
        </w:rPr>
        <w:t>, 3:31–38.</w:t>
      </w:r>
    </w:p>
    <w:p>
      <w:pPr>
        <w:pStyle w:val="BodyText"/>
        <w:spacing w:line="276" w:lineRule="auto" w:before="240"/>
        <w:ind w:left="1640" w:right="1177" w:hanging="720"/>
        <w:jc w:val="both"/>
      </w:pPr>
      <w:r>
        <w:rPr/>
        <w:t>Bennett, P.M. (1995). The spread of drug resistance.In:Baumberg, S.,Young, J.P.W., Wellington, E.M.H., Saunders, J.R. (Eds.) </w:t>
      </w:r>
      <w:r>
        <w:rPr>
          <w:i/>
        </w:rPr>
        <w:t>Population Genetics in Bacteria</w:t>
      </w:r>
      <w:r>
        <w:rPr/>
        <w:t>. Cambridge University Press, Cambridge, United Kingdom. PP. 317-344.</w:t>
      </w:r>
    </w:p>
    <w:p>
      <w:pPr>
        <w:pStyle w:val="BodyText"/>
        <w:spacing w:line="276" w:lineRule="auto" w:before="240"/>
        <w:ind w:left="1640" w:right="1174" w:hanging="720"/>
        <w:jc w:val="both"/>
      </w:pPr>
      <w:r>
        <w:rPr/>
        <w:t>Berg, T., Firth, N., Apisiridej, S., Hertiaratchi, A., Leelaporn, A and Skurray, R.A. (1998). Complete nucleotide</w:t>
      </w:r>
      <w:r>
        <w:rPr>
          <w:spacing w:val="-4"/>
        </w:rPr>
        <w:t> </w:t>
      </w:r>
      <w:r>
        <w:rPr/>
        <w:t>sequence</w:t>
      </w:r>
      <w:r>
        <w:rPr>
          <w:spacing w:val="-4"/>
        </w:rPr>
        <w:t> </w:t>
      </w:r>
      <w:r>
        <w:rPr/>
        <w:t>of</w:t>
      </w:r>
      <w:r>
        <w:rPr>
          <w:spacing w:val="-4"/>
        </w:rPr>
        <w:t> </w:t>
      </w:r>
      <w:r>
        <w:rPr/>
        <w:t>pSK41:</w:t>
      </w:r>
      <w:r>
        <w:rPr>
          <w:spacing w:val="-5"/>
        </w:rPr>
        <w:t> </w:t>
      </w:r>
      <w:r>
        <w:rPr/>
        <w:t>evolution</w:t>
      </w:r>
      <w:r>
        <w:rPr>
          <w:spacing w:val="-5"/>
        </w:rPr>
        <w:t> </w:t>
      </w:r>
      <w:r>
        <w:rPr/>
        <w:t>of</w:t>
      </w:r>
      <w:r>
        <w:rPr>
          <w:spacing w:val="-4"/>
        </w:rPr>
        <w:t> </w:t>
      </w:r>
      <w:r>
        <w:rPr/>
        <w:t>staphylococcal</w:t>
      </w:r>
      <w:r>
        <w:rPr>
          <w:spacing w:val="-2"/>
        </w:rPr>
        <w:t> </w:t>
      </w:r>
      <w:r>
        <w:rPr/>
        <w:t>conjugative</w:t>
      </w:r>
      <w:r>
        <w:rPr>
          <w:spacing w:val="-4"/>
        </w:rPr>
        <w:t> </w:t>
      </w:r>
      <w:r>
        <w:rPr/>
        <w:t>multiresistance</w:t>
      </w:r>
      <w:r>
        <w:rPr>
          <w:spacing w:val="-4"/>
        </w:rPr>
        <w:t> </w:t>
      </w:r>
      <w:r>
        <w:rPr/>
        <w:t>plasmids. </w:t>
      </w:r>
      <w:r>
        <w:rPr>
          <w:i/>
        </w:rPr>
        <w:t>Journal of Bacteriology, </w:t>
      </w:r>
      <w:r>
        <w:rPr/>
        <w:t>180: 4350-4359.</w:t>
      </w:r>
    </w:p>
    <w:p>
      <w:pPr>
        <w:spacing w:line="278" w:lineRule="auto" w:before="240"/>
        <w:ind w:left="1640" w:right="1178" w:hanging="720"/>
        <w:jc w:val="both"/>
        <w:rPr>
          <w:sz w:val="22"/>
        </w:rPr>
      </w:pPr>
      <w:r>
        <w:rPr>
          <w:sz w:val="22"/>
        </w:rPr>
        <w:t>Bergdoll, M.S. (1979). Staphylococcal intoxications. In: Reimann, H and Bryan, F.L. (Eds.) </w:t>
      </w:r>
      <w:r>
        <w:rPr>
          <w:i/>
          <w:sz w:val="22"/>
        </w:rPr>
        <w:t>Food-borne Infections and Intoxications</w:t>
      </w:r>
      <w:r>
        <w:rPr>
          <w:sz w:val="22"/>
        </w:rPr>
        <w:t>. 2nd Edition, Academic Press, New York. PP. 443–490.</w:t>
      </w:r>
    </w:p>
    <w:p>
      <w:pPr>
        <w:spacing w:before="236"/>
        <w:ind w:left="920" w:right="0" w:firstLine="0"/>
        <w:jc w:val="left"/>
        <w:rPr>
          <w:sz w:val="22"/>
        </w:rPr>
      </w:pPr>
      <w:r>
        <w:rPr>
          <w:sz w:val="22"/>
        </w:rPr>
        <w:t>Betts,</w:t>
      </w:r>
      <w:r>
        <w:rPr>
          <w:spacing w:val="-8"/>
          <w:sz w:val="22"/>
        </w:rPr>
        <w:t> </w:t>
      </w:r>
      <w:r>
        <w:rPr>
          <w:sz w:val="22"/>
        </w:rPr>
        <w:t>G.D.</w:t>
      </w:r>
      <w:r>
        <w:rPr>
          <w:spacing w:val="-4"/>
          <w:sz w:val="22"/>
        </w:rPr>
        <w:t> </w:t>
      </w:r>
      <w:r>
        <w:rPr>
          <w:sz w:val="22"/>
        </w:rPr>
        <w:t>(2000).</w:t>
      </w:r>
      <w:r>
        <w:rPr>
          <w:spacing w:val="-4"/>
          <w:sz w:val="22"/>
        </w:rPr>
        <w:t> </w:t>
      </w:r>
      <w:r>
        <w:rPr>
          <w:sz w:val="22"/>
        </w:rPr>
        <w:t>Controlling</w:t>
      </w:r>
      <w:r>
        <w:rPr>
          <w:spacing w:val="-3"/>
          <w:sz w:val="22"/>
        </w:rPr>
        <w:t> </w:t>
      </w:r>
      <w:r>
        <w:rPr>
          <w:i/>
          <w:sz w:val="22"/>
        </w:rPr>
        <w:t>Escherichia</w:t>
      </w:r>
      <w:r>
        <w:rPr>
          <w:i/>
          <w:spacing w:val="-4"/>
          <w:sz w:val="22"/>
        </w:rPr>
        <w:t> </w:t>
      </w:r>
      <w:r>
        <w:rPr>
          <w:i/>
          <w:sz w:val="22"/>
        </w:rPr>
        <w:t>coli</w:t>
      </w:r>
      <w:r>
        <w:rPr>
          <w:i/>
          <w:spacing w:val="-4"/>
          <w:sz w:val="22"/>
        </w:rPr>
        <w:t> </w:t>
      </w:r>
      <w:r>
        <w:rPr>
          <w:sz w:val="22"/>
        </w:rPr>
        <w:t>O157:H7.</w:t>
      </w:r>
      <w:r>
        <w:rPr>
          <w:i/>
          <w:sz w:val="22"/>
        </w:rPr>
        <w:t>Nutrition</w:t>
      </w:r>
      <w:r>
        <w:rPr>
          <w:i/>
          <w:spacing w:val="-3"/>
          <w:sz w:val="22"/>
        </w:rPr>
        <w:t> </w:t>
      </w:r>
      <w:r>
        <w:rPr>
          <w:i/>
          <w:sz w:val="22"/>
        </w:rPr>
        <w:t>and</w:t>
      </w:r>
      <w:r>
        <w:rPr>
          <w:i/>
          <w:spacing w:val="-4"/>
          <w:sz w:val="22"/>
        </w:rPr>
        <w:t> </w:t>
      </w:r>
      <w:r>
        <w:rPr>
          <w:i/>
          <w:sz w:val="22"/>
        </w:rPr>
        <w:t>Food</w:t>
      </w:r>
      <w:r>
        <w:rPr>
          <w:i/>
          <w:spacing w:val="-4"/>
          <w:sz w:val="22"/>
        </w:rPr>
        <w:t> </w:t>
      </w:r>
      <w:r>
        <w:rPr>
          <w:i/>
          <w:sz w:val="22"/>
        </w:rPr>
        <w:t>Science,</w:t>
      </w:r>
      <w:r>
        <w:rPr>
          <w:i/>
          <w:spacing w:val="-8"/>
          <w:sz w:val="22"/>
        </w:rPr>
        <w:t> </w:t>
      </w:r>
      <w:r>
        <w:rPr>
          <w:i/>
          <w:sz w:val="22"/>
        </w:rPr>
        <w:t>30</w:t>
      </w:r>
      <w:r>
        <w:rPr>
          <w:sz w:val="22"/>
        </w:rPr>
        <w:t>:</w:t>
      </w:r>
      <w:r>
        <w:rPr>
          <w:spacing w:val="-6"/>
          <w:sz w:val="22"/>
        </w:rPr>
        <w:t> </w:t>
      </w:r>
      <w:r>
        <w:rPr>
          <w:spacing w:val="-2"/>
          <w:sz w:val="22"/>
        </w:rPr>
        <w:t>183–186.</w:t>
      </w:r>
    </w:p>
    <w:p>
      <w:pPr>
        <w:pStyle w:val="BodyText"/>
      </w:pPr>
    </w:p>
    <w:p>
      <w:pPr>
        <w:pStyle w:val="BodyText"/>
        <w:spacing w:before="212"/>
      </w:pPr>
    </w:p>
    <w:p>
      <w:pPr>
        <w:pStyle w:val="BodyText"/>
        <w:spacing w:line="273" w:lineRule="auto"/>
        <w:ind w:left="1640" w:right="1180" w:hanging="720"/>
        <w:jc w:val="both"/>
      </w:pPr>
      <w:r>
        <w:rPr/>
        <w:t>Bhutta, Z., Niazi, S and Suria, A. (1992). "Chloramphenicol Clearance in Typhoid Fever: Implications for Therapy". </w:t>
      </w:r>
      <w:r>
        <w:rPr>
          <w:i/>
        </w:rPr>
        <w:t>Indian Journal of Pediatry</w:t>
      </w:r>
      <w:r>
        <w:rPr/>
        <w:t>,59 (2): 213–219.</w:t>
      </w:r>
    </w:p>
    <w:p>
      <w:pPr>
        <w:pStyle w:val="BodyText"/>
        <w:spacing w:before="242"/>
        <w:ind w:left="920"/>
      </w:pPr>
      <w:r>
        <w:rPr/>
        <w:t>Bíreš,</w:t>
      </w:r>
      <w:r>
        <w:rPr>
          <w:spacing w:val="-8"/>
        </w:rPr>
        <w:t> </w:t>
      </w:r>
      <w:r>
        <w:rPr/>
        <w:t>J.</w:t>
      </w:r>
      <w:r>
        <w:rPr>
          <w:spacing w:val="-1"/>
        </w:rPr>
        <w:t> </w:t>
      </w:r>
      <w:r>
        <w:rPr/>
        <w:t>(2004).</w:t>
      </w:r>
      <w:r>
        <w:rPr>
          <w:spacing w:val="-1"/>
        </w:rPr>
        <w:t> </w:t>
      </w:r>
      <w:r>
        <w:rPr/>
        <w:t>Current</w:t>
      </w:r>
      <w:r>
        <w:rPr>
          <w:spacing w:val="-5"/>
        </w:rPr>
        <w:t> </w:t>
      </w:r>
      <w:r>
        <w:rPr/>
        <w:t>legislation</w:t>
      </w:r>
      <w:r>
        <w:rPr>
          <w:spacing w:val="-4"/>
        </w:rPr>
        <w:t> </w:t>
      </w:r>
      <w:r>
        <w:rPr/>
        <w:t>in</w:t>
      </w:r>
      <w:r>
        <w:rPr>
          <w:spacing w:val="-4"/>
        </w:rPr>
        <w:t> </w:t>
      </w:r>
      <w:r>
        <w:rPr/>
        <w:t>the</w:t>
      </w:r>
      <w:r>
        <w:rPr>
          <w:spacing w:val="-3"/>
        </w:rPr>
        <w:t> </w:t>
      </w:r>
      <w:r>
        <w:rPr/>
        <w:t>field</w:t>
      </w:r>
      <w:r>
        <w:rPr>
          <w:spacing w:val="-4"/>
        </w:rPr>
        <w:t> </w:t>
      </w:r>
      <w:r>
        <w:rPr/>
        <w:t>of</w:t>
      </w:r>
      <w:r>
        <w:rPr>
          <w:spacing w:val="-3"/>
        </w:rPr>
        <w:t> </w:t>
      </w:r>
      <w:r>
        <w:rPr/>
        <w:t>milk</w:t>
      </w:r>
      <w:r>
        <w:rPr>
          <w:spacing w:val="-3"/>
        </w:rPr>
        <w:t> </w:t>
      </w:r>
      <w:r>
        <w:rPr/>
        <w:t>hygiene.</w:t>
      </w:r>
      <w:r>
        <w:rPr>
          <w:i/>
        </w:rPr>
        <w:t>The</w:t>
      </w:r>
      <w:r>
        <w:rPr>
          <w:i/>
          <w:spacing w:val="-3"/>
        </w:rPr>
        <w:t> </w:t>
      </w:r>
      <w:r>
        <w:rPr>
          <w:i/>
        </w:rPr>
        <w:t>Dairy</w:t>
      </w:r>
      <w:r>
        <w:rPr/>
        <w:t>,</w:t>
      </w:r>
      <w:r>
        <w:rPr>
          <w:spacing w:val="-5"/>
        </w:rPr>
        <w:t> </w:t>
      </w:r>
      <w:r>
        <w:rPr/>
        <w:t>35:</w:t>
      </w:r>
      <w:r>
        <w:rPr>
          <w:spacing w:val="-4"/>
        </w:rPr>
        <w:t> </w:t>
      </w:r>
      <w:r>
        <w:rPr/>
        <w:t>33-</w:t>
      </w:r>
      <w:r>
        <w:rPr>
          <w:spacing w:val="-5"/>
        </w:rPr>
        <w:t>35.</w:t>
      </w:r>
    </w:p>
    <w:p>
      <w:pPr>
        <w:pStyle w:val="BodyText"/>
        <w:spacing w:before="15"/>
      </w:pPr>
    </w:p>
    <w:p>
      <w:pPr>
        <w:pStyle w:val="BodyText"/>
        <w:spacing w:line="273" w:lineRule="auto"/>
        <w:ind w:left="1640" w:right="1180" w:hanging="720"/>
        <w:jc w:val="both"/>
      </w:pPr>
      <w:r>
        <w:rPr/>
        <w:t>Bimboim, H.C and Doly, J. (1979). A rapid alkaline procedure for screening recombinant plasmid DNA.</w:t>
      </w:r>
      <w:r>
        <w:rPr>
          <w:i/>
        </w:rPr>
        <w:t>Nucleic Acids Research</w:t>
      </w:r>
      <w:r>
        <w:rPr/>
        <w:t>, 7: 1513-1523.</w:t>
      </w:r>
    </w:p>
    <w:p>
      <w:pPr>
        <w:spacing w:after="0" w:line="273" w:lineRule="auto"/>
        <w:jc w:val="both"/>
        <w:sectPr>
          <w:pgSz w:w="12240" w:h="15840"/>
          <w:pgMar w:header="0" w:footer="1017" w:top="1400" w:bottom="1200" w:left="520" w:right="260"/>
        </w:sectPr>
      </w:pPr>
    </w:p>
    <w:p>
      <w:pPr>
        <w:pStyle w:val="BodyText"/>
        <w:spacing w:line="273" w:lineRule="auto" w:before="41"/>
        <w:ind w:left="1640" w:right="1172" w:hanging="720"/>
        <w:jc w:val="both"/>
      </w:pPr>
      <w:r>
        <w:rPr/>
        <w:t>Bjorland, J., Steinum, T., Sunde, M., Waage, S and Heir, E. (2003). Novel plasmid-borne gene qacJ mediates</w:t>
      </w:r>
      <w:r>
        <w:rPr>
          <w:spacing w:val="12"/>
        </w:rPr>
        <w:t> </w:t>
      </w:r>
      <w:r>
        <w:rPr/>
        <w:t>resistance</w:t>
      </w:r>
      <w:r>
        <w:rPr>
          <w:spacing w:val="13"/>
        </w:rPr>
        <w:t> </w:t>
      </w:r>
      <w:r>
        <w:rPr/>
        <w:t>to</w:t>
      </w:r>
      <w:r>
        <w:rPr>
          <w:spacing w:val="12"/>
        </w:rPr>
        <w:t> </w:t>
      </w:r>
      <w:r>
        <w:rPr/>
        <w:t>quaternary</w:t>
      </w:r>
      <w:r>
        <w:rPr>
          <w:spacing w:val="9"/>
        </w:rPr>
        <w:t> </w:t>
      </w:r>
      <w:r>
        <w:rPr/>
        <w:t>ammonium</w:t>
      </w:r>
      <w:r>
        <w:rPr>
          <w:spacing w:val="14"/>
        </w:rPr>
        <w:t> </w:t>
      </w:r>
      <w:r>
        <w:rPr/>
        <w:t>compounds</w:t>
      </w:r>
      <w:r>
        <w:rPr>
          <w:spacing w:val="12"/>
        </w:rPr>
        <w:t> </w:t>
      </w:r>
      <w:r>
        <w:rPr/>
        <w:t>in</w:t>
      </w:r>
      <w:r>
        <w:rPr>
          <w:spacing w:val="12"/>
        </w:rPr>
        <w:t> </w:t>
      </w:r>
      <w:r>
        <w:rPr/>
        <w:t>equine</w:t>
      </w:r>
      <w:r>
        <w:rPr>
          <w:spacing w:val="12"/>
        </w:rPr>
        <w:t> </w:t>
      </w:r>
      <w:r>
        <w:rPr>
          <w:i/>
        </w:rPr>
        <w:t>S.aureus</w:t>
      </w:r>
      <w:r>
        <w:rPr/>
        <w:t>,</w:t>
      </w:r>
      <w:r>
        <w:rPr>
          <w:spacing w:val="11"/>
        </w:rPr>
        <w:t> </w:t>
      </w:r>
      <w:r>
        <w:rPr>
          <w:i/>
        </w:rPr>
        <w:t>S.</w:t>
      </w:r>
      <w:r>
        <w:rPr>
          <w:i/>
          <w:spacing w:val="15"/>
        </w:rPr>
        <w:t> </w:t>
      </w:r>
      <w:r>
        <w:rPr>
          <w:i/>
        </w:rPr>
        <w:t>simulans</w:t>
      </w:r>
      <w:r>
        <w:rPr/>
        <w:t>,</w:t>
      </w:r>
      <w:r>
        <w:rPr>
          <w:spacing w:val="11"/>
        </w:rPr>
        <w:t> </w:t>
      </w:r>
      <w:r>
        <w:rPr>
          <w:spacing w:val="-5"/>
        </w:rPr>
        <w:t>and</w:t>
      </w:r>
    </w:p>
    <w:p>
      <w:pPr>
        <w:spacing w:before="7"/>
        <w:ind w:left="1640" w:right="0" w:firstLine="0"/>
        <w:jc w:val="left"/>
        <w:rPr>
          <w:sz w:val="22"/>
        </w:rPr>
      </w:pPr>
      <w:r>
        <w:rPr>
          <w:i/>
          <w:sz w:val="22"/>
        </w:rPr>
        <w:t>S.</w:t>
      </w:r>
      <w:r>
        <w:rPr>
          <w:i/>
          <w:spacing w:val="-7"/>
          <w:sz w:val="22"/>
        </w:rPr>
        <w:t> </w:t>
      </w:r>
      <w:r>
        <w:rPr>
          <w:i/>
          <w:sz w:val="22"/>
        </w:rPr>
        <w:t>intermedius</w:t>
      </w:r>
      <w:r>
        <w:rPr>
          <w:sz w:val="22"/>
        </w:rPr>
        <w:t>.</w:t>
      </w:r>
      <w:r>
        <w:rPr>
          <w:spacing w:val="-4"/>
          <w:sz w:val="22"/>
        </w:rPr>
        <w:t> </w:t>
      </w:r>
      <w:r>
        <w:rPr>
          <w:i/>
          <w:sz w:val="22"/>
        </w:rPr>
        <w:t>Antimicrobial</w:t>
      </w:r>
      <w:r>
        <w:rPr>
          <w:i/>
          <w:spacing w:val="-4"/>
          <w:sz w:val="22"/>
        </w:rPr>
        <w:t> </w:t>
      </w:r>
      <w:r>
        <w:rPr>
          <w:i/>
          <w:sz w:val="22"/>
        </w:rPr>
        <w:t>Agents</w:t>
      </w:r>
      <w:r>
        <w:rPr>
          <w:i/>
          <w:spacing w:val="-6"/>
          <w:sz w:val="22"/>
        </w:rPr>
        <w:t> </w:t>
      </w:r>
      <w:r>
        <w:rPr>
          <w:i/>
          <w:sz w:val="22"/>
        </w:rPr>
        <w:t>and</w:t>
      </w:r>
      <w:r>
        <w:rPr>
          <w:i/>
          <w:spacing w:val="-4"/>
          <w:sz w:val="22"/>
        </w:rPr>
        <w:t> </w:t>
      </w:r>
      <w:r>
        <w:rPr>
          <w:i/>
          <w:sz w:val="22"/>
        </w:rPr>
        <w:t>Chemotherapy</w:t>
      </w:r>
      <w:r>
        <w:rPr>
          <w:sz w:val="22"/>
        </w:rPr>
        <w:t>,</w:t>
      </w:r>
      <w:r>
        <w:rPr>
          <w:spacing w:val="-7"/>
          <w:sz w:val="22"/>
        </w:rPr>
        <w:t> </w:t>
      </w:r>
      <w:r>
        <w:rPr>
          <w:sz w:val="22"/>
        </w:rPr>
        <w:t>47:</w:t>
      </w:r>
      <w:r>
        <w:rPr>
          <w:spacing w:val="-3"/>
          <w:sz w:val="22"/>
        </w:rPr>
        <w:t> </w:t>
      </w:r>
      <w:r>
        <w:rPr>
          <w:spacing w:val="-2"/>
          <w:sz w:val="22"/>
        </w:rPr>
        <w:t>3046–3052.</w:t>
      </w:r>
    </w:p>
    <w:p>
      <w:pPr>
        <w:pStyle w:val="BodyText"/>
        <w:spacing w:before="10"/>
      </w:pPr>
    </w:p>
    <w:p>
      <w:pPr>
        <w:pStyle w:val="BodyText"/>
        <w:spacing w:line="276" w:lineRule="auto"/>
        <w:ind w:left="1640" w:right="1176" w:hanging="720"/>
        <w:jc w:val="both"/>
      </w:pPr>
      <w:r>
        <w:rPr/>
        <w:t>Bonfoh, B., Wasem, A., Traore, A.N., Fane, A., Spillmann, H., Simbe, C.F., Alfaroukh, I.O., Nicolet, J.,</w:t>
      </w:r>
      <w:r>
        <w:rPr>
          <w:spacing w:val="40"/>
        </w:rPr>
        <w:t> </w:t>
      </w:r>
      <w:r>
        <w:rPr/>
        <w:t>Farah, Z and Zinsstag, J. (2003). Bacterial quality of cows’ milk taken at different intervals from the udder to the selling point in Bamako (Mali), </w:t>
      </w:r>
      <w:r>
        <w:rPr>
          <w:i/>
        </w:rPr>
        <w:t>Food Control</w:t>
      </w:r>
      <w:r>
        <w:rPr/>
        <w:t>, 14: 495-500.</w:t>
      </w:r>
    </w:p>
    <w:p>
      <w:pPr>
        <w:pStyle w:val="BodyText"/>
        <w:spacing w:line="273" w:lineRule="auto" w:before="240"/>
        <w:ind w:left="1640" w:right="1175" w:hanging="720"/>
        <w:jc w:val="both"/>
      </w:pPr>
      <w:r>
        <w:rPr/>
        <w:t>Bonten,</w:t>
      </w:r>
      <w:r>
        <w:rPr>
          <w:spacing w:val="-3"/>
        </w:rPr>
        <w:t> </w:t>
      </w:r>
      <w:r>
        <w:rPr/>
        <w:t>M.J.M.,</w:t>
      </w:r>
      <w:r>
        <w:rPr>
          <w:spacing w:val="-3"/>
        </w:rPr>
        <w:t> </w:t>
      </w:r>
      <w:r>
        <w:rPr/>
        <w:t>Willems,</w:t>
      </w:r>
      <w:r>
        <w:rPr>
          <w:spacing w:val="-3"/>
        </w:rPr>
        <w:t> </w:t>
      </w:r>
      <w:r>
        <w:rPr/>
        <w:t>R and</w:t>
      </w:r>
      <w:r>
        <w:rPr>
          <w:spacing w:val="-1"/>
        </w:rPr>
        <w:t> </w:t>
      </w:r>
      <w:r>
        <w:rPr/>
        <w:t>Weinstein,</w:t>
      </w:r>
      <w:r>
        <w:rPr>
          <w:spacing w:val="-3"/>
        </w:rPr>
        <w:t> </w:t>
      </w:r>
      <w:r>
        <w:rPr/>
        <w:t>R.A. (2001).Vancomycin-resistance enterococci:</w:t>
      </w:r>
      <w:r>
        <w:rPr>
          <w:spacing w:val="-2"/>
        </w:rPr>
        <w:t> </w:t>
      </w:r>
      <w:r>
        <w:rPr/>
        <w:t>why are they here, and where do they come from? </w:t>
      </w:r>
      <w:r>
        <w:rPr>
          <w:i/>
        </w:rPr>
        <w:t>Infectious Diseases, </w:t>
      </w:r>
      <w:r>
        <w:rPr/>
        <w:t>1: 314-325.</w:t>
      </w:r>
    </w:p>
    <w:p>
      <w:pPr>
        <w:pStyle w:val="BodyText"/>
        <w:spacing w:before="7"/>
      </w:pPr>
    </w:p>
    <w:p>
      <w:pPr>
        <w:spacing w:line="242" w:lineRule="auto" w:before="0"/>
        <w:ind w:left="1640" w:right="1181" w:hanging="720"/>
        <w:jc w:val="both"/>
        <w:rPr>
          <w:rFonts w:ascii="Times New Roman"/>
          <w:sz w:val="24"/>
        </w:rPr>
      </w:pPr>
      <w:r>
        <w:rPr>
          <w:rFonts w:ascii="Times New Roman"/>
          <w:sz w:val="24"/>
        </w:rPr>
        <w:t>Bottone, E.J. </w:t>
      </w:r>
      <w:r>
        <w:rPr>
          <w:rFonts w:ascii="Times New Roman"/>
          <w:b/>
          <w:sz w:val="24"/>
        </w:rPr>
        <w:t>(</w:t>
      </w:r>
      <w:r>
        <w:rPr>
          <w:rFonts w:ascii="Times New Roman"/>
          <w:sz w:val="24"/>
        </w:rPr>
        <w:t>1999).</w:t>
      </w:r>
      <w:r>
        <w:rPr>
          <w:rFonts w:ascii="Times New Roman"/>
          <w:i/>
          <w:sz w:val="24"/>
        </w:rPr>
        <w:t>Yersinia enterocolitica: </w:t>
      </w:r>
      <w:r>
        <w:rPr>
          <w:rFonts w:ascii="Times New Roman"/>
          <w:sz w:val="24"/>
        </w:rPr>
        <w:t>overview and epidemiologic correlates. </w:t>
      </w:r>
      <w:r>
        <w:rPr>
          <w:rFonts w:ascii="Times New Roman"/>
          <w:i/>
          <w:sz w:val="24"/>
        </w:rPr>
        <w:t>Microbes and Infections</w:t>
      </w:r>
      <w:r>
        <w:rPr>
          <w:rFonts w:ascii="Times New Roman"/>
          <w:sz w:val="24"/>
        </w:rPr>
        <w:t>,1:323-333.</w:t>
      </w:r>
    </w:p>
    <w:p>
      <w:pPr>
        <w:pStyle w:val="BodyText"/>
        <w:spacing w:before="7"/>
        <w:rPr>
          <w:rFonts w:ascii="Times New Roman"/>
          <w:sz w:val="24"/>
        </w:rPr>
      </w:pPr>
    </w:p>
    <w:p>
      <w:pPr>
        <w:pStyle w:val="BodyText"/>
        <w:spacing w:line="276" w:lineRule="auto"/>
        <w:ind w:left="1640" w:right="1175" w:hanging="720"/>
        <w:jc w:val="both"/>
      </w:pPr>
      <w:r>
        <w:rPr/>
        <w:t>Bradford, P. A. (2001). Extended spectrum beta-lactamases in the 21st century: characterization, epidemiology, and detection of this important resistance threat.</w:t>
      </w:r>
      <w:r>
        <w:rPr>
          <w:i/>
        </w:rPr>
        <w:t>Clinical Microbiology Reviews</w:t>
      </w:r>
      <w:r>
        <w:rPr/>
        <w:t>, 14: 933-951.</w:t>
      </w:r>
    </w:p>
    <w:p>
      <w:pPr>
        <w:pStyle w:val="BodyText"/>
        <w:spacing w:line="278" w:lineRule="auto" w:before="240"/>
        <w:ind w:left="1640" w:right="1175" w:hanging="720"/>
        <w:jc w:val="both"/>
      </w:pPr>
      <w:r>
        <w:rPr/>
        <w:t>Bramley, A. J and McKinnon, C.H. (1990).The microbiology of raw milk. In: Robinson, R.K. (Ed.), Elsevier Science Publishers, London. </w:t>
      </w:r>
      <w:r>
        <w:rPr>
          <w:i/>
        </w:rPr>
        <w:t>Dairy Microbiology</w:t>
      </w:r>
      <w:r>
        <w:rPr/>
        <w:t>, 1: 163-208.</w:t>
      </w:r>
    </w:p>
    <w:p>
      <w:pPr>
        <w:spacing w:line="276" w:lineRule="auto" w:before="236"/>
        <w:ind w:left="1640" w:right="1175" w:hanging="720"/>
        <w:jc w:val="both"/>
        <w:rPr>
          <w:sz w:val="22"/>
        </w:rPr>
      </w:pPr>
      <w:r>
        <w:rPr>
          <w:sz w:val="22"/>
        </w:rPr>
        <w:t>Brands, D.A., Inman, A.E., Gerba, C.P., Maré, C.J., Billington, S.J., Saif, L.A., Levine, J. F and</w:t>
      </w:r>
      <w:r>
        <w:rPr>
          <w:spacing w:val="40"/>
          <w:sz w:val="22"/>
        </w:rPr>
        <w:t> </w:t>
      </w:r>
      <w:r>
        <w:rPr>
          <w:sz w:val="22"/>
        </w:rPr>
        <w:t>Joens, L.A. (2005). Prevalence of </w:t>
      </w:r>
      <w:r>
        <w:rPr>
          <w:i/>
          <w:sz w:val="22"/>
        </w:rPr>
        <w:t>Salmonella specie </w:t>
      </w:r>
      <w:r>
        <w:rPr>
          <w:sz w:val="22"/>
        </w:rPr>
        <w:t>in oysters in the United States.</w:t>
      </w:r>
      <w:r>
        <w:rPr>
          <w:i/>
          <w:sz w:val="22"/>
        </w:rPr>
        <w:t>Applied Environmental Microbiology</w:t>
      </w:r>
      <w:r>
        <w:rPr>
          <w:sz w:val="22"/>
        </w:rPr>
        <w:t>, 71: 893-897.</w:t>
      </w:r>
    </w:p>
    <w:p>
      <w:pPr>
        <w:pStyle w:val="BodyText"/>
        <w:spacing w:line="276" w:lineRule="auto" w:before="240"/>
        <w:ind w:left="1640" w:right="1174" w:hanging="720"/>
        <w:jc w:val="both"/>
      </w:pPr>
      <w:r>
        <w:rPr/>
        <w:t>Brisabois, A., Lafarge, V., Brouillaud, A., De Buyser, M.L., Collette, C., Garin-Bastuji, B and Thorel, M.F. (1997). Pathogenic organisms in milk and milk products: the situation in France and in Europe. </w:t>
      </w:r>
      <w:r>
        <w:rPr>
          <w:i/>
        </w:rPr>
        <w:t>Reviews of Science and Technol</w:t>
      </w:r>
      <w:r>
        <w:rPr/>
        <w:t>ogy</w:t>
      </w:r>
      <w:r>
        <w:rPr>
          <w:i/>
        </w:rPr>
        <w:t>, </w:t>
      </w:r>
      <w:r>
        <w:rPr/>
        <w:t>16: 452-471.</w:t>
      </w:r>
    </w:p>
    <w:p>
      <w:pPr>
        <w:spacing w:line="273" w:lineRule="auto" w:before="240"/>
        <w:ind w:left="1640" w:right="1177" w:hanging="720"/>
        <w:jc w:val="both"/>
        <w:rPr>
          <w:sz w:val="22"/>
        </w:rPr>
      </w:pPr>
      <w:r>
        <w:rPr>
          <w:sz w:val="22"/>
        </w:rPr>
        <w:t>Bureau of Epidermiology, (2004).</w:t>
      </w:r>
      <w:r>
        <w:rPr>
          <w:i/>
          <w:sz w:val="22"/>
        </w:rPr>
        <w:t>Situation of diarrhea disease</w:t>
      </w:r>
      <w:r>
        <w:rPr>
          <w:sz w:val="22"/>
        </w:rPr>
        <w:t>. Bangkek: Department of Disease Control, Ministry of public Health, Thailand.</w:t>
      </w:r>
    </w:p>
    <w:p>
      <w:pPr>
        <w:pStyle w:val="BodyText"/>
        <w:spacing w:line="278" w:lineRule="auto" w:before="242"/>
        <w:ind w:left="1640" w:right="1180" w:hanging="720"/>
        <w:jc w:val="both"/>
      </w:pPr>
      <w:r>
        <w:rPr/>
        <w:t>Bush,</w:t>
      </w:r>
      <w:r>
        <w:rPr>
          <w:spacing w:val="-3"/>
        </w:rPr>
        <w:t> </w:t>
      </w:r>
      <w:r>
        <w:rPr/>
        <w:t>K. (2001). New beta-lactamases</w:t>
      </w:r>
      <w:r>
        <w:rPr>
          <w:spacing w:val="-5"/>
        </w:rPr>
        <w:t> </w:t>
      </w:r>
      <w:r>
        <w:rPr/>
        <w:t>in</w:t>
      </w:r>
      <w:r>
        <w:rPr>
          <w:spacing w:val="-1"/>
        </w:rPr>
        <w:t> </w:t>
      </w:r>
      <w:r>
        <w:rPr/>
        <w:t>gram negative bacteria:</w:t>
      </w:r>
      <w:r>
        <w:rPr>
          <w:spacing w:val="-2"/>
        </w:rPr>
        <w:t> </w:t>
      </w:r>
      <w:r>
        <w:rPr/>
        <w:t>diversity and</w:t>
      </w:r>
      <w:r>
        <w:rPr>
          <w:spacing w:val="-1"/>
        </w:rPr>
        <w:t> </w:t>
      </w:r>
      <w:r>
        <w:rPr/>
        <w:t>impact</w:t>
      </w:r>
      <w:r>
        <w:rPr>
          <w:spacing w:val="-2"/>
        </w:rPr>
        <w:t> </w:t>
      </w:r>
      <w:r>
        <w:rPr/>
        <w:t>on</w:t>
      </w:r>
      <w:r>
        <w:rPr>
          <w:spacing w:val="-1"/>
        </w:rPr>
        <w:t> </w:t>
      </w:r>
      <w:r>
        <w:rPr/>
        <w:t>the selection</w:t>
      </w:r>
      <w:r>
        <w:rPr>
          <w:spacing w:val="-1"/>
        </w:rPr>
        <w:t> </w:t>
      </w:r>
      <w:r>
        <w:rPr/>
        <w:t>of antimicrobial therapy. </w:t>
      </w:r>
      <w:r>
        <w:rPr>
          <w:i/>
        </w:rPr>
        <w:t>Clinical Infectious Diseases</w:t>
      </w:r>
      <w:r>
        <w:rPr/>
        <w:t>, 32: 1085-1089.</w:t>
      </w:r>
    </w:p>
    <w:p>
      <w:pPr>
        <w:pStyle w:val="BodyText"/>
        <w:spacing w:line="276" w:lineRule="auto" w:before="236"/>
        <w:ind w:left="1640" w:right="1176" w:hanging="720"/>
        <w:jc w:val="both"/>
      </w:pPr>
      <w:r>
        <w:rPr/>
        <w:t>Bush, K., Jacoby, G.AandMedeiros, A.A. (1995).A functional classification scheme for beta lactamases</w:t>
      </w:r>
      <w:r>
        <w:rPr>
          <w:spacing w:val="40"/>
        </w:rPr>
        <w:t> </w:t>
      </w:r>
      <w:r>
        <w:rPr/>
        <w:t>and its correlation with molecular structure.</w:t>
      </w:r>
      <w:r>
        <w:rPr>
          <w:i/>
        </w:rPr>
        <w:t>Antimicrobial Agents and Chemotherapy</w:t>
      </w:r>
      <w:r>
        <w:rPr/>
        <w:t>, 39: 1211- </w:t>
      </w:r>
      <w:r>
        <w:rPr>
          <w:spacing w:val="-2"/>
        </w:rPr>
        <w:t>1233.</w:t>
      </w:r>
    </w:p>
    <w:p>
      <w:pPr>
        <w:spacing w:line="276" w:lineRule="auto" w:before="240"/>
        <w:ind w:left="1640" w:right="1182" w:hanging="720"/>
        <w:jc w:val="both"/>
        <w:rPr>
          <w:sz w:val="22"/>
        </w:rPr>
      </w:pPr>
      <w:r>
        <w:rPr>
          <w:sz w:val="22"/>
        </w:rPr>
        <w:t>Butler, T. (1990).</w:t>
      </w:r>
      <w:r>
        <w:rPr>
          <w:i/>
          <w:sz w:val="22"/>
        </w:rPr>
        <w:t>Yersinia species </w:t>
      </w:r>
      <w:r>
        <w:rPr>
          <w:sz w:val="22"/>
        </w:rPr>
        <w:t>(including plague). In:</w:t>
      </w:r>
      <w:r>
        <w:rPr>
          <w:spacing w:val="40"/>
          <w:sz w:val="22"/>
        </w:rPr>
        <w:t> </w:t>
      </w:r>
      <w:r>
        <w:rPr>
          <w:sz w:val="22"/>
        </w:rPr>
        <w:t>Mandell, G.L., Gordon, D.R., Bennett G.E. (Eds.), </w:t>
      </w:r>
      <w:r>
        <w:rPr>
          <w:i/>
          <w:sz w:val="22"/>
        </w:rPr>
        <w:t>Principles and practice of infection diseases</w:t>
      </w:r>
      <w:r>
        <w:rPr>
          <w:sz w:val="22"/>
        </w:rPr>
        <w:t>. Churchil Livingstone Inc., New York, N.Y. PP. 1748- </w:t>
      </w:r>
      <w:r>
        <w:rPr>
          <w:spacing w:val="-2"/>
          <w:sz w:val="22"/>
        </w:rPr>
        <w:t>1756.</w:t>
      </w:r>
    </w:p>
    <w:p>
      <w:pPr>
        <w:spacing w:after="0" w:line="276" w:lineRule="auto"/>
        <w:jc w:val="both"/>
        <w:rPr>
          <w:sz w:val="22"/>
        </w:rPr>
        <w:sectPr>
          <w:pgSz w:w="12240" w:h="15840"/>
          <w:pgMar w:header="0" w:footer="1017" w:top="1400" w:bottom="1200" w:left="520" w:right="260"/>
        </w:sectPr>
      </w:pPr>
    </w:p>
    <w:p>
      <w:pPr>
        <w:spacing w:line="273" w:lineRule="auto" w:before="41"/>
        <w:ind w:left="1640" w:right="1180" w:hanging="720"/>
        <w:jc w:val="both"/>
        <w:rPr>
          <w:sz w:val="22"/>
        </w:rPr>
      </w:pPr>
      <w:r>
        <w:rPr>
          <w:sz w:val="22"/>
        </w:rPr>
        <w:t>Byarugaba, D.K. (2004).Antimicrobial resistance in developing countries and responsible risk factors.</w:t>
      </w:r>
      <w:r>
        <w:rPr>
          <w:i/>
          <w:sz w:val="22"/>
        </w:rPr>
        <w:t>International journal of antimicrobial agents, </w:t>
      </w:r>
      <w:r>
        <w:rPr>
          <w:sz w:val="22"/>
        </w:rPr>
        <w:t>24(2): 105-110.</w:t>
      </w:r>
    </w:p>
    <w:p>
      <w:pPr>
        <w:pStyle w:val="BodyText"/>
        <w:spacing w:before="7"/>
      </w:pPr>
    </w:p>
    <w:p>
      <w:pPr>
        <w:spacing w:line="242" w:lineRule="auto" w:before="0"/>
        <w:ind w:left="1640" w:right="1179" w:hanging="720"/>
        <w:jc w:val="both"/>
        <w:rPr>
          <w:rFonts w:ascii="Times New Roman"/>
          <w:sz w:val="24"/>
        </w:rPr>
      </w:pPr>
      <w:r>
        <w:rPr>
          <w:rFonts w:ascii="Times New Roman"/>
          <w:sz w:val="24"/>
        </w:rPr>
        <w:t>Cambray, G., Guerout, A and Mazel, D. (2010).Integrons.</w:t>
      </w:r>
      <w:r>
        <w:rPr>
          <w:rFonts w:ascii="Times New Roman"/>
          <w:i/>
          <w:sz w:val="24"/>
        </w:rPr>
        <w:t>Annual Review of Genetics</w:t>
      </w:r>
      <w:r>
        <w:rPr>
          <w:rFonts w:ascii="Times New Roman"/>
          <w:sz w:val="24"/>
        </w:rPr>
        <w:t>, 44: 141- </w:t>
      </w:r>
      <w:r>
        <w:rPr>
          <w:rFonts w:ascii="Times New Roman"/>
          <w:spacing w:val="-4"/>
          <w:sz w:val="24"/>
        </w:rPr>
        <w:t>166.</w:t>
      </w:r>
    </w:p>
    <w:p>
      <w:pPr>
        <w:pStyle w:val="BodyText"/>
        <w:spacing w:before="7"/>
        <w:rPr>
          <w:rFonts w:ascii="Times New Roman"/>
          <w:sz w:val="24"/>
        </w:rPr>
      </w:pPr>
    </w:p>
    <w:p>
      <w:pPr>
        <w:pStyle w:val="BodyText"/>
        <w:spacing w:line="276" w:lineRule="auto"/>
        <w:ind w:left="1640" w:right="1175" w:hanging="720"/>
        <w:jc w:val="both"/>
      </w:pPr>
      <w:r>
        <w:rPr/>
        <w:t>Canganella, F., Ovidi, M., Paganini, S., Vettraino, A. M., Bevilacqua, L and Trovatelli, L.D. (1998). Survival of undesirable microorganisms in fruit yoghurts during storage at different temperatures.</w:t>
      </w:r>
      <w:r>
        <w:rPr>
          <w:i/>
        </w:rPr>
        <w:t>Food Microbiology</w:t>
      </w:r>
      <w:r>
        <w:rPr/>
        <w:t>, 15: 71-77.</w:t>
      </w:r>
    </w:p>
    <w:p>
      <w:pPr>
        <w:spacing w:line="278" w:lineRule="auto" w:before="240"/>
        <w:ind w:left="1640" w:right="1176" w:hanging="720"/>
        <w:jc w:val="both"/>
        <w:rPr>
          <w:sz w:val="22"/>
        </w:rPr>
      </w:pPr>
      <w:r>
        <w:rPr>
          <w:sz w:val="22"/>
        </w:rPr>
        <w:t>Carattoli, A. (2003). Plasmid-Mediated Antimicrobial Resistance in </w:t>
      </w:r>
      <w:r>
        <w:rPr>
          <w:i/>
          <w:sz w:val="22"/>
        </w:rPr>
        <w:t>Salmonella enterica</w:t>
      </w:r>
      <w:r>
        <w:rPr>
          <w:sz w:val="22"/>
        </w:rPr>
        <w:t>. </w:t>
      </w:r>
      <w:r>
        <w:rPr>
          <w:i/>
          <w:sz w:val="22"/>
        </w:rPr>
        <w:t>Current Issues in Molecular Biology</w:t>
      </w:r>
      <w:r>
        <w:rPr>
          <w:sz w:val="22"/>
        </w:rPr>
        <w:t>, 5: 113-122.</w:t>
      </w:r>
    </w:p>
    <w:p>
      <w:pPr>
        <w:spacing w:line="276" w:lineRule="auto" w:before="236"/>
        <w:ind w:left="1640" w:right="1173" w:hanging="720"/>
        <w:jc w:val="both"/>
        <w:rPr>
          <w:sz w:val="22"/>
        </w:rPr>
      </w:pPr>
      <w:r>
        <w:rPr>
          <w:sz w:val="22"/>
        </w:rPr>
        <w:t>Centre for Disease Control and Prevention. (1996). Outbreak of </w:t>
      </w:r>
      <w:r>
        <w:rPr>
          <w:i/>
          <w:sz w:val="22"/>
        </w:rPr>
        <w:t>Salmonella serotype typhimurium </w:t>
      </w:r>
      <w:r>
        <w:rPr>
          <w:sz w:val="22"/>
        </w:rPr>
        <w:t>infection associated with eating raw ground beef. </w:t>
      </w:r>
      <w:r>
        <w:rPr>
          <w:i/>
          <w:sz w:val="22"/>
        </w:rPr>
        <w:t>Journal of American Medical Association,</w:t>
      </w:r>
      <w:r>
        <w:rPr>
          <w:sz w:val="22"/>
        </w:rPr>
        <w:t>275: </w:t>
      </w:r>
      <w:r>
        <w:rPr>
          <w:spacing w:val="-2"/>
          <w:sz w:val="22"/>
        </w:rPr>
        <w:t>353-354</w:t>
      </w:r>
    </w:p>
    <w:p>
      <w:pPr>
        <w:pStyle w:val="BodyText"/>
        <w:spacing w:line="276" w:lineRule="auto" w:before="240"/>
        <w:ind w:left="1640" w:right="1177" w:hanging="720"/>
        <w:jc w:val="both"/>
      </w:pPr>
      <w:r>
        <w:rPr/>
        <w:t>Centre for Disease Control and Prevention. (2003). Multistate outbreak of </w:t>
      </w:r>
      <w:r>
        <w:rPr>
          <w:i/>
        </w:rPr>
        <w:t>Salmonella </w:t>
      </w:r>
      <w:r>
        <w:rPr/>
        <w:t>serotype Typhimurium infections associated with drinking unpasteurized milk-Illinois, Indiana, Ohio, and Tennessee, 2002–2003. </w:t>
      </w:r>
      <w:r>
        <w:rPr>
          <w:i/>
        </w:rPr>
        <w:t>Morbidity and Mortality Weekly Report</w:t>
      </w:r>
      <w:r>
        <w:rPr/>
        <w:t>, 52: 613–615.</w:t>
      </w:r>
    </w:p>
    <w:p>
      <w:pPr>
        <w:pStyle w:val="BodyText"/>
        <w:spacing w:before="240"/>
      </w:pPr>
    </w:p>
    <w:p>
      <w:pPr>
        <w:pStyle w:val="BodyText"/>
        <w:spacing w:line="276" w:lineRule="auto"/>
        <w:ind w:left="1640" w:right="1177" w:hanging="720"/>
        <w:jc w:val="both"/>
      </w:pPr>
      <w:r>
        <w:rPr/>
        <w:t>Centers for Disease Control and Prevention.(2010). Antibiotic Resistance Questions and Answers. Retrieved</w:t>
      </w:r>
      <w:r>
        <w:rPr>
          <w:spacing w:val="-4"/>
        </w:rPr>
        <w:t> </w:t>
      </w:r>
      <w:r>
        <w:rPr/>
        <w:t>April</w:t>
      </w:r>
      <w:r>
        <w:rPr>
          <w:spacing w:val="-1"/>
        </w:rPr>
        <w:t> </w:t>
      </w:r>
      <w:r>
        <w:rPr/>
        <w:t>7,</w:t>
      </w:r>
      <w:r>
        <w:rPr>
          <w:spacing w:val="-6"/>
        </w:rPr>
        <w:t> </w:t>
      </w:r>
      <w:r>
        <w:rPr/>
        <w:t>2011,</w:t>
      </w:r>
      <w:r>
        <w:rPr>
          <w:spacing w:val="-6"/>
        </w:rPr>
        <w:t> </w:t>
      </w:r>
      <w:r>
        <w:rPr/>
        <w:t>from </w:t>
      </w:r>
      <w:hyperlink r:id="rId16">
        <w:r>
          <w:rPr/>
          <w:t>http://www.cdc.gov/getsmart/antibiotic-use/anitbiotic-resistance-</w:t>
        </w:r>
      </w:hyperlink>
      <w:r>
        <w:rPr/>
        <w:t> </w:t>
      </w:r>
      <w:r>
        <w:rPr>
          <w:spacing w:val="-2"/>
        </w:rPr>
        <w:t>faqs.html</w:t>
      </w:r>
    </w:p>
    <w:p>
      <w:pPr>
        <w:pStyle w:val="BodyText"/>
      </w:pPr>
    </w:p>
    <w:p>
      <w:pPr>
        <w:pStyle w:val="BodyText"/>
        <w:spacing w:before="173"/>
      </w:pPr>
    </w:p>
    <w:p>
      <w:pPr>
        <w:pStyle w:val="BodyText"/>
        <w:spacing w:line="453" w:lineRule="auto"/>
        <w:ind w:left="1640" w:right="2410" w:hanging="720"/>
      </w:pPr>
      <w:r>
        <w:rPr/>
        <w:t>Centers</w:t>
      </w:r>
      <w:r>
        <w:rPr>
          <w:spacing w:val="-6"/>
        </w:rPr>
        <w:t> </w:t>
      </w:r>
      <w:r>
        <w:rPr/>
        <w:t>for</w:t>
      </w:r>
      <w:r>
        <w:rPr>
          <w:spacing w:val="-6"/>
        </w:rPr>
        <w:t> </w:t>
      </w:r>
      <w:r>
        <w:rPr/>
        <w:t>Disease</w:t>
      </w:r>
      <w:r>
        <w:rPr>
          <w:spacing w:val="-6"/>
        </w:rPr>
        <w:t> </w:t>
      </w:r>
      <w:r>
        <w:rPr/>
        <w:t>Control</w:t>
      </w:r>
      <w:r>
        <w:rPr>
          <w:spacing w:val="-4"/>
        </w:rPr>
        <w:t> </w:t>
      </w:r>
      <w:r>
        <w:rPr/>
        <w:t>and</w:t>
      </w:r>
      <w:r>
        <w:rPr>
          <w:spacing w:val="-7"/>
        </w:rPr>
        <w:t> </w:t>
      </w:r>
      <w:r>
        <w:rPr/>
        <w:t>Prevention.(2011).</w:t>
      </w:r>
      <w:r>
        <w:rPr>
          <w:spacing w:val="-4"/>
        </w:rPr>
        <w:t> </w:t>
      </w:r>
      <w:r>
        <w:rPr/>
        <w:t>Antimicrobial</w:t>
      </w:r>
      <w:r>
        <w:rPr>
          <w:spacing w:val="-4"/>
        </w:rPr>
        <w:t> </w:t>
      </w:r>
      <w:r>
        <w:rPr/>
        <w:t>Resistance.</w:t>
      </w:r>
      <w:r>
        <w:rPr>
          <w:spacing w:val="-4"/>
        </w:rPr>
        <w:t> </w:t>
      </w:r>
      <w:r>
        <w:rPr/>
        <w:t>Retrieved April 16, 2011, from </w:t>
      </w:r>
      <w:hyperlink r:id="rId17">
        <w:r>
          <w:rPr/>
          <w:t>http://www.cdc.gov/ncidod/aip/research/ar.html.</w:t>
        </w:r>
      </w:hyperlink>
    </w:p>
    <w:p>
      <w:pPr>
        <w:pStyle w:val="BodyText"/>
        <w:spacing w:line="273" w:lineRule="auto" w:before="41"/>
        <w:ind w:left="1640" w:right="1181" w:hanging="720"/>
      </w:pPr>
      <w:r>
        <w:rPr/>
        <w:t>Chalmers,</w:t>
      </w:r>
      <w:r>
        <w:rPr>
          <w:spacing w:val="-1"/>
        </w:rPr>
        <w:t> </w:t>
      </w:r>
      <w:r>
        <w:rPr/>
        <w:t>S.,</w:t>
      </w:r>
      <w:r>
        <w:rPr>
          <w:spacing w:val="-1"/>
        </w:rPr>
        <w:t> </w:t>
      </w:r>
      <w:r>
        <w:rPr/>
        <w:t>Sewitz, R., Lipkow,</w:t>
      </w:r>
      <w:r>
        <w:rPr>
          <w:spacing w:val="-1"/>
        </w:rPr>
        <w:t> </w:t>
      </w:r>
      <w:r>
        <w:rPr/>
        <w:t>K and Crellin,</w:t>
      </w:r>
      <w:r>
        <w:rPr>
          <w:spacing w:val="-1"/>
        </w:rPr>
        <w:t> </w:t>
      </w:r>
      <w:r>
        <w:rPr/>
        <w:t>P. (2000). Complete nucleotide sequence of Tn10. </w:t>
      </w:r>
      <w:r>
        <w:rPr>
          <w:i/>
        </w:rPr>
        <w:t>Journal of Bacteriology, </w:t>
      </w:r>
      <w:r>
        <w:rPr/>
        <w:t>182: 2970-2972.</w:t>
      </w:r>
    </w:p>
    <w:p>
      <w:pPr>
        <w:pStyle w:val="BodyText"/>
        <w:spacing w:line="278" w:lineRule="auto" w:before="242"/>
        <w:ind w:left="1640" w:right="1175" w:hanging="720"/>
        <w:jc w:val="both"/>
      </w:pPr>
      <w:r>
        <w:rPr/>
        <w:t>Chao,</w:t>
      </w:r>
      <w:r>
        <w:rPr>
          <w:spacing w:val="-1"/>
        </w:rPr>
        <w:t> </w:t>
      </w:r>
      <w:r>
        <w:rPr/>
        <w:t>G.X.,</w:t>
      </w:r>
      <w:r>
        <w:rPr>
          <w:spacing w:val="-1"/>
        </w:rPr>
        <w:t> </w:t>
      </w:r>
      <w:r>
        <w:rPr/>
        <w:t>Zhou,</w:t>
      </w:r>
      <w:r>
        <w:rPr>
          <w:spacing w:val="-1"/>
        </w:rPr>
        <w:t> </w:t>
      </w:r>
      <w:r>
        <w:rPr/>
        <w:t>X.H.,</w:t>
      </w:r>
      <w:r>
        <w:rPr>
          <w:spacing w:val="-1"/>
        </w:rPr>
        <w:t> </w:t>
      </w:r>
      <w:r>
        <w:rPr/>
        <w:t>Jiao,</w:t>
      </w:r>
      <w:r>
        <w:rPr>
          <w:spacing w:val="-1"/>
        </w:rPr>
        <w:t> </w:t>
      </w:r>
      <w:r>
        <w:rPr/>
        <w:t>X.N.,</w:t>
      </w:r>
      <w:r>
        <w:rPr>
          <w:spacing w:val="-1"/>
        </w:rPr>
        <w:t> </w:t>
      </w:r>
      <w:r>
        <w:rPr/>
        <w:t>Qian,</w:t>
      </w:r>
      <w:r>
        <w:rPr>
          <w:spacing w:val="-1"/>
        </w:rPr>
        <w:t> </w:t>
      </w:r>
      <w:r>
        <w:rPr/>
        <w:t>X. Q and Xu,</w:t>
      </w:r>
      <w:r>
        <w:rPr>
          <w:spacing w:val="-1"/>
        </w:rPr>
        <w:t> </w:t>
      </w:r>
      <w:r>
        <w:rPr/>
        <w:t>L. (2007). Prevalence and antimicrobial resistance of foodborne pathogens isolated from food products in China. </w:t>
      </w:r>
      <w:r>
        <w:rPr>
          <w:i/>
        </w:rPr>
        <w:t>Foodborne Pathogens and Disease</w:t>
      </w:r>
      <w:r>
        <w:rPr/>
        <w:t>, 4: 277-284.</w:t>
      </w:r>
    </w:p>
    <w:p>
      <w:pPr>
        <w:spacing w:line="273" w:lineRule="auto" w:before="237"/>
        <w:ind w:left="2360" w:right="1181" w:hanging="1440"/>
        <w:jc w:val="left"/>
        <w:rPr>
          <w:sz w:val="22"/>
        </w:rPr>
      </w:pPr>
      <w:r>
        <w:rPr>
          <w:sz w:val="22"/>
        </w:rPr>
        <w:t>Cheesbrough,</w:t>
      </w:r>
      <w:r>
        <w:rPr>
          <w:spacing w:val="80"/>
          <w:sz w:val="22"/>
        </w:rPr>
        <w:t> </w:t>
      </w:r>
      <w:r>
        <w:rPr>
          <w:sz w:val="22"/>
        </w:rPr>
        <w:t>M.</w:t>
      </w:r>
      <w:r>
        <w:rPr>
          <w:spacing w:val="80"/>
          <w:sz w:val="22"/>
        </w:rPr>
        <w:t> </w:t>
      </w:r>
      <w:r>
        <w:rPr>
          <w:sz w:val="22"/>
        </w:rPr>
        <w:t>(2000).</w:t>
      </w:r>
      <w:r>
        <w:rPr>
          <w:i/>
          <w:sz w:val="22"/>
        </w:rPr>
        <w:t>District</w:t>
      </w:r>
      <w:r>
        <w:rPr>
          <w:i/>
          <w:spacing w:val="80"/>
          <w:sz w:val="22"/>
        </w:rPr>
        <w:t> </w:t>
      </w:r>
      <w:r>
        <w:rPr>
          <w:i/>
          <w:sz w:val="22"/>
        </w:rPr>
        <w:t>laboratory</w:t>
      </w:r>
      <w:r>
        <w:rPr>
          <w:i/>
          <w:spacing w:val="80"/>
          <w:sz w:val="22"/>
        </w:rPr>
        <w:t> </w:t>
      </w:r>
      <w:r>
        <w:rPr>
          <w:i/>
          <w:sz w:val="22"/>
        </w:rPr>
        <w:t>practice</w:t>
      </w:r>
      <w:r>
        <w:rPr>
          <w:i/>
          <w:spacing w:val="80"/>
          <w:sz w:val="22"/>
        </w:rPr>
        <w:t> </w:t>
      </w:r>
      <w:r>
        <w:rPr>
          <w:i/>
          <w:sz w:val="22"/>
        </w:rPr>
        <w:t>in</w:t>
      </w:r>
      <w:r>
        <w:rPr>
          <w:i/>
          <w:spacing w:val="80"/>
          <w:sz w:val="22"/>
        </w:rPr>
        <w:t> </w:t>
      </w:r>
      <w:r>
        <w:rPr>
          <w:i/>
          <w:sz w:val="22"/>
        </w:rPr>
        <w:t>tropical</w:t>
      </w:r>
      <w:r>
        <w:rPr>
          <w:i/>
          <w:spacing w:val="80"/>
          <w:sz w:val="22"/>
        </w:rPr>
        <w:t> </w:t>
      </w:r>
      <w:r>
        <w:rPr>
          <w:i/>
          <w:sz w:val="22"/>
        </w:rPr>
        <w:t>countries</w:t>
      </w:r>
      <w:r>
        <w:rPr>
          <w:i/>
          <w:spacing w:val="80"/>
          <w:sz w:val="22"/>
        </w:rPr>
        <w:t> </w:t>
      </w:r>
      <w:r>
        <w:rPr>
          <w:sz w:val="22"/>
        </w:rPr>
        <w:t>(Part</w:t>
      </w:r>
      <w:r>
        <w:rPr>
          <w:spacing w:val="80"/>
          <w:sz w:val="22"/>
        </w:rPr>
        <w:t> </w:t>
      </w:r>
      <w:r>
        <w:rPr>
          <w:sz w:val="22"/>
        </w:rPr>
        <w:t>11).</w:t>
      </w:r>
      <w:r>
        <w:rPr>
          <w:spacing w:val="80"/>
          <w:sz w:val="22"/>
        </w:rPr>
        <w:t> </w:t>
      </w:r>
      <w:r>
        <w:rPr>
          <w:sz w:val="22"/>
        </w:rPr>
        <w:t>Cambridge, University Press, PP. 134-143.</w:t>
      </w:r>
    </w:p>
    <w:p>
      <w:pPr>
        <w:pStyle w:val="BodyText"/>
        <w:spacing w:line="278" w:lineRule="auto" w:before="242"/>
        <w:ind w:left="1640" w:right="1181" w:hanging="720"/>
      </w:pPr>
      <w:r>
        <w:rPr/>
        <w:t>Chen,</w:t>
      </w:r>
      <w:r>
        <w:rPr>
          <w:spacing w:val="-3"/>
        </w:rPr>
        <w:t> </w:t>
      </w:r>
      <w:r>
        <w:rPr/>
        <w:t>L.,</w:t>
      </w:r>
      <w:r>
        <w:rPr>
          <w:spacing w:val="-3"/>
        </w:rPr>
        <w:t> </w:t>
      </w:r>
      <w:r>
        <w:rPr/>
        <w:t>Daniel,</w:t>
      </w:r>
      <w:r>
        <w:rPr>
          <w:spacing w:val="-2"/>
        </w:rPr>
        <w:t> </w:t>
      </w:r>
      <w:r>
        <w:rPr/>
        <w:t>R. M</w:t>
      </w:r>
      <w:r>
        <w:rPr>
          <w:spacing w:val="-2"/>
        </w:rPr>
        <w:t> </w:t>
      </w:r>
      <w:r>
        <w:rPr/>
        <w:t>andCoolbear,</w:t>
      </w:r>
      <w:r>
        <w:rPr>
          <w:spacing w:val="-3"/>
        </w:rPr>
        <w:t> </w:t>
      </w:r>
      <w:r>
        <w:rPr/>
        <w:t>T.</w:t>
      </w:r>
      <w:r>
        <w:rPr>
          <w:spacing w:val="40"/>
        </w:rPr>
        <w:t> </w:t>
      </w:r>
      <w:r>
        <w:rPr/>
        <w:t>(2003). Detection</w:t>
      </w:r>
      <w:r>
        <w:rPr>
          <w:spacing w:val="-1"/>
        </w:rPr>
        <w:t> </w:t>
      </w:r>
      <w:r>
        <w:rPr/>
        <w:t>and</w:t>
      </w:r>
      <w:r>
        <w:rPr>
          <w:spacing w:val="-1"/>
        </w:rPr>
        <w:t> </w:t>
      </w:r>
      <w:r>
        <w:rPr/>
        <w:t>impact</w:t>
      </w:r>
      <w:r>
        <w:rPr>
          <w:spacing w:val="-2"/>
        </w:rPr>
        <w:t> </w:t>
      </w:r>
      <w:r>
        <w:rPr/>
        <w:t>of</w:t>
      </w:r>
      <w:r>
        <w:rPr>
          <w:spacing w:val="-1"/>
        </w:rPr>
        <w:t> </w:t>
      </w:r>
      <w:r>
        <w:rPr/>
        <w:t>protease and</w:t>
      </w:r>
      <w:r>
        <w:rPr>
          <w:spacing w:val="-1"/>
        </w:rPr>
        <w:t> </w:t>
      </w:r>
      <w:r>
        <w:rPr/>
        <w:t>468</w:t>
      </w:r>
      <w:r>
        <w:rPr>
          <w:spacing w:val="-2"/>
        </w:rPr>
        <w:t> </w:t>
      </w:r>
      <w:r>
        <w:rPr/>
        <w:t>lipase activities in milk and milk powders.</w:t>
      </w:r>
      <w:r>
        <w:rPr>
          <w:i/>
        </w:rPr>
        <w:t>International Dairy Journal</w:t>
      </w:r>
      <w:r>
        <w:rPr/>
        <w:t>, 13:255-275.</w:t>
      </w:r>
    </w:p>
    <w:p>
      <w:pPr>
        <w:spacing w:after="0" w:line="278" w:lineRule="auto"/>
        <w:sectPr>
          <w:pgSz w:w="12240" w:h="15840"/>
          <w:pgMar w:header="0" w:footer="1017" w:top="1400" w:bottom="1200" w:left="520" w:right="260"/>
        </w:sectPr>
      </w:pPr>
    </w:p>
    <w:p>
      <w:pPr>
        <w:pStyle w:val="BodyText"/>
        <w:spacing w:line="276" w:lineRule="auto" w:before="41"/>
        <w:ind w:left="1640" w:right="1173" w:hanging="720"/>
        <w:jc w:val="both"/>
      </w:pPr>
      <w:r>
        <w:rPr/>
        <w:t>Chen, S.</w:t>
      </w:r>
      <w:r>
        <w:rPr>
          <w:spacing w:val="80"/>
        </w:rPr>
        <w:t> </w:t>
      </w:r>
      <w:r>
        <w:rPr/>
        <w:t>Zhao, S.H., White, D.G., Schroeder, C.M., Lu, R and Yang, H.C.,</w:t>
      </w:r>
      <w:r>
        <w:rPr>
          <w:spacing w:val="40"/>
        </w:rPr>
        <w:t> </w:t>
      </w:r>
      <w:r>
        <w:rPr/>
        <w:t>Mcdermott, P.F., Ayers, S., Meng, J.H. (2004). Characterization of multiple antimicrobial- resistant </w:t>
      </w:r>
      <w:r>
        <w:rPr>
          <w:i/>
        </w:rPr>
        <w:t>Salmonella </w:t>
      </w:r>
      <w:r>
        <w:rPr/>
        <w:t>serovars isolated from retail meats. </w:t>
      </w:r>
      <w:r>
        <w:rPr>
          <w:i/>
        </w:rPr>
        <w:t>Applied Environmental Microbiology</w:t>
      </w:r>
      <w:r>
        <w:rPr/>
        <w:t>, 70: 1-7.</w:t>
      </w:r>
    </w:p>
    <w:p>
      <w:pPr>
        <w:spacing w:line="240" w:lineRule="auto" w:before="231"/>
        <w:ind w:left="1640" w:right="1176" w:hanging="720"/>
        <w:jc w:val="both"/>
        <w:rPr>
          <w:rFonts w:ascii="Times New Roman"/>
          <w:sz w:val="24"/>
        </w:rPr>
      </w:pPr>
      <w:r>
        <w:rPr>
          <w:rFonts w:ascii="Times New Roman"/>
          <w:sz w:val="24"/>
        </w:rPr>
        <w:t>Chiang, Y.C., Chang, L.T., Lin, C.W., Yang, C.Y and Tsen, H.Y. (2006).PCR primers for the detection of staphylococcal enterotoxins k, L and M and survey of staphylococcal enterotoxin types in </w:t>
      </w:r>
      <w:r>
        <w:rPr>
          <w:rFonts w:ascii="Times New Roman"/>
          <w:i/>
          <w:sz w:val="24"/>
        </w:rPr>
        <w:t>S.aureus </w:t>
      </w:r>
      <w:r>
        <w:rPr>
          <w:rFonts w:ascii="Times New Roman"/>
          <w:sz w:val="24"/>
        </w:rPr>
        <w:t>isolates from food poisoning cases in Taiwan.</w:t>
      </w:r>
      <w:r>
        <w:rPr>
          <w:rFonts w:ascii="Times New Roman"/>
          <w:i/>
          <w:sz w:val="24"/>
        </w:rPr>
        <w:t>Journal of Food Protection</w:t>
      </w:r>
      <w:r>
        <w:rPr>
          <w:rFonts w:ascii="Times New Roman"/>
          <w:sz w:val="24"/>
        </w:rPr>
        <w:t>, 69(5): 1072-1079.</w:t>
      </w:r>
    </w:p>
    <w:p>
      <w:pPr>
        <w:spacing w:line="273" w:lineRule="auto" w:before="249"/>
        <w:ind w:left="1640" w:right="1172" w:hanging="720"/>
        <w:jc w:val="both"/>
        <w:rPr>
          <w:sz w:val="22"/>
        </w:rPr>
      </w:pPr>
      <w:r>
        <w:rPr>
          <w:sz w:val="22"/>
        </w:rPr>
        <w:t>Chiang,</w:t>
      </w:r>
      <w:r>
        <w:rPr>
          <w:spacing w:val="-1"/>
          <w:sz w:val="22"/>
        </w:rPr>
        <w:t> </w:t>
      </w:r>
      <w:r>
        <w:rPr>
          <w:sz w:val="22"/>
        </w:rPr>
        <w:t>Y.C.,</w:t>
      </w:r>
      <w:r>
        <w:rPr>
          <w:spacing w:val="-1"/>
          <w:sz w:val="22"/>
        </w:rPr>
        <w:t> </w:t>
      </w:r>
      <w:r>
        <w:rPr>
          <w:sz w:val="22"/>
        </w:rPr>
        <w:t>Fan,</w:t>
      </w:r>
      <w:r>
        <w:rPr>
          <w:spacing w:val="-1"/>
          <w:sz w:val="22"/>
        </w:rPr>
        <w:t> </w:t>
      </w:r>
      <w:r>
        <w:rPr>
          <w:sz w:val="22"/>
        </w:rPr>
        <w:t>C.M.,</w:t>
      </w:r>
      <w:r>
        <w:rPr>
          <w:spacing w:val="-1"/>
          <w:sz w:val="22"/>
        </w:rPr>
        <w:t> </w:t>
      </w:r>
      <w:r>
        <w:rPr>
          <w:sz w:val="22"/>
        </w:rPr>
        <w:t>Liao,</w:t>
      </w:r>
      <w:r>
        <w:rPr>
          <w:spacing w:val="-1"/>
          <w:sz w:val="22"/>
        </w:rPr>
        <w:t> </w:t>
      </w:r>
      <w:r>
        <w:rPr>
          <w:sz w:val="22"/>
        </w:rPr>
        <w:t>W.W.,</w:t>
      </w:r>
      <w:r>
        <w:rPr>
          <w:spacing w:val="-1"/>
          <w:sz w:val="22"/>
        </w:rPr>
        <w:t> </w:t>
      </w:r>
      <w:r>
        <w:rPr>
          <w:sz w:val="22"/>
        </w:rPr>
        <w:t>Lin,</w:t>
      </w:r>
      <w:r>
        <w:rPr>
          <w:spacing w:val="-1"/>
          <w:sz w:val="22"/>
        </w:rPr>
        <w:t> </w:t>
      </w:r>
      <w:r>
        <w:rPr>
          <w:sz w:val="22"/>
        </w:rPr>
        <w:t>C.K and Tsen,</w:t>
      </w:r>
      <w:r>
        <w:rPr>
          <w:spacing w:val="-1"/>
          <w:sz w:val="22"/>
        </w:rPr>
        <w:t> </w:t>
      </w:r>
      <w:r>
        <w:rPr>
          <w:sz w:val="22"/>
        </w:rPr>
        <w:t>H.Y. (2007).Real-time PCR detection of </w:t>
      </w:r>
      <w:r>
        <w:rPr>
          <w:i/>
          <w:sz w:val="22"/>
        </w:rPr>
        <w:t>S. aureus </w:t>
      </w:r>
      <w:r>
        <w:rPr>
          <w:sz w:val="22"/>
        </w:rPr>
        <w:t>in milk.</w:t>
      </w:r>
      <w:r>
        <w:rPr>
          <w:i/>
          <w:sz w:val="22"/>
        </w:rPr>
        <w:t>Journal of Food Protection</w:t>
      </w:r>
      <w:r>
        <w:rPr>
          <w:sz w:val="22"/>
        </w:rPr>
        <w:t>, 70 (12): 2855-2859.</w:t>
      </w:r>
    </w:p>
    <w:p>
      <w:pPr>
        <w:spacing w:line="276" w:lineRule="auto" w:before="243"/>
        <w:ind w:left="1640" w:right="1171" w:hanging="720"/>
        <w:jc w:val="both"/>
        <w:rPr>
          <w:sz w:val="22"/>
        </w:rPr>
      </w:pPr>
      <w:r>
        <w:rPr>
          <w:sz w:val="22"/>
        </w:rPr>
        <w:t>Chopra, I and Roberts, M.C. (2001). Tetracycline antibiotics: mode of action, applications, molecular biology, and epidemiology of bacterial resistance. </w:t>
      </w:r>
      <w:r>
        <w:rPr>
          <w:i/>
          <w:sz w:val="22"/>
        </w:rPr>
        <w:t>Microbiology and Molecular Biology Reviews</w:t>
      </w:r>
      <w:r>
        <w:rPr>
          <w:sz w:val="22"/>
        </w:rPr>
        <w:t>, 65: 232-260.</w:t>
      </w:r>
    </w:p>
    <w:p>
      <w:pPr>
        <w:pStyle w:val="BodyText"/>
        <w:spacing w:line="276" w:lineRule="auto" w:before="239"/>
        <w:ind w:left="1640" w:right="1174" w:hanging="720"/>
        <w:jc w:val="both"/>
      </w:pPr>
      <w:r>
        <w:rPr/>
        <w:t>Christiaens, T.H., Heytens, S., Verichraegen, G., DeMeyere, M and DeMaeseneer, J. (1998). Which bacteria</w:t>
      </w:r>
      <w:r>
        <w:rPr>
          <w:spacing w:val="-2"/>
        </w:rPr>
        <w:t> </w:t>
      </w:r>
      <w:r>
        <w:rPr/>
        <w:t>are</w:t>
      </w:r>
      <w:r>
        <w:rPr>
          <w:spacing w:val="-1"/>
        </w:rPr>
        <w:t> </w:t>
      </w:r>
      <w:r>
        <w:rPr/>
        <w:t>found</w:t>
      </w:r>
      <w:r>
        <w:rPr>
          <w:spacing w:val="-2"/>
        </w:rPr>
        <w:t> </w:t>
      </w:r>
      <w:r>
        <w:rPr/>
        <w:t>among Belgian</w:t>
      </w:r>
      <w:r>
        <w:rPr>
          <w:spacing w:val="-2"/>
        </w:rPr>
        <w:t> </w:t>
      </w:r>
      <w:r>
        <w:rPr/>
        <w:t>women</w:t>
      </w:r>
      <w:r>
        <w:rPr>
          <w:spacing w:val="-2"/>
        </w:rPr>
        <w:t> </w:t>
      </w:r>
      <w:r>
        <w:rPr/>
        <w:t>with</w:t>
      </w:r>
      <w:r>
        <w:rPr>
          <w:spacing w:val="-2"/>
        </w:rPr>
        <w:t> </w:t>
      </w:r>
      <w:r>
        <w:rPr/>
        <w:t>uncomplicated</w:t>
      </w:r>
      <w:r>
        <w:rPr>
          <w:spacing w:val="-2"/>
        </w:rPr>
        <w:t> </w:t>
      </w:r>
      <w:r>
        <w:rPr/>
        <w:t>urinary</w:t>
      </w:r>
      <w:r>
        <w:rPr>
          <w:spacing w:val="-5"/>
        </w:rPr>
        <w:t> </w:t>
      </w:r>
      <w:r>
        <w:rPr/>
        <w:t>tract</w:t>
      </w:r>
      <w:r>
        <w:rPr>
          <w:spacing w:val="-3"/>
        </w:rPr>
        <w:t> </w:t>
      </w:r>
      <w:r>
        <w:rPr/>
        <w:t>infections</w:t>
      </w:r>
      <w:r>
        <w:rPr>
          <w:spacing w:val="-1"/>
        </w:rPr>
        <w:t> </w:t>
      </w:r>
      <w:r>
        <w:rPr/>
        <w:t>in</w:t>
      </w:r>
      <w:r>
        <w:rPr>
          <w:spacing w:val="-6"/>
        </w:rPr>
        <w:t> </w:t>
      </w:r>
      <w:r>
        <w:rPr/>
        <w:t>primary health</w:t>
      </w:r>
      <w:r>
        <w:rPr>
          <w:spacing w:val="-7"/>
        </w:rPr>
        <w:t> </w:t>
      </w:r>
      <w:r>
        <w:rPr/>
        <w:t>care</w:t>
      </w:r>
      <w:r>
        <w:rPr>
          <w:spacing w:val="-3"/>
        </w:rPr>
        <w:t> </w:t>
      </w:r>
      <w:r>
        <w:rPr/>
        <w:t>and</w:t>
      </w:r>
      <w:r>
        <w:rPr>
          <w:spacing w:val="-5"/>
        </w:rPr>
        <w:t> </w:t>
      </w:r>
      <w:r>
        <w:rPr/>
        <w:t>what is</w:t>
      </w:r>
      <w:r>
        <w:rPr>
          <w:spacing w:val="-4"/>
        </w:rPr>
        <w:t> </w:t>
      </w:r>
      <w:r>
        <w:rPr/>
        <w:t>their</w:t>
      </w:r>
      <w:r>
        <w:rPr>
          <w:spacing w:val="-3"/>
        </w:rPr>
        <w:t> </w:t>
      </w:r>
      <w:r>
        <w:rPr/>
        <w:t>sensitivity</w:t>
      </w:r>
      <w:r>
        <w:rPr>
          <w:spacing w:val="-2"/>
        </w:rPr>
        <w:t> </w:t>
      </w:r>
      <w:r>
        <w:rPr/>
        <w:t>pattern</w:t>
      </w:r>
      <w:r>
        <w:rPr>
          <w:spacing w:val="-5"/>
        </w:rPr>
        <w:t> </w:t>
      </w:r>
      <w:r>
        <w:rPr/>
        <w:t>anno</w:t>
      </w:r>
      <w:r>
        <w:rPr>
          <w:spacing w:val="-4"/>
        </w:rPr>
        <w:t> </w:t>
      </w:r>
      <w:r>
        <w:rPr/>
        <w:t>95-96?</w:t>
      </w:r>
      <w:r>
        <w:rPr>
          <w:spacing w:val="-5"/>
        </w:rPr>
        <w:t> </w:t>
      </w:r>
      <w:r>
        <w:rPr>
          <w:i/>
        </w:rPr>
        <w:t>Acta</w:t>
      </w:r>
      <w:r>
        <w:rPr>
          <w:i/>
          <w:spacing w:val="-2"/>
        </w:rPr>
        <w:t> </w:t>
      </w:r>
      <w:r>
        <w:rPr>
          <w:i/>
        </w:rPr>
        <w:t>Clinica</w:t>
      </w:r>
      <w:r>
        <w:rPr>
          <w:i/>
          <w:spacing w:val="-1"/>
        </w:rPr>
        <w:t> </w:t>
      </w:r>
      <w:r>
        <w:rPr>
          <w:i/>
        </w:rPr>
        <w:t>Belgica</w:t>
      </w:r>
      <w:r>
        <w:rPr/>
        <w:t>,</w:t>
      </w:r>
      <w:r>
        <w:rPr>
          <w:spacing w:val="-6"/>
        </w:rPr>
        <w:t> </w:t>
      </w:r>
      <w:r>
        <w:rPr/>
        <w:t>53</w:t>
      </w:r>
      <w:r>
        <w:rPr>
          <w:spacing w:val="-4"/>
        </w:rPr>
        <w:t> </w:t>
      </w:r>
      <w:r>
        <w:rPr/>
        <w:t>(3)</w:t>
      </w:r>
      <w:r>
        <w:rPr>
          <w:spacing w:val="-3"/>
        </w:rPr>
        <w:t> </w:t>
      </w:r>
      <w:r>
        <w:rPr/>
        <w:t>184-</w:t>
      </w:r>
      <w:r>
        <w:rPr>
          <w:spacing w:val="-4"/>
        </w:rPr>
        <w:t>188.</w:t>
      </w:r>
    </w:p>
    <w:p>
      <w:pPr>
        <w:pStyle w:val="BodyText"/>
        <w:tabs>
          <w:tab w:pos="9214" w:val="left" w:leader="none"/>
        </w:tabs>
        <w:spacing w:before="240"/>
        <w:ind w:left="920"/>
      </w:pPr>
      <w:r>
        <w:rPr/>
        <w:t>Chui,</w:t>
      </w:r>
      <w:r>
        <w:rPr>
          <w:spacing w:val="35"/>
        </w:rPr>
        <w:t> </w:t>
      </w:r>
      <w:r>
        <w:rPr/>
        <w:t>C.H.,</w:t>
      </w:r>
      <w:r>
        <w:rPr>
          <w:spacing w:val="38"/>
        </w:rPr>
        <w:t> </w:t>
      </w:r>
      <w:r>
        <w:rPr/>
        <w:t>Wu,</w:t>
      </w:r>
      <w:r>
        <w:rPr>
          <w:spacing w:val="38"/>
        </w:rPr>
        <w:t> </w:t>
      </w:r>
      <w:r>
        <w:rPr/>
        <w:t>T.L.,</w:t>
      </w:r>
      <w:r>
        <w:rPr>
          <w:spacing w:val="38"/>
        </w:rPr>
        <w:t> </w:t>
      </w:r>
      <w:r>
        <w:rPr/>
        <w:t>Su,</w:t>
      </w:r>
      <w:r>
        <w:rPr>
          <w:spacing w:val="38"/>
        </w:rPr>
        <w:t> </w:t>
      </w:r>
      <w:r>
        <w:rPr/>
        <w:t>L.H.,</w:t>
      </w:r>
      <w:r>
        <w:rPr>
          <w:spacing w:val="38"/>
        </w:rPr>
        <w:t> </w:t>
      </w:r>
      <w:r>
        <w:rPr/>
        <w:t>Chu,</w:t>
      </w:r>
      <w:r>
        <w:rPr>
          <w:spacing w:val="38"/>
        </w:rPr>
        <w:t> </w:t>
      </w:r>
      <w:r>
        <w:rPr/>
        <w:t>C.,</w:t>
      </w:r>
      <w:r>
        <w:rPr>
          <w:spacing w:val="38"/>
        </w:rPr>
        <w:t> </w:t>
      </w:r>
      <w:r>
        <w:rPr/>
        <w:t>Chia,</w:t>
      </w:r>
      <w:r>
        <w:rPr>
          <w:spacing w:val="38"/>
        </w:rPr>
        <w:t> </w:t>
      </w:r>
      <w:r>
        <w:rPr/>
        <w:t>J.H.,</w:t>
      </w:r>
      <w:r>
        <w:rPr>
          <w:spacing w:val="37"/>
        </w:rPr>
        <w:t> </w:t>
      </w:r>
      <w:r>
        <w:rPr/>
        <w:t>Kuo,</w:t>
      </w:r>
      <w:r>
        <w:rPr>
          <w:spacing w:val="38"/>
        </w:rPr>
        <w:t> </w:t>
      </w:r>
      <w:r>
        <w:rPr/>
        <w:t>A.J.,</w:t>
      </w:r>
      <w:r>
        <w:rPr>
          <w:spacing w:val="38"/>
        </w:rPr>
        <w:t> </w:t>
      </w:r>
      <w:r>
        <w:rPr/>
        <w:t>Chien,</w:t>
      </w:r>
      <w:r>
        <w:rPr>
          <w:spacing w:val="38"/>
        </w:rPr>
        <w:t> </w:t>
      </w:r>
      <w:r>
        <w:rPr/>
        <w:t>M.</w:t>
      </w:r>
      <w:r>
        <w:rPr>
          <w:spacing w:val="45"/>
        </w:rPr>
        <w:t> </w:t>
      </w:r>
      <w:r>
        <w:rPr/>
        <w:t>S</w:t>
      </w:r>
      <w:r>
        <w:rPr>
          <w:spacing w:val="40"/>
        </w:rPr>
        <w:t> </w:t>
      </w:r>
      <w:r>
        <w:rPr/>
        <w:t>and</w:t>
      </w:r>
      <w:r>
        <w:rPr>
          <w:spacing w:val="40"/>
        </w:rPr>
        <w:t> </w:t>
      </w:r>
      <w:r>
        <w:rPr/>
        <w:t>Lin,</w:t>
      </w:r>
      <w:r>
        <w:rPr>
          <w:spacing w:val="38"/>
        </w:rPr>
        <w:t> </w:t>
      </w:r>
      <w:r>
        <w:rPr/>
        <w:t>T.</w:t>
      </w:r>
      <w:r>
        <w:rPr>
          <w:spacing w:val="42"/>
        </w:rPr>
        <w:t> </w:t>
      </w:r>
      <w:r>
        <w:rPr>
          <w:spacing w:val="-5"/>
        </w:rPr>
        <w:t>Y.</w:t>
      </w:r>
      <w:r>
        <w:rPr/>
        <w:tab/>
        <w:t>(2002).</w:t>
      </w:r>
      <w:r>
        <w:rPr>
          <w:spacing w:val="39"/>
        </w:rPr>
        <w:t> </w:t>
      </w:r>
      <w:r>
        <w:rPr>
          <w:spacing w:val="-5"/>
        </w:rPr>
        <w:t>The</w:t>
      </w:r>
    </w:p>
    <w:p>
      <w:pPr>
        <w:tabs>
          <w:tab w:pos="9487" w:val="left" w:leader="none"/>
        </w:tabs>
        <w:spacing w:line="273" w:lineRule="auto" w:before="44"/>
        <w:ind w:left="1640" w:right="1183" w:firstLine="0"/>
        <w:jc w:val="left"/>
        <w:rPr>
          <w:sz w:val="22"/>
        </w:rPr>
      </w:pPr>
      <w:r>
        <w:rPr>
          <w:sz w:val="22"/>
        </w:rPr>
        <w:t>emergence in Taiwan of fluoroquinelone resistance in </w:t>
      </w:r>
      <w:r>
        <w:rPr>
          <w:i/>
          <w:sz w:val="22"/>
        </w:rPr>
        <w:t>Salmonella </w:t>
      </w:r>
      <w:r>
        <w:rPr>
          <w:sz w:val="22"/>
        </w:rPr>
        <w:t>enteric</w:t>
        <w:tab/>
      </w:r>
      <w:r>
        <w:rPr>
          <w:spacing w:val="-2"/>
          <w:sz w:val="22"/>
        </w:rPr>
        <w:t>serotype </w:t>
      </w:r>
      <w:r>
        <w:rPr>
          <w:sz w:val="22"/>
        </w:rPr>
        <w:t>Cholerasuls. </w:t>
      </w:r>
      <w:r>
        <w:rPr>
          <w:i/>
          <w:sz w:val="22"/>
        </w:rPr>
        <w:t>TheNew England Journal of Medicine</w:t>
      </w:r>
      <w:r>
        <w:rPr>
          <w:sz w:val="22"/>
        </w:rPr>
        <w:t>, 346:416-419</w:t>
      </w:r>
    </w:p>
    <w:p>
      <w:pPr>
        <w:pStyle w:val="BodyText"/>
        <w:spacing w:line="278" w:lineRule="auto" w:before="242"/>
        <w:ind w:left="1640" w:right="1179" w:hanging="720"/>
        <w:jc w:val="both"/>
      </w:pPr>
      <w:r>
        <w:rPr/>
        <w:t>Chye, F.Y., Abdullah, A and Ayob, M.K. (2004).Bacteriological quality and safety of raw milk in Malaysia.</w:t>
      </w:r>
      <w:r>
        <w:rPr>
          <w:i/>
        </w:rPr>
        <w:t>Food Microbiology</w:t>
      </w:r>
      <w:r>
        <w:rPr/>
        <w:t>, 21: 535–541.</w:t>
      </w:r>
    </w:p>
    <w:p>
      <w:pPr>
        <w:spacing w:line="278" w:lineRule="auto" w:before="236"/>
        <w:ind w:left="1640" w:right="1181" w:hanging="720"/>
        <w:jc w:val="both"/>
        <w:rPr>
          <w:sz w:val="22"/>
        </w:rPr>
      </w:pPr>
      <w:r>
        <w:rPr>
          <w:sz w:val="22"/>
        </w:rPr>
        <w:t>Clinical Laboratory Standards Institute (CLSI) (2002). </w:t>
      </w:r>
      <w:r>
        <w:rPr>
          <w:i/>
          <w:sz w:val="22"/>
        </w:rPr>
        <w:t>Performance standard for antimicrobial susceptibility testing</w:t>
      </w:r>
      <w:r>
        <w:rPr>
          <w:sz w:val="22"/>
        </w:rPr>
        <w:t>.Approved standard M31-A3.3rd edition.Vol. 26 (3): 32- 35.</w:t>
      </w:r>
    </w:p>
    <w:p>
      <w:pPr>
        <w:spacing w:before="236"/>
        <w:ind w:left="920" w:right="0" w:firstLine="0"/>
        <w:jc w:val="left"/>
        <w:rPr>
          <w:sz w:val="22"/>
        </w:rPr>
      </w:pPr>
      <w:r>
        <w:rPr>
          <w:sz w:val="22"/>
        </w:rPr>
        <w:t>Cliver,</w:t>
      </w:r>
      <w:r>
        <w:rPr>
          <w:spacing w:val="-6"/>
          <w:sz w:val="22"/>
        </w:rPr>
        <w:t> </w:t>
      </w:r>
      <w:r>
        <w:rPr>
          <w:sz w:val="22"/>
        </w:rPr>
        <w:t>O.</w:t>
      </w:r>
      <w:r>
        <w:rPr>
          <w:spacing w:val="-2"/>
          <w:sz w:val="22"/>
        </w:rPr>
        <w:t> </w:t>
      </w:r>
      <w:r>
        <w:rPr>
          <w:sz w:val="22"/>
        </w:rPr>
        <w:t>D.</w:t>
      </w:r>
      <w:r>
        <w:rPr>
          <w:spacing w:val="-2"/>
          <w:sz w:val="22"/>
        </w:rPr>
        <w:t> </w:t>
      </w:r>
      <w:r>
        <w:rPr>
          <w:sz w:val="22"/>
        </w:rPr>
        <w:t>(1990).</w:t>
      </w:r>
      <w:r>
        <w:rPr>
          <w:spacing w:val="-2"/>
          <w:sz w:val="22"/>
        </w:rPr>
        <w:t> </w:t>
      </w:r>
      <w:r>
        <w:rPr>
          <w:i/>
          <w:sz w:val="22"/>
        </w:rPr>
        <w:t>Food-borne</w:t>
      </w:r>
      <w:r>
        <w:rPr>
          <w:i/>
          <w:spacing w:val="-4"/>
          <w:sz w:val="22"/>
        </w:rPr>
        <w:t> </w:t>
      </w:r>
      <w:r>
        <w:rPr>
          <w:i/>
          <w:sz w:val="22"/>
        </w:rPr>
        <w:t>Diseases.</w:t>
      </w:r>
      <w:r>
        <w:rPr>
          <w:i/>
          <w:spacing w:val="-2"/>
          <w:sz w:val="22"/>
        </w:rPr>
        <w:t> </w:t>
      </w:r>
      <w:r>
        <w:rPr>
          <w:sz w:val="22"/>
        </w:rPr>
        <w:t>Academic</w:t>
      </w:r>
      <w:r>
        <w:rPr>
          <w:spacing w:val="-5"/>
          <w:sz w:val="22"/>
        </w:rPr>
        <w:t> </w:t>
      </w:r>
      <w:r>
        <w:rPr>
          <w:sz w:val="22"/>
        </w:rPr>
        <w:t>Press,</w:t>
      </w:r>
      <w:r>
        <w:rPr>
          <w:spacing w:val="-6"/>
          <w:sz w:val="22"/>
        </w:rPr>
        <w:t> </w:t>
      </w:r>
      <w:r>
        <w:rPr>
          <w:sz w:val="22"/>
        </w:rPr>
        <w:t>Inc.</w:t>
      </w:r>
      <w:r>
        <w:rPr>
          <w:spacing w:val="-2"/>
          <w:sz w:val="22"/>
        </w:rPr>
        <w:t> </w:t>
      </w:r>
      <w:r>
        <w:rPr>
          <w:sz w:val="22"/>
        </w:rPr>
        <w:t>San</w:t>
      </w:r>
      <w:r>
        <w:rPr>
          <w:spacing w:val="-5"/>
          <w:sz w:val="22"/>
        </w:rPr>
        <w:t> </w:t>
      </w:r>
      <w:r>
        <w:rPr>
          <w:sz w:val="22"/>
        </w:rPr>
        <w:t>Diego,California,</w:t>
      </w:r>
      <w:r>
        <w:rPr>
          <w:spacing w:val="-5"/>
          <w:sz w:val="22"/>
        </w:rPr>
        <w:t> </w:t>
      </w:r>
      <w:r>
        <w:rPr>
          <w:spacing w:val="-2"/>
          <w:sz w:val="22"/>
        </w:rPr>
        <w:t>92101.</w:t>
      </w:r>
    </w:p>
    <w:p>
      <w:pPr>
        <w:pStyle w:val="BodyText"/>
        <w:spacing w:before="10"/>
      </w:pPr>
    </w:p>
    <w:p>
      <w:pPr>
        <w:spacing w:line="278" w:lineRule="auto" w:before="0"/>
        <w:ind w:left="1640" w:right="1175" w:hanging="720"/>
        <w:jc w:val="both"/>
        <w:rPr>
          <w:sz w:val="22"/>
        </w:rPr>
      </w:pPr>
      <w:r>
        <w:rPr>
          <w:sz w:val="22"/>
        </w:rPr>
        <w:t>Cloeckaert,</w:t>
      </w:r>
      <w:r>
        <w:rPr>
          <w:spacing w:val="-3"/>
          <w:sz w:val="22"/>
        </w:rPr>
        <w:t> </w:t>
      </w:r>
      <w:r>
        <w:rPr>
          <w:sz w:val="22"/>
        </w:rPr>
        <w:t>A and</w:t>
      </w:r>
      <w:r>
        <w:rPr>
          <w:spacing w:val="-6"/>
          <w:sz w:val="22"/>
        </w:rPr>
        <w:t> </w:t>
      </w:r>
      <w:r>
        <w:rPr>
          <w:sz w:val="22"/>
        </w:rPr>
        <w:t>Chaslus-Dancla,</w:t>
      </w:r>
      <w:r>
        <w:rPr>
          <w:spacing w:val="-3"/>
          <w:sz w:val="22"/>
        </w:rPr>
        <w:t> </w:t>
      </w:r>
      <w:r>
        <w:rPr>
          <w:sz w:val="22"/>
        </w:rPr>
        <w:t>E. (2001). Mechanism of</w:t>
      </w:r>
      <w:r>
        <w:rPr>
          <w:spacing w:val="-1"/>
          <w:sz w:val="22"/>
        </w:rPr>
        <w:t> </w:t>
      </w:r>
      <w:r>
        <w:rPr>
          <w:sz w:val="22"/>
        </w:rPr>
        <w:t>quinolone resistance in</w:t>
      </w:r>
      <w:r>
        <w:rPr>
          <w:spacing w:val="-4"/>
          <w:sz w:val="22"/>
        </w:rPr>
        <w:t> </w:t>
      </w:r>
      <w:r>
        <w:rPr>
          <w:i/>
          <w:sz w:val="22"/>
        </w:rPr>
        <w:t>SalmonellaVeterinary Research</w:t>
      </w:r>
      <w:r>
        <w:rPr>
          <w:sz w:val="22"/>
        </w:rPr>
        <w:t>, 32: 291-300.</w:t>
      </w:r>
    </w:p>
    <w:p>
      <w:pPr>
        <w:pStyle w:val="BodyText"/>
      </w:pPr>
    </w:p>
    <w:p>
      <w:pPr>
        <w:pStyle w:val="BodyText"/>
        <w:spacing w:before="169"/>
      </w:pPr>
    </w:p>
    <w:p>
      <w:pPr>
        <w:pStyle w:val="BodyText"/>
        <w:spacing w:line="273" w:lineRule="auto" w:before="1"/>
        <w:ind w:left="1640" w:right="1171" w:hanging="720"/>
        <w:jc w:val="both"/>
      </w:pPr>
      <w:r>
        <w:rPr/>
        <w:t>Cohen, S.N. (1993). Bacterial plasmids: Their extraordinary contribution to molecular genetics. </w:t>
      </w:r>
      <w:r>
        <w:rPr>
          <w:i/>
        </w:rPr>
        <w:t>Gene</w:t>
      </w:r>
      <w:r>
        <w:rPr/>
        <w:t>, 135: 67-76.</w:t>
      </w:r>
    </w:p>
    <w:p>
      <w:pPr>
        <w:spacing w:line="240" w:lineRule="auto" w:before="232"/>
        <w:ind w:left="1640" w:right="1179" w:hanging="720"/>
        <w:jc w:val="both"/>
        <w:rPr>
          <w:rFonts w:ascii="Times New Roman"/>
          <w:sz w:val="24"/>
        </w:rPr>
      </w:pPr>
      <w:r>
        <w:rPr>
          <w:rFonts w:ascii="Times New Roman"/>
          <w:sz w:val="24"/>
        </w:rPr>
        <w:t>Collignon, P., Powers, J.H., Chiller, T.M., Aidara-Kane, A. and Aarestrup, F.M. (2009). World Health Organization Ranking of Antimicrobials According to Their Importance in</w:t>
      </w:r>
      <w:r>
        <w:rPr>
          <w:rFonts w:ascii="Times New Roman"/>
          <w:spacing w:val="40"/>
          <w:sz w:val="24"/>
        </w:rPr>
        <w:t> </w:t>
      </w:r>
      <w:r>
        <w:rPr>
          <w:rFonts w:ascii="Times New Roman"/>
          <w:sz w:val="24"/>
        </w:rPr>
        <w:t>Human Medicine: A Critical Step for Developing Risk Management Strategies for the Use of Antimicrobials in Food Production Animals. </w:t>
      </w:r>
      <w:r>
        <w:rPr>
          <w:rFonts w:ascii="Times New Roman"/>
          <w:i/>
          <w:sz w:val="24"/>
        </w:rPr>
        <w:t>Clinical Infectious Diseases</w:t>
      </w:r>
      <w:r>
        <w:rPr>
          <w:rFonts w:ascii="Times New Roman"/>
          <w:sz w:val="24"/>
        </w:rPr>
        <w:t>, 49:</w:t>
      </w:r>
      <w:r>
        <w:rPr>
          <w:rFonts w:ascii="Times New Roman"/>
          <w:spacing w:val="40"/>
          <w:sz w:val="24"/>
        </w:rPr>
        <w:t> </w:t>
      </w:r>
      <w:r>
        <w:rPr>
          <w:rFonts w:ascii="Times New Roman"/>
          <w:spacing w:val="-2"/>
          <w:sz w:val="24"/>
        </w:rPr>
        <w:t>132-141.</w:t>
      </w:r>
    </w:p>
    <w:p>
      <w:pPr>
        <w:spacing w:after="0" w:line="240" w:lineRule="auto"/>
        <w:jc w:val="both"/>
        <w:rPr>
          <w:rFonts w:ascii="Times New Roman"/>
          <w:sz w:val="24"/>
        </w:rPr>
        <w:sectPr>
          <w:pgSz w:w="12240" w:h="15840"/>
          <w:pgMar w:header="0" w:footer="1017" w:top="1400" w:bottom="1200" w:left="520" w:right="260"/>
        </w:sectPr>
      </w:pPr>
    </w:p>
    <w:p>
      <w:pPr>
        <w:spacing w:line="276" w:lineRule="auto" w:before="41"/>
        <w:ind w:left="1640" w:right="1176" w:hanging="720"/>
        <w:jc w:val="both"/>
        <w:rPr>
          <w:sz w:val="22"/>
        </w:rPr>
      </w:pPr>
      <w:r>
        <w:rPr>
          <w:sz w:val="22"/>
        </w:rPr>
        <w:t>Conter, M., Paludi, D., Zanardi, E., Ghidni, S., Vergara, A and Ianieri, A. (2009).Characterization of Antimicrobial Resistance of Foodborne </w:t>
      </w:r>
      <w:r>
        <w:rPr>
          <w:i/>
          <w:sz w:val="22"/>
        </w:rPr>
        <w:t>Listeria monocytogenes</w:t>
      </w:r>
      <w:r>
        <w:rPr>
          <w:sz w:val="22"/>
        </w:rPr>
        <w:t>.</w:t>
      </w:r>
      <w:r>
        <w:rPr>
          <w:i/>
          <w:sz w:val="22"/>
        </w:rPr>
        <w:t>International Journal of Food Microbiology</w:t>
      </w:r>
      <w:r>
        <w:rPr>
          <w:sz w:val="22"/>
        </w:rPr>
        <w:t>, 128: 497-500.</w:t>
      </w:r>
    </w:p>
    <w:p>
      <w:pPr>
        <w:spacing w:before="240"/>
        <w:ind w:left="0" w:right="259" w:firstLine="0"/>
        <w:jc w:val="center"/>
        <w:rPr>
          <w:sz w:val="22"/>
        </w:rPr>
      </w:pPr>
      <w:r>
        <w:rPr>
          <w:sz w:val="22"/>
        </w:rPr>
        <w:t>Cowan,</w:t>
      </w:r>
      <w:r>
        <w:rPr>
          <w:spacing w:val="40"/>
          <w:sz w:val="22"/>
        </w:rPr>
        <w:t> </w:t>
      </w:r>
      <w:r>
        <w:rPr>
          <w:sz w:val="22"/>
        </w:rPr>
        <w:t>S.T</w:t>
      </w:r>
      <w:r>
        <w:rPr>
          <w:spacing w:val="40"/>
          <w:sz w:val="22"/>
        </w:rPr>
        <w:t> </w:t>
      </w:r>
      <w:r>
        <w:rPr>
          <w:sz w:val="22"/>
        </w:rPr>
        <w:t>and</w:t>
      </w:r>
      <w:r>
        <w:rPr>
          <w:spacing w:val="41"/>
          <w:sz w:val="22"/>
        </w:rPr>
        <w:t> </w:t>
      </w:r>
      <w:r>
        <w:rPr>
          <w:sz w:val="22"/>
        </w:rPr>
        <w:t>Steel,</w:t>
      </w:r>
      <w:r>
        <w:rPr>
          <w:spacing w:val="40"/>
          <w:sz w:val="22"/>
        </w:rPr>
        <w:t> </w:t>
      </w:r>
      <w:r>
        <w:rPr>
          <w:sz w:val="22"/>
        </w:rPr>
        <w:t>K.J.</w:t>
      </w:r>
      <w:r>
        <w:rPr>
          <w:spacing w:val="44"/>
          <w:sz w:val="22"/>
        </w:rPr>
        <w:t> </w:t>
      </w:r>
      <w:r>
        <w:rPr>
          <w:sz w:val="22"/>
        </w:rPr>
        <w:t>(1993).</w:t>
      </w:r>
      <w:r>
        <w:rPr>
          <w:spacing w:val="47"/>
          <w:sz w:val="22"/>
        </w:rPr>
        <w:t> </w:t>
      </w:r>
      <w:r>
        <w:rPr>
          <w:i/>
          <w:sz w:val="22"/>
        </w:rPr>
        <w:t>Cowan</w:t>
      </w:r>
      <w:r>
        <w:rPr>
          <w:i/>
          <w:spacing w:val="44"/>
          <w:sz w:val="22"/>
        </w:rPr>
        <w:t> </w:t>
      </w:r>
      <w:r>
        <w:rPr>
          <w:i/>
          <w:sz w:val="22"/>
        </w:rPr>
        <w:t>and</w:t>
      </w:r>
      <w:r>
        <w:rPr>
          <w:i/>
          <w:spacing w:val="44"/>
          <w:sz w:val="22"/>
        </w:rPr>
        <w:t> </w:t>
      </w:r>
      <w:r>
        <w:rPr>
          <w:i/>
          <w:sz w:val="22"/>
        </w:rPr>
        <w:t>Steel’s</w:t>
      </w:r>
      <w:r>
        <w:rPr>
          <w:i/>
          <w:spacing w:val="43"/>
          <w:sz w:val="22"/>
        </w:rPr>
        <w:t> </w:t>
      </w:r>
      <w:r>
        <w:rPr>
          <w:i/>
          <w:sz w:val="22"/>
        </w:rPr>
        <w:t>manual</w:t>
      </w:r>
      <w:r>
        <w:rPr>
          <w:i/>
          <w:spacing w:val="44"/>
          <w:sz w:val="22"/>
        </w:rPr>
        <w:t> </w:t>
      </w:r>
      <w:r>
        <w:rPr>
          <w:i/>
          <w:sz w:val="22"/>
        </w:rPr>
        <w:t>for</w:t>
      </w:r>
      <w:r>
        <w:rPr>
          <w:i/>
          <w:spacing w:val="43"/>
          <w:sz w:val="22"/>
        </w:rPr>
        <w:t> </w:t>
      </w:r>
      <w:r>
        <w:rPr>
          <w:i/>
          <w:sz w:val="22"/>
        </w:rPr>
        <w:t>identification</w:t>
      </w:r>
      <w:r>
        <w:rPr>
          <w:i/>
          <w:spacing w:val="44"/>
          <w:sz w:val="22"/>
        </w:rPr>
        <w:t> </w:t>
      </w:r>
      <w:r>
        <w:rPr>
          <w:i/>
          <w:sz w:val="22"/>
        </w:rPr>
        <w:t>of</w:t>
      </w:r>
      <w:r>
        <w:rPr>
          <w:i/>
          <w:spacing w:val="42"/>
          <w:sz w:val="22"/>
        </w:rPr>
        <w:t> </w:t>
      </w:r>
      <w:r>
        <w:rPr>
          <w:i/>
          <w:sz w:val="22"/>
        </w:rPr>
        <w:t>medical</w:t>
      </w:r>
      <w:r>
        <w:rPr>
          <w:i/>
          <w:spacing w:val="44"/>
          <w:sz w:val="22"/>
        </w:rPr>
        <w:t> </w:t>
      </w:r>
      <w:r>
        <w:rPr>
          <w:i/>
          <w:spacing w:val="-2"/>
          <w:sz w:val="22"/>
        </w:rPr>
        <w:t>bacteria</w:t>
      </w:r>
      <w:r>
        <w:rPr>
          <w:spacing w:val="-2"/>
          <w:sz w:val="22"/>
        </w:rPr>
        <w:t>.</w:t>
      </w:r>
    </w:p>
    <w:p>
      <w:pPr>
        <w:pStyle w:val="BodyText"/>
        <w:spacing w:before="39"/>
        <w:ind w:left="35"/>
        <w:jc w:val="center"/>
      </w:pPr>
      <w:r>
        <w:rPr/>
        <w:t>Barrow,</w:t>
      </w:r>
      <w:r>
        <w:rPr>
          <w:spacing w:val="-6"/>
        </w:rPr>
        <w:t> </w:t>
      </w:r>
      <w:r>
        <w:rPr/>
        <w:t>G.I</w:t>
      </w:r>
      <w:r>
        <w:rPr>
          <w:spacing w:val="-2"/>
        </w:rPr>
        <w:t> </w:t>
      </w:r>
      <w:r>
        <w:rPr/>
        <w:t>and</w:t>
      </w:r>
      <w:r>
        <w:rPr>
          <w:spacing w:val="-5"/>
        </w:rPr>
        <w:t> </w:t>
      </w:r>
      <w:r>
        <w:rPr/>
        <w:t>Feltham,</w:t>
      </w:r>
      <w:r>
        <w:rPr>
          <w:spacing w:val="-6"/>
        </w:rPr>
        <w:t> </w:t>
      </w:r>
      <w:r>
        <w:rPr/>
        <w:t>R.K.A</w:t>
      </w:r>
      <w:r>
        <w:rPr>
          <w:spacing w:val="-2"/>
        </w:rPr>
        <w:t> </w:t>
      </w:r>
      <w:r>
        <w:rPr/>
        <w:t>(Eds.)</w:t>
      </w:r>
      <w:r>
        <w:rPr>
          <w:spacing w:val="-4"/>
        </w:rPr>
        <w:t> </w:t>
      </w:r>
      <w:r>
        <w:rPr/>
        <w:t>Third</w:t>
      </w:r>
      <w:r>
        <w:rPr>
          <w:spacing w:val="-4"/>
        </w:rPr>
        <w:t> </w:t>
      </w:r>
      <w:r>
        <w:rPr/>
        <w:t>edition,</w:t>
      </w:r>
      <w:r>
        <w:rPr>
          <w:spacing w:val="-6"/>
        </w:rPr>
        <w:t> </w:t>
      </w:r>
      <w:r>
        <w:rPr/>
        <w:t>Cambridge</w:t>
      </w:r>
      <w:r>
        <w:rPr>
          <w:spacing w:val="-8"/>
        </w:rPr>
        <w:t> </w:t>
      </w:r>
      <w:r>
        <w:rPr/>
        <w:t>University</w:t>
      </w:r>
      <w:r>
        <w:rPr>
          <w:spacing w:val="-3"/>
        </w:rPr>
        <w:t> </w:t>
      </w:r>
      <w:r>
        <w:rPr/>
        <w:t>Press,</w:t>
      </w:r>
      <w:r>
        <w:rPr>
          <w:spacing w:val="-5"/>
        </w:rPr>
        <w:t> </w:t>
      </w:r>
      <w:r>
        <w:rPr/>
        <w:t>PP.199-</w:t>
      </w:r>
      <w:r>
        <w:rPr>
          <w:spacing w:val="-4"/>
        </w:rPr>
        <w:t>241.</w:t>
      </w:r>
    </w:p>
    <w:p>
      <w:pPr>
        <w:pStyle w:val="BodyText"/>
        <w:spacing w:before="10"/>
      </w:pPr>
    </w:p>
    <w:p>
      <w:pPr>
        <w:spacing w:line="278" w:lineRule="auto" w:before="0"/>
        <w:ind w:left="1640" w:right="1178" w:hanging="720"/>
        <w:jc w:val="both"/>
        <w:rPr>
          <w:sz w:val="22"/>
        </w:rPr>
      </w:pPr>
      <w:r>
        <w:rPr>
          <w:sz w:val="22"/>
        </w:rPr>
        <w:t>DaSilva,</w:t>
      </w:r>
      <w:r>
        <w:rPr>
          <w:spacing w:val="-2"/>
          <w:sz w:val="22"/>
        </w:rPr>
        <w:t> </w:t>
      </w:r>
      <w:r>
        <w:rPr>
          <w:sz w:val="22"/>
        </w:rPr>
        <w:t>M.C. D.,</w:t>
      </w:r>
      <w:r>
        <w:rPr>
          <w:spacing w:val="-3"/>
          <w:sz w:val="22"/>
        </w:rPr>
        <w:t> </w:t>
      </w:r>
      <w:r>
        <w:rPr>
          <w:sz w:val="22"/>
        </w:rPr>
        <w:t>Hofer,</w:t>
      </w:r>
      <w:r>
        <w:rPr>
          <w:spacing w:val="-3"/>
          <w:sz w:val="22"/>
        </w:rPr>
        <w:t> </w:t>
      </w:r>
      <w:r>
        <w:rPr>
          <w:sz w:val="22"/>
        </w:rPr>
        <w:t>E</w:t>
      </w:r>
      <w:r>
        <w:rPr>
          <w:spacing w:val="-2"/>
          <w:sz w:val="22"/>
        </w:rPr>
        <w:t> </w:t>
      </w:r>
      <w:r>
        <w:rPr>
          <w:sz w:val="22"/>
        </w:rPr>
        <w:t>and</w:t>
      </w:r>
      <w:r>
        <w:rPr>
          <w:spacing w:val="-1"/>
          <w:sz w:val="22"/>
        </w:rPr>
        <w:t> </w:t>
      </w:r>
      <w:r>
        <w:rPr>
          <w:sz w:val="22"/>
        </w:rPr>
        <w:t>Tibana,</w:t>
      </w:r>
      <w:r>
        <w:rPr>
          <w:spacing w:val="-3"/>
          <w:sz w:val="22"/>
        </w:rPr>
        <w:t> </w:t>
      </w:r>
      <w:r>
        <w:rPr>
          <w:sz w:val="22"/>
        </w:rPr>
        <w:t>A. (1998).</w:t>
      </w:r>
      <w:r>
        <w:rPr>
          <w:spacing w:val="-3"/>
          <w:sz w:val="22"/>
        </w:rPr>
        <w:t> </w:t>
      </w:r>
      <w:r>
        <w:rPr>
          <w:sz w:val="22"/>
        </w:rPr>
        <w:t>Incidence of </w:t>
      </w:r>
      <w:r>
        <w:rPr>
          <w:i/>
          <w:sz w:val="22"/>
        </w:rPr>
        <w:t>Listeria monocytogenes</w:t>
      </w:r>
      <w:r>
        <w:rPr>
          <w:i/>
          <w:spacing w:val="-4"/>
          <w:sz w:val="22"/>
        </w:rPr>
        <w:t> </w:t>
      </w:r>
      <w:r>
        <w:rPr>
          <w:sz w:val="22"/>
        </w:rPr>
        <w:t>in</w:t>
      </w:r>
      <w:r>
        <w:rPr>
          <w:spacing w:val="-1"/>
          <w:sz w:val="22"/>
        </w:rPr>
        <w:t> </w:t>
      </w:r>
      <w:r>
        <w:rPr>
          <w:sz w:val="22"/>
        </w:rPr>
        <w:t>cheese produced in Rio de Janeiro, Brazil. </w:t>
      </w:r>
      <w:r>
        <w:rPr>
          <w:i/>
          <w:sz w:val="22"/>
        </w:rPr>
        <w:t>Journal of Food Protection, </w:t>
      </w:r>
      <w:r>
        <w:rPr>
          <w:sz w:val="22"/>
        </w:rPr>
        <w:t>61:354-356</w:t>
      </w:r>
    </w:p>
    <w:p>
      <w:pPr>
        <w:spacing w:line="278" w:lineRule="auto" w:before="236"/>
        <w:ind w:left="1640" w:right="1175" w:hanging="720"/>
        <w:jc w:val="both"/>
        <w:rPr>
          <w:sz w:val="22"/>
        </w:rPr>
      </w:pPr>
      <w:r>
        <w:rPr>
          <w:sz w:val="22"/>
        </w:rPr>
        <w:t>Datta,</w:t>
      </w:r>
      <w:r>
        <w:rPr>
          <w:spacing w:val="-3"/>
          <w:sz w:val="22"/>
        </w:rPr>
        <w:t> </w:t>
      </w:r>
      <w:r>
        <w:rPr>
          <w:sz w:val="22"/>
        </w:rPr>
        <w:t>N and</w:t>
      </w:r>
      <w:r>
        <w:rPr>
          <w:spacing w:val="-1"/>
          <w:sz w:val="22"/>
        </w:rPr>
        <w:t> </w:t>
      </w:r>
      <w:r>
        <w:rPr>
          <w:sz w:val="22"/>
        </w:rPr>
        <w:t>Deeth,</w:t>
      </w:r>
      <w:r>
        <w:rPr>
          <w:spacing w:val="-3"/>
          <w:sz w:val="22"/>
        </w:rPr>
        <w:t> </w:t>
      </w:r>
      <w:r>
        <w:rPr>
          <w:sz w:val="22"/>
        </w:rPr>
        <w:t>H.C.</w:t>
      </w:r>
      <w:r>
        <w:rPr>
          <w:spacing w:val="40"/>
          <w:sz w:val="22"/>
        </w:rPr>
        <w:t> </w:t>
      </w:r>
      <w:r>
        <w:rPr>
          <w:sz w:val="22"/>
        </w:rPr>
        <w:t>(2001). Age</w:t>
      </w:r>
      <w:r>
        <w:rPr>
          <w:spacing w:val="-4"/>
          <w:sz w:val="22"/>
        </w:rPr>
        <w:t> </w:t>
      </w:r>
      <w:r>
        <w:rPr>
          <w:sz w:val="22"/>
        </w:rPr>
        <w:t>gelation</w:t>
      </w:r>
      <w:r>
        <w:rPr>
          <w:spacing w:val="-5"/>
          <w:sz w:val="22"/>
        </w:rPr>
        <w:t> </w:t>
      </w:r>
      <w:r>
        <w:rPr>
          <w:sz w:val="22"/>
        </w:rPr>
        <w:t>of</w:t>
      </w:r>
      <w:r>
        <w:rPr>
          <w:spacing w:val="-1"/>
          <w:sz w:val="22"/>
        </w:rPr>
        <w:t> </w:t>
      </w:r>
      <w:r>
        <w:rPr>
          <w:sz w:val="22"/>
        </w:rPr>
        <w:t>UHT-milk -</w:t>
      </w:r>
      <w:r>
        <w:rPr>
          <w:spacing w:val="-1"/>
          <w:sz w:val="22"/>
        </w:rPr>
        <w:t> </w:t>
      </w:r>
      <w:r>
        <w:rPr>
          <w:sz w:val="22"/>
        </w:rPr>
        <w:t>a</w:t>
      </w:r>
      <w:r>
        <w:rPr>
          <w:spacing w:val="-4"/>
          <w:sz w:val="22"/>
        </w:rPr>
        <w:t> </w:t>
      </w:r>
      <w:r>
        <w:rPr>
          <w:sz w:val="22"/>
        </w:rPr>
        <w:t>review.</w:t>
      </w:r>
      <w:r>
        <w:rPr>
          <w:i/>
          <w:sz w:val="22"/>
        </w:rPr>
        <w:t>Food Bio-production</w:t>
      </w:r>
      <w:r>
        <w:rPr>
          <w:i/>
          <w:spacing w:val="-3"/>
          <w:sz w:val="22"/>
        </w:rPr>
        <w:t> </w:t>
      </w:r>
      <w:r>
        <w:rPr>
          <w:i/>
          <w:sz w:val="22"/>
        </w:rPr>
        <w:t>476</w:t>
      </w:r>
      <w:r>
        <w:rPr>
          <w:i/>
          <w:spacing w:val="-1"/>
          <w:sz w:val="22"/>
        </w:rPr>
        <w:t> </w:t>
      </w:r>
      <w:r>
        <w:rPr>
          <w:i/>
          <w:sz w:val="22"/>
        </w:rPr>
        <w:t>Processes</w:t>
      </w:r>
      <w:r>
        <w:rPr>
          <w:sz w:val="22"/>
        </w:rPr>
        <w:t>, </w:t>
      </w:r>
      <w:r>
        <w:rPr>
          <w:spacing w:val="-2"/>
          <w:sz w:val="22"/>
        </w:rPr>
        <w:t>79:197-210</w:t>
      </w:r>
    </w:p>
    <w:p>
      <w:pPr>
        <w:pStyle w:val="BodyText"/>
        <w:spacing w:line="273" w:lineRule="auto" w:before="236"/>
        <w:ind w:left="1640" w:right="1175" w:hanging="720"/>
        <w:jc w:val="both"/>
      </w:pPr>
      <w:r>
        <w:rPr/>
        <w:t>Davies, J and Wright, G.D. (1997). Bacterial resistance to aminoglycoside antibiotics </w:t>
      </w:r>
      <w:r>
        <w:rPr>
          <w:i/>
        </w:rPr>
        <w:t>Trends in Microbiology</w:t>
      </w:r>
      <w:r>
        <w:rPr/>
        <w:t>, 5: 375-382.</w:t>
      </w:r>
    </w:p>
    <w:p>
      <w:pPr>
        <w:pStyle w:val="BodyText"/>
        <w:spacing w:line="276" w:lineRule="auto" w:before="242"/>
        <w:ind w:left="1640" w:right="1174" w:hanging="720"/>
        <w:jc w:val="both"/>
      </w:pPr>
      <w:r>
        <w:rPr/>
        <w:t>Davis, M.A., Hancock, D.D., Besser, T.E., Rice, D.H., Gay, J.M., Gay, C., Gearhart, L., and Difiacomo, R. (1999).Changes in antimicrobial resistance among </w:t>
      </w:r>
      <w:r>
        <w:rPr>
          <w:i/>
        </w:rPr>
        <w:t>Salmonellaenterica </w:t>
      </w:r>
      <w:r>
        <w:rPr/>
        <w:t>serovar.</w:t>
      </w:r>
      <w:r>
        <w:rPr>
          <w:i/>
        </w:rPr>
        <w:t>Infectious</w:t>
      </w:r>
      <w:r>
        <w:rPr>
          <w:i/>
          <w:spacing w:val="80"/>
        </w:rPr>
        <w:t> </w:t>
      </w:r>
      <w:r>
        <w:rPr>
          <w:i/>
        </w:rPr>
        <w:t>Disease</w:t>
      </w:r>
      <w:r>
        <w:rPr/>
        <w:t>, 5: 802-806</w:t>
      </w:r>
    </w:p>
    <w:p>
      <w:pPr>
        <w:pStyle w:val="BodyText"/>
        <w:spacing w:line="276" w:lineRule="auto" w:before="240"/>
        <w:ind w:left="1640" w:right="1175" w:hanging="720"/>
        <w:jc w:val="both"/>
      </w:pPr>
      <w:r>
        <w:rPr/>
        <w:t>De Buyser, M.L., Dufour, B., Maire, M. and Lafarge, V. (2001).Implication of milk and milk Products in food-borne diseases in France and in different industrialized countries</w:t>
      </w:r>
      <w:r>
        <w:rPr>
          <w:i/>
        </w:rPr>
        <w:t>.International Journal of Food Microbiology, </w:t>
      </w:r>
      <w:r>
        <w:rPr/>
        <w:t>67: 1-17.</w:t>
      </w:r>
    </w:p>
    <w:p>
      <w:pPr>
        <w:pStyle w:val="BodyText"/>
        <w:spacing w:line="276" w:lineRule="auto" w:before="240"/>
        <w:ind w:left="1640" w:right="1178" w:hanging="720"/>
        <w:jc w:val="both"/>
      </w:pPr>
      <w:r>
        <w:rPr/>
        <w:t>De Silva, Z.N., Cunha, A.S., Lins, M.C., Carneiro, L., Almeida, A.C and Queuro, M.L. (2001) Isolation and serological identification of enteropathogenic </w:t>
      </w:r>
      <w:r>
        <w:rPr>
          <w:i/>
        </w:rPr>
        <w:t>Escherichia coli </w:t>
      </w:r>
      <w:r>
        <w:rPr/>
        <w:t>in pasteurized milk in Brazil. </w:t>
      </w:r>
      <w:r>
        <w:rPr>
          <w:i/>
        </w:rPr>
        <w:t>Revista de Saude publica</w:t>
      </w:r>
      <w:r>
        <w:rPr/>
        <w:t>, 35 (4): 375-379.</w:t>
      </w:r>
    </w:p>
    <w:p>
      <w:pPr>
        <w:pStyle w:val="BodyText"/>
        <w:spacing w:line="278" w:lineRule="auto" w:before="240"/>
        <w:ind w:left="1640" w:right="1175" w:hanging="720"/>
        <w:jc w:val="both"/>
      </w:pPr>
      <w:r>
        <w:rPr/>
        <w:t>De Wit, J.N. (1998). Nutritional and functional characteristics of whey proteins in food products.</w:t>
      </w:r>
      <w:r>
        <w:rPr>
          <w:i/>
        </w:rPr>
        <w:t>Journal of Dairy Science</w:t>
      </w:r>
      <w:r>
        <w:rPr/>
        <w:t>, 81 (3): 597-608.</w:t>
      </w:r>
    </w:p>
    <w:p>
      <w:pPr>
        <w:spacing w:line="276" w:lineRule="auto" w:before="236"/>
        <w:ind w:left="1640" w:right="1177" w:hanging="720"/>
        <w:jc w:val="both"/>
        <w:rPr>
          <w:sz w:val="22"/>
        </w:rPr>
      </w:pPr>
      <w:r>
        <w:rPr>
          <w:sz w:val="22"/>
        </w:rPr>
        <w:t>DeGraaf, T., Romero Zuniga, J. J., Cabalellero, M. and Dwinger, R.H. (1997): Microbiological quality aspects of cow’s milk at a smallholder cooperative in Turrialba, Costa Rica.</w:t>
      </w:r>
      <w:r>
        <w:rPr>
          <w:spacing w:val="22"/>
          <w:sz w:val="22"/>
        </w:rPr>
        <w:t> </w:t>
      </w:r>
      <w:r>
        <w:rPr>
          <w:i/>
          <w:sz w:val="22"/>
        </w:rPr>
        <w:t>Revue D’elevage et</w:t>
      </w:r>
      <w:r>
        <w:rPr>
          <w:i/>
          <w:spacing w:val="40"/>
          <w:sz w:val="22"/>
        </w:rPr>
        <w:t> </w:t>
      </w:r>
      <w:r>
        <w:rPr>
          <w:i/>
          <w:sz w:val="22"/>
        </w:rPr>
        <w:t>de Medecine Veterinaire Des Pays Tropicaux</w:t>
      </w:r>
      <w:r>
        <w:rPr>
          <w:sz w:val="22"/>
        </w:rPr>
        <w:t>, 50 (1): 57-64.</w:t>
      </w:r>
    </w:p>
    <w:p>
      <w:pPr>
        <w:pStyle w:val="BodyText"/>
        <w:spacing w:line="278" w:lineRule="auto" w:before="240"/>
        <w:ind w:left="1640" w:right="1184" w:hanging="720"/>
        <w:jc w:val="both"/>
      </w:pPr>
      <w:r>
        <w:rPr/>
        <w:t>Depardieu, F., Podglajen, I., Leclercq, R., Collatz, E and Courvalin, P. (2007).Modes and modulations of antibiotic resistance gene expression.</w:t>
      </w:r>
      <w:r>
        <w:rPr>
          <w:i/>
        </w:rPr>
        <w:t>Clinical Microbiology Reviews, </w:t>
      </w:r>
      <w:r>
        <w:rPr/>
        <w:t>20(1): 79-114.</w:t>
      </w:r>
    </w:p>
    <w:p>
      <w:pPr>
        <w:pStyle w:val="BodyText"/>
        <w:spacing w:line="278" w:lineRule="auto" w:before="236"/>
        <w:ind w:left="1640" w:right="1177" w:hanging="720"/>
        <w:jc w:val="both"/>
      </w:pPr>
      <w:r>
        <w:rPr/>
        <w:t>Desmasures,</w:t>
      </w:r>
      <w:r>
        <w:rPr>
          <w:spacing w:val="-2"/>
        </w:rPr>
        <w:t> </w:t>
      </w:r>
      <w:r>
        <w:rPr/>
        <w:t>N.,</w:t>
      </w:r>
      <w:r>
        <w:rPr>
          <w:spacing w:val="-2"/>
        </w:rPr>
        <w:t> </w:t>
      </w:r>
      <w:r>
        <w:rPr/>
        <w:t>Bazin,</w:t>
      </w:r>
      <w:r>
        <w:rPr>
          <w:spacing w:val="-2"/>
        </w:rPr>
        <w:t> </w:t>
      </w:r>
      <w:r>
        <w:rPr/>
        <w:t>F and Gueguen,</w:t>
      </w:r>
      <w:r>
        <w:rPr>
          <w:spacing w:val="-2"/>
        </w:rPr>
        <w:t> </w:t>
      </w:r>
      <w:r>
        <w:rPr/>
        <w:t>M. (1997).Microbiological composition of raw milk from selected farms in the Camembert region of Normandy.</w:t>
      </w:r>
      <w:r>
        <w:rPr>
          <w:i/>
        </w:rPr>
        <w:t>Journal of Applied Microbiology </w:t>
      </w:r>
      <w:r>
        <w:rPr/>
        <w:t>83: 53-58.</w:t>
      </w:r>
    </w:p>
    <w:p>
      <w:pPr>
        <w:spacing w:line="276" w:lineRule="auto" w:before="236"/>
        <w:ind w:left="1640" w:right="1178" w:hanging="720"/>
        <w:jc w:val="both"/>
        <w:rPr>
          <w:sz w:val="22"/>
        </w:rPr>
      </w:pPr>
      <w:r>
        <w:rPr>
          <w:sz w:val="22"/>
        </w:rPr>
        <w:t>Devriese, L. A., Haesebrouck, F., Hommez, H and Vandermeersch, R. (1997) “A 25-year survey of antibiotic susceptibility testing in </w:t>
      </w:r>
      <w:r>
        <w:rPr>
          <w:i/>
          <w:sz w:val="22"/>
        </w:rPr>
        <w:t>Staphylococcus aureus </w:t>
      </w:r>
      <w:r>
        <w:rPr>
          <w:sz w:val="22"/>
        </w:rPr>
        <w:t>from bovine mastitis in Belgium, with special reference to penicillinase”, </w:t>
      </w:r>
      <w:r>
        <w:rPr>
          <w:i/>
          <w:sz w:val="22"/>
        </w:rPr>
        <w:t>Vlaams Diergeneeskundig Tijdschrift</w:t>
      </w:r>
      <w:r>
        <w:rPr>
          <w:sz w:val="22"/>
        </w:rPr>
        <w:t>, 66, 170-173.</w:t>
      </w:r>
    </w:p>
    <w:p>
      <w:pPr>
        <w:spacing w:after="0" w:line="276" w:lineRule="auto"/>
        <w:jc w:val="both"/>
        <w:rPr>
          <w:sz w:val="22"/>
        </w:rPr>
        <w:sectPr>
          <w:pgSz w:w="12240" w:h="15840"/>
          <w:pgMar w:header="0" w:footer="1017" w:top="1400" w:bottom="1200" w:left="520" w:right="260"/>
        </w:sectPr>
      </w:pPr>
    </w:p>
    <w:p>
      <w:pPr>
        <w:spacing w:line="273" w:lineRule="auto" w:before="41"/>
        <w:ind w:left="1640" w:right="1177" w:hanging="720"/>
        <w:jc w:val="both"/>
        <w:rPr>
          <w:sz w:val="22"/>
        </w:rPr>
      </w:pPr>
      <w:r>
        <w:rPr>
          <w:sz w:val="22"/>
        </w:rPr>
        <w:t>Dineen, S.S., Takeuchi, K., Soudah, J. E and Boor, K.J. (1998).Persistance of </w:t>
      </w:r>
      <w:r>
        <w:rPr>
          <w:i/>
          <w:sz w:val="22"/>
        </w:rPr>
        <w:t>Escherichia coli </w:t>
      </w:r>
      <w:r>
        <w:rPr>
          <w:sz w:val="22"/>
        </w:rPr>
        <w:t>O157:H7 in dairy fermentation systems. </w:t>
      </w:r>
      <w:r>
        <w:rPr>
          <w:i/>
          <w:sz w:val="22"/>
        </w:rPr>
        <w:t>Journal of Food Protection, </w:t>
      </w:r>
      <w:r>
        <w:rPr>
          <w:sz w:val="22"/>
        </w:rPr>
        <w:t>61: 1602-1608.</w:t>
      </w:r>
    </w:p>
    <w:p>
      <w:pPr>
        <w:spacing w:line="242" w:lineRule="auto" w:before="233"/>
        <w:ind w:left="1640" w:right="1177" w:hanging="720"/>
        <w:jc w:val="both"/>
        <w:rPr>
          <w:rFonts w:ascii="Times New Roman" w:hAnsi="Times New Roman"/>
          <w:sz w:val="24"/>
        </w:rPr>
      </w:pPr>
      <w:r>
        <w:rPr>
          <w:rFonts w:ascii="Times New Roman" w:hAnsi="Times New Roman"/>
          <w:sz w:val="24"/>
        </w:rPr>
        <w:t>Dizbay, M., Günal, O., Ozkan, Y., Ozcan Kanat, D., Altunçekiç, A and Arman, D. (2008). Constitutive and inducible clindamycin resistance among nosocomially acquired </w:t>
      </w:r>
      <w:r>
        <w:rPr>
          <w:rFonts w:ascii="Times New Roman" w:hAnsi="Times New Roman"/>
          <w:i/>
          <w:sz w:val="24"/>
        </w:rPr>
        <w:t>Staphylococci</w:t>
      </w:r>
      <w:r>
        <w:rPr>
          <w:rFonts w:ascii="Times New Roman" w:hAnsi="Times New Roman"/>
          <w:sz w:val="24"/>
        </w:rPr>
        <w:t>. </w:t>
      </w:r>
      <w:r>
        <w:rPr>
          <w:rFonts w:ascii="Times New Roman" w:hAnsi="Times New Roman"/>
          <w:i/>
          <w:sz w:val="24"/>
        </w:rPr>
        <w:t>Mikrobiyoloji Bulteni</w:t>
      </w:r>
      <w:r>
        <w:rPr>
          <w:rFonts w:ascii="Times New Roman" w:hAnsi="Times New Roman"/>
          <w:sz w:val="24"/>
        </w:rPr>
        <w:t>, 42(2): 217-221.</w:t>
      </w:r>
    </w:p>
    <w:p>
      <w:pPr>
        <w:pStyle w:val="BodyText"/>
        <w:spacing w:before="236"/>
        <w:rPr>
          <w:rFonts w:ascii="Times New Roman"/>
          <w:sz w:val="24"/>
        </w:rPr>
      </w:pPr>
    </w:p>
    <w:p>
      <w:pPr>
        <w:spacing w:line="276" w:lineRule="auto" w:before="1"/>
        <w:ind w:left="1640" w:right="1175" w:hanging="720"/>
        <w:jc w:val="both"/>
        <w:rPr>
          <w:sz w:val="22"/>
        </w:rPr>
      </w:pPr>
      <w:r>
        <w:rPr>
          <w:sz w:val="22"/>
        </w:rPr>
        <w:t>Dogan, M., Saraymen, R and Demirci, M. (2002). Relation between contents of Ca and P another compounds such as protein, total dry matter and ash in milk of Brown Swiss. </w:t>
      </w:r>
      <w:r>
        <w:rPr>
          <w:i/>
          <w:sz w:val="22"/>
        </w:rPr>
        <w:t>Proceedings of 7th National Food Congress, (NFC`02</w:t>
      </w:r>
      <w:r>
        <w:rPr>
          <w:sz w:val="22"/>
        </w:rPr>
        <w:t>), Turkey, PP. 879-888.</w:t>
      </w:r>
    </w:p>
    <w:p>
      <w:pPr>
        <w:spacing w:line="276" w:lineRule="auto" w:before="239"/>
        <w:ind w:left="1640" w:right="1176" w:hanging="720"/>
        <w:jc w:val="both"/>
        <w:rPr>
          <w:sz w:val="22"/>
        </w:rPr>
      </w:pPr>
      <w:r>
        <w:rPr>
          <w:sz w:val="22"/>
        </w:rPr>
        <w:t>Dogan, B. and Boor, K.J. (2003). Genetic diversity and spoilage potentials among 326 </w:t>
      </w:r>
      <w:r>
        <w:rPr>
          <w:i/>
          <w:sz w:val="22"/>
        </w:rPr>
        <w:t>Pseudomonas </w:t>
      </w:r>
      <w:r>
        <w:rPr>
          <w:sz w:val="22"/>
        </w:rPr>
        <w:t>specie isolated from fluid milk products and dairy processing plants. 327 </w:t>
      </w:r>
      <w:r>
        <w:rPr>
          <w:i/>
          <w:sz w:val="22"/>
        </w:rPr>
        <w:t>Applied Environmental </w:t>
      </w:r>
      <w:r>
        <w:rPr>
          <w:i/>
          <w:spacing w:val="-2"/>
          <w:sz w:val="22"/>
        </w:rPr>
        <w:t>Microbiology</w:t>
      </w:r>
      <w:r>
        <w:rPr>
          <w:spacing w:val="-2"/>
          <w:sz w:val="22"/>
        </w:rPr>
        <w:t>69:130–138.</w:t>
      </w:r>
    </w:p>
    <w:p>
      <w:pPr>
        <w:pStyle w:val="BodyText"/>
        <w:spacing w:line="278" w:lineRule="auto" w:before="240"/>
        <w:ind w:left="1640" w:right="1180" w:hanging="720"/>
        <w:jc w:val="both"/>
      </w:pPr>
      <w:r>
        <w:rPr/>
        <w:t>Drlica, K. and Zhao, X.L. (1997).DNA gyrase, topoisomerase IV and the 4 quinolones.</w:t>
      </w:r>
      <w:r>
        <w:rPr>
          <w:i/>
        </w:rPr>
        <w:t>Microbiology Reviews</w:t>
      </w:r>
      <w:r>
        <w:rPr/>
        <w:t>, 61: 377-392.</w:t>
      </w:r>
    </w:p>
    <w:p>
      <w:pPr>
        <w:pStyle w:val="BodyText"/>
        <w:spacing w:line="273" w:lineRule="auto" w:before="236"/>
        <w:ind w:left="1640" w:right="1180" w:hanging="720"/>
        <w:jc w:val="both"/>
      </w:pPr>
      <w:r>
        <w:rPr/>
        <w:t>Edema, M. O and Akingbade, O.A. (2007). Incidence of spore forming bacteria in unsweetened evaporated milk brands in Nigeria. </w:t>
      </w:r>
      <w:r>
        <w:rPr>
          <w:i/>
        </w:rPr>
        <w:t>Nigerian Food Journal</w:t>
      </w:r>
      <w:r>
        <w:rPr/>
        <w:t>, 25:137-144.</w:t>
      </w:r>
    </w:p>
    <w:p>
      <w:pPr>
        <w:pStyle w:val="BodyText"/>
        <w:spacing w:line="276" w:lineRule="auto" w:before="243"/>
        <w:ind w:left="1640" w:right="1173" w:hanging="720"/>
        <w:jc w:val="both"/>
      </w:pPr>
      <w:r>
        <w:rPr/>
        <w:t>Ehiri, J.E., Azubuike, M.C., Ubbaonu, C.N., Anyanwu, E.C., Ibe, K. M and Ogbonna, M.O. (2001). Critical control points of complementary food preparation and handling in Eastern Nigeria. </w:t>
      </w:r>
      <w:r>
        <w:rPr>
          <w:i/>
        </w:rPr>
        <w:t>Bulletin of the World Health Organization, </w:t>
      </w:r>
      <w:r>
        <w:rPr/>
        <w:t>79(5): 423- 435.</w:t>
      </w:r>
    </w:p>
    <w:p>
      <w:pPr>
        <w:pStyle w:val="BodyText"/>
        <w:spacing w:line="278" w:lineRule="auto" w:before="239"/>
        <w:ind w:left="1640" w:right="1176" w:hanging="720"/>
        <w:jc w:val="both"/>
      </w:pPr>
      <w:r>
        <w:rPr/>
        <w:t>Eichner, D., Gravitz, B. (1999) The effects of under-usage of antibiotics on bacteria, URL:</w:t>
      </w:r>
      <w:hyperlink r:id="rId18">
        <w:r>
          <w:rPr/>
          <w:t>http://www.pubmed.com</w:t>
        </w:r>
      </w:hyperlink>
      <w:r>
        <w:rPr/>
        <w:t> Pp.1-7.</w:t>
      </w:r>
    </w:p>
    <w:p>
      <w:pPr>
        <w:pStyle w:val="BodyText"/>
        <w:spacing w:line="278" w:lineRule="auto" w:before="237"/>
        <w:ind w:left="1640" w:right="1176" w:hanging="720"/>
        <w:jc w:val="both"/>
      </w:pPr>
      <w:r>
        <w:rPr/>
        <w:t>Ellis, D.I and Goodacre, R. (2006).Detection, identification, and enumeration methods for spoilage</w:t>
      </w:r>
      <w:r>
        <w:rPr>
          <w:spacing w:val="40"/>
        </w:rPr>
        <w:t> </w:t>
      </w:r>
      <w:r>
        <w:rPr/>
        <w:t>yeasts. In: Blackburn, C. and De, W. (Eds.), </w:t>
      </w:r>
      <w:r>
        <w:rPr>
          <w:i/>
        </w:rPr>
        <w:t>Food Spoilage Organisms</w:t>
      </w:r>
      <w:r>
        <w:rPr/>
        <w:t>. CRC Press LLC. Pp. 28–54.</w:t>
      </w:r>
    </w:p>
    <w:p>
      <w:pPr>
        <w:pStyle w:val="BodyText"/>
        <w:spacing w:line="273" w:lineRule="auto" w:before="236"/>
        <w:ind w:left="1640" w:right="1178" w:hanging="720"/>
        <w:jc w:val="both"/>
      </w:pPr>
      <w:r>
        <w:rPr/>
        <w:t>El-Mahmood,</w:t>
      </w:r>
      <w:r>
        <w:rPr>
          <w:spacing w:val="-3"/>
        </w:rPr>
        <w:t> </w:t>
      </w:r>
      <w:r>
        <w:rPr/>
        <w:t>A.M</w:t>
      </w:r>
      <w:r>
        <w:rPr>
          <w:spacing w:val="-2"/>
        </w:rPr>
        <w:t> </w:t>
      </w:r>
      <w:r>
        <w:rPr/>
        <w:t>and</w:t>
      </w:r>
      <w:r>
        <w:rPr>
          <w:spacing w:val="-1"/>
        </w:rPr>
        <w:t> </w:t>
      </w:r>
      <w:r>
        <w:rPr/>
        <w:t>Doughari,</w:t>
      </w:r>
      <w:r>
        <w:rPr>
          <w:spacing w:val="-3"/>
        </w:rPr>
        <w:t> </w:t>
      </w:r>
      <w:r>
        <w:rPr/>
        <w:t>J.H. (2007). Microbial</w:t>
      </w:r>
      <w:r>
        <w:rPr>
          <w:spacing w:val="-3"/>
        </w:rPr>
        <w:t> </w:t>
      </w:r>
      <w:r>
        <w:rPr/>
        <w:t>quality assessement</w:t>
      </w:r>
      <w:r>
        <w:rPr>
          <w:spacing w:val="-2"/>
        </w:rPr>
        <w:t> </w:t>
      </w:r>
      <w:r>
        <w:rPr/>
        <w:t>of</w:t>
      </w:r>
      <w:r>
        <w:rPr>
          <w:spacing w:val="-1"/>
        </w:rPr>
        <w:t> </w:t>
      </w:r>
      <w:r>
        <w:rPr/>
        <w:t>Kunun-Zaki beverage sold in Girei town of Adamawa State, Nigeria. </w:t>
      </w:r>
      <w:r>
        <w:rPr>
          <w:i/>
        </w:rPr>
        <w:t>African Journal of Food Science</w:t>
      </w:r>
      <w:r>
        <w:rPr/>
        <w:t>, 011–015.</w:t>
      </w:r>
    </w:p>
    <w:p>
      <w:pPr>
        <w:pStyle w:val="BodyText"/>
        <w:spacing w:line="278" w:lineRule="auto" w:before="242"/>
        <w:ind w:left="1640" w:right="1177" w:hanging="720"/>
        <w:jc w:val="both"/>
      </w:pPr>
      <w:r>
        <w:rPr/>
        <w:t>Enright, M.C. (2003). The evolution of resistant pathogen – the case of MRSA.Current Opinions.</w:t>
      </w:r>
      <w:r>
        <w:rPr>
          <w:i/>
        </w:rPr>
        <w:t>Pharmacology</w:t>
      </w:r>
      <w:r>
        <w:rPr/>
        <w:t>. 3: 474–479.</w:t>
      </w:r>
    </w:p>
    <w:p>
      <w:pPr>
        <w:spacing w:line="278" w:lineRule="auto" w:before="236"/>
        <w:ind w:left="1640" w:right="1176" w:hanging="720"/>
        <w:jc w:val="both"/>
        <w:rPr>
          <w:sz w:val="22"/>
        </w:rPr>
      </w:pPr>
      <w:r>
        <w:rPr>
          <w:sz w:val="22"/>
        </w:rPr>
        <w:t>Ensminger, M.E. (1993). </w:t>
      </w:r>
      <w:r>
        <w:rPr>
          <w:i/>
          <w:sz w:val="22"/>
        </w:rPr>
        <w:t>Dairy Cattle Science (Animal Agriculture Series). </w:t>
      </w:r>
      <w:r>
        <w:rPr>
          <w:sz w:val="22"/>
        </w:rPr>
        <w:t>Interstate Publishers, INC., Danville, Illinois, ISBN: 636.2142 EMS.</w:t>
      </w:r>
    </w:p>
    <w:p>
      <w:pPr>
        <w:spacing w:before="236"/>
        <w:ind w:left="920" w:right="0" w:firstLine="0"/>
        <w:jc w:val="left"/>
        <w:rPr>
          <w:sz w:val="22"/>
        </w:rPr>
      </w:pPr>
      <w:r>
        <w:rPr>
          <w:sz w:val="22"/>
        </w:rPr>
        <w:t>European</w:t>
      </w:r>
      <w:r>
        <w:rPr>
          <w:spacing w:val="-8"/>
          <w:sz w:val="22"/>
        </w:rPr>
        <w:t> </w:t>
      </w:r>
      <w:r>
        <w:rPr>
          <w:sz w:val="22"/>
        </w:rPr>
        <w:t>Federation</w:t>
      </w:r>
      <w:r>
        <w:rPr>
          <w:spacing w:val="-5"/>
          <w:sz w:val="22"/>
        </w:rPr>
        <w:t> </w:t>
      </w:r>
      <w:r>
        <w:rPr>
          <w:sz w:val="22"/>
        </w:rPr>
        <w:t>of</w:t>
      </w:r>
      <w:r>
        <w:rPr>
          <w:spacing w:val="-1"/>
          <w:sz w:val="22"/>
        </w:rPr>
        <w:t> </w:t>
      </w:r>
      <w:r>
        <w:rPr>
          <w:sz w:val="22"/>
        </w:rPr>
        <w:t>Animal</w:t>
      </w:r>
      <w:r>
        <w:rPr>
          <w:spacing w:val="-2"/>
          <w:sz w:val="22"/>
        </w:rPr>
        <w:t> </w:t>
      </w:r>
      <w:r>
        <w:rPr>
          <w:sz w:val="22"/>
        </w:rPr>
        <w:t>Health</w:t>
      </w:r>
      <w:r>
        <w:rPr>
          <w:spacing w:val="-6"/>
          <w:sz w:val="22"/>
        </w:rPr>
        <w:t> </w:t>
      </w:r>
      <w:r>
        <w:rPr>
          <w:sz w:val="22"/>
        </w:rPr>
        <w:t>(1997)</w:t>
      </w:r>
      <w:r>
        <w:rPr>
          <w:spacing w:val="-4"/>
          <w:sz w:val="22"/>
        </w:rPr>
        <w:t> </w:t>
      </w:r>
      <w:r>
        <w:rPr>
          <w:i/>
          <w:sz w:val="22"/>
        </w:rPr>
        <w:t>Animal</w:t>
      </w:r>
      <w:r>
        <w:rPr>
          <w:i/>
          <w:spacing w:val="-7"/>
          <w:sz w:val="22"/>
        </w:rPr>
        <w:t> </w:t>
      </w:r>
      <w:r>
        <w:rPr>
          <w:i/>
          <w:sz w:val="22"/>
        </w:rPr>
        <w:t>Health</w:t>
      </w:r>
      <w:r>
        <w:rPr>
          <w:i/>
          <w:spacing w:val="-3"/>
          <w:sz w:val="22"/>
        </w:rPr>
        <w:t> </w:t>
      </w:r>
      <w:r>
        <w:rPr>
          <w:i/>
          <w:sz w:val="22"/>
        </w:rPr>
        <w:t>Dossier</w:t>
      </w:r>
      <w:r>
        <w:rPr>
          <w:sz w:val="22"/>
        </w:rPr>
        <w:t>,</w:t>
      </w:r>
      <w:r>
        <w:rPr>
          <w:spacing w:val="-6"/>
          <w:sz w:val="22"/>
        </w:rPr>
        <w:t> </w:t>
      </w:r>
      <w:r>
        <w:rPr>
          <w:sz w:val="22"/>
        </w:rPr>
        <w:t>15,</w:t>
      </w:r>
      <w:r>
        <w:rPr>
          <w:spacing w:val="-6"/>
          <w:sz w:val="22"/>
        </w:rPr>
        <w:t> </w:t>
      </w:r>
      <w:r>
        <w:rPr>
          <w:spacing w:val="-2"/>
          <w:sz w:val="22"/>
        </w:rPr>
        <w:t>FEDESA.</w:t>
      </w:r>
    </w:p>
    <w:p>
      <w:pPr>
        <w:pStyle w:val="BodyText"/>
        <w:spacing w:before="10"/>
      </w:pPr>
    </w:p>
    <w:p>
      <w:pPr>
        <w:pStyle w:val="BodyText"/>
        <w:spacing w:line="278" w:lineRule="auto"/>
        <w:ind w:left="1640" w:right="1178" w:hanging="720"/>
        <w:jc w:val="both"/>
      </w:pPr>
      <w:r>
        <w:rPr/>
        <w:t>Evans,</w:t>
      </w:r>
      <w:r>
        <w:rPr>
          <w:spacing w:val="-3"/>
        </w:rPr>
        <w:t> </w:t>
      </w:r>
      <w:r>
        <w:rPr/>
        <w:t>M.R.,</w:t>
      </w:r>
      <w:r>
        <w:rPr>
          <w:spacing w:val="-3"/>
        </w:rPr>
        <w:t> </w:t>
      </w:r>
      <w:r>
        <w:rPr/>
        <w:t>Roberts,</w:t>
      </w:r>
      <w:r>
        <w:rPr>
          <w:spacing w:val="-3"/>
        </w:rPr>
        <w:t> </w:t>
      </w:r>
      <w:r>
        <w:rPr/>
        <w:t>R.J.,</w:t>
      </w:r>
      <w:r>
        <w:rPr>
          <w:spacing w:val="-3"/>
        </w:rPr>
        <w:t> </w:t>
      </w:r>
      <w:r>
        <w:rPr/>
        <w:t>Ribeiro,</w:t>
      </w:r>
      <w:r>
        <w:rPr>
          <w:spacing w:val="-3"/>
        </w:rPr>
        <w:t> </w:t>
      </w:r>
      <w:r>
        <w:rPr/>
        <w:t>C.</w:t>
      </w:r>
      <w:r>
        <w:rPr>
          <w:spacing w:val="-2"/>
        </w:rPr>
        <w:t> </w:t>
      </w:r>
      <w:r>
        <w:rPr/>
        <w:t>D.,</w:t>
      </w:r>
      <w:r>
        <w:rPr>
          <w:spacing w:val="-3"/>
        </w:rPr>
        <w:t> </w:t>
      </w:r>
      <w:r>
        <w:rPr/>
        <w:t>Gardner,</w:t>
      </w:r>
      <w:r>
        <w:rPr>
          <w:spacing w:val="-3"/>
        </w:rPr>
        <w:t> </w:t>
      </w:r>
      <w:r>
        <w:rPr/>
        <w:t>D</w:t>
      </w:r>
      <w:r>
        <w:rPr>
          <w:spacing w:val="-2"/>
        </w:rPr>
        <w:t> </w:t>
      </w:r>
      <w:r>
        <w:rPr/>
        <w:t>and Kembrey,</w:t>
      </w:r>
      <w:r>
        <w:rPr>
          <w:spacing w:val="-3"/>
        </w:rPr>
        <w:t> </w:t>
      </w:r>
      <w:r>
        <w:rPr/>
        <w:t>D. (1996).A</w:t>
      </w:r>
      <w:r>
        <w:rPr>
          <w:spacing w:val="-3"/>
        </w:rPr>
        <w:t> </w:t>
      </w:r>
      <w:r>
        <w:rPr/>
        <w:t>milk-borne campylobacter outbreak following an educational farm visit.</w:t>
      </w:r>
      <w:r>
        <w:rPr>
          <w:i/>
        </w:rPr>
        <w:t>Epidemiology and Infection, </w:t>
      </w:r>
      <w:r>
        <w:rPr/>
        <w:t>117:457.</w:t>
      </w:r>
    </w:p>
    <w:p>
      <w:pPr>
        <w:spacing w:after="0" w:line="278" w:lineRule="auto"/>
        <w:jc w:val="both"/>
        <w:sectPr>
          <w:pgSz w:w="12240" w:h="15840"/>
          <w:pgMar w:header="0" w:footer="1017" w:top="1400" w:bottom="1200" w:left="520" w:right="260"/>
        </w:sectPr>
      </w:pPr>
    </w:p>
    <w:p>
      <w:pPr>
        <w:pStyle w:val="BodyText"/>
        <w:spacing w:line="276" w:lineRule="auto" w:before="41"/>
        <w:ind w:left="1640" w:right="1177" w:hanging="720"/>
        <w:jc w:val="both"/>
      </w:pPr>
      <w:r>
        <w:rPr/>
        <w:t>Everett, M.J and Piddock, L.J.V. (1998).Mechanisms of resistance to fluoroquinolones. In: Kuhlmann, J., Dalhoff,</w:t>
      </w:r>
      <w:r>
        <w:rPr>
          <w:spacing w:val="-5"/>
        </w:rPr>
        <w:t> </w:t>
      </w:r>
      <w:r>
        <w:rPr/>
        <w:t>A.</w:t>
      </w:r>
      <w:r>
        <w:rPr>
          <w:spacing w:val="-1"/>
        </w:rPr>
        <w:t> </w:t>
      </w:r>
      <w:r>
        <w:rPr/>
        <w:t>Zeiler,</w:t>
      </w:r>
      <w:r>
        <w:rPr>
          <w:spacing w:val="-5"/>
        </w:rPr>
        <w:t> </w:t>
      </w:r>
      <w:r>
        <w:rPr/>
        <w:t>H.</w:t>
      </w:r>
      <w:r>
        <w:rPr>
          <w:spacing w:val="-1"/>
        </w:rPr>
        <w:t> </w:t>
      </w:r>
      <w:r>
        <w:rPr/>
        <w:t>J.</w:t>
      </w:r>
      <w:r>
        <w:rPr>
          <w:spacing w:val="-1"/>
        </w:rPr>
        <w:t> </w:t>
      </w:r>
      <w:r>
        <w:rPr/>
        <w:t>(Eds.)</w:t>
      </w:r>
      <w:r>
        <w:rPr>
          <w:spacing w:val="-2"/>
        </w:rPr>
        <w:t> </w:t>
      </w:r>
      <w:r>
        <w:rPr>
          <w:i/>
        </w:rPr>
        <w:t>Quinolone</w:t>
      </w:r>
      <w:r>
        <w:rPr>
          <w:i/>
          <w:spacing w:val="-3"/>
        </w:rPr>
        <w:t> </w:t>
      </w:r>
      <w:r>
        <w:rPr>
          <w:i/>
        </w:rPr>
        <w:t>Antibacterials</w:t>
      </w:r>
      <w:r>
        <w:rPr/>
        <w:t>.</w:t>
      </w:r>
      <w:r>
        <w:rPr>
          <w:spacing w:val="-1"/>
        </w:rPr>
        <w:t> </w:t>
      </w:r>
      <w:r>
        <w:rPr/>
        <w:t>Springer</w:t>
      </w:r>
      <w:r>
        <w:rPr>
          <w:spacing w:val="-3"/>
        </w:rPr>
        <w:t> </w:t>
      </w:r>
      <w:r>
        <w:rPr/>
        <w:t>Verlag,</w:t>
      </w:r>
      <w:r>
        <w:rPr>
          <w:spacing w:val="-5"/>
        </w:rPr>
        <w:t> </w:t>
      </w:r>
      <w:r>
        <w:rPr/>
        <w:t>Berlin,</w:t>
      </w:r>
      <w:r>
        <w:rPr>
          <w:spacing w:val="-5"/>
        </w:rPr>
        <w:t> </w:t>
      </w:r>
      <w:r>
        <w:rPr/>
        <w:t>Germany,</w:t>
      </w:r>
      <w:r>
        <w:rPr>
          <w:spacing w:val="-5"/>
        </w:rPr>
        <w:t> </w:t>
      </w:r>
      <w:r>
        <w:rPr/>
        <w:t>PP.</w:t>
      </w:r>
      <w:r>
        <w:rPr>
          <w:spacing w:val="-1"/>
        </w:rPr>
        <w:t> </w:t>
      </w:r>
      <w:r>
        <w:rPr/>
        <w:t>259- </w:t>
      </w:r>
      <w:r>
        <w:rPr>
          <w:spacing w:val="-4"/>
        </w:rPr>
        <w:t>296.</w:t>
      </w:r>
    </w:p>
    <w:p>
      <w:pPr>
        <w:pStyle w:val="BodyText"/>
      </w:pPr>
    </w:p>
    <w:p>
      <w:pPr>
        <w:pStyle w:val="BodyText"/>
        <w:spacing w:before="173"/>
      </w:pPr>
    </w:p>
    <w:p>
      <w:pPr>
        <w:pStyle w:val="BodyText"/>
        <w:spacing w:line="273" w:lineRule="auto" w:before="1"/>
        <w:ind w:left="1640" w:right="1178" w:hanging="720"/>
        <w:jc w:val="both"/>
      </w:pPr>
      <w:r>
        <w:rPr/>
        <w:t>Falagas, M.E., Grammatikos, A. P and Michalopoulos, A. (2008)."Potential of old-generation antibiotics</w:t>
      </w:r>
      <w:r>
        <w:rPr>
          <w:spacing w:val="40"/>
        </w:rPr>
        <w:t> </w:t>
      </w:r>
      <w:r>
        <w:rPr/>
        <w:t>to address current need for new antibiotics".</w:t>
      </w:r>
      <w:r>
        <w:rPr>
          <w:i/>
        </w:rPr>
        <w:t>Expert Review of Anti Infective Therapy</w:t>
      </w:r>
      <w:r>
        <w:rPr/>
        <w:t>,6 (5): 593– </w:t>
      </w:r>
      <w:r>
        <w:rPr>
          <w:spacing w:val="-4"/>
        </w:rPr>
        <w:t>600.</w:t>
      </w:r>
    </w:p>
    <w:p>
      <w:pPr>
        <w:pStyle w:val="BodyText"/>
        <w:spacing w:before="243"/>
        <w:ind w:left="920"/>
      </w:pPr>
      <w:r>
        <w:rPr/>
        <w:t>Fashey,</w:t>
      </w:r>
      <w:r>
        <w:rPr>
          <w:spacing w:val="11"/>
        </w:rPr>
        <w:t> </w:t>
      </w:r>
      <w:r>
        <w:rPr/>
        <w:t>T.,</w:t>
      </w:r>
      <w:r>
        <w:rPr>
          <w:spacing w:val="14"/>
        </w:rPr>
        <w:t> </w:t>
      </w:r>
      <w:r>
        <w:rPr/>
        <w:t>Morgan,</w:t>
      </w:r>
      <w:r>
        <w:rPr>
          <w:spacing w:val="19"/>
        </w:rPr>
        <w:t> </w:t>
      </w:r>
      <w:r>
        <w:rPr/>
        <w:t>D.,</w:t>
      </w:r>
      <w:r>
        <w:rPr>
          <w:spacing w:val="14"/>
        </w:rPr>
        <w:t> </w:t>
      </w:r>
      <w:r>
        <w:rPr/>
        <w:t>Gunneburg,</w:t>
      </w:r>
      <w:r>
        <w:rPr>
          <w:spacing w:val="13"/>
        </w:rPr>
        <w:t> </w:t>
      </w:r>
      <w:r>
        <w:rPr/>
        <w:t>C.,</w:t>
      </w:r>
      <w:r>
        <w:rPr>
          <w:spacing w:val="14"/>
        </w:rPr>
        <w:t> </w:t>
      </w:r>
      <w:r>
        <w:rPr/>
        <w:t>Adak,</w:t>
      </w:r>
      <w:r>
        <w:rPr>
          <w:spacing w:val="14"/>
        </w:rPr>
        <w:t> </w:t>
      </w:r>
      <w:r>
        <w:rPr/>
        <w:t>G.</w:t>
      </w:r>
      <w:r>
        <w:rPr>
          <w:spacing w:val="19"/>
        </w:rPr>
        <w:t> </w:t>
      </w:r>
      <w:r>
        <w:rPr/>
        <w:t>K.,</w:t>
      </w:r>
      <w:r>
        <w:rPr>
          <w:spacing w:val="13"/>
        </w:rPr>
        <w:t> </w:t>
      </w:r>
      <w:r>
        <w:rPr/>
        <w:t>Majid,</w:t>
      </w:r>
      <w:r>
        <w:rPr>
          <w:spacing w:val="14"/>
        </w:rPr>
        <w:t> </w:t>
      </w:r>
      <w:r>
        <w:rPr/>
        <w:t>F</w:t>
      </w:r>
      <w:r>
        <w:rPr>
          <w:spacing w:val="15"/>
        </w:rPr>
        <w:t> </w:t>
      </w:r>
      <w:r>
        <w:rPr/>
        <w:t>and</w:t>
      </w:r>
      <w:r>
        <w:rPr>
          <w:spacing w:val="16"/>
        </w:rPr>
        <w:t> </w:t>
      </w:r>
      <w:r>
        <w:rPr/>
        <w:t>Kaczmarski</w:t>
      </w:r>
      <w:r>
        <w:rPr>
          <w:spacing w:val="17"/>
        </w:rPr>
        <w:t> </w:t>
      </w:r>
      <w:r>
        <w:rPr/>
        <w:t>E.,</w:t>
      </w:r>
      <w:r>
        <w:rPr>
          <w:spacing w:val="14"/>
        </w:rPr>
        <w:t> </w:t>
      </w:r>
      <w:r>
        <w:rPr/>
        <w:t>(1995).</w:t>
      </w:r>
      <w:r>
        <w:rPr>
          <w:spacing w:val="18"/>
        </w:rPr>
        <w:t> </w:t>
      </w:r>
      <w:r>
        <w:rPr/>
        <w:t>An</w:t>
      </w:r>
      <w:r>
        <w:rPr>
          <w:spacing w:val="15"/>
        </w:rPr>
        <w:t> </w:t>
      </w:r>
      <w:r>
        <w:rPr/>
        <w:t>outbreak</w:t>
      </w:r>
      <w:r>
        <w:rPr>
          <w:spacing w:val="16"/>
        </w:rPr>
        <w:t> </w:t>
      </w:r>
      <w:r>
        <w:rPr>
          <w:spacing w:val="-5"/>
        </w:rPr>
        <w:t>of</w:t>
      </w:r>
    </w:p>
    <w:p>
      <w:pPr>
        <w:spacing w:before="43"/>
        <w:ind w:left="1640" w:right="0" w:firstLine="0"/>
        <w:jc w:val="left"/>
        <w:rPr>
          <w:sz w:val="22"/>
        </w:rPr>
      </w:pPr>
      <w:r>
        <w:rPr>
          <w:i/>
          <w:sz w:val="22"/>
        </w:rPr>
        <w:t>Campylobacter</w:t>
      </w:r>
      <w:r>
        <w:rPr>
          <w:i/>
          <w:spacing w:val="-4"/>
          <w:sz w:val="22"/>
        </w:rPr>
        <w:t> </w:t>
      </w:r>
      <w:r>
        <w:rPr>
          <w:i/>
          <w:sz w:val="22"/>
        </w:rPr>
        <w:t>jejuni</w:t>
      </w:r>
      <w:r>
        <w:rPr>
          <w:i/>
          <w:spacing w:val="-2"/>
          <w:sz w:val="22"/>
        </w:rPr>
        <w:t> </w:t>
      </w:r>
      <w:r>
        <w:rPr>
          <w:sz w:val="22"/>
        </w:rPr>
        <w:t>associated</w:t>
      </w:r>
      <w:r>
        <w:rPr>
          <w:spacing w:val="-5"/>
          <w:sz w:val="22"/>
        </w:rPr>
        <w:t> </w:t>
      </w:r>
      <w:r>
        <w:rPr>
          <w:sz w:val="22"/>
        </w:rPr>
        <w:t>with</w:t>
      </w:r>
      <w:r>
        <w:rPr>
          <w:spacing w:val="-5"/>
          <w:sz w:val="22"/>
        </w:rPr>
        <w:t> </w:t>
      </w:r>
      <w:r>
        <w:rPr>
          <w:sz w:val="22"/>
        </w:rPr>
        <w:t>failed</w:t>
      </w:r>
      <w:r>
        <w:rPr>
          <w:spacing w:val="-6"/>
          <w:sz w:val="22"/>
        </w:rPr>
        <w:t> </w:t>
      </w:r>
      <w:r>
        <w:rPr>
          <w:sz w:val="22"/>
        </w:rPr>
        <w:t>milk</w:t>
      </w:r>
      <w:r>
        <w:rPr>
          <w:spacing w:val="-4"/>
          <w:sz w:val="22"/>
        </w:rPr>
        <w:t> </w:t>
      </w:r>
      <w:r>
        <w:rPr>
          <w:sz w:val="22"/>
        </w:rPr>
        <w:t>pasteurization.</w:t>
      </w:r>
      <w:r>
        <w:rPr>
          <w:spacing w:val="-2"/>
          <w:sz w:val="22"/>
        </w:rPr>
        <w:t> </w:t>
      </w:r>
      <w:r>
        <w:rPr>
          <w:i/>
          <w:sz w:val="22"/>
        </w:rPr>
        <w:t>Journal</w:t>
      </w:r>
      <w:r>
        <w:rPr>
          <w:i/>
          <w:spacing w:val="-2"/>
          <w:sz w:val="22"/>
        </w:rPr>
        <w:t> </w:t>
      </w:r>
      <w:r>
        <w:rPr>
          <w:i/>
          <w:sz w:val="22"/>
        </w:rPr>
        <w:t>of</w:t>
      </w:r>
      <w:r>
        <w:rPr>
          <w:i/>
          <w:spacing w:val="-9"/>
          <w:sz w:val="22"/>
        </w:rPr>
        <w:t> </w:t>
      </w:r>
      <w:r>
        <w:rPr>
          <w:i/>
          <w:sz w:val="22"/>
        </w:rPr>
        <w:t>Infection</w:t>
      </w:r>
      <w:r>
        <w:rPr>
          <w:sz w:val="22"/>
        </w:rPr>
        <w:t>,</w:t>
      </w:r>
      <w:r>
        <w:rPr>
          <w:spacing w:val="-6"/>
          <w:sz w:val="22"/>
        </w:rPr>
        <w:t> </w:t>
      </w:r>
      <w:r>
        <w:rPr>
          <w:spacing w:val="-2"/>
          <w:sz w:val="22"/>
        </w:rPr>
        <w:t>31:137.</w:t>
      </w:r>
    </w:p>
    <w:p>
      <w:pPr>
        <w:pStyle w:val="BodyText"/>
        <w:spacing w:before="10"/>
      </w:pPr>
    </w:p>
    <w:p>
      <w:pPr>
        <w:pStyle w:val="BodyText"/>
        <w:spacing w:line="276" w:lineRule="auto"/>
        <w:ind w:left="1640" w:right="1175" w:hanging="720"/>
        <w:jc w:val="both"/>
      </w:pPr>
      <w:r>
        <w:rPr/>
        <w:t>Fech, G and Scjwarz, S</w:t>
      </w:r>
      <w:r>
        <w:rPr>
          <w:i/>
        </w:rPr>
        <w:t>. </w:t>
      </w:r>
      <w:r>
        <w:rPr/>
        <w:t>(2000). Molecular analysis of tetracycline phenotypes and genotypes of Multi resistant </w:t>
      </w:r>
      <w:r>
        <w:rPr>
          <w:i/>
        </w:rPr>
        <w:t>Salmonella </w:t>
      </w:r>
      <w:r>
        <w:rPr/>
        <w:t>enterica subsp. enterica serovars Typhimurium, Enteritidis, Dublin, Choleraesuis, Hadar, and Saintpaul: construction and application of specific gene probes </w:t>
      </w:r>
      <w:r>
        <w:rPr>
          <w:i/>
        </w:rPr>
        <w:t>Journal of Applied Microbiology</w:t>
      </w:r>
      <w:r>
        <w:rPr/>
        <w:t>, 89: 633-641.</w:t>
      </w:r>
    </w:p>
    <w:p>
      <w:pPr>
        <w:spacing w:line="278" w:lineRule="auto" w:before="239"/>
        <w:ind w:left="1640" w:right="1177" w:hanging="720"/>
        <w:jc w:val="both"/>
        <w:rPr>
          <w:sz w:val="22"/>
        </w:rPr>
      </w:pPr>
      <w:r>
        <w:rPr>
          <w:sz w:val="22"/>
        </w:rPr>
        <w:t>Feresu, S and Nyati, H. (1990). Fate of pathogenic and non pathogenic </w:t>
      </w:r>
      <w:r>
        <w:rPr>
          <w:i/>
          <w:sz w:val="22"/>
        </w:rPr>
        <w:t>Escherichia coli </w:t>
      </w:r>
      <w:r>
        <w:rPr>
          <w:sz w:val="22"/>
        </w:rPr>
        <w:t>strains in two fermented milk products. </w:t>
      </w:r>
      <w:r>
        <w:rPr>
          <w:i/>
          <w:sz w:val="22"/>
        </w:rPr>
        <w:t>Journal of Applied Bacteriology</w:t>
      </w:r>
      <w:r>
        <w:rPr>
          <w:sz w:val="22"/>
        </w:rPr>
        <w:t>, 69: 814-821.</w:t>
      </w:r>
    </w:p>
    <w:p>
      <w:pPr>
        <w:spacing w:line="278" w:lineRule="auto" w:before="236"/>
        <w:ind w:left="1640" w:right="1174" w:hanging="720"/>
        <w:jc w:val="both"/>
        <w:rPr>
          <w:sz w:val="22"/>
        </w:rPr>
      </w:pPr>
      <w:r>
        <w:rPr>
          <w:sz w:val="22"/>
        </w:rPr>
        <w:t>Fidler, D.P. (1998). Legal issues associated with antimicrobial drug resistance. </w:t>
      </w:r>
      <w:r>
        <w:rPr>
          <w:i/>
          <w:sz w:val="22"/>
        </w:rPr>
        <w:t>Emerging Infectious Diseases, </w:t>
      </w:r>
      <w:r>
        <w:rPr>
          <w:sz w:val="22"/>
        </w:rPr>
        <w:t>4(2): 169-177.</w:t>
      </w:r>
    </w:p>
    <w:p>
      <w:pPr>
        <w:spacing w:line="273" w:lineRule="auto" w:before="236"/>
        <w:ind w:left="1640" w:right="1173" w:hanging="720"/>
        <w:jc w:val="both"/>
        <w:rPr>
          <w:sz w:val="22"/>
        </w:rPr>
      </w:pPr>
      <w:r>
        <w:rPr>
          <w:sz w:val="22"/>
        </w:rPr>
        <w:t>Fikselová, M., Šilhár, S., Mareček, J and Frančáková, H. (2008).Extraction of carrot (</w:t>
      </w:r>
      <w:r>
        <w:rPr>
          <w:i/>
          <w:sz w:val="22"/>
        </w:rPr>
        <w:t>Daucus carota </w:t>
      </w:r>
      <w:r>
        <w:rPr>
          <w:sz w:val="22"/>
        </w:rPr>
        <w:t>L.) carotenes inder different conditions.In </w:t>
      </w:r>
      <w:r>
        <w:rPr>
          <w:i/>
          <w:sz w:val="22"/>
        </w:rPr>
        <w:t>Czech Journal of Food Science</w:t>
      </w:r>
      <w:r>
        <w:rPr>
          <w:sz w:val="22"/>
        </w:rPr>
        <w:t>, 26: 268-274.</w:t>
      </w:r>
    </w:p>
    <w:p>
      <w:pPr>
        <w:pStyle w:val="BodyText"/>
        <w:spacing w:line="278" w:lineRule="auto" w:before="242"/>
        <w:ind w:left="1640" w:right="1177" w:hanging="720"/>
        <w:jc w:val="both"/>
      </w:pPr>
      <w:r>
        <w:rPr/>
        <w:t>Flannagan, S.E., Zitzow, L.A., SU, Y.A and Clewell, D.B. (1994).Nucleotide sequence of the 18-kb conjugative transposon Tn916 from </w:t>
      </w:r>
      <w:r>
        <w:rPr>
          <w:i/>
        </w:rPr>
        <w:t>Enterococcus faecalis</w:t>
      </w:r>
      <w:r>
        <w:rPr/>
        <w:t>.</w:t>
      </w:r>
      <w:r>
        <w:rPr>
          <w:i/>
        </w:rPr>
        <w:t>Plasmid</w:t>
      </w:r>
      <w:r>
        <w:rPr/>
        <w:t>, 32: 350-354.</w:t>
      </w:r>
    </w:p>
    <w:p>
      <w:pPr>
        <w:spacing w:line="278" w:lineRule="auto" w:before="236"/>
        <w:ind w:left="1640" w:right="1174" w:hanging="720"/>
        <w:jc w:val="both"/>
        <w:rPr>
          <w:sz w:val="22"/>
        </w:rPr>
      </w:pPr>
      <w:r>
        <w:rPr>
          <w:sz w:val="22"/>
        </w:rPr>
        <w:t>Florea, N.F and Nightingale, C.H. (2004). Review of the pharmaco-dynamics of antimicrobial use in</w:t>
      </w:r>
      <w:r>
        <w:rPr>
          <w:spacing w:val="40"/>
          <w:sz w:val="22"/>
        </w:rPr>
        <w:t> </w:t>
      </w:r>
      <w:r>
        <w:rPr>
          <w:sz w:val="22"/>
        </w:rPr>
        <w:t>animal food production. </w:t>
      </w:r>
      <w:r>
        <w:rPr>
          <w:i/>
          <w:sz w:val="22"/>
        </w:rPr>
        <w:t>Diagnostic Microbiology and Infectious Disease, </w:t>
      </w:r>
      <w:r>
        <w:rPr>
          <w:sz w:val="22"/>
        </w:rPr>
        <w:t>49:105-108</w:t>
      </w:r>
    </w:p>
    <w:p>
      <w:pPr>
        <w:tabs>
          <w:tab w:pos="3108" w:val="left" w:leader="none"/>
          <w:tab w:pos="6083" w:val="left" w:leader="none"/>
          <w:tab w:pos="7421" w:val="left" w:leader="none"/>
          <w:tab w:pos="8438" w:val="left" w:leader="none"/>
          <w:tab w:pos="9818" w:val="left" w:leader="none"/>
        </w:tabs>
        <w:spacing w:line="240" w:lineRule="auto" w:before="226"/>
        <w:ind w:left="1640" w:right="1175" w:hanging="720"/>
        <w:jc w:val="both"/>
        <w:rPr>
          <w:rFonts w:ascii="Times New Roman"/>
          <w:sz w:val="24"/>
        </w:rPr>
      </w:pPr>
      <w:r>
        <w:rPr>
          <w:rFonts w:ascii="Times New Roman"/>
          <w:sz w:val="24"/>
        </w:rPr>
        <w:t>Food and Drug Administration. (2010). Combating Antibiotic Resistance. FDA Consumer</w:t>
      </w:r>
      <w:r>
        <w:rPr>
          <w:rFonts w:ascii="Times New Roman"/>
          <w:spacing w:val="40"/>
          <w:sz w:val="24"/>
        </w:rPr>
        <w:t> </w:t>
      </w:r>
      <w:r>
        <w:rPr>
          <w:rFonts w:ascii="Times New Roman"/>
          <w:spacing w:val="-2"/>
          <w:sz w:val="24"/>
        </w:rPr>
        <w:t>Health</w:t>
      </w:r>
      <w:r>
        <w:rPr>
          <w:rFonts w:ascii="Times New Roman"/>
          <w:sz w:val="24"/>
        </w:rPr>
        <w:tab/>
      </w:r>
      <w:r>
        <w:rPr>
          <w:rFonts w:ascii="Times New Roman"/>
          <w:spacing w:val="-2"/>
          <w:sz w:val="24"/>
        </w:rPr>
        <w:t>Information.Retrieved</w:t>
      </w:r>
      <w:r>
        <w:rPr>
          <w:rFonts w:ascii="Times New Roman"/>
          <w:sz w:val="24"/>
        </w:rPr>
        <w:tab/>
      </w:r>
      <w:r>
        <w:rPr>
          <w:rFonts w:ascii="Times New Roman"/>
          <w:spacing w:val="-2"/>
          <w:sz w:val="24"/>
        </w:rPr>
        <w:t>April</w:t>
      </w:r>
      <w:r>
        <w:rPr>
          <w:rFonts w:ascii="Times New Roman"/>
          <w:sz w:val="24"/>
        </w:rPr>
        <w:tab/>
      </w:r>
      <w:r>
        <w:rPr>
          <w:rFonts w:ascii="Times New Roman"/>
          <w:spacing w:val="-6"/>
          <w:sz w:val="24"/>
        </w:rPr>
        <w:t>5,</w:t>
      </w:r>
      <w:r>
        <w:rPr>
          <w:rFonts w:ascii="Times New Roman"/>
          <w:sz w:val="24"/>
        </w:rPr>
        <w:tab/>
      </w:r>
      <w:r>
        <w:rPr>
          <w:rFonts w:ascii="Times New Roman"/>
          <w:spacing w:val="-2"/>
          <w:sz w:val="24"/>
        </w:rPr>
        <w:t>2011,</w:t>
      </w:r>
      <w:r>
        <w:rPr>
          <w:rFonts w:ascii="Times New Roman"/>
          <w:sz w:val="24"/>
        </w:rPr>
        <w:tab/>
      </w:r>
      <w:r>
        <w:rPr>
          <w:rFonts w:ascii="Times New Roman"/>
          <w:spacing w:val="-4"/>
          <w:sz w:val="24"/>
        </w:rPr>
        <w:t>from </w:t>
      </w:r>
      <w:hyperlink r:id="rId19">
        <w:r>
          <w:rPr>
            <w:rFonts w:ascii="Times New Roman"/>
            <w:spacing w:val="-2"/>
            <w:sz w:val="24"/>
          </w:rPr>
          <w:t>http://www.fda.gov/downloads/ForConsumers/ConsumerUpdates/UCM143470.</w:t>
        </w:r>
      </w:hyperlink>
    </w:p>
    <w:p>
      <w:pPr>
        <w:spacing w:before="253"/>
        <w:ind w:left="920" w:right="0" w:firstLine="0"/>
        <w:jc w:val="left"/>
        <w:rPr>
          <w:sz w:val="22"/>
        </w:rPr>
      </w:pPr>
      <w:r>
        <w:rPr>
          <w:sz w:val="22"/>
        </w:rPr>
        <w:t>Forsythe,</w:t>
      </w:r>
      <w:r>
        <w:rPr>
          <w:spacing w:val="-7"/>
          <w:sz w:val="22"/>
        </w:rPr>
        <w:t> </w:t>
      </w:r>
      <w:r>
        <w:rPr>
          <w:sz w:val="22"/>
        </w:rPr>
        <w:t>S.J.</w:t>
      </w:r>
      <w:r>
        <w:rPr>
          <w:spacing w:val="-4"/>
          <w:sz w:val="22"/>
        </w:rPr>
        <w:t> </w:t>
      </w:r>
      <w:r>
        <w:rPr>
          <w:sz w:val="22"/>
        </w:rPr>
        <w:t>(2000).</w:t>
      </w:r>
      <w:r>
        <w:rPr>
          <w:spacing w:val="-3"/>
          <w:sz w:val="22"/>
        </w:rPr>
        <w:t> </w:t>
      </w:r>
      <w:r>
        <w:rPr>
          <w:i/>
          <w:sz w:val="22"/>
        </w:rPr>
        <w:t>The</w:t>
      </w:r>
      <w:r>
        <w:rPr>
          <w:i/>
          <w:spacing w:val="-5"/>
          <w:sz w:val="22"/>
        </w:rPr>
        <w:t> </w:t>
      </w:r>
      <w:r>
        <w:rPr>
          <w:i/>
          <w:sz w:val="22"/>
        </w:rPr>
        <w:t>Microbiology</w:t>
      </w:r>
      <w:r>
        <w:rPr>
          <w:i/>
          <w:spacing w:val="-3"/>
          <w:sz w:val="22"/>
        </w:rPr>
        <w:t> </w:t>
      </w:r>
      <w:r>
        <w:rPr>
          <w:i/>
          <w:sz w:val="22"/>
        </w:rPr>
        <w:t>of</w:t>
      </w:r>
      <w:r>
        <w:rPr>
          <w:i/>
          <w:spacing w:val="-5"/>
          <w:sz w:val="22"/>
        </w:rPr>
        <w:t> </w:t>
      </w:r>
      <w:r>
        <w:rPr>
          <w:i/>
          <w:sz w:val="22"/>
        </w:rPr>
        <w:t>Safe</w:t>
      </w:r>
      <w:r>
        <w:rPr>
          <w:i/>
          <w:spacing w:val="-6"/>
          <w:sz w:val="22"/>
        </w:rPr>
        <w:t> </w:t>
      </w:r>
      <w:r>
        <w:rPr>
          <w:i/>
          <w:sz w:val="22"/>
        </w:rPr>
        <w:t>Food</w:t>
      </w:r>
      <w:r>
        <w:rPr>
          <w:sz w:val="22"/>
        </w:rPr>
        <w:t>.Blackwell</w:t>
      </w:r>
      <w:r>
        <w:rPr>
          <w:spacing w:val="-3"/>
          <w:sz w:val="22"/>
        </w:rPr>
        <w:t> </w:t>
      </w:r>
      <w:r>
        <w:rPr>
          <w:sz w:val="22"/>
        </w:rPr>
        <w:t>science</w:t>
      </w:r>
      <w:r>
        <w:rPr>
          <w:spacing w:val="-5"/>
          <w:sz w:val="22"/>
        </w:rPr>
        <w:t> </w:t>
      </w:r>
      <w:r>
        <w:rPr>
          <w:sz w:val="22"/>
        </w:rPr>
        <w:t>Ltd.,</w:t>
      </w:r>
      <w:r>
        <w:rPr>
          <w:spacing w:val="-7"/>
          <w:sz w:val="22"/>
        </w:rPr>
        <w:t> </w:t>
      </w:r>
      <w:r>
        <w:rPr>
          <w:sz w:val="22"/>
        </w:rPr>
        <w:t>Oxford,</w:t>
      </w:r>
      <w:r>
        <w:rPr>
          <w:spacing w:val="-3"/>
          <w:sz w:val="22"/>
        </w:rPr>
        <w:t> </w:t>
      </w:r>
      <w:r>
        <w:rPr>
          <w:sz w:val="22"/>
        </w:rPr>
        <w:t>UK.PP.</w:t>
      </w:r>
      <w:r>
        <w:rPr>
          <w:spacing w:val="-3"/>
          <w:sz w:val="22"/>
        </w:rPr>
        <w:t> </w:t>
      </w:r>
      <w:r>
        <w:rPr>
          <w:spacing w:val="-4"/>
          <w:sz w:val="22"/>
        </w:rPr>
        <w:t>412.</w:t>
      </w:r>
    </w:p>
    <w:p>
      <w:pPr>
        <w:pStyle w:val="BodyText"/>
      </w:pPr>
    </w:p>
    <w:p>
      <w:pPr>
        <w:pStyle w:val="BodyText"/>
        <w:spacing w:before="211"/>
      </w:pPr>
    </w:p>
    <w:p>
      <w:pPr>
        <w:spacing w:before="1"/>
        <w:ind w:left="920" w:right="0" w:firstLine="0"/>
        <w:jc w:val="left"/>
        <w:rPr>
          <w:sz w:val="22"/>
        </w:rPr>
      </w:pPr>
      <w:r>
        <w:rPr>
          <w:sz w:val="22"/>
        </w:rPr>
        <w:t>Fox,</w:t>
      </w:r>
      <w:r>
        <w:rPr>
          <w:spacing w:val="54"/>
          <w:sz w:val="22"/>
        </w:rPr>
        <w:t> </w:t>
      </w:r>
      <w:r>
        <w:rPr>
          <w:sz w:val="22"/>
        </w:rPr>
        <w:t>P.</w:t>
      </w:r>
      <w:r>
        <w:rPr>
          <w:spacing w:val="58"/>
          <w:sz w:val="22"/>
        </w:rPr>
        <w:t> </w:t>
      </w:r>
      <w:r>
        <w:rPr>
          <w:sz w:val="22"/>
        </w:rPr>
        <w:t>F.</w:t>
      </w:r>
      <w:r>
        <w:rPr>
          <w:spacing w:val="54"/>
          <w:sz w:val="22"/>
        </w:rPr>
        <w:t> </w:t>
      </w:r>
      <w:r>
        <w:rPr>
          <w:sz w:val="22"/>
        </w:rPr>
        <w:t>(1995).</w:t>
      </w:r>
      <w:r>
        <w:rPr>
          <w:spacing w:val="58"/>
          <w:sz w:val="22"/>
        </w:rPr>
        <w:t> </w:t>
      </w:r>
      <w:r>
        <w:rPr>
          <w:sz w:val="22"/>
        </w:rPr>
        <w:t>Advanced</w:t>
      </w:r>
      <w:r>
        <w:rPr>
          <w:spacing w:val="56"/>
          <w:sz w:val="22"/>
        </w:rPr>
        <w:t> </w:t>
      </w:r>
      <w:r>
        <w:rPr>
          <w:sz w:val="22"/>
        </w:rPr>
        <w:t>Dairy</w:t>
      </w:r>
      <w:r>
        <w:rPr>
          <w:spacing w:val="53"/>
          <w:sz w:val="22"/>
        </w:rPr>
        <w:t> </w:t>
      </w:r>
      <w:r>
        <w:rPr>
          <w:sz w:val="22"/>
        </w:rPr>
        <w:t>Chemistry,</w:t>
      </w:r>
      <w:r>
        <w:rPr>
          <w:spacing w:val="55"/>
          <w:sz w:val="22"/>
        </w:rPr>
        <w:t> </w:t>
      </w:r>
      <w:r>
        <w:rPr>
          <w:sz w:val="22"/>
        </w:rPr>
        <w:t>Vol.</w:t>
      </w:r>
      <w:r>
        <w:rPr>
          <w:spacing w:val="53"/>
          <w:sz w:val="22"/>
        </w:rPr>
        <w:t> </w:t>
      </w:r>
      <w:r>
        <w:rPr>
          <w:sz w:val="22"/>
        </w:rPr>
        <w:t>3:</w:t>
      </w:r>
      <w:r>
        <w:rPr>
          <w:spacing w:val="57"/>
          <w:sz w:val="22"/>
        </w:rPr>
        <w:t> </w:t>
      </w:r>
      <w:r>
        <w:rPr>
          <w:i/>
          <w:sz w:val="22"/>
        </w:rPr>
        <w:t>Lactose,</w:t>
      </w:r>
      <w:r>
        <w:rPr>
          <w:i/>
          <w:spacing w:val="55"/>
          <w:sz w:val="22"/>
        </w:rPr>
        <w:t> </w:t>
      </w:r>
      <w:r>
        <w:rPr>
          <w:i/>
          <w:sz w:val="22"/>
        </w:rPr>
        <w:t>Water,</w:t>
      </w:r>
      <w:r>
        <w:rPr>
          <w:i/>
          <w:spacing w:val="54"/>
          <w:sz w:val="22"/>
        </w:rPr>
        <w:t> </w:t>
      </w:r>
      <w:r>
        <w:rPr>
          <w:i/>
          <w:sz w:val="22"/>
        </w:rPr>
        <w:t>Salts</w:t>
      </w:r>
      <w:r>
        <w:rPr>
          <w:i/>
          <w:spacing w:val="53"/>
          <w:sz w:val="22"/>
        </w:rPr>
        <w:t> </w:t>
      </w:r>
      <w:r>
        <w:rPr>
          <w:i/>
          <w:sz w:val="22"/>
        </w:rPr>
        <w:t>and</w:t>
      </w:r>
      <w:r>
        <w:rPr>
          <w:i/>
          <w:spacing w:val="53"/>
          <w:sz w:val="22"/>
        </w:rPr>
        <w:t> </w:t>
      </w:r>
      <w:r>
        <w:rPr>
          <w:i/>
          <w:sz w:val="22"/>
        </w:rPr>
        <w:t>Vitamins</w:t>
      </w:r>
      <w:r>
        <w:rPr>
          <w:sz w:val="22"/>
        </w:rPr>
        <w:t>.</w:t>
      </w:r>
      <w:r>
        <w:rPr>
          <w:spacing w:val="58"/>
          <w:sz w:val="22"/>
        </w:rPr>
        <w:t> </w:t>
      </w:r>
      <w:r>
        <w:rPr>
          <w:sz w:val="22"/>
        </w:rPr>
        <w:t>2nd</w:t>
      </w:r>
      <w:r>
        <w:rPr>
          <w:spacing w:val="57"/>
          <w:sz w:val="22"/>
        </w:rPr>
        <w:t> </w:t>
      </w:r>
      <w:r>
        <w:rPr>
          <w:spacing w:val="-5"/>
          <w:sz w:val="22"/>
        </w:rPr>
        <w:t>ed.</w:t>
      </w:r>
    </w:p>
    <w:p>
      <w:pPr>
        <w:pStyle w:val="BodyText"/>
        <w:spacing w:before="38"/>
        <w:ind w:left="1640"/>
      </w:pPr>
      <w:r>
        <w:rPr/>
        <w:t>Chapman</w:t>
      </w:r>
      <w:r>
        <w:rPr>
          <w:spacing w:val="-5"/>
        </w:rPr>
        <w:t> </w:t>
      </w:r>
      <w:r>
        <w:rPr/>
        <w:t>and</w:t>
      </w:r>
      <w:r>
        <w:rPr>
          <w:spacing w:val="-4"/>
        </w:rPr>
        <w:t> </w:t>
      </w:r>
      <w:r>
        <w:rPr/>
        <w:t>Hall:</w:t>
      </w:r>
      <w:r>
        <w:rPr>
          <w:spacing w:val="-5"/>
        </w:rPr>
        <w:t> </w:t>
      </w:r>
      <w:r>
        <w:rPr/>
        <w:t>New</w:t>
      </w:r>
      <w:r>
        <w:rPr>
          <w:spacing w:val="-2"/>
        </w:rPr>
        <w:t> </w:t>
      </w:r>
      <w:r>
        <w:rPr/>
        <w:t>York,</w:t>
      </w:r>
      <w:r>
        <w:rPr>
          <w:spacing w:val="-6"/>
        </w:rPr>
        <w:t> </w:t>
      </w:r>
      <w:r>
        <w:rPr/>
        <w:t>PP.</w:t>
      </w:r>
      <w:r>
        <w:rPr>
          <w:spacing w:val="-1"/>
        </w:rPr>
        <w:t> </w:t>
      </w:r>
      <w:r>
        <w:rPr/>
        <w:t>122-</w:t>
      </w:r>
      <w:r>
        <w:rPr>
          <w:spacing w:val="-4"/>
        </w:rPr>
        <w:t>147.</w:t>
      </w:r>
    </w:p>
    <w:p>
      <w:pPr>
        <w:pStyle w:val="BodyText"/>
        <w:spacing w:before="10"/>
      </w:pPr>
    </w:p>
    <w:p>
      <w:pPr>
        <w:pStyle w:val="BodyText"/>
        <w:spacing w:line="278" w:lineRule="auto"/>
        <w:ind w:left="1640" w:right="1172" w:hanging="720"/>
        <w:jc w:val="both"/>
      </w:pPr>
      <w:r>
        <w:rPr/>
        <w:t>Frazier, W.C and Westoff, D.C. (1986), </w:t>
      </w:r>
      <w:r>
        <w:rPr>
          <w:i/>
        </w:rPr>
        <w:t>Food Microbiology</w:t>
      </w:r>
      <w:r>
        <w:rPr/>
        <w:t>. TMH Edition, Cambridge University Press, Cambridge, MA, PP. 521- 540.</w:t>
      </w:r>
    </w:p>
    <w:p>
      <w:pPr>
        <w:spacing w:after="0" w:line="278" w:lineRule="auto"/>
        <w:jc w:val="both"/>
        <w:sectPr>
          <w:pgSz w:w="12240" w:h="15840"/>
          <w:pgMar w:header="0" w:footer="1017" w:top="1400" w:bottom="1200" w:left="520" w:right="260"/>
        </w:sectPr>
      </w:pPr>
    </w:p>
    <w:p>
      <w:pPr>
        <w:spacing w:line="276" w:lineRule="auto" w:before="41"/>
        <w:ind w:left="1640" w:right="1175" w:hanging="720"/>
        <w:jc w:val="both"/>
        <w:rPr>
          <w:sz w:val="22"/>
        </w:rPr>
      </w:pPr>
      <w:r>
        <w:rPr>
          <w:sz w:val="22"/>
        </w:rPr>
        <w:t>Fredriksson-Ahomaa, M and Hannu Korkeala, H. (2003). Low Occurrence of Pathogenic </w:t>
      </w:r>
      <w:r>
        <w:rPr>
          <w:i/>
          <w:sz w:val="22"/>
        </w:rPr>
        <w:t>Yersinia enterocolitica </w:t>
      </w:r>
      <w:r>
        <w:rPr>
          <w:sz w:val="22"/>
        </w:rPr>
        <w:t>in Clinical, Food, and Environmental Samples: a Methodological Problem. </w:t>
      </w:r>
      <w:r>
        <w:rPr>
          <w:i/>
          <w:sz w:val="22"/>
        </w:rPr>
        <w:t>Clinical MicrobiologyReview</w:t>
      </w:r>
      <w:r>
        <w:rPr>
          <w:sz w:val="22"/>
        </w:rPr>
        <w:t>, 16: 220-222.</w:t>
      </w:r>
    </w:p>
    <w:p>
      <w:pPr>
        <w:pStyle w:val="BodyText"/>
        <w:spacing w:before="7"/>
      </w:pPr>
    </w:p>
    <w:p>
      <w:pPr>
        <w:spacing w:line="237" w:lineRule="auto" w:before="0"/>
        <w:ind w:left="1640" w:right="1179" w:hanging="720"/>
        <w:jc w:val="both"/>
        <w:rPr>
          <w:rFonts w:ascii="Times New Roman" w:hAnsi="Times New Roman"/>
          <w:sz w:val="24"/>
        </w:rPr>
      </w:pPr>
      <w:r>
        <w:rPr>
          <w:rFonts w:ascii="Times New Roman" w:hAnsi="Times New Roman"/>
          <w:sz w:val="24"/>
        </w:rPr>
        <w:t>Fürst, P and Stehle, P. (2004)."What are the essential elements needed for the determination of amino acid requirements in humans?"</w:t>
      </w:r>
      <w:r>
        <w:rPr>
          <w:rFonts w:ascii="Times New Roman" w:hAnsi="Times New Roman"/>
          <w:i/>
          <w:sz w:val="24"/>
        </w:rPr>
        <w:t>Journal of Nutrition</w:t>
      </w:r>
      <w:r>
        <w:rPr>
          <w:rFonts w:ascii="Times New Roman" w:hAnsi="Times New Roman"/>
          <w:sz w:val="24"/>
        </w:rPr>
        <w:t>134 (6): 1558S–1565S.</w:t>
      </w:r>
    </w:p>
    <w:p>
      <w:pPr>
        <w:pStyle w:val="BodyText"/>
        <w:spacing w:before="16"/>
        <w:rPr>
          <w:rFonts w:ascii="Times New Roman"/>
          <w:sz w:val="24"/>
        </w:rPr>
      </w:pPr>
    </w:p>
    <w:p>
      <w:pPr>
        <w:spacing w:line="273" w:lineRule="auto" w:before="0"/>
        <w:ind w:left="1640" w:right="1171" w:hanging="720"/>
        <w:jc w:val="both"/>
        <w:rPr>
          <w:sz w:val="22"/>
        </w:rPr>
      </w:pPr>
      <w:r>
        <w:rPr>
          <w:sz w:val="22"/>
        </w:rPr>
        <w:t>Galland, J.C., Hyatt, D.R., Crupper, S.S and Acheson, D.W. (2001). Prevalence of antibiotic susceptibility, and diversity of </w:t>
      </w:r>
      <w:r>
        <w:rPr>
          <w:i/>
          <w:sz w:val="22"/>
        </w:rPr>
        <w:t>Escherichia coli </w:t>
      </w:r>
      <w:r>
        <w:rPr>
          <w:sz w:val="22"/>
        </w:rPr>
        <w:t>O157:H7 isolates from a longitudinal study of beef cattle feedlots. </w:t>
      </w:r>
      <w:r>
        <w:rPr>
          <w:i/>
          <w:sz w:val="22"/>
        </w:rPr>
        <w:t>Applied Journal of Environmental Microbiology</w:t>
      </w:r>
      <w:r>
        <w:rPr>
          <w:sz w:val="22"/>
        </w:rPr>
        <w:t>, 67: 1619-1627</w:t>
      </w:r>
    </w:p>
    <w:p>
      <w:pPr>
        <w:spacing w:line="276" w:lineRule="auto" w:before="243"/>
        <w:ind w:left="1640" w:right="1172" w:hanging="720"/>
        <w:jc w:val="both"/>
        <w:rPr>
          <w:sz w:val="22"/>
        </w:rPr>
      </w:pPr>
      <w:r>
        <w:rPr>
          <w:sz w:val="22"/>
        </w:rPr>
        <w:t>Garau, J., Xercavins, M.,</w:t>
      </w:r>
      <w:r>
        <w:rPr>
          <w:spacing w:val="-4"/>
          <w:sz w:val="22"/>
        </w:rPr>
        <w:t> </w:t>
      </w:r>
      <w:r>
        <w:rPr>
          <w:sz w:val="22"/>
        </w:rPr>
        <w:t>Podriguez-Carballeira, M., Gomez-vera, J.R.,</w:t>
      </w:r>
      <w:r>
        <w:rPr>
          <w:spacing w:val="-4"/>
          <w:sz w:val="22"/>
        </w:rPr>
        <w:t> </w:t>
      </w:r>
      <w:r>
        <w:rPr>
          <w:sz w:val="22"/>
        </w:rPr>
        <w:t>Coll,</w:t>
      </w:r>
      <w:r>
        <w:rPr>
          <w:spacing w:val="-4"/>
          <w:sz w:val="22"/>
        </w:rPr>
        <w:t> </w:t>
      </w:r>
      <w:r>
        <w:rPr>
          <w:sz w:val="22"/>
        </w:rPr>
        <w:t>I., Vidal, D., Wovet, T and Ruiz- Breman, A. (1999).Emergence and dissemination of quinoline resistant </w:t>
      </w:r>
      <w:r>
        <w:rPr>
          <w:i/>
          <w:sz w:val="22"/>
        </w:rPr>
        <w:t>Escherichia coli </w:t>
      </w:r>
      <w:r>
        <w:rPr>
          <w:sz w:val="22"/>
        </w:rPr>
        <w:t>in the community.</w:t>
      </w:r>
      <w:r>
        <w:rPr>
          <w:i/>
          <w:sz w:val="22"/>
        </w:rPr>
        <w:t>Antimicrobial Agents and Chemotherapy, </w:t>
      </w:r>
      <w:r>
        <w:rPr>
          <w:sz w:val="22"/>
        </w:rPr>
        <w:t>43: 2736-2741.</w:t>
      </w:r>
    </w:p>
    <w:p>
      <w:pPr>
        <w:pStyle w:val="BodyText"/>
        <w:spacing w:line="276" w:lineRule="auto" w:before="240"/>
        <w:ind w:left="1640" w:right="1174" w:hanging="720"/>
        <w:jc w:val="both"/>
      </w:pPr>
      <w:r>
        <w:rPr/>
        <w:t>Gassem, M.A. (1999). Study of the microorganisms associated with the fermented bread (Khamir) product produced from sorghum in Gizan region, Saudi Arabia. </w:t>
      </w:r>
      <w:r>
        <w:rPr>
          <w:i/>
        </w:rPr>
        <w:t>Journal of Applied Microbiology, 86</w:t>
      </w:r>
      <w:r>
        <w:rPr/>
        <w:t>: 221–225.</w:t>
      </w:r>
    </w:p>
    <w:p>
      <w:pPr>
        <w:spacing w:line="278" w:lineRule="auto" w:before="240"/>
        <w:ind w:left="1640" w:right="1177" w:hanging="720"/>
        <w:jc w:val="both"/>
        <w:rPr>
          <w:sz w:val="22"/>
        </w:rPr>
      </w:pPr>
      <w:r>
        <w:rPr>
          <w:sz w:val="22"/>
        </w:rPr>
        <w:t>Gassem,</w:t>
      </w:r>
      <w:r>
        <w:rPr>
          <w:spacing w:val="-2"/>
          <w:sz w:val="22"/>
        </w:rPr>
        <w:t> </w:t>
      </w:r>
      <w:r>
        <w:rPr>
          <w:sz w:val="22"/>
        </w:rPr>
        <w:t>M.A. (2002). A microbiological study of sobia:</w:t>
      </w:r>
      <w:r>
        <w:rPr>
          <w:spacing w:val="-1"/>
          <w:sz w:val="22"/>
        </w:rPr>
        <w:t> </w:t>
      </w:r>
      <w:r>
        <w:rPr>
          <w:sz w:val="22"/>
        </w:rPr>
        <w:t>a fermented beverage</w:t>
      </w:r>
      <w:r>
        <w:rPr>
          <w:spacing w:val="-4"/>
          <w:sz w:val="22"/>
        </w:rPr>
        <w:t> </w:t>
      </w:r>
      <w:r>
        <w:rPr>
          <w:sz w:val="22"/>
        </w:rPr>
        <w:t>in the western province of Saudi Arabia. </w:t>
      </w:r>
      <w:r>
        <w:rPr>
          <w:i/>
          <w:sz w:val="22"/>
        </w:rPr>
        <w:t>World Journal Microbiology and Biotechnology, 18</w:t>
      </w:r>
      <w:r>
        <w:rPr>
          <w:sz w:val="22"/>
        </w:rPr>
        <w:t>: 173–177.</w:t>
      </w:r>
    </w:p>
    <w:p>
      <w:pPr>
        <w:spacing w:before="188"/>
        <w:ind w:left="920" w:right="0" w:firstLine="0"/>
        <w:jc w:val="left"/>
        <w:rPr>
          <w:rFonts w:ascii="Times New Roman"/>
          <w:sz w:val="24"/>
        </w:rPr>
      </w:pPr>
      <w:r>
        <w:rPr>
          <w:rFonts w:ascii="Times New Roman"/>
          <w:sz w:val="24"/>
        </w:rPr>
        <w:t>Gaucheron,</w:t>
      </w:r>
      <w:r>
        <w:rPr>
          <w:rFonts w:ascii="Times New Roman"/>
          <w:spacing w:val="-8"/>
          <w:sz w:val="24"/>
        </w:rPr>
        <w:t> </w:t>
      </w:r>
      <w:r>
        <w:rPr>
          <w:rFonts w:ascii="Times New Roman"/>
          <w:sz w:val="24"/>
        </w:rPr>
        <w:t>F.</w:t>
      </w:r>
      <w:r>
        <w:rPr>
          <w:rFonts w:ascii="Times New Roman"/>
          <w:spacing w:val="-8"/>
          <w:sz w:val="24"/>
        </w:rPr>
        <w:t> </w:t>
      </w:r>
      <w:r>
        <w:rPr>
          <w:rFonts w:ascii="Times New Roman"/>
          <w:sz w:val="24"/>
        </w:rPr>
        <w:t>(2005).The</w:t>
      </w:r>
      <w:r>
        <w:rPr>
          <w:rFonts w:ascii="Times New Roman"/>
          <w:spacing w:val="-6"/>
          <w:sz w:val="24"/>
        </w:rPr>
        <w:t> </w:t>
      </w:r>
      <w:r>
        <w:rPr>
          <w:rFonts w:ascii="Times New Roman"/>
          <w:sz w:val="24"/>
        </w:rPr>
        <w:t>minerals</w:t>
      </w:r>
      <w:r>
        <w:rPr>
          <w:rFonts w:ascii="Times New Roman"/>
          <w:spacing w:val="-11"/>
          <w:sz w:val="24"/>
        </w:rPr>
        <w:t> </w:t>
      </w:r>
      <w:r>
        <w:rPr>
          <w:rFonts w:ascii="Times New Roman"/>
          <w:sz w:val="24"/>
        </w:rPr>
        <w:t>of</w:t>
      </w:r>
      <w:r>
        <w:rPr>
          <w:rFonts w:ascii="Times New Roman"/>
          <w:spacing w:val="-11"/>
          <w:sz w:val="24"/>
        </w:rPr>
        <w:t> </w:t>
      </w:r>
      <w:r>
        <w:rPr>
          <w:rFonts w:ascii="Times New Roman"/>
          <w:sz w:val="24"/>
        </w:rPr>
        <w:t>milk</w:t>
      </w:r>
      <w:r>
        <w:rPr>
          <w:rFonts w:ascii="Times New Roman"/>
          <w:spacing w:val="-9"/>
          <w:sz w:val="24"/>
        </w:rPr>
        <w:t> </w:t>
      </w:r>
      <w:r>
        <w:rPr>
          <w:rFonts w:ascii="Times New Roman"/>
          <w:i/>
          <w:sz w:val="24"/>
        </w:rPr>
        <w:t>Reproduction</w:t>
      </w:r>
      <w:r>
        <w:rPr>
          <w:rFonts w:ascii="Times New Roman"/>
          <w:i/>
          <w:spacing w:val="-9"/>
          <w:sz w:val="24"/>
        </w:rPr>
        <w:t> </w:t>
      </w:r>
      <w:r>
        <w:rPr>
          <w:rFonts w:ascii="Times New Roman"/>
          <w:i/>
          <w:sz w:val="24"/>
        </w:rPr>
        <w:t>Nutrition</w:t>
      </w:r>
      <w:r>
        <w:rPr>
          <w:rFonts w:ascii="Times New Roman"/>
          <w:i/>
          <w:spacing w:val="-9"/>
          <w:sz w:val="24"/>
        </w:rPr>
        <w:t> </w:t>
      </w:r>
      <w:r>
        <w:rPr>
          <w:rFonts w:ascii="Times New Roman"/>
          <w:i/>
          <w:sz w:val="24"/>
        </w:rPr>
        <w:t>Development</w:t>
      </w:r>
      <w:r>
        <w:rPr>
          <w:rFonts w:ascii="Times New Roman"/>
          <w:sz w:val="24"/>
        </w:rPr>
        <w:t>,</w:t>
      </w:r>
      <w:r>
        <w:rPr>
          <w:rFonts w:ascii="Times New Roman"/>
          <w:spacing w:val="-8"/>
          <w:sz w:val="24"/>
        </w:rPr>
        <w:t> </w:t>
      </w:r>
      <w:r>
        <w:rPr>
          <w:rFonts w:ascii="Times New Roman"/>
          <w:sz w:val="24"/>
        </w:rPr>
        <w:t>45:</w:t>
      </w:r>
      <w:r>
        <w:rPr>
          <w:rFonts w:ascii="Times New Roman"/>
          <w:spacing w:val="-13"/>
          <w:sz w:val="24"/>
        </w:rPr>
        <w:t> </w:t>
      </w:r>
      <w:r>
        <w:rPr>
          <w:rFonts w:ascii="Times New Roman"/>
          <w:sz w:val="24"/>
        </w:rPr>
        <w:t>473-</w:t>
      </w:r>
      <w:r>
        <w:rPr>
          <w:rFonts w:ascii="Times New Roman"/>
          <w:spacing w:val="-5"/>
          <w:sz w:val="24"/>
        </w:rPr>
        <w:t>483</w:t>
      </w:r>
    </w:p>
    <w:p>
      <w:pPr>
        <w:pStyle w:val="BodyText"/>
        <w:spacing w:before="14"/>
        <w:rPr>
          <w:rFonts w:ascii="Times New Roman"/>
          <w:sz w:val="24"/>
        </w:rPr>
      </w:pPr>
    </w:p>
    <w:p>
      <w:pPr>
        <w:spacing w:line="276" w:lineRule="auto" w:before="0"/>
        <w:ind w:left="1640" w:right="1175" w:hanging="720"/>
        <w:jc w:val="both"/>
        <w:rPr>
          <w:sz w:val="22"/>
        </w:rPr>
      </w:pPr>
      <w:r>
        <w:rPr>
          <w:sz w:val="22"/>
        </w:rPr>
        <w:t>Gebreyes, W.A and Thakur, S. (2005).Multidrug-resistant </w:t>
      </w:r>
      <w:r>
        <w:rPr>
          <w:i/>
          <w:sz w:val="22"/>
        </w:rPr>
        <w:t>Salmonella </w:t>
      </w:r>
      <w:r>
        <w:rPr>
          <w:sz w:val="22"/>
        </w:rPr>
        <w:t>enterica serovar Muenchen from pigs and humans and potential interserovar transfer of antimicrobial resistance.</w:t>
      </w:r>
      <w:r>
        <w:rPr>
          <w:i/>
          <w:sz w:val="22"/>
        </w:rPr>
        <w:t>Journal of Antimicrobial Agents and Chemotherapy</w:t>
      </w:r>
      <w:r>
        <w:rPr>
          <w:sz w:val="22"/>
        </w:rPr>
        <w:t>, 49: 503-511.</w:t>
      </w:r>
    </w:p>
    <w:p>
      <w:pPr>
        <w:pStyle w:val="BodyText"/>
        <w:spacing w:before="240"/>
        <w:ind w:left="920"/>
      </w:pPr>
      <w:r>
        <w:rPr/>
        <w:t>Georgeopapadakou,</w:t>
      </w:r>
      <w:r>
        <w:rPr>
          <w:spacing w:val="32"/>
        </w:rPr>
        <w:t> </w:t>
      </w:r>
      <w:r>
        <w:rPr/>
        <w:t>N.H.</w:t>
      </w:r>
      <w:r>
        <w:rPr>
          <w:spacing w:val="38"/>
        </w:rPr>
        <w:t> </w:t>
      </w:r>
      <w:r>
        <w:rPr/>
        <w:t>(1993).</w:t>
      </w:r>
      <w:r>
        <w:rPr>
          <w:spacing w:val="38"/>
        </w:rPr>
        <w:t> </w:t>
      </w:r>
      <w:r>
        <w:rPr/>
        <w:t>Penicillin-binding</w:t>
      </w:r>
      <w:r>
        <w:rPr>
          <w:spacing w:val="38"/>
        </w:rPr>
        <w:t> </w:t>
      </w:r>
      <w:r>
        <w:rPr/>
        <w:t>proteins</w:t>
      </w:r>
      <w:r>
        <w:rPr>
          <w:spacing w:val="37"/>
        </w:rPr>
        <w:t> </w:t>
      </w:r>
      <w:r>
        <w:rPr/>
        <w:t>and</w:t>
      </w:r>
      <w:r>
        <w:rPr>
          <w:spacing w:val="36"/>
        </w:rPr>
        <w:t> </w:t>
      </w:r>
      <w:r>
        <w:rPr/>
        <w:t>bacterial</w:t>
      </w:r>
      <w:r>
        <w:rPr>
          <w:spacing w:val="38"/>
        </w:rPr>
        <w:t> </w:t>
      </w:r>
      <w:r>
        <w:rPr/>
        <w:t>resistance</w:t>
      </w:r>
      <w:r>
        <w:rPr>
          <w:spacing w:val="37"/>
        </w:rPr>
        <w:t> </w:t>
      </w:r>
      <w:r>
        <w:rPr/>
        <w:t>to</w:t>
      </w:r>
      <w:r>
        <w:rPr>
          <w:spacing w:val="40"/>
        </w:rPr>
        <w:t> </w:t>
      </w:r>
      <w:r>
        <w:rPr/>
        <w:t>beta</w:t>
      </w:r>
      <w:r>
        <w:rPr>
          <w:spacing w:val="37"/>
        </w:rPr>
        <w:t> </w:t>
      </w:r>
      <w:r>
        <w:rPr>
          <w:spacing w:val="-2"/>
        </w:rPr>
        <w:t>lactams</w:t>
      </w:r>
    </w:p>
    <w:p>
      <w:pPr>
        <w:spacing w:before="44"/>
        <w:ind w:left="1640" w:right="0" w:firstLine="0"/>
        <w:jc w:val="left"/>
        <w:rPr>
          <w:sz w:val="22"/>
        </w:rPr>
      </w:pPr>
      <w:r>
        <w:rPr>
          <w:i/>
          <w:sz w:val="22"/>
        </w:rPr>
        <w:t>Antimicrobial</w:t>
      </w:r>
      <w:r>
        <w:rPr>
          <w:i/>
          <w:spacing w:val="-5"/>
          <w:sz w:val="22"/>
        </w:rPr>
        <w:t> </w:t>
      </w:r>
      <w:r>
        <w:rPr>
          <w:i/>
          <w:sz w:val="22"/>
        </w:rPr>
        <w:t>Agents</w:t>
      </w:r>
      <w:r>
        <w:rPr>
          <w:i/>
          <w:spacing w:val="-7"/>
          <w:sz w:val="22"/>
        </w:rPr>
        <w:t> </w:t>
      </w:r>
      <w:r>
        <w:rPr>
          <w:i/>
          <w:sz w:val="22"/>
        </w:rPr>
        <w:t>and</w:t>
      </w:r>
      <w:r>
        <w:rPr>
          <w:i/>
          <w:spacing w:val="-5"/>
          <w:sz w:val="22"/>
        </w:rPr>
        <w:t> </w:t>
      </w:r>
      <w:r>
        <w:rPr>
          <w:i/>
          <w:sz w:val="22"/>
        </w:rPr>
        <w:t>Chemotherapy,</w:t>
      </w:r>
      <w:r>
        <w:rPr>
          <w:i/>
          <w:spacing w:val="-7"/>
          <w:sz w:val="22"/>
        </w:rPr>
        <w:t> </w:t>
      </w:r>
      <w:r>
        <w:rPr>
          <w:sz w:val="22"/>
        </w:rPr>
        <w:t>37:</w:t>
      </w:r>
      <w:r>
        <w:rPr>
          <w:spacing w:val="-7"/>
          <w:sz w:val="22"/>
        </w:rPr>
        <w:t> </w:t>
      </w:r>
      <w:r>
        <w:rPr>
          <w:sz w:val="22"/>
        </w:rPr>
        <w:t>2045-</w:t>
      </w:r>
      <w:r>
        <w:rPr>
          <w:spacing w:val="-4"/>
          <w:sz w:val="22"/>
        </w:rPr>
        <w:t>2053.</w:t>
      </w:r>
    </w:p>
    <w:p>
      <w:pPr>
        <w:pStyle w:val="BodyText"/>
        <w:spacing w:before="10"/>
      </w:pPr>
    </w:p>
    <w:p>
      <w:pPr>
        <w:pStyle w:val="BodyText"/>
        <w:spacing w:line="276" w:lineRule="auto"/>
        <w:ind w:left="1640" w:right="1175" w:hanging="720"/>
        <w:jc w:val="both"/>
      </w:pPr>
      <w:r>
        <w:rPr/>
        <w:t>Gilchrist, M.J., Greko, C., Wallinga, D.B., Beran, G.W and Riley, D. G.</w:t>
      </w:r>
      <w:r>
        <w:rPr>
          <w:spacing w:val="40"/>
        </w:rPr>
        <w:t> </w:t>
      </w:r>
      <w:r>
        <w:rPr/>
        <w:t>(2007). The Potential Role of Concentrated Animal Feeding Operations in Infectious Disease Epidemics and Antibiotic Resistance.</w:t>
      </w:r>
      <w:r>
        <w:rPr>
          <w:i/>
        </w:rPr>
        <w:t>Environmental and Health Perspectives</w:t>
      </w:r>
      <w:r>
        <w:rPr/>
        <w:t>, 115: 313-316.</w:t>
      </w:r>
    </w:p>
    <w:p>
      <w:pPr>
        <w:pStyle w:val="BodyText"/>
        <w:spacing w:line="276" w:lineRule="auto" w:before="240"/>
        <w:ind w:left="1640" w:right="1175" w:hanging="720"/>
        <w:jc w:val="both"/>
      </w:pPr>
      <w:r>
        <w:rPr/>
        <w:t>Gillespie,</w:t>
      </w:r>
      <w:r>
        <w:rPr>
          <w:spacing w:val="-6"/>
        </w:rPr>
        <w:t> </w:t>
      </w:r>
      <w:r>
        <w:rPr/>
        <w:t>I.A.,</w:t>
      </w:r>
      <w:r>
        <w:rPr>
          <w:spacing w:val="-2"/>
        </w:rPr>
        <w:t> </w:t>
      </w:r>
      <w:r>
        <w:rPr/>
        <w:t>O’brian,</w:t>
      </w:r>
      <w:r>
        <w:rPr>
          <w:spacing w:val="-2"/>
        </w:rPr>
        <w:t> </w:t>
      </w:r>
      <w:r>
        <w:rPr/>
        <w:t>S.J.,</w:t>
      </w:r>
      <w:r>
        <w:rPr>
          <w:spacing w:val="-2"/>
        </w:rPr>
        <w:t> </w:t>
      </w:r>
      <w:r>
        <w:rPr/>
        <w:t>Adak,</w:t>
      </w:r>
      <w:r>
        <w:rPr>
          <w:spacing w:val="-6"/>
        </w:rPr>
        <w:t> </w:t>
      </w:r>
      <w:r>
        <w:rPr/>
        <w:t>G.</w:t>
      </w:r>
      <w:r>
        <w:rPr>
          <w:spacing w:val="-1"/>
        </w:rPr>
        <w:t> </w:t>
      </w:r>
      <w:r>
        <w:rPr/>
        <w:t>K.,</w:t>
      </w:r>
      <w:r>
        <w:rPr>
          <w:spacing w:val="-6"/>
        </w:rPr>
        <w:t> </w:t>
      </w:r>
      <w:r>
        <w:rPr/>
        <w:t>Cheasty,</w:t>
      </w:r>
      <w:r>
        <w:rPr>
          <w:spacing w:val="-2"/>
        </w:rPr>
        <w:t> </w:t>
      </w:r>
      <w:r>
        <w:rPr/>
        <w:t>T</w:t>
      </w:r>
      <w:r>
        <w:rPr>
          <w:spacing w:val="-1"/>
        </w:rPr>
        <w:t> </w:t>
      </w:r>
      <w:r>
        <w:rPr/>
        <w:t>and</w:t>
      </w:r>
      <w:r>
        <w:rPr>
          <w:spacing w:val="-4"/>
        </w:rPr>
        <w:t> </w:t>
      </w:r>
      <w:r>
        <w:rPr/>
        <w:t>Willshaw,</w:t>
      </w:r>
      <w:r>
        <w:rPr>
          <w:spacing w:val="-2"/>
        </w:rPr>
        <w:t> </w:t>
      </w:r>
      <w:r>
        <w:rPr/>
        <w:t>G.</w:t>
      </w:r>
      <w:r>
        <w:rPr>
          <w:spacing w:val="-2"/>
        </w:rPr>
        <w:t> </w:t>
      </w:r>
      <w:r>
        <w:rPr/>
        <w:t>(2005). Foodborne general outbreaks of Shiga toxin-producing </w:t>
      </w:r>
      <w:r>
        <w:rPr>
          <w:i/>
        </w:rPr>
        <w:t>Escherichia coli </w:t>
      </w:r>
      <w:r>
        <w:rPr/>
        <w:t>O157 in England and Wales 1992–2002: Where are the risks? </w:t>
      </w:r>
      <w:r>
        <w:rPr>
          <w:i/>
        </w:rPr>
        <w:t>Epidemiology and Infection, 133</w:t>
      </w:r>
      <w:r>
        <w:rPr/>
        <w:t>: 803–808.</w:t>
      </w:r>
    </w:p>
    <w:p>
      <w:pPr>
        <w:pStyle w:val="BodyText"/>
        <w:spacing w:line="273" w:lineRule="auto" w:before="240"/>
        <w:ind w:left="1640" w:right="1180" w:hanging="720"/>
        <w:jc w:val="both"/>
      </w:pPr>
      <w:r>
        <w:rPr/>
        <w:t>Gilmour, A and Rowe, M.T. (1990). Microorganisms associated with milk. In: Robinson, N. K. (Ed.), </w:t>
      </w:r>
      <w:r>
        <w:rPr>
          <w:i/>
        </w:rPr>
        <w:t>Dairy Microbiology</w:t>
      </w:r>
      <w:r>
        <w:rPr/>
        <w:t>, Vol. 1. Elsevier Applied Science, London, PP. 37–75.</w:t>
      </w:r>
    </w:p>
    <w:p>
      <w:pPr>
        <w:spacing w:after="0" w:line="273" w:lineRule="auto"/>
        <w:jc w:val="both"/>
        <w:sectPr>
          <w:pgSz w:w="12240" w:h="15840"/>
          <w:pgMar w:header="0" w:footer="1017" w:top="1400" w:bottom="1200" w:left="520" w:right="260"/>
        </w:sectPr>
      </w:pPr>
    </w:p>
    <w:p>
      <w:pPr>
        <w:pStyle w:val="BodyText"/>
        <w:spacing w:line="276" w:lineRule="auto" w:before="41"/>
        <w:ind w:left="1640" w:right="1175" w:hanging="720"/>
        <w:jc w:val="both"/>
      </w:pPr>
      <w:r>
        <w:rPr/>
        <w:t>Godefay, B and Molla, B. (2000).Bacteriological quality of raw milk from four dairy farms and milk collection center in and around Addis Ababa.Berliner und Münchener tierärztliche Wochenschrift, 113: 1-3.</w:t>
      </w:r>
    </w:p>
    <w:p>
      <w:pPr>
        <w:pStyle w:val="BodyText"/>
        <w:spacing w:line="273" w:lineRule="auto" w:before="240"/>
        <w:ind w:left="1640" w:right="1178" w:hanging="720"/>
        <w:jc w:val="both"/>
      </w:pPr>
      <w:r>
        <w:rPr/>
        <w:t>Gomez, T.M., Motarjemi, Y., Miyagawa, S., Kaferstein, F. K and Stohr, K. (1997). Food-borne Salmonellosis, </w:t>
      </w:r>
      <w:r>
        <w:rPr>
          <w:i/>
        </w:rPr>
        <w:t>World Health Statistics</w:t>
      </w:r>
      <w:r>
        <w:rPr/>
        <w:t>, 50: 81-89.</w:t>
      </w:r>
    </w:p>
    <w:p>
      <w:pPr>
        <w:spacing w:line="278" w:lineRule="auto" w:before="242"/>
        <w:ind w:left="1640" w:right="1181" w:hanging="720"/>
        <w:jc w:val="both"/>
        <w:rPr>
          <w:sz w:val="22"/>
        </w:rPr>
      </w:pPr>
      <w:r>
        <w:rPr>
          <w:sz w:val="22"/>
        </w:rPr>
        <w:t>Goodyear, K.L. (2002). Veterinary surveillance for antimicrobial resistance.</w:t>
      </w:r>
      <w:r>
        <w:rPr>
          <w:i/>
          <w:sz w:val="22"/>
        </w:rPr>
        <w:t>Journal of antimicrobial chemotherapy, </w:t>
      </w:r>
      <w:r>
        <w:rPr>
          <w:sz w:val="22"/>
        </w:rPr>
        <w:t>50: 612-614.</w:t>
      </w:r>
    </w:p>
    <w:p>
      <w:pPr>
        <w:pStyle w:val="BodyText"/>
        <w:spacing w:before="150"/>
      </w:pPr>
    </w:p>
    <w:p>
      <w:pPr>
        <w:spacing w:line="240" w:lineRule="auto" w:before="0"/>
        <w:ind w:left="1640" w:right="1183" w:hanging="720"/>
        <w:jc w:val="both"/>
        <w:rPr>
          <w:rFonts w:ascii="Times New Roman" w:hAnsi="Times New Roman"/>
          <w:sz w:val="24"/>
        </w:rPr>
      </w:pPr>
      <w:r>
        <w:rPr>
          <w:rFonts w:ascii="Times New Roman" w:hAnsi="Times New Roman"/>
          <w:sz w:val="24"/>
        </w:rPr>
        <w:t>Grant, I.R., Ball, H. J and Rowe, M.T. (1995).Inactivation of </w:t>
      </w:r>
      <w:r>
        <w:rPr>
          <w:rFonts w:ascii="Times New Roman" w:hAnsi="Times New Roman"/>
          <w:i/>
          <w:sz w:val="24"/>
        </w:rPr>
        <w:t>M. tuberculosis </w:t>
      </w:r>
      <w:r>
        <w:rPr>
          <w:rFonts w:ascii="Times New Roman" w:hAnsi="Times New Roman"/>
          <w:sz w:val="24"/>
        </w:rPr>
        <w:t>in Cow Milk at Pasteurization Temperature. In proceedings of the </w:t>
      </w:r>
      <w:r>
        <w:rPr>
          <w:rFonts w:ascii="Times New Roman" w:hAnsi="Times New Roman"/>
          <w:i/>
          <w:sz w:val="24"/>
        </w:rPr>
        <w:t>Fourth Internal Collegiums On Paratuberculosis</w:t>
      </w:r>
      <w:r>
        <w:rPr>
          <w:rFonts w:ascii="Times New Roman" w:hAnsi="Times New Roman"/>
          <w:sz w:val="24"/>
        </w:rPr>
        <w:t>, St John’s College Cambridge, PP. 313- 319.</w:t>
      </w:r>
    </w:p>
    <w:p>
      <w:pPr>
        <w:pStyle w:val="BodyText"/>
        <w:spacing w:before="240"/>
        <w:rPr>
          <w:rFonts w:ascii="Times New Roman"/>
          <w:sz w:val="24"/>
        </w:rPr>
      </w:pPr>
    </w:p>
    <w:p>
      <w:pPr>
        <w:spacing w:line="278" w:lineRule="auto" w:before="1"/>
        <w:ind w:left="1640" w:right="1178" w:hanging="720"/>
        <w:jc w:val="both"/>
        <w:rPr>
          <w:sz w:val="22"/>
        </w:rPr>
      </w:pPr>
      <w:r>
        <w:rPr>
          <w:sz w:val="22"/>
        </w:rPr>
        <w:t>Greenwood, M. H and Hooper, W.L. (1990). Excretion of </w:t>
      </w:r>
      <w:r>
        <w:rPr>
          <w:i/>
          <w:sz w:val="22"/>
        </w:rPr>
        <w:t>Yersinia spp </w:t>
      </w:r>
      <w:r>
        <w:rPr>
          <w:sz w:val="22"/>
        </w:rPr>
        <w:t>associated with consumption of pasteurized milk. </w:t>
      </w:r>
      <w:r>
        <w:rPr>
          <w:i/>
          <w:sz w:val="22"/>
        </w:rPr>
        <w:t>Epidemiology and Infection</w:t>
      </w:r>
      <w:r>
        <w:rPr>
          <w:sz w:val="22"/>
        </w:rPr>
        <w:t>, 104(3): 345–350.</w:t>
      </w:r>
    </w:p>
    <w:p>
      <w:pPr>
        <w:spacing w:line="276" w:lineRule="auto" w:before="236"/>
        <w:ind w:left="1640" w:right="1176" w:hanging="720"/>
        <w:jc w:val="both"/>
        <w:rPr>
          <w:sz w:val="22"/>
        </w:rPr>
      </w:pPr>
      <w:r>
        <w:rPr>
          <w:sz w:val="22"/>
        </w:rPr>
        <w:t>Guardabassi, L and Courvalin, P. (2006).Modes of antimicrobial action and mechanisms of bacteria resistance. In: Aarestrup, F.M. (Ed.) </w:t>
      </w:r>
      <w:r>
        <w:rPr>
          <w:i/>
          <w:sz w:val="22"/>
        </w:rPr>
        <w:t>Antimicrobial Resistance in bacteria of animal origin</w:t>
      </w:r>
      <w:r>
        <w:rPr>
          <w:sz w:val="22"/>
        </w:rPr>
        <w:t>. ASM Press, Washington, DC.Chapter 1 PP. 1-18.</w:t>
      </w:r>
    </w:p>
    <w:p>
      <w:pPr>
        <w:pStyle w:val="BodyText"/>
        <w:spacing w:line="276" w:lineRule="auto" w:before="240"/>
        <w:ind w:left="1640" w:right="1176" w:hanging="720"/>
        <w:jc w:val="both"/>
      </w:pPr>
      <w:r>
        <w:rPr/>
        <w:t>Guerra, B., Junker, E., Schroeter, A., Malorny, B and Lehmann, S. (2003). Phenotypic and genotypic characterization of antimicrobial resistance in German </w:t>
      </w:r>
      <w:r>
        <w:rPr>
          <w:i/>
        </w:rPr>
        <w:t>Escherichia coli </w:t>
      </w:r>
      <w:r>
        <w:rPr/>
        <w:t>isolates from cattle, swine, and poultry. </w:t>
      </w:r>
      <w:r>
        <w:rPr>
          <w:i/>
        </w:rPr>
        <w:t>Journal of Antimicrobial Therapy, </w:t>
      </w:r>
      <w:r>
        <w:rPr/>
        <w:t>52: 489- 492.</w:t>
      </w:r>
    </w:p>
    <w:p>
      <w:pPr>
        <w:pStyle w:val="BodyText"/>
        <w:spacing w:line="276" w:lineRule="auto" w:before="239"/>
        <w:ind w:left="1640" w:right="1173" w:hanging="720"/>
        <w:jc w:val="both"/>
      </w:pPr>
      <w:r>
        <w:rPr/>
        <w:t>Guerra, B., Junker, E., Miko, A., Helmuth, R., Mendoza, M.C. (2004). Characterization and localization of drug resistance determinants in multidrug-resistant, integron carrying </w:t>
      </w:r>
      <w:r>
        <w:rPr>
          <w:i/>
        </w:rPr>
        <w:t>Salmonella </w:t>
      </w:r>
      <w:r>
        <w:rPr/>
        <w:t>enterica serotype Typhimurium strains. </w:t>
      </w:r>
      <w:r>
        <w:rPr>
          <w:i/>
        </w:rPr>
        <w:t>Microbial Drug Resistance</w:t>
      </w:r>
      <w:r>
        <w:rPr/>
        <w:t>, 10: 83-91.</w:t>
      </w:r>
    </w:p>
    <w:p>
      <w:pPr>
        <w:spacing w:line="276" w:lineRule="auto" w:before="240"/>
        <w:ind w:left="1640" w:right="1172" w:hanging="720"/>
        <w:jc w:val="both"/>
        <w:rPr>
          <w:sz w:val="22"/>
        </w:rPr>
      </w:pPr>
      <w:r>
        <w:rPr>
          <w:sz w:val="22"/>
        </w:rPr>
        <w:t>Gulmez, M. and Guven, A. (2003). Survival of </w:t>
      </w:r>
      <w:r>
        <w:rPr>
          <w:i/>
          <w:sz w:val="22"/>
        </w:rPr>
        <w:t>Escherichia coli </w:t>
      </w:r>
      <w:r>
        <w:rPr>
          <w:sz w:val="22"/>
        </w:rPr>
        <w:t>O157:H7, </w:t>
      </w:r>
      <w:r>
        <w:rPr>
          <w:i/>
          <w:sz w:val="22"/>
        </w:rPr>
        <w:t>Listeria monocytogenes </w:t>
      </w:r>
      <w:r>
        <w:rPr>
          <w:sz w:val="22"/>
        </w:rPr>
        <w:t>and </w:t>
      </w:r>
      <w:r>
        <w:rPr>
          <w:i/>
          <w:sz w:val="22"/>
        </w:rPr>
        <w:t>Yersinia enterocolitica </w:t>
      </w:r>
      <w:r>
        <w:rPr>
          <w:sz w:val="22"/>
        </w:rPr>
        <w:t>O3 in ayran and modified kefir as pre- and post fermentation contaminant. </w:t>
      </w:r>
      <w:r>
        <w:rPr>
          <w:i/>
          <w:sz w:val="22"/>
        </w:rPr>
        <w:t>Veterinary Medicine Czech, </w:t>
      </w:r>
      <w:r>
        <w:rPr>
          <w:sz w:val="22"/>
        </w:rPr>
        <w:t>48: 126-132.</w:t>
      </w:r>
    </w:p>
    <w:p>
      <w:pPr>
        <w:pStyle w:val="BodyText"/>
        <w:spacing w:line="276" w:lineRule="auto" w:before="240"/>
        <w:ind w:left="1640" w:right="1175" w:hanging="720"/>
        <w:jc w:val="both"/>
      </w:pPr>
      <w:r>
        <w:rPr/>
        <w:t>Gunasekera, T.S., Dorsch, M.R., Slade, M. B and Veal, D.A. (2003). Specific 332 detection of</w:t>
      </w:r>
      <w:r>
        <w:rPr>
          <w:spacing w:val="40"/>
        </w:rPr>
        <w:t> </w:t>
      </w:r>
      <w:r>
        <w:rPr>
          <w:i/>
        </w:rPr>
        <w:t>Pseudomonas </w:t>
      </w:r>
      <w:r>
        <w:rPr/>
        <w:t>spp. in milk by fluorescence in situ hybridization using 333 ribosomal RNA</w:t>
      </w:r>
      <w:r>
        <w:rPr>
          <w:spacing w:val="40"/>
        </w:rPr>
        <w:t> </w:t>
      </w:r>
      <w:r>
        <w:rPr/>
        <w:t>directed probes. </w:t>
      </w:r>
      <w:r>
        <w:rPr>
          <w:i/>
        </w:rPr>
        <w:t>Journal Applied Microbiology</w:t>
      </w:r>
      <w:r>
        <w:rPr/>
        <w:t>. 94: 936-945.</w:t>
      </w:r>
    </w:p>
    <w:p>
      <w:pPr>
        <w:pStyle w:val="BodyText"/>
        <w:spacing w:line="276" w:lineRule="auto" w:before="240"/>
        <w:ind w:left="1640" w:right="1180" w:hanging="720"/>
        <w:jc w:val="both"/>
      </w:pPr>
      <w:r>
        <w:rPr/>
        <w:t>Gupta,</w:t>
      </w:r>
      <w:r>
        <w:rPr>
          <w:spacing w:val="-1"/>
        </w:rPr>
        <w:t> </w:t>
      </w:r>
      <w:r>
        <w:rPr/>
        <w:t>K., Hooton,</w:t>
      </w:r>
      <w:r>
        <w:rPr>
          <w:spacing w:val="-1"/>
        </w:rPr>
        <w:t> </w:t>
      </w:r>
      <w:r>
        <w:rPr/>
        <w:t>T.M., Webbe,</w:t>
      </w:r>
      <w:r>
        <w:rPr>
          <w:spacing w:val="-1"/>
        </w:rPr>
        <w:t> </w:t>
      </w:r>
      <w:r>
        <w:rPr/>
        <w:t>C.L and Stamm,</w:t>
      </w:r>
      <w:r>
        <w:rPr>
          <w:spacing w:val="-1"/>
        </w:rPr>
        <w:t> </w:t>
      </w:r>
      <w:r>
        <w:rPr/>
        <w:t>W.E. (1999).The prevalence of antimicrobial resistance among uropathogens causing actor uncomplicated cystitis in young women.</w:t>
      </w:r>
      <w:r>
        <w:rPr>
          <w:i/>
        </w:rPr>
        <w:t>International</w:t>
      </w:r>
      <w:r>
        <w:rPr>
          <w:i/>
          <w:spacing w:val="40"/>
        </w:rPr>
        <w:t> </w:t>
      </w:r>
      <w:r>
        <w:rPr>
          <w:i/>
        </w:rPr>
        <w:t>Journal of Antimicrobial Agents</w:t>
      </w:r>
      <w:r>
        <w:rPr/>
        <w:t>, 11(3-6): 305-308.</w:t>
      </w:r>
    </w:p>
    <w:p>
      <w:pPr>
        <w:spacing w:after="0" w:line="276" w:lineRule="auto"/>
        <w:jc w:val="both"/>
        <w:sectPr>
          <w:pgSz w:w="12240" w:h="15840"/>
          <w:pgMar w:header="0" w:footer="1017" w:top="1400" w:bottom="1200" w:left="520" w:right="260"/>
        </w:sectPr>
      </w:pPr>
    </w:p>
    <w:p>
      <w:pPr>
        <w:spacing w:line="276" w:lineRule="auto" w:before="41"/>
        <w:ind w:left="1640" w:right="1171" w:hanging="720"/>
        <w:jc w:val="both"/>
        <w:rPr>
          <w:sz w:val="22"/>
        </w:rPr>
      </w:pPr>
      <w:r>
        <w:rPr>
          <w:sz w:val="22"/>
        </w:rPr>
        <w:t>Guta,</w:t>
      </w:r>
      <w:r>
        <w:rPr>
          <w:spacing w:val="-2"/>
          <w:sz w:val="22"/>
        </w:rPr>
        <w:t> </w:t>
      </w:r>
      <w:r>
        <w:rPr>
          <w:sz w:val="22"/>
        </w:rPr>
        <w:t>C.,</w:t>
      </w:r>
      <w:r>
        <w:rPr>
          <w:spacing w:val="-2"/>
          <w:sz w:val="22"/>
        </w:rPr>
        <w:t> </w:t>
      </w:r>
      <w:r>
        <w:rPr>
          <w:sz w:val="22"/>
        </w:rPr>
        <w:t>Sebunya,</w:t>
      </w:r>
      <w:r>
        <w:rPr>
          <w:spacing w:val="-2"/>
          <w:sz w:val="22"/>
        </w:rPr>
        <w:t> </w:t>
      </w:r>
      <w:r>
        <w:rPr>
          <w:sz w:val="22"/>
        </w:rPr>
        <w:t>T.K and Gashe,</w:t>
      </w:r>
      <w:r>
        <w:rPr>
          <w:spacing w:val="-2"/>
          <w:sz w:val="22"/>
        </w:rPr>
        <w:t> </w:t>
      </w:r>
      <w:r>
        <w:rPr>
          <w:sz w:val="22"/>
        </w:rPr>
        <w:t>B.A. (2002).Antimicrobial Susceptibility of </w:t>
      </w:r>
      <w:r>
        <w:rPr>
          <w:i/>
          <w:sz w:val="22"/>
        </w:rPr>
        <w:t>Staphylococci spp </w:t>
      </w:r>
      <w:r>
        <w:rPr>
          <w:sz w:val="22"/>
        </w:rPr>
        <w:t>from</w:t>
      </w:r>
      <w:r>
        <w:rPr>
          <w:spacing w:val="-3"/>
          <w:sz w:val="22"/>
        </w:rPr>
        <w:t> </w:t>
      </w:r>
      <w:r>
        <w:rPr>
          <w:sz w:val="22"/>
        </w:rPr>
        <w:t>Cow Foremilk originating from dairy farms around Gaborone,</w:t>
      </w:r>
      <w:r>
        <w:rPr>
          <w:spacing w:val="-2"/>
          <w:sz w:val="22"/>
        </w:rPr>
        <w:t> </w:t>
      </w:r>
      <w:r>
        <w:rPr>
          <w:sz w:val="22"/>
        </w:rPr>
        <w:t>Botswana.</w:t>
      </w:r>
      <w:r>
        <w:rPr>
          <w:i/>
          <w:sz w:val="22"/>
        </w:rPr>
        <w:t>East</w:t>
      </w:r>
      <w:r>
        <w:rPr>
          <w:i/>
          <w:spacing w:val="-1"/>
          <w:sz w:val="22"/>
        </w:rPr>
        <w:t> </w:t>
      </w:r>
      <w:r>
        <w:rPr>
          <w:i/>
          <w:sz w:val="22"/>
        </w:rPr>
        <w:t>African Medical Journal</w:t>
      </w:r>
      <w:r>
        <w:rPr>
          <w:sz w:val="22"/>
        </w:rPr>
        <w:t>, 79 (1): 1-4.</w:t>
      </w:r>
    </w:p>
    <w:p>
      <w:pPr>
        <w:pStyle w:val="BodyText"/>
        <w:spacing w:line="273" w:lineRule="auto" w:before="240"/>
        <w:ind w:left="1640" w:right="1176" w:hanging="720"/>
        <w:jc w:val="both"/>
      </w:pPr>
      <w:r>
        <w:rPr/>
        <w:t>Hahn, G. (1996): Pathogenic Bacteria in Raw Milk-Situation and Significance. Symposium On, Bacteriological Quality of Raw Milk, Wolfpassing, Austria.</w:t>
      </w:r>
    </w:p>
    <w:p>
      <w:pPr>
        <w:pStyle w:val="BodyText"/>
        <w:spacing w:line="278" w:lineRule="auto" w:before="242"/>
        <w:ind w:left="1640" w:right="1174" w:hanging="720"/>
        <w:jc w:val="both"/>
      </w:pPr>
      <w:r>
        <w:rPr/>
        <w:t>Hall,</w:t>
      </w:r>
      <w:r>
        <w:rPr>
          <w:spacing w:val="-2"/>
        </w:rPr>
        <w:t> </w:t>
      </w:r>
      <w:r>
        <w:rPr/>
        <w:t>R.M</w:t>
      </w:r>
      <w:r>
        <w:rPr>
          <w:spacing w:val="-1"/>
        </w:rPr>
        <w:t> </w:t>
      </w:r>
      <w:r>
        <w:rPr/>
        <w:t>and</w:t>
      </w:r>
      <w:r>
        <w:rPr>
          <w:spacing w:val="-5"/>
        </w:rPr>
        <w:t> </w:t>
      </w:r>
      <w:r>
        <w:rPr/>
        <w:t>Collins,</w:t>
      </w:r>
      <w:r>
        <w:rPr>
          <w:spacing w:val="-2"/>
        </w:rPr>
        <w:t> </w:t>
      </w:r>
      <w:r>
        <w:rPr/>
        <w:t>C. M. (1995). Mobile</w:t>
      </w:r>
      <w:r>
        <w:rPr>
          <w:spacing w:val="-4"/>
        </w:rPr>
        <w:t> </w:t>
      </w:r>
      <w:r>
        <w:rPr/>
        <w:t>gene cassettes and integrons:</w:t>
      </w:r>
      <w:r>
        <w:rPr>
          <w:spacing w:val="-1"/>
        </w:rPr>
        <w:t> </w:t>
      </w:r>
      <w:r>
        <w:rPr/>
        <w:t>capture and spread of</w:t>
      </w:r>
      <w:r>
        <w:rPr>
          <w:spacing w:val="-4"/>
        </w:rPr>
        <w:t> </w:t>
      </w:r>
      <w:r>
        <w:rPr/>
        <w:t>genes by site- specific recombination </w:t>
      </w:r>
      <w:r>
        <w:rPr>
          <w:i/>
        </w:rPr>
        <w:t>Molecular Microbiology, </w:t>
      </w:r>
      <w:r>
        <w:rPr/>
        <w:t>15: 593-600.</w:t>
      </w:r>
    </w:p>
    <w:p>
      <w:pPr>
        <w:spacing w:line="278" w:lineRule="auto" w:before="237"/>
        <w:ind w:left="1640" w:right="1181" w:hanging="720"/>
        <w:jc w:val="both"/>
        <w:rPr>
          <w:sz w:val="22"/>
        </w:rPr>
      </w:pPr>
      <w:r>
        <w:rPr>
          <w:sz w:val="22"/>
        </w:rPr>
        <w:t>Han, J., Sahin, O., Barton, Y. W and Zhang, Q. (2008). Key Role of Mfd in the Development of Fluoroquinolone Resistance in </w:t>
      </w:r>
      <w:r>
        <w:rPr>
          <w:i/>
          <w:sz w:val="22"/>
        </w:rPr>
        <w:t>Campylobacter jejuni</w:t>
      </w:r>
      <w:r>
        <w:rPr>
          <w:sz w:val="22"/>
        </w:rPr>
        <w:t>. </w:t>
      </w:r>
      <w:r>
        <w:rPr>
          <w:i/>
          <w:sz w:val="22"/>
        </w:rPr>
        <w:t>PLoS Pathogens</w:t>
      </w:r>
      <w:r>
        <w:rPr>
          <w:sz w:val="22"/>
        </w:rPr>
        <w:t>, 4: 1-12</w:t>
      </w:r>
    </w:p>
    <w:p>
      <w:pPr>
        <w:spacing w:line="273" w:lineRule="auto" w:before="236"/>
        <w:ind w:left="1640" w:right="1173" w:hanging="720"/>
        <w:jc w:val="both"/>
        <w:rPr>
          <w:sz w:val="22"/>
        </w:rPr>
      </w:pPr>
      <w:r>
        <w:rPr>
          <w:sz w:val="22"/>
        </w:rPr>
        <w:t>Hansen, M. (1994): </w:t>
      </w:r>
      <w:r>
        <w:rPr>
          <w:i/>
          <w:sz w:val="22"/>
        </w:rPr>
        <w:t>Milk quality and mastitis in small farms in southern Chile</w:t>
      </w:r>
      <w:r>
        <w:rPr>
          <w:sz w:val="22"/>
        </w:rPr>
        <w:t>. Swedish University of Agricultural sciences, International Rural Development Center, Upsala.PP. 12- 22.</w:t>
      </w:r>
    </w:p>
    <w:p>
      <w:pPr>
        <w:pStyle w:val="BodyText"/>
        <w:spacing w:line="278" w:lineRule="auto" w:before="242"/>
        <w:ind w:left="1640" w:right="1177" w:hanging="720"/>
        <w:jc w:val="both"/>
      </w:pPr>
      <w:r>
        <w:rPr>
          <w:color w:val="221E1E"/>
        </w:rPr>
        <w:t>Harding, F. (1995).Compositional quality.In: Harding, F. (Ed.). </w:t>
      </w:r>
      <w:r>
        <w:rPr>
          <w:i/>
          <w:color w:val="221E1E"/>
        </w:rPr>
        <w:t>Milk Quality</w:t>
      </w:r>
      <w:r>
        <w:rPr>
          <w:color w:val="221E1E"/>
        </w:rPr>
        <w:t>. Blackie Academic and Professional, Chapman and Hall, London. PP. 75-96.</w:t>
      </w:r>
    </w:p>
    <w:p>
      <w:pPr>
        <w:pStyle w:val="BodyText"/>
        <w:spacing w:before="236"/>
        <w:ind w:left="920"/>
      </w:pPr>
      <w:r>
        <w:rPr/>
        <w:t>Harding,</w:t>
      </w:r>
      <w:r>
        <w:rPr>
          <w:spacing w:val="-6"/>
        </w:rPr>
        <w:t> </w:t>
      </w:r>
      <w:r>
        <w:rPr/>
        <w:t>F.</w:t>
      </w:r>
      <w:r>
        <w:rPr>
          <w:spacing w:val="-3"/>
        </w:rPr>
        <w:t> </w:t>
      </w:r>
      <w:r>
        <w:rPr/>
        <w:t>(1999).</w:t>
      </w:r>
      <w:r>
        <w:rPr>
          <w:i/>
        </w:rPr>
        <w:t>Milk</w:t>
      </w:r>
      <w:r>
        <w:rPr>
          <w:i/>
          <w:spacing w:val="-4"/>
        </w:rPr>
        <w:t> </w:t>
      </w:r>
      <w:r>
        <w:rPr>
          <w:i/>
        </w:rPr>
        <w:t>Quality</w:t>
      </w:r>
      <w:r>
        <w:rPr/>
        <w:t>.</w:t>
      </w:r>
      <w:r>
        <w:rPr>
          <w:spacing w:val="43"/>
        </w:rPr>
        <w:t> </w:t>
      </w:r>
      <w:r>
        <w:rPr/>
        <w:t>2</w:t>
      </w:r>
      <w:r>
        <w:rPr>
          <w:vertAlign w:val="superscript"/>
        </w:rPr>
        <w:t>nd</w:t>
      </w:r>
      <w:r>
        <w:rPr>
          <w:spacing w:val="-5"/>
          <w:vertAlign w:val="baseline"/>
        </w:rPr>
        <w:t> </w:t>
      </w:r>
      <w:r>
        <w:rPr>
          <w:vertAlign w:val="baseline"/>
        </w:rPr>
        <w:t>Edition</w:t>
      </w:r>
      <w:r>
        <w:rPr>
          <w:spacing w:val="-5"/>
          <w:vertAlign w:val="baseline"/>
        </w:rPr>
        <w:t> </w:t>
      </w:r>
      <w:r>
        <w:rPr>
          <w:vertAlign w:val="baseline"/>
        </w:rPr>
        <w:t>Gaithers</w:t>
      </w:r>
      <w:r>
        <w:rPr>
          <w:spacing w:val="-4"/>
          <w:vertAlign w:val="baseline"/>
        </w:rPr>
        <w:t> </w:t>
      </w:r>
      <w:r>
        <w:rPr>
          <w:vertAlign w:val="baseline"/>
        </w:rPr>
        <w:t>burg,</w:t>
      </w:r>
      <w:r>
        <w:rPr>
          <w:spacing w:val="-6"/>
          <w:vertAlign w:val="baseline"/>
        </w:rPr>
        <w:t> </w:t>
      </w:r>
      <w:r>
        <w:rPr>
          <w:vertAlign w:val="baseline"/>
        </w:rPr>
        <w:t>Maryland:</w:t>
      </w:r>
      <w:r>
        <w:rPr>
          <w:spacing w:val="-5"/>
          <w:vertAlign w:val="baseline"/>
        </w:rPr>
        <w:t> </w:t>
      </w:r>
      <w:r>
        <w:rPr>
          <w:vertAlign w:val="baseline"/>
        </w:rPr>
        <w:t>Aspen.</w:t>
      </w:r>
      <w:r>
        <w:rPr>
          <w:spacing w:val="-2"/>
          <w:vertAlign w:val="baseline"/>
        </w:rPr>
        <w:t> </w:t>
      </w:r>
      <w:r>
        <w:rPr>
          <w:vertAlign w:val="baseline"/>
        </w:rPr>
        <w:t>Pp</w:t>
      </w:r>
      <w:r>
        <w:rPr>
          <w:spacing w:val="-5"/>
          <w:vertAlign w:val="baseline"/>
        </w:rPr>
        <w:t> </w:t>
      </w:r>
      <w:r>
        <w:rPr>
          <w:vertAlign w:val="baseline"/>
        </w:rPr>
        <w:t>25-38,</w:t>
      </w:r>
      <w:r>
        <w:rPr>
          <w:spacing w:val="-2"/>
          <w:vertAlign w:val="baseline"/>
        </w:rPr>
        <w:t> </w:t>
      </w:r>
      <w:r>
        <w:rPr>
          <w:vertAlign w:val="baseline"/>
        </w:rPr>
        <w:t>104-</w:t>
      </w:r>
      <w:r>
        <w:rPr>
          <w:spacing w:val="-4"/>
          <w:vertAlign w:val="baseline"/>
        </w:rPr>
        <w:t>105.</w:t>
      </w:r>
    </w:p>
    <w:p>
      <w:pPr>
        <w:pStyle w:val="BodyText"/>
        <w:spacing w:before="43"/>
      </w:pPr>
    </w:p>
    <w:p>
      <w:pPr>
        <w:spacing w:line="242" w:lineRule="auto" w:before="0"/>
        <w:ind w:left="1640" w:right="1192" w:hanging="720"/>
        <w:jc w:val="both"/>
        <w:rPr>
          <w:rFonts w:ascii="Times New Roman" w:hAnsi="Times New Roman"/>
          <w:sz w:val="24"/>
        </w:rPr>
      </w:pPr>
      <w:r>
        <w:rPr>
          <w:rFonts w:ascii="Times New Roman" w:hAnsi="Times New Roman"/>
          <w:sz w:val="24"/>
        </w:rPr>
        <w:t>Harold, M. (2004)."Milk and Dairy Products".</w:t>
      </w:r>
      <w:r>
        <w:rPr>
          <w:rFonts w:ascii="Times New Roman" w:hAnsi="Times New Roman"/>
          <w:i/>
          <w:sz w:val="24"/>
        </w:rPr>
        <w:t>On Food and Cooking: The Science and Lore of the Kitchen </w:t>
      </w:r>
      <w:r>
        <w:rPr>
          <w:rFonts w:ascii="Times New Roman" w:hAnsi="Times New Roman"/>
          <w:sz w:val="24"/>
        </w:rPr>
        <w:t>(2nd ed.). New York: Scribner. PP. 7–67.</w:t>
      </w:r>
    </w:p>
    <w:p>
      <w:pPr>
        <w:pStyle w:val="BodyText"/>
        <w:spacing w:before="7"/>
        <w:rPr>
          <w:rFonts w:ascii="Times New Roman"/>
          <w:sz w:val="24"/>
        </w:rPr>
      </w:pPr>
    </w:p>
    <w:p>
      <w:pPr>
        <w:spacing w:line="278" w:lineRule="auto" w:before="0"/>
        <w:ind w:left="1640" w:right="1176" w:hanging="720"/>
        <w:jc w:val="both"/>
        <w:rPr>
          <w:sz w:val="22"/>
        </w:rPr>
      </w:pPr>
      <w:r>
        <w:rPr>
          <w:sz w:val="22"/>
        </w:rPr>
        <w:t>Hawkey, P.M. (2008). The growing burden of antimicrobial resistance.</w:t>
      </w:r>
      <w:r>
        <w:rPr>
          <w:i/>
          <w:sz w:val="22"/>
        </w:rPr>
        <w:t>Journal of Antimicrobial Chemotherapy, </w:t>
      </w:r>
      <w:r>
        <w:rPr>
          <w:sz w:val="22"/>
        </w:rPr>
        <w:t>62 (1): 11–19.</w:t>
      </w:r>
    </w:p>
    <w:p>
      <w:pPr>
        <w:pStyle w:val="BodyText"/>
        <w:spacing w:line="276" w:lineRule="auto" w:before="236"/>
        <w:ind w:left="1640" w:right="1178" w:hanging="720"/>
        <w:jc w:val="both"/>
      </w:pPr>
      <w:r>
        <w:rPr/>
        <w:t>Helms, M., Simonsen, J and Molbak, K. (2004). Quinolone resistance associated with increased risk of invasive illness or death during infection with </w:t>
      </w:r>
      <w:r>
        <w:rPr>
          <w:i/>
        </w:rPr>
        <w:t>Salmonella </w:t>
      </w:r>
      <w:r>
        <w:rPr/>
        <w:t>serotype Typhimurium. </w:t>
      </w:r>
      <w:r>
        <w:rPr>
          <w:i/>
        </w:rPr>
        <w:t>Journal of Infectious Disease</w:t>
      </w:r>
      <w:r>
        <w:rPr/>
        <w:t>, 190 (9): 1652-1654.</w:t>
      </w:r>
    </w:p>
    <w:p>
      <w:pPr>
        <w:spacing w:line="273" w:lineRule="auto" w:before="240"/>
        <w:ind w:left="1640" w:right="1177" w:hanging="720"/>
        <w:jc w:val="both"/>
        <w:rPr>
          <w:sz w:val="22"/>
        </w:rPr>
      </w:pPr>
      <w:r>
        <w:rPr>
          <w:sz w:val="22"/>
        </w:rPr>
        <w:t>Henry, A and Newlander, L. (1997).</w:t>
      </w:r>
      <w:r>
        <w:rPr>
          <w:i/>
          <w:sz w:val="22"/>
        </w:rPr>
        <w:t>Milk Constituents in Chemistry and Testing of Dairy Products</w:t>
      </w:r>
      <w:r>
        <w:rPr>
          <w:sz w:val="22"/>
        </w:rPr>
        <w:t>. 5th Edition, John Wiley and Sons Inc., NewYork, PP. 269-273.</w:t>
      </w:r>
    </w:p>
    <w:p>
      <w:pPr>
        <w:spacing w:line="278" w:lineRule="auto" w:before="242"/>
        <w:ind w:left="1640" w:right="1174" w:hanging="720"/>
        <w:jc w:val="both"/>
        <w:rPr>
          <w:sz w:val="22"/>
        </w:rPr>
      </w:pPr>
      <w:r>
        <w:rPr>
          <w:sz w:val="22"/>
        </w:rPr>
        <w:t>Hoffmann, H and Roggenkamp, A. (2003).Population Genetics of the Nomenspecies </w:t>
      </w:r>
      <w:r>
        <w:rPr>
          <w:i/>
          <w:sz w:val="22"/>
        </w:rPr>
        <w:t>Enterobacter cloaca</w:t>
      </w:r>
      <w:r>
        <w:rPr>
          <w:sz w:val="22"/>
        </w:rPr>
        <w:t>.</w:t>
      </w:r>
      <w:r>
        <w:rPr>
          <w:i/>
          <w:sz w:val="22"/>
        </w:rPr>
        <w:t>Applied and Environmental Microbiology, 69</w:t>
      </w:r>
      <w:r>
        <w:rPr>
          <w:sz w:val="22"/>
        </w:rPr>
        <w:t>: 5306–5318.</w:t>
      </w:r>
    </w:p>
    <w:p>
      <w:pPr>
        <w:pStyle w:val="BodyText"/>
        <w:spacing w:line="276" w:lineRule="auto" w:before="236"/>
        <w:ind w:left="1640" w:right="1173" w:hanging="720"/>
        <w:jc w:val="both"/>
      </w:pPr>
      <w:r>
        <w:rPr/>
        <w:t>Holko,</w:t>
      </w:r>
      <w:r>
        <w:rPr>
          <w:spacing w:val="-1"/>
        </w:rPr>
        <w:t> </w:t>
      </w:r>
      <w:r>
        <w:rPr/>
        <w:t>I.,</w:t>
      </w:r>
      <w:r>
        <w:rPr>
          <w:spacing w:val="-1"/>
        </w:rPr>
        <w:t> </w:t>
      </w:r>
      <w:r>
        <w:rPr/>
        <w:t>Bisova,</w:t>
      </w:r>
      <w:r>
        <w:rPr>
          <w:spacing w:val="-1"/>
        </w:rPr>
        <w:t> </w:t>
      </w:r>
      <w:r>
        <w:rPr/>
        <w:t>T.,</w:t>
      </w:r>
      <w:r>
        <w:rPr>
          <w:spacing w:val="-1"/>
        </w:rPr>
        <w:t> </w:t>
      </w:r>
      <w:r>
        <w:rPr/>
        <w:t>Holkova,</w:t>
      </w:r>
      <w:r>
        <w:rPr>
          <w:spacing w:val="-1"/>
        </w:rPr>
        <w:t> </w:t>
      </w:r>
      <w:r>
        <w:rPr/>
        <w:t>Z and Kmet,</w:t>
      </w:r>
      <w:r>
        <w:rPr>
          <w:spacing w:val="-1"/>
        </w:rPr>
        <w:t> </w:t>
      </w:r>
      <w:r>
        <w:rPr/>
        <w:t>V. (2006). Virulence markers of </w:t>
      </w:r>
      <w:r>
        <w:rPr>
          <w:i/>
        </w:rPr>
        <w:t>Escherichia coli </w:t>
      </w:r>
      <w:r>
        <w:rPr/>
        <w:t>strains</w:t>
      </w:r>
      <w:r>
        <w:rPr>
          <w:spacing w:val="-3"/>
        </w:rPr>
        <w:t> </w:t>
      </w:r>
      <w:r>
        <w:rPr/>
        <w:t>isolated from traditional cheeses made from unpasteurised sheep milk in Slovakia. </w:t>
      </w:r>
      <w:r>
        <w:rPr>
          <w:i/>
        </w:rPr>
        <w:t>Food Control</w:t>
      </w:r>
      <w:r>
        <w:rPr/>
        <w:t>, 17: </w:t>
      </w:r>
      <w:r>
        <w:rPr>
          <w:spacing w:val="-2"/>
        </w:rPr>
        <w:t>393–396.</w:t>
      </w:r>
    </w:p>
    <w:p>
      <w:pPr>
        <w:spacing w:line="242" w:lineRule="auto" w:before="231"/>
        <w:ind w:left="1640" w:right="1188" w:hanging="720"/>
        <w:jc w:val="both"/>
        <w:rPr>
          <w:rFonts w:ascii="Times New Roman"/>
          <w:sz w:val="24"/>
        </w:rPr>
      </w:pPr>
      <w:r>
        <w:rPr>
          <w:rFonts w:ascii="Times New Roman"/>
          <w:sz w:val="24"/>
        </w:rPr>
        <w:t>Holm,</w:t>
      </w:r>
      <w:r>
        <w:rPr>
          <w:rFonts w:ascii="Times New Roman"/>
          <w:spacing w:val="-4"/>
          <w:sz w:val="24"/>
        </w:rPr>
        <w:t> </w:t>
      </w:r>
      <w:r>
        <w:rPr>
          <w:rFonts w:ascii="Times New Roman"/>
          <w:sz w:val="24"/>
        </w:rPr>
        <w:t>C.,</w:t>
      </w:r>
      <w:r>
        <w:rPr>
          <w:rFonts w:ascii="Times New Roman"/>
          <w:spacing w:val="-4"/>
          <w:sz w:val="24"/>
        </w:rPr>
        <w:t> </w:t>
      </w:r>
      <w:r>
        <w:rPr>
          <w:rFonts w:ascii="Times New Roman"/>
          <w:sz w:val="24"/>
        </w:rPr>
        <w:t>Jepsen,</w:t>
      </w:r>
      <w:r>
        <w:rPr>
          <w:rFonts w:ascii="Times New Roman"/>
          <w:spacing w:val="-4"/>
          <w:sz w:val="24"/>
        </w:rPr>
        <w:t> </w:t>
      </w:r>
      <w:r>
        <w:rPr>
          <w:rFonts w:ascii="Times New Roman"/>
          <w:sz w:val="24"/>
        </w:rPr>
        <w:t>L.,</w:t>
      </w:r>
      <w:r>
        <w:rPr>
          <w:rFonts w:ascii="Times New Roman"/>
          <w:spacing w:val="-4"/>
          <w:sz w:val="24"/>
        </w:rPr>
        <w:t> </w:t>
      </w:r>
      <w:r>
        <w:rPr>
          <w:rFonts w:ascii="Times New Roman"/>
          <w:sz w:val="24"/>
        </w:rPr>
        <w:t>Larsen,</w:t>
      </w:r>
      <w:r>
        <w:rPr>
          <w:rFonts w:ascii="Times New Roman"/>
          <w:spacing w:val="-4"/>
          <w:sz w:val="24"/>
        </w:rPr>
        <w:t> </w:t>
      </w:r>
      <w:r>
        <w:rPr>
          <w:rFonts w:ascii="Times New Roman"/>
          <w:sz w:val="24"/>
        </w:rPr>
        <w:t>M</w:t>
      </w:r>
      <w:r>
        <w:rPr>
          <w:rFonts w:ascii="Times New Roman"/>
          <w:spacing w:val="-7"/>
          <w:sz w:val="24"/>
        </w:rPr>
        <w:t> </w:t>
      </w:r>
      <w:r>
        <w:rPr>
          <w:rFonts w:ascii="Times New Roman"/>
          <w:sz w:val="24"/>
        </w:rPr>
        <w:t>and</w:t>
      </w:r>
      <w:r>
        <w:rPr>
          <w:rFonts w:ascii="Times New Roman"/>
          <w:spacing w:val="-5"/>
          <w:sz w:val="24"/>
        </w:rPr>
        <w:t> </w:t>
      </w:r>
      <w:r>
        <w:rPr>
          <w:rFonts w:ascii="Times New Roman"/>
          <w:sz w:val="24"/>
        </w:rPr>
        <w:t>Jespersen,</w:t>
      </w:r>
      <w:r>
        <w:rPr>
          <w:rFonts w:ascii="Times New Roman"/>
          <w:spacing w:val="-4"/>
          <w:sz w:val="24"/>
        </w:rPr>
        <w:t> </w:t>
      </w:r>
      <w:r>
        <w:rPr>
          <w:rFonts w:ascii="Times New Roman"/>
          <w:sz w:val="24"/>
        </w:rPr>
        <w:t>L.</w:t>
      </w:r>
      <w:r>
        <w:rPr>
          <w:rFonts w:ascii="Times New Roman"/>
          <w:spacing w:val="-4"/>
          <w:sz w:val="24"/>
        </w:rPr>
        <w:t> </w:t>
      </w:r>
      <w:r>
        <w:rPr>
          <w:rFonts w:ascii="Times New Roman"/>
          <w:sz w:val="24"/>
        </w:rPr>
        <w:t>(2004).Predominant microflora</w:t>
      </w:r>
      <w:r>
        <w:rPr>
          <w:rFonts w:ascii="Times New Roman"/>
          <w:spacing w:val="-6"/>
          <w:sz w:val="24"/>
        </w:rPr>
        <w:t> </w:t>
      </w:r>
      <w:r>
        <w:rPr>
          <w:rFonts w:ascii="Times New Roman"/>
          <w:sz w:val="24"/>
        </w:rPr>
        <w:t>of</w:t>
      </w:r>
      <w:r>
        <w:rPr>
          <w:rFonts w:ascii="Times New Roman"/>
          <w:spacing w:val="-12"/>
          <w:sz w:val="24"/>
        </w:rPr>
        <w:t> </w:t>
      </w:r>
      <w:r>
        <w:rPr>
          <w:rFonts w:ascii="Times New Roman"/>
          <w:sz w:val="24"/>
        </w:rPr>
        <w:t>downgraded Danish bulk tank milk.</w:t>
      </w:r>
      <w:r>
        <w:rPr>
          <w:rFonts w:ascii="Times New Roman"/>
          <w:i/>
          <w:sz w:val="24"/>
        </w:rPr>
        <w:t>Journal of Dairy Science</w:t>
      </w:r>
      <w:r>
        <w:rPr>
          <w:rFonts w:ascii="Times New Roman"/>
          <w:sz w:val="24"/>
        </w:rPr>
        <w:t>, 87: 1151-1157.</w:t>
      </w:r>
    </w:p>
    <w:p>
      <w:pPr>
        <w:spacing w:before="249"/>
        <w:ind w:left="920" w:right="0" w:firstLine="0"/>
        <w:jc w:val="left"/>
        <w:rPr>
          <w:sz w:val="22"/>
        </w:rPr>
      </w:pPr>
      <w:r>
        <w:rPr>
          <w:sz w:val="22"/>
        </w:rPr>
        <w:t>Hooper,</w:t>
      </w:r>
      <w:r>
        <w:rPr>
          <w:spacing w:val="-10"/>
          <w:sz w:val="22"/>
        </w:rPr>
        <w:t> </w:t>
      </w:r>
      <w:r>
        <w:rPr>
          <w:sz w:val="22"/>
        </w:rPr>
        <w:t>D.C.</w:t>
      </w:r>
      <w:r>
        <w:rPr>
          <w:spacing w:val="-4"/>
          <w:sz w:val="22"/>
        </w:rPr>
        <w:t> </w:t>
      </w:r>
      <w:r>
        <w:rPr>
          <w:sz w:val="22"/>
        </w:rPr>
        <w:t>(1999).Mechanisms</w:t>
      </w:r>
      <w:r>
        <w:rPr>
          <w:spacing w:val="-6"/>
          <w:sz w:val="22"/>
        </w:rPr>
        <w:t> </w:t>
      </w:r>
      <w:r>
        <w:rPr>
          <w:sz w:val="22"/>
        </w:rPr>
        <w:t>of</w:t>
      </w:r>
      <w:r>
        <w:rPr>
          <w:spacing w:val="-5"/>
          <w:sz w:val="22"/>
        </w:rPr>
        <w:t> </w:t>
      </w:r>
      <w:r>
        <w:rPr>
          <w:sz w:val="22"/>
        </w:rPr>
        <w:t>fluoroquinolone</w:t>
      </w:r>
      <w:r>
        <w:rPr>
          <w:spacing w:val="-6"/>
          <w:sz w:val="22"/>
        </w:rPr>
        <w:t> </w:t>
      </w:r>
      <w:r>
        <w:rPr>
          <w:sz w:val="22"/>
        </w:rPr>
        <w:t>resistance.</w:t>
      </w:r>
      <w:r>
        <w:rPr>
          <w:i/>
          <w:sz w:val="22"/>
        </w:rPr>
        <w:t>Drug</w:t>
      </w:r>
      <w:r>
        <w:rPr>
          <w:i/>
          <w:spacing w:val="-4"/>
          <w:sz w:val="22"/>
        </w:rPr>
        <w:t> </w:t>
      </w:r>
      <w:r>
        <w:rPr>
          <w:i/>
          <w:sz w:val="22"/>
        </w:rPr>
        <w:t>Resistance</w:t>
      </w:r>
      <w:r>
        <w:rPr>
          <w:i/>
          <w:spacing w:val="-5"/>
          <w:sz w:val="22"/>
        </w:rPr>
        <w:t> </w:t>
      </w:r>
      <w:r>
        <w:rPr>
          <w:i/>
          <w:sz w:val="22"/>
        </w:rPr>
        <w:t>Updates</w:t>
      </w:r>
      <w:r>
        <w:rPr>
          <w:sz w:val="22"/>
        </w:rPr>
        <w:t>,</w:t>
      </w:r>
      <w:r>
        <w:rPr>
          <w:spacing w:val="-8"/>
          <w:sz w:val="22"/>
        </w:rPr>
        <w:t> </w:t>
      </w:r>
      <w:r>
        <w:rPr>
          <w:sz w:val="22"/>
        </w:rPr>
        <w:t>2:</w:t>
      </w:r>
      <w:r>
        <w:rPr>
          <w:spacing w:val="-6"/>
          <w:sz w:val="22"/>
        </w:rPr>
        <w:t> </w:t>
      </w:r>
      <w:r>
        <w:rPr>
          <w:sz w:val="22"/>
        </w:rPr>
        <w:t>38-</w:t>
      </w:r>
      <w:r>
        <w:rPr>
          <w:spacing w:val="-5"/>
          <w:sz w:val="22"/>
        </w:rPr>
        <w:t>55.</w:t>
      </w:r>
    </w:p>
    <w:p>
      <w:pPr>
        <w:spacing w:after="0"/>
        <w:jc w:val="left"/>
        <w:rPr>
          <w:sz w:val="22"/>
        </w:rPr>
        <w:sectPr>
          <w:pgSz w:w="12240" w:h="15840"/>
          <w:pgMar w:header="0" w:footer="1017" w:top="1400" w:bottom="1200" w:left="520" w:right="260"/>
        </w:sectPr>
      </w:pPr>
    </w:p>
    <w:p>
      <w:pPr>
        <w:pStyle w:val="BodyText"/>
        <w:spacing w:line="273" w:lineRule="auto" w:before="81"/>
        <w:ind w:left="1640" w:right="1175" w:hanging="720"/>
        <w:jc w:val="both"/>
      </w:pPr>
      <w:r>
        <w:rPr/>
        <w:t>Hugo, W. B and Russell, A.D. (2000).Pharmaceutical Microbiology 7</w:t>
      </w:r>
      <w:r>
        <w:rPr>
          <w:vertAlign w:val="superscript"/>
        </w:rPr>
        <w:t>th</w:t>
      </w:r>
      <w:r>
        <w:rPr>
          <w:vertAlign w:val="baseline"/>
        </w:rPr>
        <w:t> Edition Blackwell Scientific Publications, London. PP 164-165.</w:t>
      </w:r>
    </w:p>
    <w:p>
      <w:pPr>
        <w:spacing w:line="278" w:lineRule="auto" w:before="243"/>
        <w:ind w:left="1640" w:right="1187" w:hanging="720"/>
        <w:jc w:val="both"/>
        <w:rPr>
          <w:sz w:val="22"/>
        </w:rPr>
      </w:pPr>
      <w:r>
        <w:rPr>
          <w:sz w:val="22"/>
        </w:rPr>
        <w:t>Huovinen, P. (2001). Resistance to trimethoprim-sulfmethoxazole.</w:t>
      </w:r>
      <w:r>
        <w:rPr>
          <w:i/>
          <w:sz w:val="22"/>
        </w:rPr>
        <w:t>Clinical Infection Diseases, </w:t>
      </w:r>
      <w:r>
        <w:rPr>
          <w:sz w:val="22"/>
        </w:rPr>
        <w:t>32: 1608- </w:t>
      </w:r>
      <w:r>
        <w:rPr>
          <w:spacing w:val="-2"/>
          <w:sz w:val="22"/>
        </w:rPr>
        <w:t>1614.</w:t>
      </w:r>
    </w:p>
    <w:p>
      <w:pPr>
        <w:spacing w:line="276" w:lineRule="auto" w:before="236"/>
        <w:ind w:left="1640" w:right="1177" w:hanging="720"/>
        <w:jc w:val="both"/>
        <w:rPr>
          <w:sz w:val="22"/>
        </w:rPr>
      </w:pPr>
      <w:r>
        <w:rPr>
          <w:sz w:val="22"/>
        </w:rPr>
        <w:t>Husmark, G. J and Ronner, U. (1990). Forces involved in adhesion of </w:t>
      </w:r>
      <w:r>
        <w:rPr>
          <w:i/>
          <w:sz w:val="22"/>
        </w:rPr>
        <w:t>Bacillus cereus </w:t>
      </w:r>
      <w:r>
        <w:rPr>
          <w:sz w:val="22"/>
        </w:rPr>
        <w:t>spores to solid surfaces under different environmental conditions. </w:t>
      </w:r>
      <w:r>
        <w:rPr>
          <w:i/>
          <w:sz w:val="22"/>
        </w:rPr>
        <w:t>Journal of Applied Bacteriology</w:t>
      </w:r>
      <w:r>
        <w:rPr>
          <w:sz w:val="22"/>
        </w:rPr>
        <w:t>, 69 (4): 557- </w:t>
      </w:r>
      <w:r>
        <w:rPr>
          <w:spacing w:val="-4"/>
          <w:sz w:val="22"/>
        </w:rPr>
        <w:t>562.</w:t>
      </w:r>
    </w:p>
    <w:p>
      <w:pPr>
        <w:spacing w:line="278" w:lineRule="auto" w:before="240"/>
        <w:ind w:left="1640" w:right="1179" w:hanging="720"/>
        <w:jc w:val="both"/>
        <w:rPr>
          <w:sz w:val="22"/>
        </w:rPr>
      </w:pPr>
      <w:r>
        <w:rPr>
          <w:sz w:val="22"/>
        </w:rPr>
        <w:t>Hussein, H. S and Sakuma, T. (2005).Prevalence of Shiga toxin-producing </w:t>
      </w:r>
      <w:r>
        <w:rPr>
          <w:i/>
          <w:sz w:val="22"/>
        </w:rPr>
        <w:t>Escherichia coli </w:t>
      </w:r>
      <w:r>
        <w:rPr>
          <w:sz w:val="22"/>
        </w:rPr>
        <w:t>in dairy cattle and their products.</w:t>
      </w:r>
      <w:r>
        <w:rPr>
          <w:i/>
          <w:sz w:val="22"/>
        </w:rPr>
        <w:t>Journal of Dairy Science, 88</w:t>
      </w:r>
      <w:r>
        <w:rPr>
          <w:sz w:val="22"/>
        </w:rPr>
        <w:t>: 450–465.</w:t>
      </w:r>
    </w:p>
    <w:p>
      <w:pPr>
        <w:pStyle w:val="BodyText"/>
      </w:pPr>
    </w:p>
    <w:p>
      <w:pPr>
        <w:pStyle w:val="BodyText"/>
        <w:spacing w:before="169"/>
      </w:pPr>
    </w:p>
    <w:p>
      <w:pPr>
        <w:spacing w:line="273" w:lineRule="auto" w:before="0"/>
        <w:ind w:left="1640" w:right="1173" w:hanging="720"/>
        <w:jc w:val="both"/>
        <w:rPr>
          <w:sz w:val="22"/>
        </w:rPr>
      </w:pPr>
      <w:r>
        <w:rPr>
          <w:sz w:val="22"/>
        </w:rPr>
        <w:t>Impert, O., Katafias, A., Kita, P., Mills, A., Pietkiewicz-Graczyk, A and Wrzeszcz, G. (2002).</w:t>
      </w:r>
      <w:r>
        <w:rPr>
          <w:i/>
          <w:sz w:val="22"/>
        </w:rPr>
        <w:t>Kinetics and mechanism of a fast leuco-Methylene Blue oxidation by copper (II)–halide species in acidic aqueous media</w:t>
      </w:r>
      <w:r>
        <w:rPr>
          <w:sz w:val="22"/>
        </w:rPr>
        <w:t>. Dalton Trans, PP. 348-353.</w:t>
      </w:r>
    </w:p>
    <w:p>
      <w:pPr>
        <w:pStyle w:val="BodyText"/>
        <w:spacing w:line="278" w:lineRule="auto" w:before="243"/>
        <w:ind w:left="1640" w:right="1180" w:hanging="720"/>
        <w:jc w:val="both"/>
      </w:pPr>
      <w:r>
        <w:rPr/>
        <w:t>Indalo, A.A. (1997). Antibiotic sale behaviour in Nairobi: a contributing factor to antimicrobial drug resistance. </w:t>
      </w:r>
      <w:r>
        <w:rPr>
          <w:i/>
        </w:rPr>
        <w:t>East African Medical Journal, </w:t>
      </w:r>
      <w:r>
        <w:rPr/>
        <w:t>74: 171-173</w:t>
      </w:r>
    </w:p>
    <w:p>
      <w:pPr>
        <w:spacing w:line="278" w:lineRule="auto" w:before="236"/>
        <w:ind w:left="1640" w:right="1176" w:hanging="720"/>
        <w:jc w:val="both"/>
        <w:rPr>
          <w:sz w:val="22"/>
        </w:rPr>
      </w:pPr>
      <w:r>
        <w:rPr>
          <w:sz w:val="22"/>
        </w:rPr>
        <w:t>International Dairy Federation (IDF).(1990). </w:t>
      </w:r>
      <w:r>
        <w:rPr>
          <w:i/>
          <w:sz w:val="22"/>
        </w:rPr>
        <w:t>Methods for Assessing the Bacteriological Quality of Raw Milk from the Farm</w:t>
      </w:r>
      <w:r>
        <w:rPr>
          <w:sz w:val="22"/>
        </w:rPr>
        <w:t>. Brussels, Belgium. Bulletin No 256: 4-8.</w:t>
      </w:r>
    </w:p>
    <w:p>
      <w:pPr>
        <w:spacing w:line="276" w:lineRule="auto" w:before="236"/>
        <w:ind w:left="1640" w:right="1178" w:hanging="720"/>
        <w:jc w:val="both"/>
        <w:rPr>
          <w:sz w:val="22"/>
        </w:rPr>
      </w:pPr>
      <w:r>
        <w:rPr>
          <w:sz w:val="22"/>
        </w:rPr>
        <w:t>International Dairy Federation (1994a). Pasteurization and heat treatment processes. In: </w:t>
      </w:r>
      <w:r>
        <w:rPr>
          <w:i/>
          <w:sz w:val="22"/>
        </w:rPr>
        <w:t>Recommendation for the hygienic contributing to the occurrence of antimicrobial manufacture</w:t>
      </w:r>
      <w:r>
        <w:rPr>
          <w:i/>
          <w:spacing w:val="40"/>
          <w:sz w:val="22"/>
        </w:rPr>
        <w:t> </w:t>
      </w:r>
      <w:r>
        <w:rPr>
          <w:i/>
          <w:sz w:val="22"/>
        </w:rPr>
        <w:t>of milk based products</w:t>
      </w:r>
      <w:r>
        <w:rPr>
          <w:sz w:val="22"/>
        </w:rPr>
        <w:t>. International Dairy Federation, Brussels, Belgium.Bulletin No 292:13–6.</w:t>
      </w:r>
    </w:p>
    <w:p>
      <w:pPr>
        <w:spacing w:line="273" w:lineRule="auto" w:before="240"/>
        <w:ind w:left="1640" w:right="1176" w:hanging="720"/>
        <w:jc w:val="both"/>
        <w:rPr>
          <w:sz w:val="22"/>
        </w:rPr>
      </w:pPr>
      <w:r>
        <w:rPr>
          <w:sz w:val="22"/>
        </w:rPr>
        <w:t>International Dairy Federation, (1994b).</w:t>
      </w:r>
      <w:r>
        <w:rPr>
          <w:i/>
          <w:sz w:val="22"/>
        </w:rPr>
        <w:t>The significance of pathogenic microorganisms in raw milk</w:t>
      </w:r>
      <w:r>
        <w:rPr>
          <w:sz w:val="22"/>
        </w:rPr>
        <w:t>.International Dairy Federation, Brussels, Belgium. PP. 78-90.</w:t>
      </w:r>
    </w:p>
    <w:p>
      <w:pPr>
        <w:spacing w:line="273" w:lineRule="auto" w:before="247"/>
        <w:ind w:left="1640" w:right="1180" w:hanging="720"/>
        <w:jc w:val="both"/>
        <w:rPr>
          <w:sz w:val="22"/>
        </w:rPr>
      </w:pPr>
      <w:r>
        <w:rPr>
          <w:sz w:val="22"/>
        </w:rPr>
        <w:t>International Dairy Federation, (1996). Symposium on: </w:t>
      </w:r>
      <w:r>
        <w:rPr>
          <w:i/>
          <w:sz w:val="22"/>
        </w:rPr>
        <w:t>Bacteriological quality of milk</w:t>
      </w:r>
      <w:r>
        <w:rPr>
          <w:sz w:val="22"/>
        </w:rPr>
        <w:t>.</w:t>
      </w:r>
      <w:r>
        <w:rPr>
          <w:spacing w:val="80"/>
          <w:sz w:val="22"/>
        </w:rPr>
        <w:t> </w:t>
      </w:r>
      <w:r>
        <w:rPr>
          <w:sz w:val="22"/>
        </w:rPr>
        <w:t>International Dairy Federation, Brussels. Bulletin No 262: 3-14.</w:t>
      </w:r>
    </w:p>
    <w:p>
      <w:pPr>
        <w:pStyle w:val="BodyText"/>
        <w:spacing w:line="278" w:lineRule="auto" w:before="242"/>
        <w:ind w:left="1640" w:right="1173" w:hanging="720"/>
        <w:jc w:val="both"/>
      </w:pPr>
      <w:r>
        <w:rPr/>
        <w:t>Ishihara, K., Kira, T., Ogikubo, K., Morioka, A., Kojima-Tanaka, M., Takahashi, T and Tamura, Y., (2001). Antimicrobial susceptibilities of campylobacter isolated from food producing animals on farms 1999-2001: results from the Japanese Veterinary Antimicrobial Monitoring program. </w:t>
      </w:r>
      <w:r>
        <w:rPr>
          <w:i/>
        </w:rPr>
        <w:t>International Journal of Antimicrobial Agents, </w:t>
      </w:r>
      <w:r>
        <w:rPr/>
        <w:t>24: 63-69.</w:t>
      </w:r>
    </w:p>
    <w:p>
      <w:pPr>
        <w:pStyle w:val="BodyText"/>
        <w:spacing w:line="276" w:lineRule="auto" w:before="233"/>
        <w:ind w:left="1640" w:right="1175" w:hanging="720"/>
        <w:jc w:val="both"/>
      </w:pPr>
      <w:r>
        <w:rPr/>
        <w:t>Ito, T., Ma, X.X., Takaeuchi, F., Okuma, K and Yuzawa, H. (2004).Novel type V staphylococcal cassette chromosome mec driven by a novel cassette chromosome recombinase ccrC </w:t>
      </w:r>
      <w:r>
        <w:rPr>
          <w:i/>
        </w:rPr>
        <w:t>Antimicrobial Agents and Chemotherapy</w:t>
      </w:r>
      <w:r>
        <w:rPr/>
        <w:t>, 48: 2637- 2651.</w:t>
      </w:r>
    </w:p>
    <w:p>
      <w:pPr>
        <w:spacing w:after="0" w:line="276" w:lineRule="auto"/>
        <w:jc w:val="both"/>
        <w:sectPr>
          <w:pgSz w:w="12240" w:h="15840"/>
          <w:pgMar w:header="0" w:footer="1017" w:top="1360" w:bottom="1200" w:left="520" w:right="260"/>
        </w:sectPr>
      </w:pPr>
    </w:p>
    <w:p>
      <w:pPr>
        <w:spacing w:line="273" w:lineRule="auto" w:before="41"/>
        <w:ind w:left="1640" w:right="1178" w:hanging="720"/>
        <w:jc w:val="both"/>
        <w:rPr>
          <w:sz w:val="22"/>
        </w:rPr>
      </w:pPr>
      <w:r>
        <w:rPr>
          <w:sz w:val="22"/>
        </w:rPr>
        <w:t>Iversen, C and Forsythe, S.J. (2003). Risk profile of </w:t>
      </w:r>
      <w:r>
        <w:rPr>
          <w:i/>
          <w:sz w:val="22"/>
        </w:rPr>
        <w:t>Enterobacter sakazakii</w:t>
      </w:r>
      <w:r>
        <w:rPr>
          <w:sz w:val="22"/>
        </w:rPr>
        <w:t>, an emergent</w:t>
      </w:r>
      <w:r>
        <w:rPr>
          <w:spacing w:val="40"/>
          <w:sz w:val="22"/>
        </w:rPr>
        <w:t> </w:t>
      </w:r>
      <w:r>
        <w:rPr>
          <w:sz w:val="22"/>
        </w:rPr>
        <w:t>pathogen associated with infant milk formula. </w:t>
      </w:r>
      <w:r>
        <w:rPr>
          <w:i/>
          <w:sz w:val="22"/>
        </w:rPr>
        <w:t>Trends in Food Science and Technology, </w:t>
      </w:r>
      <w:r>
        <w:rPr>
          <w:sz w:val="22"/>
        </w:rPr>
        <w:t>14: 443–454.</w:t>
      </w:r>
    </w:p>
    <w:p>
      <w:pPr>
        <w:spacing w:line="276" w:lineRule="auto" w:before="243"/>
        <w:ind w:left="1640" w:right="1176" w:hanging="720"/>
        <w:jc w:val="both"/>
        <w:rPr>
          <w:sz w:val="22"/>
        </w:rPr>
      </w:pPr>
      <w:r>
        <w:rPr>
          <w:sz w:val="22"/>
        </w:rPr>
        <w:t>Iversen, C and Forsythe, S.J. (2004a). Isolation of </w:t>
      </w:r>
      <w:r>
        <w:rPr>
          <w:i/>
          <w:sz w:val="22"/>
        </w:rPr>
        <w:t>Enterobacter sakazakii </w:t>
      </w:r>
      <w:r>
        <w:rPr>
          <w:sz w:val="22"/>
        </w:rPr>
        <w:t>and other </w:t>
      </w:r>
      <w:r>
        <w:rPr>
          <w:i/>
          <w:sz w:val="22"/>
        </w:rPr>
        <w:t>Enterobacteriaceae</w:t>
      </w:r>
      <w:r>
        <w:rPr>
          <w:sz w:val="22"/>
        </w:rPr>
        <w:t>from powdered infant milk and related products. </w:t>
      </w:r>
      <w:r>
        <w:rPr>
          <w:i/>
          <w:sz w:val="22"/>
        </w:rPr>
        <w:t>Journal of Food Microbiology, </w:t>
      </w:r>
      <w:r>
        <w:rPr>
          <w:sz w:val="22"/>
        </w:rPr>
        <w:t>21: 771–777</w:t>
      </w:r>
    </w:p>
    <w:p>
      <w:pPr>
        <w:spacing w:line="276" w:lineRule="auto" w:before="239"/>
        <w:ind w:left="1640" w:right="1175" w:hanging="720"/>
        <w:jc w:val="both"/>
        <w:rPr>
          <w:sz w:val="22"/>
        </w:rPr>
      </w:pPr>
      <w:r>
        <w:rPr>
          <w:sz w:val="22"/>
        </w:rPr>
        <w:t>Iversen, C., Waddington, M., On, S. L and Forsythe, S. (2004b). Identification and phylogeny of </w:t>
      </w:r>
      <w:r>
        <w:rPr>
          <w:i/>
          <w:sz w:val="22"/>
        </w:rPr>
        <w:t>Enterobacter sakazakii </w:t>
      </w:r>
      <w:r>
        <w:rPr>
          <w:sz w:val="22"/>
        </w:rPr>
        <w:t>relative to </w:t>
      </w:r>
      <w:r>
        <w:rPr>
          <w:i/>
          <w:sz w:val="22"/>
        </w:rPr>
        <w:t>Enterobacter </w:t>
      </w:r>
      <w:r>
        <w:rPr>
          <w:sz w:val="22"/>
        </w:rPr>
        <w:t>and </w:t>
      </w:r>
      <w:r>
        <w:rPr>
          <w:i/>
          <w:sz w:val="22"/>
        </w:rPr>
        <w:t>Citrobacter </w:t>
      </w:r>
      <w:r>
        <w:rPr>
          <w:sz w:val="22"/>
        </w:rPr>
        <w:t>species.</w:t>
      </w:r>
      <w:r>
        <w:rPr>
          <w:i/>
          <w:sz w:val="22"/>
        </w:rPr>
        <w:t>Journal of Clinical Microbiology, 42</w:t>
      </w:r>
      <w:r>
        <w:rPr>
          <w:sz w:val="22"/>
        </w:rPr>
        <w:t>: 5368– 5370.</w:t>
      </w:r>
    </w:p>
    <w:p>
      <w:pPr>
        <w:pStyle w:val="BodyText"/>
      </w:pPr>
    </w:p>
    <w:p>
      <w:pPr>
        <w:pStyle w:val="BodyText"/>
        <w:spacing w:before="173"/>
      </w:pPr>
    </w:p>
    <w:p>
      <w:pPr>
        <w:pStyle w:val="BodyText"/>
        <w:spacing w:line="276" w:lineRule="auto" w:before="1"/>
        <w:ind w:left="1640" w:right="1173" w:hanging="720"/>
        <w:jc w:val="both"/>
      </w:pPr>
      <w:r>
        <w:rPr/>
        <w:t>Javaid, S.B., Gadahi, J.A., Khaskeli, M., Bhutto, M.B., Kumbher, S and Panhwar, A.H. (2009) Physical and chemical quality of market milk sold at Tandojam, Pakistan. </w:t>
      </w:r>
      <w:r>
        <w:rPr>
          <w:i/>
        </w:rPr>
        <w:t>Pakistan Veterinary Journal</w:t>
      </w:r>
      <w:r>
        <w:rPr/>
        <w:t>, 29(1), </w:t>
      </w:r>
      <w:r>
        <w:rPr>
          <w:spacing w:val="-2"/>
        </w:rPr>
        <w:t>27-31.</w:t>
      </w:r>
    </w:p>
    <w:p>
      <w:pPr>
        <w:pStyle w:val="BodyText"/>
        <w:spacing w:line="278" w:lineRule="auto" w:before="239"/>
        <w:ind w:left="1640" w:right="1175" w:hanging="720"/>
        <w:jc w:val="both"/>
      </w:pPr>
      <w:r>
        <w:rPr/>
        <w:t>Jay, I.M. (2000). Taxonomy, Role and Significance of Microorganisms in Food, In: </w:t>
      </w:r>
      <w:r>
        <w:rPr>
          <w:i/>
        </w:rPr>
        <w:t>Modern Food Microbiology</w:t>
      </w:r>
      <w:r>
        <w:rPr/>
        <w:t>. Aspen Publishers, Gaithersburg MD, PP. 13.</w:t>
      </w:r>
    </w:p>
    <w:p>
      <w:pPr>
        <w:spacing w:line="273" w:lineRule="auto" w:before="237"/>
        <w:ind w:left="1640" w:right="1176" w:hanging="720"/>
        <w:jc w:val="both"/>
        <w:rPr>
          <w:sz w:val="22"/>
        </w:rPr>
      </w:pPr>
      <w:r>
        <w:rPr>
          <w:sz w:val="22"/>
        </w:rPr>
        <w:t>Jayarao, B. M and Henning, D.R. (2001).Prevalence of foodborne pathogens in bulk milk.</w:t>
      </w:r>
      <w:r>
        <w:rPr>
          <w:i/>
          <w:sz w:val="22"/>
        </w:rPr>
        <w:t>Journal of Dairy Science, 84</w:t>
      </w:r>
      <w:r>
        <w:rPr>
          <w:sz w:val="22"/>
        </w:rPr>
        <w:t>: 2157–2162.</w:t>
      </w:r>
    </w:p>
    <w:p>
      <w:pPr>
        <w:spacing w:line="278" w:lineRule="auto" w:before="242"/>
        <w:ind w:left="1640" w:right="1181" w:hanging="720"/>
        <w:jc w:val="both"/>
        <w:rPr>
          <w:sz w:val="22"/>
        </w:rPr>
      </w:pPr>
      <w:r>
        <w:rPr>
          <w:sz w:val="22"/>
        </w:rPr>
        <w:t>Jayarao, B.M and Wolfgang, D.R. (2003). Bulk tank milk analysis: a useful tool for improving milk quality and herd udder health..</w:t>
      </w:r>
      <w:r>
        <w:rPr>
          <w:i/>
          <w:sz w:val="22"/>
        </w:rPr>
        <w:t>Veterinary Clinics of North American Food Animal Practice</w:t>
      </w:r>
      <w:r>
        <w:rPr>
          <w:sz w:val="22"/>
        </w:rPr>
        <w:t>, 19: 75-92.</w:t>
      </w:r>
    </w:p>
    <w:p>
      <w:pPr>
        <w:spacing w:line="278" w:lineRule="auto" w:before="236"/>
        <w:ind w:left="1640" w:right="1180" w:hanging="720"/>
        <w:jc w:val="both"/>
        <w:rPr>
          <w:sz w:val="22"/>
        </w:rPr>
      </w:pPr>
      <w:r>
        <w:rPr>
          <w:sz w:val="22"/>
        </w:rPr>
        <w:t>Je, J and Kim, S. (2005): Antimicrobial action of novel chitin derivative. </w:t>
      </w:r>
      <w:r>
        <w:rPr>
          <w:i/>
          <w:sz w:val="22"/>
        </w:rPr>
        <w:t>Biochimica et Biophysica Acta (BBA) - General subjects, </w:t>
      </w:r>
      <w:r>
        <w:rPr>
          <w:sz w:val="22"/>
        </w:rPr>
        <w:t>1760 (1): 104-109.</w:t>
      </w:r>
    </w:p>
    <w:p>
      <w:pPr>
        <w:pStyle w:val="BodyText"/>
        <w:spacing w:line="273" w:lineRule="auto" w:before="236"/>
        <w:ind w:left="1640" w:right="1180" w:hanging="720"/>
        <w:jc w:val="both"/>
      </w:pPr>
      <w:r>
        <w:rPr/>
        <w:t>Johnston, D. W., Bruce, J and Hill, J. (1983) Incidence of antibiotic-resistant Escherichia coli in milk produced in the west of Scotland. </w:t>
      </w:r>
      <w:r>
        <w:rPr>
          <w:i/>
        </w:rPr>
        <w:t>Journal of Applied Bacteriology</w:t>
      </w:r>
      <w:r>
        <w:rPr/>
        <w:t>, 54: 77-83.</w:t>
      </w:r>
    </w:p>
    <w:p>
      <w:pPr>
        <w:pStyle w:val="BodyText"/>
        <w:spacing w:line="273" w:lineRule="auto" w:before="247"/>
        <w:ind w:left="1640" w:right="1177" w:hanging="720"/>
        <w:jc w:val="both"/>
      </w:pPr>
      <w:r>
        <w:rPr/>
        <w:t>Jones, R.N. (1994). The antimicrobial activity of cefotaxime:comparative</w:t>
      </w:r>
      <w:r>
        <w:rPr>
          <w:spacing w:val="40"/>
        </w:rPr>
        <w:t> </w:t>
      </w:r>
      <w:r>
        <w:rPr/>
        <w:t>multinational hospital isolate surveys covering 15 years. </w:t>
      </w:r>
      <w:r>
        <w:rPr>
          <w:i/>
        </w:rPr>
        <w:t>Infection</w:t>
      </w:r>
      <w:r>
        <w:rPr/>
        <w:t>22(3): S152–S160.</w:t>
      </w:r>
    </w:p>
    <w:p>
      <w:pPr>
        <w:pStyle w:val="BodyText"/>
        <w:spacing w:before="242"/>
        <w:ind w:left="920"/>
      </w:pPr>
      <w:r>
        <w:rPr/>
        <w:t>Jordan,</w:t>
      </w:r>
      <w:r>
        <w:rPr>
          <w:spacing w:val="16"/>
        </w:rPr>
        <w:t> </w:t>
      </w:r>
      <w:r>
        <w:rPr/>
        <w:t>D.</w:t>
      </w:r>
      <w:r>
        <w:rPr>
          <w:spacing w:val="22"/>
        </w:rPr>
        <w:t> </w:t>
      </w:r>
      <w:r>
        <w:rPr/>
        <w:t>(2007).</w:t>
      </w:r>
      <w:r>
        <w:rPr>
          <w:spacing w:val="22"/>
        </w:rPr>
        <w:t> </w:t>
      </w:r>
      <w:r>
        <w:rPr/>
        <w:t>Antimicrobial</w:t>
      </w:r>
      <w:r>
        <w:rPr>
          <w:spacing w:val="23"/>
        </w:rPr>
        <w:t> </w:t>
      </w:r>
      <w:r>
        <w:rPr/>
        <w:t>resistance</w:t>
      </w:r>
      <w:r>
        <w:rPr>
          <w:spacing w:val="20"/>
        </w:rPr>
        <w:t> </w:t>
      </w:r>
      <w:r>
        <w:rPr/>
        <w:t>in</w:t>
      </w:r>
      <w:r>
        <w:rPr>
          <w:spacing w:val="19"/>
        </w:rPr>
        <w:t> </w:t>
      </w:r>
      <w:r>
        <w:rPr/>
        <w:t>animal</w:t>
      </w:r>
      <w:r>
        <w:rPr>
          <w:spacing w:val="17"/>
        </w:rPr>
        <w:t> </w:t>
      </w:r>
      <w:r>
        <w:rPr/>
        <w:t>and</w:t>
      </w:r>
      <w:r>
        <w:rPr>
          <w:spacing w:val="20"/>
        </w:rPr>
        <w:t> </w:t>
      </w:r>
      <w:r>
        <w:rPr/>
        <w:t>impacts</w:t>
      </w:r>
      <w:r>
        <w:rPr>
          <w:spacing w:val="20"/>
        </w:rPr>
        <w:t> </w:t>
      </w:r>
      <w:r>
        <w:rPr/>
        <w:t>on</w:t>
      </w:r>
      <w:r>
        <w:rPr>
          <w:spacing w:val="19"/>
        </w:rPr>
        <w:t> </w:t>
      </w:r>
      <w:r>
        <w:rPr/>
        <w:t>food</w:t>
      </w:r>
      <w:r>
        <w:rPr>
          <w:spacing w:val="20"/>
        </w:rPr>
        <w:t> </w:t>
      </w:r>
      <w:r>
        <w:rPr/>
        <w:t>safety</w:t>
      </w:r>
      <w:r>
        <w:rPr>
          <w:spacing w:val="21"/>
        </w:rPr>
        <w:t> </w:t>
      </w:r>
      <w:r>
        <w:rPr/>
        <w:t>and</w:t>
      </w:r>
      <w:r>
        <w:rPr>
          <w:spacing w:val="23"/>
        </w:rPr>
        <w:t> </w:t>
      </w:r>
      <w:r>
        <w:rPr/>
        <w:t>public</w:t>
      </w:r>
      <w:r>
        <w:rPr>
          <w:spacing w:val="18"/>
        </w:rPr>
        <w:t> </w:t>
      </w:r>
      <w:r>
        <w:rPr/>
        <w:t>health.</w:t>
      </w:r>
      <w:r>
        <w:rPr>
          <w:spacing w:val="27"/>
        </w:rPr>
        <w:t> </w:t>
      </w:r>
      <w:r>
        <w:rPr>
          <w:spacing w:val="-5"/>
        </w:rPr>
        <w:t>In</w:t>
      </w:r>
    </w:p>
    <w:p>
      <w:pPr>
        <w:spacing w:before="43"/>
        <w:ind w:left="1640" w:right="0" w:firstLine="0"/>
        <w:jc w:val="left"/>
        <w:rPr>
          <w:sz w:val="22"/>
        </w:rPr>
      </w:pPr>
      <w:r>
        <w:rPr>
          <w:i/>
          <w:spacing w:val="-2"/>
          <w:sz w:val="22"/>
        </w:rPr>
        <w:t>Focus</w:t>
      </w:r>
      <w:r>
        <w:rPr>
          <w:spacing w:val="-2"/>
          <w:sz w:val="22"/>
        </w:rPr>
        <w:t>,</w:t>
      </w:r>
      <w:r>
        <w:rPr>
          <w:spacing w:val="13"/>
          <w:sz w:val="22"/>
        </w:rPr>
        <w:t> </w:t>
      </w:r>
      <w:r>
        <w:rPr>
          <w:spacing w:val="-2"/>
          <w:sz w:val="22"/>
        </w:rPr>
        <w:t>28(4):163-</w:t>
      </w:r>
      <w:r>
        <w:rPr>
          <w:spacing w:val="-5"/>
          <w:sz w:val="22"/>
        </w:rPr>
        <w:t>164</w:t>
      </w:r>
    </w:p>
    <w:p>
      <w:pPr>
        <w:pStyle w:val="BodyText"/>
        <w:spacing w:before="10"/>
      </w:pPr>
    </w:p>
    <w:p>
      <w:pPr>
        <w:spacing w:line="278" w:lineRule="auto" w:before="1"/>
        <w:ind w:left="1640" w:right="1172" w:hanging="720"/>
        <w:jc w:val="both"/>
        <w:rPr>
          <w:sz w:val="22"/>
        </w:rPr>
      </w:pPr>
      <w:r>
        <w:rPr>
          <w:sz w:val="22"/>
        </w:rPr>
        <w:t>Jørgensen,</w:t>
      </w:r>
      <w:r>
        <w:rPr>
          <w:spacing w:val="-2"/>
          <w:sz w:val="22"/>
        </w:rPr>
        <w:t> </w:t>
      </w:r>
      <w:r>
        <w:rPr>
          <w:sz w:val="22"/>
        </w:rPr>
        <w:t>H.J.,</w:t>
      </w:r>
      <w:r>
        <w:rPr>
          <w:spacing w:val="-2"/>
          <w:sz w:val="22"/>
        </w:rPr>
        <w:t> </w:t>
      </w:r>
      <w:r>
        <w:rPr>
          <w:sz w:val="22"/>
        </w:rPr>
        <w:t>Mørk,</w:t>
      </w:r>
      <w:r>
        <w:rPr>
          <w:spacing w:val="-1"/>
          <w:sz w:val="22"/>
        </w:rPr>
        <w:t> </w:t>
      </w:r>
      <w:r>
        <w:rPr>
          <w:sz w:val="22"/>
        </w:rPr>
        <w:t>T</w:t>
      </w:r>
      <w:r>
        <w:rPr>
          <w:spacing w:val="-1"/>
          <w:sz w:val="22"/>
        </w:rPr>
        <w:t> </w:t>
      </w:r>
      <w:r>
        <w:rPr>
          <w:sz w:val="22"/>
        </w:rPr>
        <w:t>and</w:t>
      </w:r>
      <w:r>
        <w:rPr>
          <w:spacing w:val="-1"/>
          <w:sz w:val="22"/>
        </w:rPr>
        <w:t> </w:t>
      </w:r>
      <w:r>
        <w:rPr>
          <w:sz w:val="22"/>
        </w:rPr>
        <w:t>Rørvik,</w:t>
      </w:r>
      <w:r>
        <w:rPr>
          <w:spacing w:val="-2"/>
          <w:sz w:val="22"/>
        </w:rPr>
        <w:t> </w:t>
      </w:r>
      <w:r>
        <w:rPr>
          <w:sz w:val="22"/>
        </w:rPr>
        <w:t>L.M. (2005).The occurrence of </w:t>
      </w:r>
      <w:r>
        <w:rPr>
          <w:i/>
          <w:sz w:val="22"/>
        </w:rPr>
        <w:t>Staphylococcus</w:t>
      </w:r>
      <w:r>
        <w:rPr>
          <w:i/>
          <w:spacing w:val="-4"/>
          <w:sz w:val="22"/>
        </w:rPr>
        <w:t> </w:t>
      </w:r>
      <w:r>
        <w:rPr>
          <w:i/>
          <w:sz w:val="22"/>
        </w:rPr>
        <w:t>aureus </w:t>
      </w:r>
      <w:r>
        <w:rPr>
          <w:sz w:val="22"/>
        </w:rPr>
        <w:t>on</w:t>
      </w:r>
      <w:r>
        <w:rPr>
          <w:spacing w:val="-1"/>
          <w:sz w:val="22"/>
        </w:rPr>
        <w:t> </w:t>
      </w:r>
      <w:r>
        <w:rPr>
          <w:sz w:val="22"/>
        </w:rPr>
        <w:t>a</w:t>
      </w:r>
      <w:r>
        <w:rPr>
          <w:spacing w:val="-4"/>
          <w:sz w:val="22"/>
        </w:rPr>
        <w:t> </w:t>
      </w:r>
      <w:r>
        <w:rPr>
          <w:sz w:val="22"/>
        </w:rPr>
        <w:t>farm</w:t>
      </w:r>
      <w:r>
        <w:rPr>
          <w:spacing w:val="-3"/>
          <w:sz w:val="22"/>
        </w:rPr>
        <w:t> </w:t>
      </w:r>
      <w:r>
        <w:rPr>
          <w:sz w:val="22"/>
        </w:rPr>
        <w:t>with small-scale production of raw milk cheese.</w:t>
      </w:r>
      <w:r>
        <w:rPr>
          <w:i/>
          <w:sz w:val="22"/>
        </w:rPr>
        <w:t>Journal of Dairy Science</w:t>
      </w:r>
      <w:r>
        <w:rPr>
          <w:sz w:val="22"/>
        </w:rPr>
        <w:t>, 88 (11): 3810–3817.</w:t>
      </w:r>
    </w:p>
    <w:p>
      <w:pPr>
        <w:pStyle w:val="BodyText"/>
        <w:spacing w:before="236"/>
      </w:pPr>
    </w:p>
    <w:p>
      <w:pPr>
        <w:pStyle w:val="BodyText"/>
        <w:spacing w:line="276" w:lineRule="auto"/>
        <w:ind w:left="1640" w:right="1177" w:hanging="720"/>
        <w:jc w:val="both"/>
      </w:pPr>
      <w:r>
        <w:rPr/>
        <w:t>Jorgensen, J. H and Turnidge, J.D. (2007). Susceptibility test methods: dilution and disk diffusion methods.</w:t>
      </w:r>
      <w:r>
        <w:rPr>
          <w:spacing w:val="-1"/>
        </w:rPr>
        <w:t> </w:t>
      </w:r>
      <w:r>
        <w:rPr/>
        <w:t>In:</w:t>
      </w:r>
      <w:r>
        <w:rPr>
          <w:spacing w:val="-5"/>
        </w:rPr>
        <w:t> </w:t>
      </w:r>
      <w:r>
        <w:rPr/>
        <w:t>P. R.</w:t>
      </w:r>
      <w:r>
        <w:rPr>
          <w:spacing w:val="-1"/>
        </w:rPr>
        <w:t> </w:t>
      </w:r>
      <w:r>
        <w:rPr/>
        <w:t>Murray, E. J. Baron, J. H. Jorgensen, M. L. Landry and M. A.</w:t>
      </w:r>
      <w:r>
        <w:rPr>
          <w:spacing w:val="40"/>
        </w:rPr>
        <w:t> </w:t>
      </w:r>
      <w:r>
        <w:rPr/>
        <w:t>Pfaller (ed.), </w:t>
      </w:r>
      <w:r>
        <w:rPr>
          <w:i/>
        </w:rPr>
        <w:t>Manual of clinical microbiology</w:t>
      </w:r>
      <w:r>
        <w:rPr/>
        <w:t>, 9th ed. ASM Press, Washington, D.C. PP. 1152- 1172.</w:t>
      </w:r>
    </w:p>
    <w:p>
      <w:pPr>
        <w:spacing w:after="0" w:line="276" w:lineRule="auto"/>
        <w:jc w:val="both"/>
        <w:sectPr>
          <w:pgSz w:w="12240" w:h="15840"/>
          <w:pgMar w:header="0" w:footer="1017" w:top="1400" w:bottom="1200" w:left="520" w:right="260"/>
        </w:sectPr>
      </w:pPr>
    </w:p>
    <w:p>
      <w:pPr>
        <w:pStyle w:val="BodyText"/>
        <w:spacing w:line="273" w:lineRule="auto" w:before="41"/>
        <w:ind w:left="1640" w:right="1183" w:hanging="720"/>
        <w:jc w:val="both"/>
      </w:pPr>
      <w:r>
        <w:rPr/>
        <w:t>Kandhai, M.C., Reij, M.W., Gorris, L. G., Guillaume-Gentil, O and Van Schothorst, M. (2004).Occurrence</w:t>
      </w:r>
      <w:r>
        <w:rPr>
          <w:spacing w:val="40"/>
        </w:rPr>
        <w:t> </w:t>
      </w:r>
      <w:r>
        <w:rPr/>
        <w:t>of </w:t>
      </w:r>
      <w:r>
        <w:rPr>
          <w:i/>
        </w:rPr>
        <w:t>Enterobacter sakazakii </w:t>
      </w:r>
      <w:r>
        <w:rPr/>
        <w:t>in food production environments and households.</w:t>
      </w:r>
      <w:r>
        <w:rPr>
          <w:i/>
        </w:rPr>
        <w:t>Lancet</w:t>
      </w:r>
      <w:r>
        <w:rPr/>
        <w:t>, 39–40.</w:t>
      </w:r>
    </w:p>
    <w:p>
      <w:pPr>
        <w:spacing w:line="278" w:lineRule="auto" w:before="243"/>
        <w:ind w:left="1640" w:right="1179" w:hanging="720"/>
        <w:jc w:val="both"/>
        <w:rPr>
          <w:sz w:val="22"/>
        </w:rPr>
      </w:pPr>
      <w:r>
        <w:rPr>
          <w:sz w:val="22"/>
        </w:rPr>
        <w:t>Kaper, J.B., Nataro, J. P and Mobley, H.L.T. (2004).Pathogenic </w:t>
      </w:r>
      <w:r>
        <w:rPr>
          <w:i/>
          <w:sz w:val="22"/>
        </w:rPr>
        <w:t>Escherichia coli</w:t>
      </w:r>
      <w:r>
        <w:rPr>
          <w:sz w:val="22"/>
        </w:rPr>
        <w:t>.</w:t>
      </w:r>
      <w:r>
        <w:rPr>
          <w:i/>
          <w:sz w:val="22"/>
        </w:rPr>
        <w:t>Natural Reviews Microbiology</w:t>
      </w:r>
      <w:r>
        <w:rPr>
          <w:sz w:val="22"/>
        </w:rPr>
        <w:t>, 2: 123–140</w:t>
      </w:r>
    </w:p>
    <w:p>
      <w:pPr>
        <w:pStyle w:val="BodyText"/>
      </w:pPr>
    </w:p>
    <w:p>
      <w:pPr>
        <w:pStyle w:val="BodyText"/>
        <w:spacing w:before="169"/>
      </w:pPr>
    </w:p>
    <w:p>
      <w:pPr>
        <w:pStyle w:val="BodyText"/>
        <w:ind w:left="920"/>
      </w:pPr>
      <w:r>
        <w:rPr/>
        <w:t>Kazazian,</w:t>
      </w:r>
      <w:r>
        <w:rPr>
          <w:spacing w:val="-9"/>
        </w:rPr>
        <w:t> </w:t>
      </w:r>
      <w:r>
        <w:rPr/>
        <w:t>H.H.</w:t>
      </w:r>
      <w:r>
        <w:rPr>
          <w:spacing w:val="-3"/>
        </w:rPr>
        <w:t> </w:t>
      </w:r>
      <w:r>
        <w:rPr/>
        <w:t>(2004).</w:t>
      </w:r>
      <w:r>
        <w:rPr>
          <w:spacing w:val="-3"/>
        </w:rPr>
        <w:t> </w:t>
      </w:r>
      <w:r>
        <w:rPr/>
        <w:t>Mobile</w:t>
      </w:r>
      <w:r>
        <w:rPr>
          <w:spacing w:val="-5"/>
        </w:rPr>
        <w:t> </w:t>
      </w:r>
      <w:r>
        <w:rPr/>
        <w:t>elements:</w:t>
      </w:r>
      <w:r>
        <w:rPr>
          <w:spacing w:val="-5"/>
        </w:rPr>
        <w:t> </w:t>
      </w:r>
      <w:r>
        <w:rPr/>
        <w:t>Drivers</w:t>
      </w:r>
      <w:r>
        <w:rPr>
          <w:spacing w:val="-5"/>
        </w:rPr>
        <w:t> </w:t>
      </w:r>
      <w:r>
        <w:rPr/>
        <w:t>of</w:t>
      </w:r>
      <w:r>
        <w:rPr>
          <w:spacing w:val="-5"/>
        </w:rPr>
        <w:t> </w:t>
      </w:r>
      <w:r>
        <w:rPr/>
        <w:t>genome</w:t>
      </w:r>
      <w:r>
        <w:rPr>
          <w:spacing w:val="-5"/>
        </w:rPr>
        <w:t> </w:t>
      </w:r>
      <w:r>
        <w:rPr/>
        <w:t>evolution.</w:t>
      </w:r>
      <w:r>
        <w:rPr>
          <w:spacing w:val="-1"/>
        </w:rPr>
        <w:t> </w:t>
      </w:r>
      <w:r>
        <w:rPr>
          <w:i/>
        </w:rPr>
        <w:t>Science</w:t>
      </w:r>
      <w:r>
        <w:rPr/>
        <w:t>303:</w:t>
      </w:r>
      <w:r>
        <w:rPr>
          <w:spacing w:val="-5"/>
        </w:rPr>
        <w:t> </w:t>
      </w:r>
      <w:r>
        <w:rPr>
          <w:spacing w:val="-2"/>
        </w:rPr>
        <w:t>1626–1632.</w:t>
      </w:r>
    </w:p>
    <w:p>
      <w:pPr>
        <w:pStyle w:val="BodyText"/>
        <w:spacing w:before="10"/>
      </w:pPr>
    </w:p>
    <w:p>
      <w:pPr>
        <w:spacing w:line="278" w:lineRule="auto" w:before="0"/>
        <w:ind w:left="1640" w:right="1176" w:hanging="720"/>
        <w:jc w:val="both"/>
        <w:rPr>
          <w:sz w:val="22"/>
        </w:rPr>
      </w:pPr>
      <w:r>
        <w:rPr>
          <w:sz w:val="22"/>
        </w:rPr>
        <w:t>Kehrenberg, C and Schwarz, S. (2004). Identification of dfrA20, a novel trimethoprim resistance gene from </w:t>
      </w:r>
      <w:r>
        <w:rPr>
          <w:i/>
          <w:sz w:val="22"/>
        </w:rPr>
        <w:t>Pasteurella multocida.Antimicrobial Agents Chemotherapy</w:t>
      </w:r>
      <w:r>
        <w:rPr>
          <w:sz w:val="22"/>
        </w:rPr>
        <w:t>, 49: 414-417.</w:t>
      </w:r>
    </w:p>
    <w:p>
      <w:pPr>
        <w:spacing w:line="276" w:lineRule="auto" w:before="236"/>
        <w:ind w:left="1640" w:right="1175" w:hanging="720"/>
        <w:jc w:val="both"/>
        <w:rPr>
          <w:sz w:val="22"/>
        </w:rPr>
      </w:pPr>
      <w:r>
        <w:rPr>
          <w:sz w:val="22"/>
        </w:rPr>
        <w:t>Kehrenberg, C., Salmon, S.A., Watts, J.L and Schwarz, S. (2001). Tetracycline resistance genes in isolates of </w:t>
      </w:r>
      <w:r>
        <w:rPr>
          <w:i/>
          <w:sz w:val="22"/>
        </w:rPr>
        <w:t>Pasteurella multocida</w:t>
      </w:r>
      <w:r>
        <w:rPr>
          <w:sz w:val="22"/>
        </w:rPr>
        <w:t>, </w:t>
      </w:r>
      <w:r>
        <w:rPr>
          <w:i/>
          <w:sz w:val="22"/>
        </w:rPr>
        <w:t>Mannheimia haemolytica</w:t>
      </w:r>
      <w:r>
        <w:rPr>
          <w:sz w:val="22"/>
        </w:rPr>
        <w:t>, </w:t>
      </w:r>
      <w:r>
        <w:rPr>
          <w:i/>
          <w:sz w:val="22"/>
        </w:rPr>
        <w:t>Mannheimia glucosidal </w:t>
      </w:r>
      <w:r>
        <w:rPr>
          <w:sz w:val="22"/>
        </w:rPr>
        <w:t>and </w:t>
      </w:r>
      <w:r>
        <w:rPr>
          <w:i/>
          <w:sz w:val="22"/>
        </w:rPr>
        <w:t>Mannheimia varigena </w:t>
      </w:r>
      <w:r>
        <w:rPr>
          <w:sz w:val="22"/>
        </w:rPr>
        <w:t>from bovine and swine respiratory disease: intergeneric spread of the tet(H) plasmid pMHT1. </w:t>
      </w:r>
      <w:r>
        <w:rPr>
          <w:i/>
          <w:sz w:val="22"/>
        </w:rPr>
        <w:t>Journal of Antimicrobial Chemotherapy</w:t>
      </w:r>
      <w:r>
        <w:rPr>
          <w:sz w:val="22"/>
        </w:rPr>
        <w:t>, 48: 631-640.</w:t>
      </w:r>
    </w:p>
    <w:p>
      <w:pPr>
        <w:pStyle w:val="BodyText"/>
        <w:spacing w:line="276" w:lineRule="auto" w:before="238"/>
        <w:ind w:left="1640" w:right="1177" w:hanging="720"/>
        <w:jc w:val="both"/>
      </w:pPr>
      <w:r>
        <w:rPr/>
        <w:t>Keyser, P., Elofson, M., Rosell, S and Wolf-Watz, H. (2008). Virulence blockers as alternatives to antibiotics: type III secretion inhibitors against Gram-negative bacteria. </w:t>
      </w:r>
      <w:r>
        <w:rPr>
          <w:i/>
        </w:rPr>
        <w:t>Journal of International Medicine</w:t>
      </w:r>
      <w:r>
        <w:rPr/>
        <w:t>, 264: 17-29.</w:t>
      </w:r>
    </w:p>
    <w:p>
      <w:pPr>
        <w:spacing w:before="231"/>
        <w:ind w:left="920" w:right="0" w:firstLine="0"/>
        <w:jc w:val="left"/>
        <w:rPr>
          <w:rFonts w:ascii="Times New Roman"/>
          <w:sz w:val="24"/>
        </w:rPr>
      </w:pPr>
      <w:r>
        <w:rPr>
          <w:rFonts w:ascii="Times New Roman"/>
          <w:sz w:val="24"/>
        </w:rPr>
        <w:t>Khan,</w:t>
      </w:r>
      <w:r>
        <w:rPr>
          <w:rFonts w:ascii="Times New Roman"/>
          <w:spacing w:val="42"/>
          <w:sz w:val="24"/>
        </w:rPr>
        <w:t> </w:t>
      </w:r>
      <w:r>
        <w:rPr>
          <w:rFonts w:ascii="Times New Roman"/>
          <w:sz w:val="24"/>
        </w:rPr>
        <w:t>S.A.</w:t>
      </w:r>
      <w:r>
        <w:rPr>
          <w:rFonts w:ascii="Times New Roman"/>
          <w:spacing w:val="43"/>
          <w:sz w:val="24"/>
        </w:rPr>
        <w:t> </w:t>
      </w:r>
      <w:r>
        <w:rPr>
          <w:rFonts w:ascii="Times New Roman"/>
          <w:sz w:val="24"/>
        </w:rPr>
        <w:t>(2005).</w:t>
      </w:r>
      <w:r>
        <w:rPr>
          <w:rFonts w:ascii="Times New Roman"/>
          <w:spacing w:val="39"/>
          <w:sz w:val="24"/>
        </w:rPr>
        <w:t> </w:t>
      </w:r>
      <w:r>
        <w:rPr>
          <w:rFonts w:ascii="Times New Roman"/>
          <w:sz w:val="24"/>
        </w:rPr>
        <w:t>Plasmid</w:t>
      </w:r>
      <w:r>
        <w:rPr>
          <w:rFonts w:ascii="Times New Roman"/>
          <w:spacing w:val="41"/>
          <w:sz w:val="24"/>
        </w:rPr>
        <w:t> </w:t>
      </w:r>
      <w:r>
        <w:rPr>
          <w:rFonts w:ascii="Times New Roman"/>
          <w:sz w:val="24"/>
        </w:rPr>
        <w:t>rolling-circle</w:t>
      </w:r>
      <w:r>
        <w:rPr>
          <w:rFonts w:ascii="Times New Roman"/>
          <w:spacing w:val="40"/>
          <w:sz w:val="24"/>
        </w:rPr>
        <w:t> </w:t>
      </w:r>
      <w:r>
        <w:rPr>
          <w:rFonts w:ascii="Times New Roman"/>
          <w:sz w:val="24"/>
        </w:rPr>
        <w:t>replication:</w:t>
      </w:r>
      <w:r>
        <w:rPr>
          <w:rFonts w:ascii="Times New Roman"/>
          <w:spacing w:val="41"/>
          <w:sz w:val="24"/>
        </w:rPr>
        <w:t> </w:t>
      </w:r>
      <w:r>
        <w:rPr>
          <w:rFonts w:ascii="Times New Roman"/>
          <w:sz w:val="24"/>
        </w:rPr>
        <w:t>highlights</w:t>
      </w:r>
      <w:r>
        <w:rPr>
          <w:rFonts w:ascii="Times New Roman"/>
          <w:spacing w:val="39"/>
          <w:sz w:val="24"/>
        </w:rPr>
        <w:t> </w:t>
      </w:r>
      <w:r>
        <w:rPr>
          <w:rFonts w:ascii="Times New Roman"/>
          <w:sz w:val="24"/>
        </w:rPr>
        <w:t>of</w:t>
      </w:r>
      <w:r>
        <w:rPr>
          <w:rFonts w:ascii="Times New Roman"/>
          <w:spacing w:val="33"/>
          <w:sz w:val="24"/>
        </w:rPr>
        <w:t> </w:t>
      </w:r>
      <w:r>
        <w:rPr>
          <w:rFonts w:ascii="Times New Roman"/>
          <w:sz w:val="24"/>
        </w:rPr>
        <w:t>two</w:t>
      </w:r>
      <w:r>
        <w:rPr>
          <w:rFonts w:ascii="Times New Roman"/>
          <w:spacing w:val="45"/>
          <w:sz w:val="24"/>
        </w:rPr>
        <w:t> </w:t>
      </w:r>
      <w:r>
        <w:rPr>
          <w:rFonts w:ascii="Times New Roman"/>
          <w:sz w:val="24"/>
        </w:rPr>
        <w:t>decades</w:t>
      </w:r>
      <w:r>
        <w:rPr>
          <w:rFonts w:ascii="Times New Roman"/>
          <w:spacing w:val="39"/>
          <w:sz w:val="24"/>
        </w:rPr>
        <w:t> </w:t>
      </w:r>
      <w:r>
        <w:rPr>
          <w:rFonts w:ascii="Times New Roman"/>
          <w:sz w:val="24"/>
        </w:rPr>
        <w:t>of</w:t>
      </w:r>
      <w:r>
        <w:rPr>
          <w:rFonts w:ascii="Times New Roman"/>
          <w:spacing w:val="33"/>
          <w:sz w:val="24"/>
        </w:rPr>
        <w:t> </w:t>
      </w:r>
      <w:r>
        <w:rPr>
          <w:rFonts w:ascii="Times New Roman"/>
          <w:spacing w:val="-2"/>
          <w:sz w:val="24"/>
        </w:rPr>
        <w:t>research.</w:t>
      </w:r>
    </w:p>
    <w:p>
      <w:pPr>
        <w:spacing w:before="2"/>
        <w:ind w:left="1640" w:right="0" w:firstLine="0"/>
        <w:jc w:val="left"/>
        <w:rPr>
          <w:rFonts w:ascii="Times New Roman"/>
          <w:sz w:val="24"/>
        </w:rPr>
      </w:pPr>
      <w:r>
        <w:rPr>
          <w:rFonts w:ascii="Times New Roman"/>
          <w:i/>
          <w:sz w:val="24"/>
        </w:rPr>
        <w:t>Plasmid</w:t>
      </w:r>
      <w:r>
        <w:rPr>
          <w:rFonts w:ascii="Times New Roman"/>
          <w:sz w:val="24"/>
        </w:rPr>
        <w:t>,</w:t>
      </w:r>
      <w:r>
        <w:rPr>
          <w:rFonts w:ascii="Times New Roman"/>
          <w:spacing w:val="-7"/>
          <w:sz w:val="24"/>
        </w:rPr>
        <w:t> </w:t>
      </w:r>
      <w:r>
        <w:rPr>
          <w:rFonts w:ascii="Times New Roman"/>
          <w:sz w:val="24"/>
        </w:rPr>
        <w:t>53:</w:t>
      </w:r>
      <w:r>
        <w:rPr>
          <w:rFonts w:ascii="Times New Roman"/>
          <w:spacing w:val="-7"/>
          <w:sz w:val="24"/>
        </w:rPr>
        <w:t> </w:t>
      </w:r>
      <w:r>
        <w:rPr>
          <w:rFonts w:ascii="Times New Roman"/>
          <w:sz w:val="24"/>
        </w:rPr>
        <w:t>126-</w:t>
      </w:r>
      <w:r>
        <w:rPr>
          <w:rFonts w:ascii="Times New Roman"/>
          <w:spacing w:val="-4"/>
          <w:sz w:val="24"/>
        </w:rPr>
        <w:t>136.</w:t>
      </w:r>
    </w:p>
    <w:p>
      <w:pPr>
        <w:pStyle w:val="BodyText"/>
        <w:spacing w:before="240"/>
        <w:rPr>
          <w:rFonts w:ascii="Times New Roman"/>
          <w:sz w:val="24"/>
        </w:rPr>
      </w:pPr>
    </w:p>
    <w:p>
      <w:pPr>
        <w:spacing w:line="278" w:lineRule="auto" w:before="0"/>
        <w:ind w:left="1640" w:right="1172" w:hanging="720"/>
        <w:jc w:val="both"/>
        <w:rPr>
          <w:sz w:val="22"/>
        </w:rPr>
      </w:pPr>
      <w:r>
        <w:rPr>
          <w:sz w:val="22"/>
        </w:rPr>
        <w:t>Kidwell, M.G. (2005). Transposable elements. In: Gregory, T.R. (Ed.) </w:t>
      </w:r>
      <w:r>
        <w:rPr>
          <w:i/>
          <w:sz w:val="22"/>
        </w:rPr>
        <w:t>The Evolution of the Genome</w:t>
      </w:r>
      <w:r>
        <w:rPr>
          <w:sz w:val="22"/>
        </w:rPr>
        <w:t>. San Diego: Elsevier. PP. 165–221.</w:t>
      </w:r>
    </w:p>
    <w:p>
      <w:pPr>
        <w:pStyle w:val="BodyText"/>
      </w:pPr>
    </w:p>
    <w:p>
      <w:pPr>
        <w:pStyle w:val="BodyText"/>
        <w:spacing w:before="169"/>
      </w:pPr>
    </w:p>
    <w:p>
      <w:pPr>
        <w:pStyle w:val="BodyText"/>
        <w:spacing w:line="273" w:lineRule="auto" w:before="1"/>
        <w:ind w:left="1640" w:right="1176" w:hanging="720"/>
        <w:jc w:val="both"/>
      </w:pPr>
      <w:r>
        <w:rPr/>
        <w:t>Kivaria, F.M., Noordhuizen, J. P and Kapaga, A.M. (2006). Evaluation of the hygienic quality and associated public health hazards of raw milk marketed by smallholder dairy producers in the Dares Salaam region. Tanzania. </w:t>
      </w:r>
      <w:r>
        <w:rPr>
          <w:i/>
        </w:rPr>
        <w:t>Tropical Animal Health and Production</w:t>
      </w:r>
      <w:r>
        <w:rPr/>
        <w:t>, 38(3):185–194.</w:t>
      </w:r>
    </w:p>
    <w:p>
      <w:pPr>
        <w:spacing w:line="278" w:lineRule="auto" w:before="243"/>
        <w:ind w:left="1640" w:right="1172" w:hanging="720"/>
        <w:jc w:val="both"/>
        <w:rPr>
          <w:sz w:val="22"/>
        </w:rPr>
      </w:pPr>
      <w:r>
        <w:rPr>
          <w:sz w:val="22"/>
        </w:rPr>
        <w:t>Klie, H., Timm, M., Richter, H., Gallien, P., Perlberg, K. W and Steinruck, H. (1997).Detection and occurrence of verotoxin-forming and/or Shigatoxin producing </w:t>
      </w:r>
      <w:r>
        <w:rPr>
          <w:i/>
          <w:sz w:val="22"/>
        </w:rPr>
        <w:t>Escherichia coli </w:t>
      </w:r>
      <w:r>
        <w:rPr>
          <w:sz w:val="22"/>
        </w:rPr>
        <w:t>(VTEC and/or</w:t>
      </w:r>
      <w:r>
        <w:rPr>
          <w:spacing w:val="40"/>
          <w:sz w:val="22"/>
        </w:rPr>
        <w:t> </w:t>
      </w:r>
      <w:r>
        <w:rPr>
          <w:sz w:val="22"/>
        </w:rPr>
        <w:t>STEC) in milk.</w:t>
      </w:r>
      <w:r>
        <w:rPr>
          <w:i/>
          <w:sz w:val="22"/>
        </w:rPr>
        <w:t>Berliner und Munchener Tierarztliche Wochenschrift</w:t>
      </w:r>
      <w:r>
        <w:rPr>
          <w:sz w:val="22"/>
        </w:rPr>
        <w:t>, 110: 337–341.</w:t>
      </w:r>
    </w:p>
    <w:p>
      <w:pPr>
        <w:pStyle w:val="BodyText"/>
        <w:spacing w:line="276" w:lineRule="auto" w:before="236"/>
        <w:ind w:left="1640" w:right="1175" w:hanging="720"/>
        <w:jc w:val="both"/>
      </w:pPr>
      <w:r>
        <w:rPr/>
        <w:t>Kohinur, B., Tanvir, A.R., Margia, H., Akil, H., Kabirul, H., Shaik, N.H., Nargis, A., Aliza, A and Utpal, B. (2010). Isolation, identification and antibiotic resistance pattern of Salmonella Specie from chicken eggs, intestines and environmental samples. </w:t>
      </w:r>
      <w:r>
        <w:rPr>
          <w:i/>
        </w:rPr>
        <w:t>Bangladesh Pharmaceutical Journal.</w:t>
      </w:r>
      <w:r>
        <w:rPr/>
        <w:t>13:23- </w:t>
      </w:r>
      <w:r>
        <w:rPr>
          <w:spacing w:val="-4"/>
        </w:rPr>
        <w:t>27.</w:t>
      </w:r>
    </w:p>
    <w:p>
      <w:pPr>
        <w:spacing w:after="0" w:line="276" w:lineRule="auto"/>
        <w:jc w:val="both"/>
        <w:sectPr>
          <w:pgSz w:w="12240" w:h="15840"/>
          <w:pgMar w:header="0" w:footer="1017" w:top="1400" w:bottom="1200" w:left="520" w:right="260"/>
        </w:sectPr>
      </w:pPr>
    </w:p>
    <w:p>
      <w:pPr>
        <w:pStyle w:val="BodyText"/>
        <w:spacing w:before="41"/>
        <w:ind w:right="1183"/>
        <w:jc w:val="right"/>
      </w:pPr>
      <w:r>
        <w:rPr/>
        <w:t>Kohler,</w:t>
      </w:r>
      <w:r>
        <w:rPr>
          <w:spacing w:val="7"/>
        </w:rPr>
        <w:t> </w:t>
      </w:r>
      <w:r>
        <w:rPr/>
        <w:t>T.,</w:t>
      </w:r>
      <w:r>
        <w:rPr>
          <w:spacing w:val="9"/>
        </w:rPr>
        <w:t> </w:t>
      </w:r>
      <w:r>
        <w:rPr/>
        <w:t>Kok,</w:t>
      </w:r>
      <w:r>
        <w:rPr>
          <w:spacing w:val="14"/>
        </w:rPr>
        <w:t> </w:t>
      </w:r>
      <w:r>
        <w:rPr/>
        <w:t>M.,</w:t>
      </w:r>
      <w:r>
        <w:rPr>
          <w:spacing w:val="14"/>
        </w:rPr>
        <w:t> </w:t>
      </w:r>
      <w:r>
        <w:rPr/>
        <w:t>Michea-Hamzehpour,</w:t>
      </w:r>
      <w:r>
        <w:rPr>
          <w:spacing w:val="9"/>
        </w:rPr>
        <w:t> </w:t>
      </w:r>
      <w:r>
        <w:rPr/>
        <w:t>M.,</w:t>
      </w:r>
      <w:r>
        <w:rPr>
          <w:spacing w:val="9"/>
        </w:rPr>
        <w:t> </w:t>
      </w:r>
      <w:r>
        <w:rPr/>
        <w:t>Plesiat,</w:t>
      </w:r>
      <w:r>
        <w:rPr>
          <w:spacing w:val="14"/>
        </w:rPr>
        <w:t> </w:t>
      </w:r>
      <w:r>
        <w:rPr/>
        <w:t>P.,</w:t>
      </w:r>
      <w:r>
        <w:rPr>
          <w:spacing w:val="10"/>
        </w:rPr>
        <w:t> </w:t>
      </w:r>
      <w:r>
        <w:rPr/>
        <w:t>Gotoh,</w:t>
      </w:r>
      <w:r>
        <w:rPr>
          <w:spacing w:val="14"/>
        </w:rPr>
        <w:t> </w:t>
      </w:r>
      <w:r>
        <w:rPr/>
        <w:t>N.,</w:t>
      </w:r>
      <w:r>
        <w:rPr>
          <w:spacing w:val="9"/>
        </w:rPr>
        <w:t> </w:t>
      </w:r>
      <w:r>
        <w:rPr/>
        <w:t>Nishino,</w:t>
      </w:r>
      <w:r>
        <w:rPr>
          <w:spacing w:val="9"/>
        </w:rPr>
        <w:t> </w:t>
      </w:r>
      <w:r>
        <w:rPr/>
        <w:t>T.,</w:t>
      </w:r>
      <w:r>
        <w:rPr>
          <w:spacing w:val="9"/>
        </w:rPr>
        <w:t> </w:t>
      </w:r>
      <w:r>
        <w:rPr/>
        <w:t>Curty,</w:t>
      </w:r>
      <w:r>
        <w:rPr>
          <w:spacing w:val="14"/>
        </w:rPr>
        <w:t> </w:t>
      </w:r>
      <w:r>
        <w:rPr/>
        <w:t>L.</w:t>
      </w:r>
      <w:r>
        <w:rPr>
          <w:spacing w:val="14"/>
        </w:rPr>
        <w:t> </w:t>
      </w:r>
      <w:r>
        <w:rPr/>
        <w:t>K</w:t>
      </w:r>
      <w:r>
        <w:rPr>
          <w:spacing w:val="17"/>
        </w:rPr>
        <w:t> </w:t>
      </w:r>
      <w:r>
        <w:rPr/>
        <w:t>and</w:t>
      </w:r>
      <w:r>
        <w:rPr>
          <w:spacing w:val="12"/>
        </w:rPr>
        <w:t> </w:t>
      </w:r>
      <w:r>
        <w:rPr>
          <w:spacing w:val="-2"/>
        </w:rPr>
        <w:t>Pechere</w:t>
      </w:r>
    </w:p>
    <w:p>
      <w:pPr>
        <w:pStyle w:val="BodyText"/>
        <w:spacing w:before="39"/>
        <w:ind w:right="1173"/>
        <w:jc w:val="right"/>
      </w:pPr>
      <w:r>
        <w:rPr/>
        <w:t>J.C.</w:t>
      </w:r>
      <w:r>
        <w:rPr>
          <w:spacing w:val="52"/>
        </w:rPr>
        <w:t> </w:t>
      </w:r>
      <w:r>
        <w:rPr/>
        <w:t>(1996).Multidrug</w:t>
      </w:r>
      <w:r>
        <w:rPr>
          <w:spacing w:val="49"/>
        </w:rPr>
        <w:t> </w:t>
      </w:r>
      <w:r>
        <w:rPr/>
        <w:t>efflux</w:t>
      </w:r>
      <w:r>
        <w:rPr>
          <w:spacing w:val="46"/>
        </w:rPr>
        <w:t> </w:t>
      </w:r>
      <w:r>
        <w:rPr/>
        <w:t>in</w:t>
      </w:r>
      <w:r>
        <w:rPr>
          <w:spacing w:val="47"/>
        </w:rPr>
        <w:t> </w:t>
      </w:r>
      <w:r>
        <w:rPr/>
        <w:t>intrinsic</w:t>
      </w:r>
      <w:r>
        <w:rPr>
          <w:spacing w:val="49"/>
        </w:rPr>
        <w:t> </w:t>
      </w:r>
      <w:r>
        <w:rPr/>
        <w:t>resistance</w:t>
      </w:r>
      <w:r>
        <w:rPr>
          <w:spacing w:val="52"/>
        </w:rPr>
        <w:t> </w:t>
      </w:r>
      <w:r>
        <w:rPr/>
        <w:t>to</w:t>
      </w:r>
      <w:r>
        <w:rPr>
          <w:spacing w:val="51"/>
        </w:rPr>
        <w:t> </w:t>
      </w:r>
      <w:r>
        <w:rPr/>
        <w:t>trimethoprim</w:t>
      </w:r>
      <w:r>
        <w:rPr>
          <w:spacing w:val="53"/>
        </w:rPr>
        <w:t> </w:t>
      </w:r>
      <w:r>
        <w:rPr/>
        <w:t>and</w:t>
      </w:r>
      <w:r>
        <w:rPr>
          <w:spacing w:val="51"/>
        </w:rPr>
        <w:t> </w:t>
      </w:r>
      <w:r>
        <w:rPr/>
        <w:t>sulfamethoxazole</w:t>
      </w:r>
      <w:r>
        <w:rPr>
          <w:spacing w:val="47"/>
        </w:rPr>
        <w:t> </w:t>
      </w:r>
      <w:r>
        <w:rPr>
          <w:spacing w:val="-5"/>
        </w:rPr>
        <w:t>in</w:t>
      </w:r>
    </w:p>
    <w:p>
      <w:pPr>
        <w:spacing w:before="44"/>
        <w:ind w:left="1640" w:right="0" w:firstLine="0"/>
        <w:jc w:val="left"/>
        <w:rPr>
          <w:sz w:val="22"/>
        </w:rPr>
      </w:pPr>
      <w:r>
        <w:rPr>
          <w:i/>
          <w:sz w:val="22"/>
        </w:rPr>
        <w:t>Pseudomonas</w:t>
      </w:r>
      <w:r>
        <w:rPr>
          <w:i/>
          <w:spacing w:val="-10"/>
          <w:sz w:val="22"/>
        </w:rPr>
        <w:t> </w:t>
      </w:r>
      <w:r>
        <w:rPr>
          <w:i/>
          <w:sz w:val="22"/>
        </w:rPr>
        <w:t>aeruginosa.Antimicrobial</w:t>
      </w:r>
      <w:r>
        <w:rPr>
          <w:i/>
          <w:spacing w:val="-6"/>
          <w:sz w:val="22"/>
        </w:rPr>
        <w:t> </w:t>
      </w:r>
      <w:r>
        <w:rPr>
          <w:i/>
          <w:sz w:val="22"/>
        </w:rPr>
        <w:t>Agents</w:t>
      </w:r>
      <w:r>
        <w:rPr>
          <w:i/>
          <w:spacing w:val="-8"/>
          <w:sz w:val="22"/>
        </w:rPr>
        <w:t> </w:t>
      </w:r>
      <w:r>
        <w:rPr>
          <w:i/>
          <w:sz w:val="22"/>
        </w:rPr>
        <w:t>and</w:t>
      </w:r>
      <w:r>
        <w:rPr>
          <w:i/>
          <w:spacing w:val="-6"/>
          <w:sz w:val="22"/>
        </w:rPr>
        <w:t> </w:t>
      </w:r>
      <w:r>
        <w:rPr>
          <w:i/>
          <w:sz w:val="22"/>
        </w:rPr>
        <w:t>Chemotherapy</w:t>
      </w:r>
      <w:r>
        <w:rPr>
          <w:sz w:val="22"/>
        </w:rPr>
        <w:t>,</w:t>
      </w:r>
      <w:r>
        <w:rPr>
          <w:spacing w:val="-10"/>
          <w:sz w:val="22"/>
        </w:rPr>
        <w:t> </w:t>
      </w:r>
      <w:r>
        <w:rPr>
          <w:sz w:val="22"/>
        </w:rPr>
        <w:t>40:</w:t>
      </w:r>
      <w:r>
        <w:rPr>
          <w:spacing w:val="-8"/>
          <w:sz w:val="22"/>
        </w:rPr>
        <w:t> </w:t>
      </w:r>
      <w:r>
        <w:rPr>
          <w:sz w:val="22"/>
        </w:rPr>
        <w:t>2288-</w:t>
      </w:r>
      <w:r>
        <w:rPr>
          <w:spacing w:val="-2"/>
          <w:sz w:val="22"/>
        </w:rPr>
        <w:t>2290.</w:t>
      </w:r>
    </w:p>
    <w:p>
      <w:pPr>
        <w:pStyle w:val="BodyText"/>
        <w:spacing w:before="9"/>
      </w:pPr>
    </w:p>
    <w:p>
      <w:pPr>
        <w:pStyle w:val="BodyText"/>
        <w:spacing w:before="1"/>
        <w:ind w:left="920"/>
      </w:pPr>
      <w:r>
        <w:rPr/>
        <w:t>Koka,</w:t>
      </w:r>
      <w:r>
        <w:rPr>
          <w:spacing w:val="-4"/>
        </w:rPr>
        <w:t> </w:t>
      </w:r>
      <w:r>
        <w:rPr/>
        <w:t>R</w:t>
      </w:r>
      <w:r>
        <w:rPr>
          <w:spacing w:val="-1"/>
        </w:rPr>
        <w:t> </w:t>
      </w:r>
      <w:r>
        <w:rPr/>
        <w:t>and</w:t>
      </w:r>
      <w:r>
        <w:rPr>
          <w:spacing w:val="-3"/>
        </w:rPr>
        <w:t> </w:t>
      </w:r>
      <w:r>
        <w:rPr/>
        <w:t>Weimer,</w:t>
      </w:r>
      <w:r>
        <w:rPr>
          <w:spacing w:val="-3"/>
        </w:rPr>
        <w:t> </w:t>
      </w:r>
      <w:r>
        <w:rPr/>
        <w:t>B.C.</w:t>
      </w:r>
      <w:r>
        <w:rPr>
          <w:spacing w:val="-1"/>
        </w:rPr>
        <w:t> </w:t>
      </w:r>
      <w:r>
        <w:rPr/>
        <w:t>(2001).</w:t>
      </w:r>
      <w:r>
        <w:rPr>
          <w:spacing w:val="-3"/>
        </w:rPr>
        <w:t> </w:t>
      </w:r>
      <w:r>
        <w:rPr/>
        <w:t>Influence</w:t>
      </w:r>
      <w:r>
        <w:rPr>
          <w:spacing w:val="-5"/>
        </w:rPr>
        <w:t> </w:t>
      </w:r>
      <w:r>
        <w:rPr/>
        <w:t>of</w:t>
      </w:r>
      <w:r>
        <w:rPr>
          <w:spacing w:val="-2"/>
        </w:rPr>
        <w:t> </w:t>
      </w:r>
      <w:r>
        <w:rPr/>
        <w:t>growth</w:t>
      </w:r>
      <w:r>
        <w:rPr>
          <w:spacing w:val="-2"/>
        </w:rPr>
        <w:t> </w:t>
      </w:r>
      <w:r>
        <w:rPr/>
        <w:t>conditions</w:t>
      </w:r>
      <w:r>
        <w:rPr>
          <w:spacing w:val="-1"/>
        </w:rPr>
        <w:t> </w:t>
      </w:r>
      <w:r>
        <w:rPr/>
        <w:t>on</w:t>
      </w:r>
      <w:r>
        <w:rPr>
          <w:spacing w:val="-2"/>
        </w:rPr>
        <w:t> </w:t>
      </w:r>
      <w:r>
        <w:rPr/>
        <w:t>heat-stable</w:t>
      </w:r>
      <w:r>
        <w:rPr>
          <w:spacing w:val="-2"/>
        </w:rPr>
        <w:t> </w:t>
      </w:r>
      <w:r>
        <w:rPr/>
        <w:t>phospholipase</w:t>
      </w:r>
      <w:r>
        <w:rPr>
          <w:spacing w:val="-1"/>
        </w:rPr>
        <w:t> </w:t>
      </w:r>
      <w:r>
        <w:rPr/>
        <w:t>activity</w:t>
      </w:r>
      <w:r>
        <w:rPr>
          <w:spacing w:val="-4"/>
        </w:rPr>
        <w:t> </w:t>
      </w:r>
      <w:r>
        <w:rPr>
          <w:spacing w:val="-5"/>
        </w:rPr>
        <w:t>in</w:t>
      </w:r>
    </w:p>
    <w:p>
      <w:pPr>
        <w:spacing w:before="38"/>
        <w:ind w:left="1640" w:right="0" w:firstLine="0"/>
        <w:jc w:val="left"/>
        <w:rPr>
          <w:sz w:val="22"/>
        </w:rPr>
      </w:pPr>
      <w:r>
        <w:rPr>
          <w:i/>
          <w:sz w:val="22"/>
        </w:rPr>
        <w:t>Pseudomonas</w:t>
      </w:r>
      <w:r>
        <w:rPr>
          <w:sz w:val="22"/>
        </w:rPr>
        <w:t>.</w:t>
      </w:r>
      <w:r>
        <w:rPr>
          <w:spacing w:val="-4"/>
          <w:sz w:val="22"/>
        </w:rPr>
        <w:t> </w:t>
      </w:r>
      <w:r>
        <w:rPr>
          <w:i/>
          <w:sz w:val="22"/>
        </w:rPr>
        <w:t>Journal</w:t>
      </w:r>
      <w:r>
        <w:rPr>
          <w:i/>
          <w:spacing w:val="-3"/>
          <w:sz w:val="22"/>
        </w:rPr>
        <w:t> </w:t>
      </w:r>
      <w:r>
        <w:rPr>
          <w:i/>
          <w:sz w:val="22"/>
        </w:rPr>
        <w:t>of</w:t>
      </w:r>
      <w:r>
        <w:rPr>
          <w:i/>
          <w:spacing w:val="-6"/>
          <w:sz w:val="22"/>
        </w:rPr>
        <w:t> </w:t>
      </w:r>
      <w:r>
        <w:rPr>
          <w:i/>
          <w:sz w:val="22"/>
        </w:rPr>
        <w:t>Dairy</w:t>
      </w:r>
      <w:r>
        <w:rPr>
          <w:i/>
          <w:spacing w:val="-3"/>
          <w:sz w:val="22"/>
        </w:rPr>
        <w:t> </w:t>
      </w:r>
      <w:r>
        <w:rPr>
          <w:i/>
          <w:sz w:val="22"/>
        </w:rPr>
        <w:t>Research</w:t>
      </w:r>
      <w:r>
        <w:rPr>
          <w:sz w:val="22"/>
        </w:rPr>
        <w:t>,</w:t>
      </w:r>
      <w:r>
        <w:rPr>
          <w:spacing w:val="-7"/>
          <w:sz w:val="22"/>
        </w:rPr>
        <w:t> </w:t>
      </w:r>
      <w:r>
        <w:rPr>
          <w:sz w:val="22"/>
        </w:rPr>
        <w:t>68:</w:t>
      </w:r>
      <w:r>
        <w:rPr>
          <w:spacing w:val="-6"/>
          <w:sz w:val="22"/>
        </w:rPr>
        <w:t> </w:t>
      </w:r>
      <w:r>
        <w:rPr>
          <w:spacing w:val="-2"/>
          <w:sz w:val="22"/>
        </w:rPr>
        <w:t>109–116.</w:t>
      </w:r>
    </w:p>
    <w:p>
      <w:pPr>
        <w:pStyle w:val="BodyText"/>
      </w:pPr>
    </w:p>
    <w:p>
      <w:pPr>
        <w:pStyle w:val="BodyText"/>
        <w:spacing w:before="212"/>
      </w:pPr>
    </w:p>
    <w:p>
      <w:pPr>
        <w:spacing w:line="276" w:lineRule="auto" w:before="0"/>
        <w:ind w:left="1640" w:right="1175" w:hanging="720"/>
        <w:jc w:val="both"/>
        <w:rPr>
          <w:sz w:val="22"/>
        </w:rPr>
      </w:pPr>
      <w:r>
        <w:rPr>
          <w:sz w:val="22"/>
        </w:rPr>
        <w:t>Kroppenstedt, R.M., Mayilraj, S and Wink, J.M. (2005). "Eight new species of the genus</w:t>
      </w:r>
      <w:r>
        <w:rPr>
          <w:spacing w:val="40"/>
          <w:sz w:val="22"/>
        </w:rPr>
        <w:t> </w:t>
      </w:r>
      <w:r>
        <w:rPr>
          <w:sz w:val="22"/>
        </w:rPr>
        <w:t>Micromonospora, </w:t>
      </w:r>
      <w:r>
        <w:rPr>
          <w:i/>
          <w:sz w:val="22"/>
        </w:rPr>
        <w:t>Micromonospora citrea </w:t>
      </w:r>
      <w:r>
        <w:rPr>
          <w:sz w:val="22"/>
        </w:rPr>
        <w:t>sp. </w:t>
      </w:r>
      <w:r>
        <w:rPr>
          <w:i/>
          <w:sz w:val="22"/>
        </w:rPr>
        <w:t>nov</w:t>
      </w:r>
      <w:r>
        <w:rPr>
          <w:sz w:val="22"/>
        </w:rPr>
        <w:t>., </w:t>
      </w:r>
      <w:r>
        <w:rPr>
          <w:i/>
          <w:sz w:val="22"/>
        </w:rPr>
        <w:t>Micromonospora echinaurantiaca </w:t>
      </w:r>
      <w:r>
        <w:rPr>
          <w:sz w:val="22"/>
        </w:rPr>
        <w:t>sp. </w:t>
      </w:r>
      <w:r>
        <w:rPr>
          <w:i/>
          <w:sz w:val="22"/>
        </w:rPr>
        <w:t>nov</w:t>
      </w:r>
      <w:r>
        <w:rPr>
          <w:sz w:val="22"/>
        </w:rPr>
        <w:t>., </w:t>
      </w:r>
      <w:r>
        <w:rPr>
          <w:i/>
          <w:sz w:val="22"/>
        </w:rPr>
        <w:t>Micromonospora echinofusca </w:t>
      </w:r>
      <w:r>
        <w:rPr>
          <w:sz w:val="22"/>
        </w:rPr>
        <w:t>sp. nov. </w:t>
      </w:r>
      <w:r>
        <w:rPr>
          <w:i/>
          <w:sz w:val="22"/>
        </w:rPr>
        <w:t>Micromonospora fulviviridis </w:t>
      </w:r>
      <w:r>
        <w:rPr>
          <w:sz w:val="22"/>
        </w:rPr>
        <w:t>sp. nov., </w:t>
      </w:r>
      <w:r>
        <w:rPr>
          <w:i/>
          <w:sz w:val="22"/>
        </w:rPr>
        <w:t>Micromonospora inyonensis </w:t>
      </w:r>
      <w:r>
        <w:rPr>
          <w:sz w:val="22"/>
        </w:rPr>
        <w:t>sp. nov., </w:t>
      </w:r>
      <w:r>
        <w:rPr>
          <w:i/>
          <w:sz w:val="22"/>
        </w:rPr>
        <w:t>Micromonospora peucetia </w:t>
      </w:r>
      <w:r>
        <w:rPr>
          <w:sz w:val="22"/>
        </w:rPr>
        <w:t>sp. nov., </w:t>
      </w:r>
      <w:r>
        <w:rPr>
          <w:i/>
          <w:sz w:val="22"/>
        </w:rPr>
        <w:t>Micromonospora sagamiensis </w:t>
      </w:r>
      <w:r>
        <w:rPr>
          <w:sz w:val="22"/>
        </w:rPr>
        <w:t>sp. nov., and </w:t>
      </w:r>
      <w:r>
        <w:rPr>
          <w:i/>
          <w:sz w:val="22"/>
        </w:rPr>
        <w:t>Micromonospora viridifaciens </w:t>
      </w:r>
      <w:r>
        <w:rPr>
          <w:sz w:val="22"/>
        </w:rPr>
        <w:t>sp. nov". </w:t>
      </w:r>
      <w:r>
        <w:rPr>
          <w:i/>
          <w:sz w:val="22"/>
        </w:rPr>
        <w:t>Systematic and Applied Microbiology,</w:t>
      </w:r>
      <w:r>
        <w:rPr>
          <w:sz w:val="22"/>
        </w:rPr>
        <w:t>28 (4): 328– </w:t>
      </w:r>
      <w:r>
        <w:rPr>
          <w:spacing w:val="-4"/>
          <w:sz w:val="22"/>
        </w:rPr>
        <w:t>339.</w:t>
      </w:r>
    </w:p>
    <w:p>
      <w:pPr>
        <w:spacing w:line="278" w:lineRule="auto" w:before="240"/>
        <w:ind w:left="1640" w:right="1176" w:hanging="720"/>
        <w:jc w:val="both"/>
        <w:rPr>
          <w:sz w:val="22"/>
        </w:rPr>
      </w:pPr>
      <w:r>
        <w:rPr>
          <w:sz w:val="22"/>
        </w:rPr>
        <w:t>Krumperman, P.H. (1983). Multiple</w:t>
      </w:r>
      <w:r>
        <w:rPr>
          <w:spacing w:val="-1"/>
          <w:sz w:val="22"/>
        </w:rPr>
        <w:t> </w:t>
      </w:r>
      <w:r>
        <w:rPr>
          <w:sz w:val="22"/>
        </w:rPr>
        <w:t>antibiotic indexing </w:t>
      </w:r>
      <w:r>
        <w:rPr>
          <w:i/>
          <w:sz w:val="22"/>
        </w:rPr>
        <w:t>Escherichia coli </w:t>
      </w:r>
      <w:r>
        <w:rPr>
          <w:sz w:val="22"/>
        </w:rPr>
        <w:t>to identifying risk sources of fecal contamination of foods. </w:t>
      </w:r>
      <w:r>
        <w:rPr>
          <w:i/>
          <w:sz w:val="22"/>
        </w:rPr>
        <w:t>Applied Journal of Environmental Microbiology</w:t>
      </w:r>
      <w:r>
        <w:rPr>
          <w:sz w:val="22"/>
        </w:rPr>
        <w:t>, 46: 165-170.</w:t>
      </w:r>
    </w:p>
    <w:p>
      <w:pPr>
        <w:pStyle w:val="BodyText"/>
        <w:spacing w:line="273" w:lineRule="auto" w:before="236"/>
        <w:ind w:left="1640" w:right="1175" w:hanging="720"/>
        <w:jc w:val="both"/>
      </w:pPr>
      <w:r>
        <w:rPr/>
        <w:t>Kruse,</w:t>
      </w:r>
      <w:r>
        <w:rPr>
          <w:spacing w:val="-2"/>
        </w:rPr>
        <w:t> </w:t>
      </w:r>
      <w:r>
        <w:rPr/>
        <w:t>H and Sorun,</w:t>
      </w:r>
      <w:r>
        <w:rPr>
          <w:spacing w:val="-2"/>
        </w:rPr>
        <w:t> </w:t>
      </w:r>
      <w:r>
        <w:rPr/>
        <w:t>H. (1994). Transfer of multiple drug resistance plasmids between bacteria of diverse origins in natural environments. </w:t>
      </w:r>
      <w:r>
        <w:rPr>
          <w:i/>
        </w:rPr>
        <w:t>Applied Environmental Microbiology</w:t>
      </w:r>
      <w:r>
        <w:rPr/>
        <w:t>, 60: 4015-4021.</w:t>
      </w:r>
    </w:p>
    <w:p>
      <w:pPr>
        <w:pStyle w:val="BodyText"/>
        <w:spacing w:line="276" w:lineRule="auto" w:before="242"/>
        <w:ind w:left="1640" w:right="1174" w:hanging="720"/>
        <w:jc w:val="both"/>
      </w:pPr>
      <w:r>
        <w:rPr/>
        <w:t>Kurwijila, R.L., Hansen, K.K., Macha, I.E., Abdallah, K., Kadigi, H.J.S. (1992). The bacteriological quality of milk from hand and machine milked dairy herds in Morogoro, Tanzania. </w:t>
      </w:r>
      <w:r>
        <w:rPr>
          <w:i/>
        </w:rPr>
        <w:t>African Livestock Research</w:t>
      </w:r>
      <w:r>
        <w:rPr/>
        <w:t>, 2: 59-67.</w:t>
      </w:r>
    </w:p>
    <w:p>
      <w:pPr>
        <w:pStyle w:val="BodyText"/>
        <w:spacing w:before="15"/>
      </w:pPr>
    </w:p>
    <w:p>
      <w:pPr>
        <w:spacing w:line="273" w:lineRule="auto" w:before="0"/>
        <w:ind w:left="1640" w:right="1176" w:hanging="720"/>
        <w:jc w:val="both"/>
        <w:rPr>
          <w:sz w:val="22"/>
        </w:rPr>
      </w:pPr>
      <w:r>
        <w:rPr>
          <w:sz w:val="22"/>
        </w:rPr>
        <w:t>Kurt, G. N and Wolfgang, W. (2000).Chronic prostatitis – an infectious disease?</w:t>
      </w:r>
      <w:r>
        <w:rPr>
          <w:i/>
          <w:sz w:val="22"/>
        </w:rPr>
        <w:t>Journal of antimicrobial and chemotherapy</w:t>
      </w:r>
      <w:r>
        <w:rPr>
          <w:sz w:val="22"/>
        </w:rPr>
        <w:t>, 46 (2): 157-161.</w:t>
      </w:r>
    </w:p>
    <w:p>
      <w:pPr>
        <w:pStyle w:val="BodyText"/>
        <w:spacing w:before="16"/>
      </w:pPr>
    </w:p>
    <w:p>
      <w:pPr>
        <w:spacing w:line="278" w:lineRule="auto" w:before="0"/>
        <w:ind w:left="1640" w:right="1172" w:hanging="720"/>
        <w:jc w:val="both"/>
        <w:rPr>
          <w:sz w:val="22"/>
        </w:rPr>
      </w:pPr>
      <w:r>
        <w:rPr>
          <w:sz w:val="22"/>
        </w:rPr>
        <w:t>Kushal, R and Anand, S.K. (1999).Repair and recovery of thermally injured cells of </w:t>
      </w:r>
      <w:r>
        <w:rPr>
          <w:i/>
          <w:sz w:val="22"/>
        </w:rPr>
        <w:t>Yersinia enterolitica </w:t>
      </w:r>
      <w:r>
        <w:rPr>
          <w:sz w:val="22"/>
        </w:rPr>
        <w:t>in milk.</w:t>
      </w:r>
      <w:r>
        <w:rPr>
          <w:i/>
          <w:sz w:val="22"/>
        </w:rPr>
        <w:t>Journal Food Protection, </w:t>
      </w:r>
      <w:r>
        <w:rPr>
          <w:sz w:val="22"/>
        </w:rPr>
        <w:t>62: 1203-1205.</w:t>
      </w:r>
    </w:p>
    <w:p>
      <w:pPr>
        <w:spacing w:line="273" w:lineRule="auto" w:before="237"/>
        <w:ind w:left="1640" w:right="1177" w:hanging="720"/>
        <w:jc w:val="both"/>
        <w:rPr>
          <w:sz w:val="22"/>
        </w:rPr>
      </w:pPr>
      <w:r>
        <w:rPr>
          <w:sz w:val="22"/>
        </w:rPr>
        <w:t>Larkin,</w:t>
      </w:r>
      <w:r>
        <w:rPr>
          <w:spacing w:val="-3"/>
          <w:sz w:val="22"/>
        </w:rPr>
        <w:t> </w:t>
      </w:r>
      <w:r>
        <w:rPr>
          <w:sz w:val="22"/>
        </w:rPr>
        <w:t>L.L.,</w:t>
      </w:r>
      <w:r>
        <w:rPr>
          <w:spacing w:val="-3"/>
          <w:sz w:val="22"/>
        </w:rPr>
        <w:t> </w:t>
      </w:r>
      <w:r>
        <w:rPr>
          <w:sz w:val="22"/>
        </w:rPr>
        <w:t>Vasavada,</w:t>
      </w:r>
      <w:r>
        <w:rPr>
          <w:spacing w:val="-3"/>
          <w:sz w:val="22"/>
        </w:rPr>
        <w:t> </w:t>
      </w:r>
      <w:r>
        <w:rPr>
          <w:sz w:val="22"/>
        </w:rPr>
        <w:t>P.C</w:t>
      </w:r>
      <w:r>
        <w:rPr>
          <w:spacing w:val="-3"/>
          <w:sz w:val="22"/>
        </w:rPr>
        <w:t> </w:t>
      </w:r>
      <w:r>
        <w:rPr>
          <w:sz w:val="22"/>
        </w:rPr>
        <w:t>and</w:t>
      </w:r>
      <w:r>
        <w:rPr>
          <w:spacing w:val="-1"/>
          <w:sz w:val="22"/>
        </w:rPr>
        <w:t> </w:t>
      </w:r>
      <w:r>
        <w:rPr>
          <w:sz w:val="22"/>
        </w:rPr>
        <w:t>Marth,</w:t>
      </w:r>
      <w:r>
        <w:rPr>
          <w:spacing w:val="-3"/>
          <w:sz w:val="22"/>
        </w:rPr>
        <w:t> </w:t>
      </w:r>
      <w:r>
        <w:rPr>
          <w:sz w:val="22"/>
        </w:rPr>
        <w:t>E.H. (1991).</w:t>
      </w:r>
      <w:r>
        <w:rPr>
          <w:spacing w:val="-3"/>
          <w:sz w:val="22"/>
        </w:rPr>
        <w:t> </w:t>
      </w:r>
      <w:r>
        <w:rPr>
          <w:sz w:val="22"/>
        </w:rPr>
        <w:t>Incidence of </w:t>
      </w:r>
      <w:r>
        <w:rPr>
          <w:i/>
          <w:sz w:val="22"/>
        </w:rPr>
        <w:t>Yersinia enterolitica</w:t>
      </w:r>
      <w:r>
        <w:rPr>
          <w:i/>
          <w:spacing w:val="-3"/>
          <w:sz w:val="22"/>
        </w:rPr>
        <w:t> </w:t>
      </w:r>
      <w:r>
        <w:rPr>
          <w:sz w:val="22"/>
        </w:rPr>
        <w:t>in</w:t>
      </w:r>
      <w:r>
        <w:rPr>
          <w:spacing w:val="-1"/>
          <w:sz w:val="22"/>
        </w:rPr>
        <w:t> </w:t>
      </w:r>
      <w:r>
        <w:rPr>
          <w:sz w:val="22"/>
        </w:rPr>
        <w:t>raw</w:t>
      </w:r>
      <w:r>
        <w:rPr>
          <w:spacing w:val="-4"/>
          <w:sz w:val="22"/>
        </w:rPr>
        <w:t> </w:t>
      </w:r>
      <w:r>
        <w:rPr>
          <w:sz w:val="22"/>
        </w:rPr>
        <w:t>milk</w:t>
      </w:r>
      <w:r>
        <w:rPr>
          <w:spacing w:val="-5"/>
          <w:sz w:val="22"/>
        </w:rPr>
        <w:t> </w:t>
      </w:r>
      <w:r>
        <w:rPr>
          <w:sz w:val="22"/>
        </w:rPr>
        <w:t>as related to its quality. </w:t>
      </w:r>
      <w:r>
        <w:rPr>
          <w:i/>
          <w:sz w:val="22"/>
        </w:rPr>
        <w:t>Milchwissenschaft</w:t>
      </w:r>
      <w:r>
        <w:rPr>
          <w:sz w:val="22"/>
        </w:rPr>
        <w:t>, 46: 500-502</w:t>
      </w:r>
    </w:p>
    <w:p>
      <w:pPr>
        <w:spacing w:line="278" w:lineRule="auto" w:before="242"/>
        <w:ind w:left="1640" w:right="1175" w:hanging="720"/>
        <w:jc w:val="both"/>
        <w:rPr>
          <w:sz w:val="22"/>
        </w:rPr>
      </w:pPr>
      <w:r>
        <w:rPr>
          <w:sz w:val="22"/>
        </w:rPr>
        <w:t>Le Loir, Y., Baron, F and Gautier, M. (2003).</w:t>
      </w:r>
      <w:r>
        <w:rPr>
          <w:i/>
          <w:sz w:val="22"/>
        </w:rPr>
        <w:t>Staphylococcus aureus </w:t>
      </w:r>
      <w:r>
        <w:rPr>
          <w:sz w:val="22"/>
        </w:rPr>
        <w:t>and food poisoning.</w:t>
      </w:r>
      <w:r>
        <w:rPr>
          <w:i/>
          <w:sz w:val="22"/>
        </w:rPr>
        <w:t>Genetic and Molecular Research</w:t>
      </w:r>
      <w:r>
        <w:rPr>
          <w:sz w:val="22"/>
        </w:rPr>
        <w:t>, 2: 63–67.</w:t>
      </w:r>
    </w:p>
    <w:p>
      <w:pPr>
        <w:spacing w:line="276" w:lineRule="auto" w:before="236"/>
        <w:ind w:left="1640" w:right="1171" w:hanging="720"/>
        <w:jc w:val="both"/>
        <w:rPr>
          <w:sz w:val="22"/>
        </w:rPr>
      </w:pPr>
      <w:r>
        <w:rPr>
          <w:sz w:val="22"/>
        </w:rPr>
        <w:t>Leavitt,</w:t>
      </w:r>
      <w:r>
        <w:rPr>
          <w:spacing w:val="-3"/>
          <w:sz w:val="22"/>
        </w:rPr>
        <w:t> </w:t>
      </w:r>
      <w:r>
        <w:rPr>
          <w:sz w:val="22"/>
        </w:rPr>
        <w:t>A.,</w:t>
      </w:r>
      <w:r>
        <w:rPr>
          <w:spacing w:val="-3"/>
          <w:sz w:val="22"/>
        </w:rPr>
        <w:t> </w:t>
      </w:r>
      <w:r>
        <w:rPr>
          <w:sz w:val="22"/>
        </w:rPr>
        <w:t>Navon-Venezia,</w:t>
      </w:r>
      <w:r>
        <w:rPr>
          <w:spacing w:val="-3"/>
          <w:sz w:val="22"/>
        </w:rPr>
        <w:t> </w:t>
      </w:r>
      <w:r>
        <w:rPr>
          <w:sz w:val="22"/>
        </w:rPr>
        <w:t>S.,</w:t>
      </w:r>
      <w:r>
        <w:rPr>
          <w:spacing w:val="-3"/>
          <w:sz w:val="22"/>
        </w:rPr>
        <w:t> </w:t>
      </w:r>
      <w:r>
        <w:rPr>
          <w:sz w:val="22"/>
        </w:rPr>
        <w:t>Chmelnitsky,</w:t>
      </w:r>
      <w:r>
        <w:rPr>
          <w:spacing w:val="-3"/>
          <w:sz w:val="22"/>
        </w:rPr>
        <w:t> </w:t>
      </w:r>
      <w:r>
        <w:rPr>
          <w:sz w:val="22"/>
        </w:rPr>
        <w:t>I.,</w:t>
      </w:r>
      <w:r>
        <w:rPr>
          <w:spacing w:val="-3"/>
          <w:sz w:val="22"/>
        </w:rPr>
        <w:t> </w:t>
      </w:r>
      <w:r>
        <w:rPr>
          <w:sz w:val="22"/>
        </w:rPr>
        <w:t>Schwaber,</w:t>
      </w:r>
      <w:r>
        <w:rPr>
          <w:spacing w:val="-3"/>
          <w:sz w:val="22"/>
        </w:rPr>
        <w:t> </w:t>
      </w:r>
      <w:r>
        <w:rPr>
          <w:sz w:val="22"/>
        </w:rPr>
        <w:t>M.J and</w:t>
      </w:r>
      <w:r>
        <w:rPr>
          <w:spacing w:val="-5"/>
          <w:sz w:val="22"/>
        </w:rPr>
        <w:t> </w:t>
      </w:r>
      <w:r>
        <w:rPr>
          <w:sz w:val="22"/>
        </w:rPr>
        <w:t>Carmeli,</w:t>
      </w:r>
      <w:r>
        <w:rPr>
          <w:spacing w:val="-3"/>
          <w:sz w:val="22"/>
        </w:rPr>
        <w:t> </w:t>
      </w:r>
      <w:r>
        <w:rPr>
          <w:sz w:val="22"/>
        </w:rPr>
        <w:t>Y.</w:t>
      </w:r>
      <w:r>
        <w:rPr>
          <w:spacing w:val="-3"/>
          <w:sz w:val="22"/>
        </w:rPr>
        <w:t> </w:t>
      </w:r>
      <w:r>
        <w:rPr>
          <w:sz w:val="22"/>
        </w:rPr>
        <w:t>(2007). Emergence of</w:t>
      </w:r>
      <w:r>
        <w:rPr>
          <w:spacing w:val="-1"/>
          <w:sz w:val="22"/>
        </w:rPr>
        <w:t> </w:t>
      </w:r>
      <w:r>
        <w:rPr>
          <w:sz w:val="22"/>
        </w:rPr>
        <w:t>KPC-2 and KPC-3 in carbapenem-resistant </w:t>
      </w:r>
      <w:r>
        <w:rPr>
          <w:i/>
          <w:sz w:val="22"/>
        </w:rPr>
        <w:t>Klebsiella pneumoniae </w:t>
      </w:r>
      <w:r>
        <w:rPr>
          <w:sz w:val="22"/>
        </w:rPr>
        <w:t>strains in an Israeli hospital. </w:t>
      </w:r>
      <w:r>
        <w:rPr>
          <w:i/>
          <w:sz w:val="22"/>
        </w:rPr>
        <w:t>Antimicrobial Agents and Chemotherapy</w:t>
      </w:r>
      <w:r>
        <w:rPr>
          <w:sz w:val="22"/>
        </w:rPr>
        <w:t>, 51(8): 3026-3029.</w:t>
      </w:r>
    </w:p>
    <w:p>
      <w:pPr>
        <w:spacing w:after="0" w:line="276" w:lineRule="auto"/>
        <w:jc w:val="both"/>
        <w:rPr>
          <w:sz w:val="22"/>
        </w:rPr>
        <w:sectPr>
          <w:pgSz w:w="12240" w:h="15840"/>
          <w:pgMar w:header="0" w:footer="1017" w:top="1400" w:bottom="1200" w:left="520" w:right="260"/>
        </w:sectPr>
      </w:pPr>
    </w:p>
    <w:p>
      <w:pPr>
        <w:spacing w:line="276" w:lineRule="auto" w:before="41"/>
        <w:ind w:left="1640" w:right="1177" w:hanging="720"/>
        <w:jc w:val="both"/>
        <w:rPr>
          <w:sz w:val="22"/>
        </w:rPr>
      </w:pPr>
      <w:r>
        <w:rPr>
          <w:sz w:val="22"/>
        </w:rPr>
        <w:t>Leclercq, A., Wanequ, C and Baylac, P. (2002).Comparison of fecal coliform agar and violet red bile lactose agar for fecal coliform enumeration in foods.</w:t>
      </w:r>
      <w:r>
        <w:rPr>
          <w:i/>
          <w:sz w:val="22"/>
        </w:rPr>
        <w:t>Applied and Environmental Microbiology, 68</w:t>
      </w:r>
      <w:r>
        <w:rPr>
          <w:sz w:val="22"/>
        </w:rPr>
        <w:t>: 1631–1638.</w:t>
      </w:r>
    </w:p>
    <w:p>
      <w:pPr>
        <w:pStyle w:val="BodyText"/>
        <w:spacing w:line="276" w:lineRule="auto" w:before="240"/>
        <w:ind w:left="1640" w:right="1179" w:hanging="720"/>
        <w:jc w:val="both"/>
      </w:pPr>
      <w:r>
        <w:rPr/>
        <w:t>Lee, A., Mao, W., Warren, M.S., Mistry, A., Hoshino, K., Okumura, R., Ishida, H and Lomovskaya, O. (2000). Interplay between efflux pumps may provide either additive or multiplicative effects on drug resistance. </w:t>
      </w:r>
      <w:r>
        <w:rPr>
          <w:i/>
        </w:rPr>
        <w:t>Journal of Bacteriology</w:t>
      </w:r>
      <w:r>
        <w:rPr/>
        <w:t>, 182: 3142-3150.</w:t>
      </w:r>
    </w:p>
    <w:p>
      <w:pPr>
        <w:pStyle w:val="BodyText"/>
        <w:spacing w:before="7"/>
      </w:pPr>
    </w:p>
    <w:p>
      <w:pPr>
        <w:spacing w:line="237" w:lineRule="auto" w:before="0"/>
        <w:ind w:left="1640" w:right="1179" w:hanging="720"/>
        <w:jc w:val="both"/>
        <w:rPr>
          <w:rFonts w:ascii="Times New Roman" w:hAnsi="Times New Roman"/>
          <w:sz w:val="24"/>
        </w:rPr>
      </w:pPr>
      <w:r>
        <w:rPr>
          <w:rFonts w:ascii="Times New Roman" w:hAnsi="Times New Roman"/>
          <w:sz w:val="24"/>
        </w:rPr>
        <w:t>Lee, H.H. C and Gerrior, S.A. (2002). "Consumers of reduced-fat, skim, and whole milk: intake status of micronutrients and diet fibers". </w:t>
      </w:r>
      <w:r>
        <w:rPr>
          <w:rFonts w:ascii="Times New Roman" w:hAnsi="Times New Roman"/>
          <w:i/>
          <w:sz w:val="24"/>
        </w:rPr>
        <w:t>Family Economics and Nutrition Review</w:t>
      </w:r>
      <w:r>
        <w:rPr>
          <w:rFonts w:ascii="Times New Roman" w:hAnsi="Times New Roman"/>
          <w:sz w:val="24"/>
        </w:rPr>
        <w:t>14 (1): </w:t>
      </w:r>
      <w:r>
        <w:rPr>
          <w:rFonts w:ascii="Times New Roman" w:hAnsi="Times New Roman"/>
          <w:spacing w:val="-2"/>
          <w:sz w:val="24"/>
        </w:rPr>
        <w:t>13–24.</w:t>
      </w:r>
    </w:p>
    <w:p>
      <w:pPr>
        <w:pStyle w:val="BodyText"/>
        <w:spacing w:before="16"/>
        <w:rPr>
          <w:rFonts w:ascii="Times New Roman"/>
          <w:sz w:val="24"/>
        </w:rPr>
      </w:pPr>
    </w:p>
    <w:p>
      <w:pPr>
        <w:pStyle w:val="BodyText"/>
        <w:ind w:left="920"/>
        <w:jc w:val="both"/>
      </w:pPr>
      <w:r>
        <w:rPr/>
        <w:t>Leflon-Guibouta,</w:t>
      </w:r>
      <w:r>
        <w:rPr>
          <w:spacing w:val="26"/>
        </w:rPr>
        <w:t> </w:t>
      </w:r>
      <w:r>
        <w:rPr/>
        <w:t>V.,</w:t>
      </w:r>
      <w:r>
        <w:rPr>
          <w:spacing w:val="29"/>
        </w:rPr>
        <w:t>  </w:t>
      </w:r>
      <w:r>
        <w:rPr/>
        <w:t>Bonacorsib,</w:t>
      </w:r>
      <w:r>
        <w:rPr>
          <w:spacing w:val="27"/>
        </w:rPr>
        <w:t> </w:t>
      </w:r>
      <w:r>
        <w:rPr/>
        <w:t>S.,</w:t>
      </w:r>
      <w:r>
        <w:rPr>
          <w:spacing w:val="31"/>
        </w:rPr>
        <w:t>  </w:t>
      </w:r>
      <w:r>
        <w:rPr/>
        <w:t>Clermontb,</w:t>
      </w:r>
      <w:r>
        <w:rPr>
          <w:spacing w:val="28"/>
        </w:rPr>
        <w:t> </w:t>
      </w:r>
      <w:r>
        <w:rPr/>
        <w:t>O.,</w:t>
      </w:r>
      <w:r>
        <w:rPr>
          <w:spacing w:val="31"/>
        </w:rPr>
        <w:t>  </w:t>
      </w:r>
      <w:r>
        <w:rPr/>
        <w:t>Ternata,</w:t>
      </w:r>
      <w:r>
        <w:rPr>
          <w:spacing w:val="32"/>
        </w:rPr>
        <w:t> </w:t>
      </w:r>
      <w:r>
        <w:rPr/>
        <w:t>G.,</w:t>
      </w:r>
      <w:r>
        <w:rPr>
          <w:spacing w:val="29"/>
        </w:rPr>
        <w:t>  </w:t>
      </w:r>
      <w:r>
        <w:rPr/>
        <w:t>Heyma,</w:t>
      </w:r>
      <w:r>
        <w:rPr>
          <w:spacing w:val="28"/>
        </w:rPr>
        <w:t> </w:t>
      </w:r>
      <w:r>
        <w:rPr/>
        <w:t>B</w:t>
      </w:r>
      <w:r>
        <w:rPr>
          <w:spacing w:val="30"/>
        </w:rPr>
        <w:t> </w:t>
      </w:r>
      <w:r>
        <w:rPr/>
        <w:t>and</w:t>
      </w:r>
      <w:r>
        <w:rPr>
          <w:spacing w:val="29"/>
        </w:rPr>
        <w:t> </w:t>
      </w:r>
      <w:r>
        <w:rPr/>
        <w:t>Nicolas-</w:t>
      </w:r>
      <w:r>
        <w:rPr>
          <w:spacing w:val="-2"/>
        </w:rPr>
        <w:t>Chanoinea,</w:t>
      </w:r>
    </w:p>
    <w:p>
      <w:pPr>
        <w:spacing w:line="273" w:lineRule="auto" w:before="44"/>
        <w:ind w:left="1640" w:right="1173" w:firstLine="0"/>
        <w:jc w:val="both"/>
        <w:rPr>
          <w:sz w:val="22"/>
        </w:rPr>
      </w:pPr>
      <w:r>
        <w:rPr>
          <w:sz w:val="22"/>
        </w:rPr>
        <w:t>M.H. ( 2002). Pyelonephritis caused by multiple clones of </w:t>
      </w:r>
      <w:r>
        <w:rPr>
          <w:i/>
          <w:sz w:val="22"/>
        </w:rPr>
        <w:t>Escherichia coli</w:t>
      </w:r>
      <w:r>
        <w:rPr>
          <w:sz w:val="22"/>
        </w:rPr>
        <w:t>, susceptible and resistant to co-amoxiclav, after a 45 day course of co-amoxiclav</w:t>
      </w:r>
      <w:r>
        <w:rPr>
          <w:spacing w:val="40"/>
          <w:sz w:val="22"/>
        </w:rPr>
        <w:t> </w:t>
      </w:r>
      <w:r>
        <w:rPr>
          <w:i/>
          <w:sz w:val="22"/>
        </w:rPr>
        <w:t>Journal of Antimicrobials and Chemotherapy,</w:t>
      </w:r>
      <w:r>
        <w:rPr>
          <w:sz w:val="22"/>
        </w:rPr>
        <w:t>49 (2): 373-377.</w:t>
      </w:r>
    </w:p>
    <w:p>
      <w:pPr>
        <w:pStyle w:val="BodyText"/>
        <w:spacing w:before="17"/>
      </w:pPr>
    </w:p>
    <w:p>
      <w:pPr>
        <w:spacing w:line="273" w:lineRule="auto" w:before="0"/>
        <w:ind w:left="1640" w:right="1176" w:hanging="720"/>
        <w:jc w:val="both"/>
        <w:rPr>
          <w:sz w:val="22"/>
        </w:rPr>
      </w:pPr>
      <w:r>
        <w:rPr>
          <w:sz w:val="22"/>
        </w:rPr>
        <w:t>Lennette, E.H., Balones, P., Hausa, W.J and Shadonmu, H.J. (1990). </w:t>
      </w:r>
      <w:r>
        <w:rPr>
          <w:i/>
          <w:sz w:val="22"/>
        </w:rPr>
        <w:t>Manual of Clinical Microbiology</w:t>
      </w:r>
      <w:r>
        <w:rPr>
          <w:sz w:val="22"/>
        </w:rPr>
        <w:t>,Washington DC. PP. 10-20.</w:t>
      </w:r>
    </w:p>
    <w:p>
      <w:pPr>
        <w:pStyle w:val="BodyText"/>
      </w:pPr>
    </w:p>
    <w:p>
      <w:pPr>
        <w:pStyle w:val="BodyText"/>
        <w:spacing w:before="176"/>
      </w:pPr>
    </w:p>
    <w:p>
      <w:pPr>
        <w:pStyle w:val="BodyText"/>
        <w:spacing w:line="278" w:lineRule="auto"/>
        <w:ind w:left="1640" w:right="1186" w:hanging="720"/>
        <w:jc w:val="both"/>
      </w:pPr>
      <w:r>
        <w:rPr/>
        <w:t>Lewis, R.F., Dorlencourt, F and Pinel, J. (1998)."Long-acting oily Chloramphenicol for Meningococcal Meningitis".</w:t>
      </w:r>
      <w:r>
        <w:rPr>
          <w:i/>
        </w:rPr>
        <w:t>Lancet</w:t>
      </w:r>
      <w:r>
        <w:rPr/>
        <w:t>,352 (9130): 823.</w:t>
      </w:r>
    </w:p>
    <w:p>
      <w:pPr>
        <w:pStyle w:val="BodyText"/>
      </w:pPr>
    </w:p>
    <w:p>
      <w:pPr>
        <w:pStyle w:val="BodyText"/>
        <w:spacing w:before="169"/>
      </w:pPr>
    </w:p>
    <w:p>
      <w:pPr>
        <w:spacing w:line="273" w:lineRule="auto" w:before="0"/>
        <w:ind w:left="1640" w:right="1176" w:hanging="720"/>
        <w:jc w:val="both"/>
        <w:rPr>
          <w:sz w:val="22"/>
        </w:rPr>
      </w:pPr>
      <w:r>
        <w:rPr>
          <w:sz w:val="22"/>
        </w:rPr>
        <w:t>Lindmark, H., Fonden, R and Pettersson, H.E. (2003). Composition of Swedish dairy milk.</w:t>
      </w:r>
      <w:r>
        <w:rPr>
          <w:i/>
          <w:sz w:val="22"/>
        </w:rPr>
        <w:t>International Dairy Journal</w:t>
      </w:r>
      <w:r>
        <w:rPr>
          <w:sz w:val="22"/>
        </w:rPr>
        <w:t>, 13: 409-425.</w:t>
      </w:r>
    </w:p>
    <w:p>
      <w:pPr>
        <w:spacing w:line="242" w:lineRule="auto" w:before="233"/>
        <w:ind w:left="1640" w:right="1180" w:hanging="720"/>
        <w:jc w:val="both"/>
        <w:rPr>
          <w:rFonts w:ascii="Times New Roman"/>
          <w:sz w:val="24"/>
        </w:rPr>
      </w:pPr>
      <w:r>
        <w:rPr>
          <w:rFonts w:ascii="Times New Roman"/>
          <w:sz w:val="24"/>
        </w:rPr>
        <w:t>Lindsay, J.A. (2010). Genomic variation and evolution of </w:t>
      </w:r>
      <w:r>
        <w:rPr>
          <w:rFonts w:ascii="Times New Roman"/>
          <w:i/>
          <w:sz w:val="24"/>
        </w:rPr>
        <w:t>Staphylococcus aureus.International Journal Medical Microbiololgy</w:t>
      </w:r>
      <w:r>
        <w:rPr>
          <w:rFonts w:ascii="Times New Roman"/>
          <w:sz w:val="24"/>
        </w:rPr>
        <w:t>, 300 (2-3):98-103.</w:t>
      </w:r>
    </w:p>
    <w:p>
      <w:pPr>
        <w:pStyle w:val="BodyText"/>
        <w:spacing w:line="276" w:lineRule="auto" w:before="244"/>
        <w:ind w:left="1640" w:right="1180" w:hanging="720"/>
        <w:jc w:val="both"/>
      </w:pPr>
      <w:r>
        <w:rPr>
          <w:color w:val="221E1F"/>
        </w:rPr>
        <w:t>Little, C.L., Rhoades, J.R., Sagoo, S.K., Harris, J., Greenwood, M., Mithani, V., Grant, K and McLauchlin, J. (2008). Microbiological quality of retail cheeses made from raw, thermized or pasteurized milk</w:t>
      </w:r>
      <w:r>
        <w:rPr>
          <w:color w:val="221E1F"/>
          <w:spacing w:val="40"/>
        </w:rPr>
        <w:t> </w:t>
      </w:r>
      <w:r>
        <w:rPr>
          <w:color w:val="221E1F"/>
        </w:rPr>
        <w:t>in the UK. </w:t>
      </w:r>
      <w:r>
        <w:rPr>
          <w:i/>
          <w:color w:val="221E1F"/>
        </w:rPr>
        <w:t>Food Microbiology</w:t>
      </w:r>
      <w:r>
        <w:rPr>
          <w:color w:val="221E1F"/>
        </w:rPr>
        <w:t>, 25: 304–312.</w:t>
      </w:r>
    </w:p>
    <w:p>
      <w:pPr>
        <w:spacing w:line="278" w:lineRule="auto" w:before="240"/>
        <w:ind w:left="1640" w:right="1181" w:hanging="720"/>
        <w:jc w:val="both"/>
        <w:rPr>
          <w:sz w:val="22"/>
        </w:rPr>
      </w:pPr>
      <w:r>
        <w:rPr>
          <w:sz w:val="22"/>
        </w:rPr>
        <w:t>Livermore, D.M. (1995).Beta lactamases in laboratory and clinical resistance.</w:t>
      </w:r>
      <w:r>
        <w:rPr>
          <w:i/>
          <w:sz w:val="22"/>
        </w:rPr>
        <w:t>Clinical Microbiology Reviews, </w:t>
      </w:r>
      <w:r>
        <w:rPr>
          <w:sz w:val="22"/>
        </w:rPr>
        <w:t>8: 557-584.</w:t>
      </w:r>
    </w:p>
    <w:p>
      <w:pPr>
        <w:pStyle w:val="BodyText"/>
        <w:spacing w:line="276" w:lineRule="auto" w:before="236"/>
        <w:ind w:left="1640" w:right="1177" w:hanging="720"/>
        <w:jc w:val="both"/>
      </w:pPr>
      <w:r>
        <w:rPr/>
        <w:t>Lockhart, S.R., Abramson, M.A., Beekman, S.E., Gallagher, G., Riedel, S.R., Diekma, D.J., Quinn, J.P and Doern,</w:t>
      </w:r>
      <w:r>
        <w:rPr>
          <w:spacing w:val="-2"/>
        </w:rPr>
        <w:t> </w:t>
      </w:r>
      <w:r>
        <w:rPr/>
        <w:t>G.V. (2007). Antimicrobial resistance among Gram-negative bacilli as causes of infections in intensive care unit patients in the United States between 1993 and 2004.</w:t>
      </w:r>
      <w:r>
        <w:rPr>
          <w:i/>
        </w:rPr>
        <w:t>Journal of Clinical Microbiology</w:t>
      </w:r>
      <w:r>
        <w:rPr/>
        <w:t>, 45: 3352-3359.</w:t>
      </w:r>
    </w:p>
    <w:p>
      <w:pPr>
        <w:spacing w:after="0" w:line="276" w:lineRule="auto"/>
        <w:jc w:val="both"/>
        <w:sectPr>
          <w:pgSz w:w="12240" w:h="15840"/>
          <w:pgMar w:header="0" w:footer="1017" w:top="1400" w:bottom="1200" w:left="520" w:right="260"/>
        </w:sectPr>
      </w:pPr>
    </w:p>
    <w:p>
      <w:pPr>
        <w:spacing w:line="276" w:lineRule="auto" w:before="41"/>
        <w:ind w:left="1640" w:right="1175" w:hanging="720"/>
        <w:jc w:val="both"/>
        <w:rPr>
          <w:sz w:val="22"/>
        </w:rPr>
      </w:pPr>
      <w:r>
        <w:rPr>
          <w:sz w:val="22"/>
        </w:rPr>
        <w:t>Lomovskaya, O.,Warren, M.S and Lee, A. (2001). Identification and Characterization of inhibitors of Multidrug Resistance Efflux in </w:t>
      </w:r>
      <w:r>
        <w:rPr>
          <w:i/>
          <w:sz w:val="22"/>
        </w:rPr>
        <w:t>Pseudomonas aeruginosa</w:t>
      </w:r>
      <w:r>
        <w:rPr>
          <w:sz w:val="22"/>
        </w:rPr>
        <w:t>: novel agents for combination therapy. </w:t>
      </w:r>
      <w:r>
        <w:rPr>
          <w:i/>
          <w:sz w:val="22"/>
        </w:rPr>
        <w:t>Antimicrobial Agents and Chemotherapy </w:t>
      </w:r>
      <w:r>
        <w:rPr>
          <w:sz w:val="22"/>
        </w:rPr>
        <w:t>45(1): 105-116</w:t>
      </w:r>
    </w:p>
    <w:p>
      <w:pPr>
        <w:pStyle w:val="BodyText"/>
        <w:spacing w:line="273" w:lineRule="auto" w:before="240"/>
        <w:ind w:left="1640" w:right="1178" w:hanging="720"/>
        <w:jc w:val="both"/>
      </w:pPr>
      <w:r>
        <w:rPr/>
        <w:t>Lopez-Fandino, R., Olano, A., Corzo, N and Ramos, M. (1993). Proteolysis during storage of UHT milk: differences between whole and skim milk. </w:t>
      </w:r>
      <w:r>
        <w:rPr>
          <w:i/>
        </w:rPr>
        <w:t>Journal of Dairy Responses</w:t>
      </w:r>
      <w:r>
        <w:rPr/>
        <w:t>, 60: 339–347.</w:t>
      </w:r>
    </w:p>
    <w:p>
      <w:pPr>
        <w:pStyle w:val="BodyText"/>
        <w:spacing w:line="278" w:lineRule="auto" w:before="242"/>
        <w:ind w:left="1640" w:right="1180" w:hanging="720"/>
        <w:jc w:val="both"/>
      </w:pPr>
      <w:r>
        <w:rPr/>
        <w:t>Luangtongkum,</w:t>
      </w:r>
      <w:r>
        <w:rPr>
          <w:spacing w:val="-2"/>
        </w:rPr>
        <w:t> </w:t>
      </w:r>
      <w:r>
        <w:rPr/>
        <w:t>T.,</w:t>
      </w:r>
      <w:r>
        <w:rPr>
          <w:spacing w:val="-2"/>
        </w:rPr>
        <w:t> </w:t>
      </w:r>
      <w:r>
        <w:rPr/>
        <w:t>Jeon,</w:t>
      </w:r>
      <w:r>
        <w:rPr>
          <w:spacing w:val="-2"/>
        </w:rPr>
        <w:t> </w:t>
      </w:r>
      <w:r>
        <w:rPr/>
        <w:t>B.,</w:t>
      </w:r>
      <w:r>
        <w:rPr>
          <w:spacing w:val="-2"/>
        </w:rPr>
        <w:t> </w:t>
      </w:r>
      <w:r>
        <w:rPr/>
        <w:t>Han,</w:t>
      </w:r>
      <w:r>
        <w:rPr>
          <w:spacing w:val="-2"/>
        </w:rPr>
        <w:t> </w:t>
      </w:r>
      <w:r>
        <w:rPr/>
        <w:t>J.,</w:t>
      </w:r>
      <w:r>
        <w:rPr>
          <w:spacing w:val="-2"/>
        </w:rPr>
        <w:t> </w:t>
      </w:r>
      <w:r>
        <w:rPr/>
        <w:t>Plummer,</w:t>
      </w:r>
      <w:r>
        <w:rPr>
          <w:spacing w:val="-2"/>
        </w:rPr>
        <w:t> </w:t>
      </w:r>
      <w:r>
        <w:rPr/>
        <w:t>P.,</w:t>
      </w:r>
      <w:r>
        <w:rPr>
          <w:spacing w:val="-2"/>
        </w:rPr>
        <w:t> </w:t>
      </w:r>
      <w:r>
        <w:rPr/>
        <w:t>Logue,</w:t>
      </w:r>
      <w:r>
        <w:rPr>
          <w:spacing w:val="-2"/>
        </w:rPr>
        <w:t> </w:t>
      </w:r>
      <w:r>
        <w:rPr/>
        <w:t>C. M</w:t>
      </w:r>
      <w:r>
        <w:rPr>
          <w:spacing w:val="-1"/>
        </w:rPr>
        <w:t> </w:t>
      </w:r>
      <w:r>
        <w:rPr/>
        <w:t>and</w:t>
      </w:r>
      <w:r>
        <w:rPr>
          <w:spacing w:val="-5"/>
        </w:rPr>
        <w:t> </w:t>
      </w:r>
      <w:r>
        <w:rPr/>
        <w:t>Zhang,</w:t>
      </w:r>
      <w:r>
        <w:rPr>
          <w:spacing w:val="-2"/>
        </w:rPr>
        <w:t> </w:t>
      </w:r>
      <w:r>
        <w:rPr/>
        <w:t>Q. (2009). Antibiotic</w:t>
      </w:r>
      <w:r>
        <w:rPr>
          <w:spacing w:val="-2"/>
        </w:rPr>
        <w:t> </w:t>
      </w:r>
      <w:r>
        <w:rPr/>
        <w:t>Resistance in </w:t>
      </w:r>
      <w:r>
        <w:rPr>
          <w:i/>
        </w:rPr>
        <w:t>Campylobacter</w:t>
      </w:r>
      <w:r>
        <w:rPr/>
        <w:t>: Emergence, Transmission, and Persistence. </w:t>
      </w:r>
      <w:r>
        <w:rPr>
          <w:i/>
        </w:rPr>
        <w:t>Future Microbiology</w:t>
      </w:r>
      <w:r>
        <w:rPr/>
        <w:t>. 4: 189-200</w:t>
      </w:r>
    </w:p>
    <w:p>
      <w:pPr>
        <w:pStyle w:val="BodyText"/>
        <w:spacing w:line="276" w:lineRule="auto" w:before="237"/>
        <w:ind w:left="1640" w:right="1176" w:hanging="720"/>
        <w:jc w:val="both"/>
      </w:pPr>
      <w:r>
        <w:rPr/>
        <w:t>Lues, J.F. R., Venter, P and Van Der Westhuizen, H. (2003).Enumeration of potential microbiological hazards in milk from a marginal urban settlement in central South Africa.</w:t>
      </w:r>
      <w:r>
        <w:rPr>
          <w:i/>
        </w:rPr>
        <w:t>Food Microbiology</w:t>
      </w:r>
      <w:r>
        <w:rPr/>
        <w:t>, 20: </w:t>
      </w:r>
      <w:r>
        <w:rPr>
          <w:spacing w:val="-2"/>
        </w:rPr>
        <w:t>321–326.</w:t>
      </w:r>
    </w:p>
    <w:p>
      <w:pPr>
        <w:pStyle w:val="BodyText"/>
        <w:spacing w:line="276" w:lineRule="auto" w:before="239"/>
        <w:ind w:left="1640" w:right="1175" w:hanging="720"/>
        <w:jc w:val="both"/>
      </w:pPr>
      <w:r>
        <w:rPr/>
        <w:t>Magistrali, C., Dionisi, A.M., Curtis, P.D., Cucco, L., Vischi, O., Scuota, S., Zicavo, A and Pezzotti, G. (2008).Contamination</w:t>
      </w:r>
      <w:r>
        <w:rPr>
          <w:spacing w:val="-1"/>
        </w:rPr>
        <w:t> </w:t>
      </w:r>
      <w:r>
        <w:rPr/>
        <w:t>of </w:t>
      </w:r>
      <w:r>
        <w:rPr>
          <w:i/>
        </w:rPr>
        <w:t>Salmonella</w:t>
      </w:r>
      <w:r>
        <w:rPr>
          <w:i/>
          <w:spacing w:val="-3"/>
        </w:rPr>
        <w:t> </w:t>
      </w:r>
      <w:r>
        <w:rPr>
          <w:i/>
        </w:rPr>
        <w:t>specie</w:t>
      </w:r>
      <w:r>
        <w:rPr>
          <w:i/>
          <w:spacing w:val="-4"/>
        </w:rPr>
        <w:t> </w:t>
      </w:r>
      <w:r>
        <w:rPr/>
        <w:t>in</w:t>
      </w:r>
      <w:r>
        <w:rPr>
          <w:spacing w:val="-1"/>
        </w:rPr>
        <w:t> </w:t>
      </w:r>
      <w:r>
        <w:rPr/>
        <w:t>a</w:t>
      </w:r>
      <w:r>
        <w:rPr>
          <w:spacing w:val="-1"/>
        </w:rPr>
        <w:t> </w:t>
      </w:r>
      <w:r>
        <w:rPr/>
        <w:t>pig finishing herd,</w:t>
      </w:r>
      <w:r>
        <w:rPr>
          <w:spacing w:val="-3"/>
        </w:rPr>
        <w:t> </w:t>
      </w:r>
      <w:r>
        <w:rPr/>
        <w:t>from</w:t>
      </w:r>
      <w:r>
        <w:rPr>
          <w:spacing w:val="-4"/>
        </w:rPr>
        <w:t> </w:t>
      </w:r>
      <w:r>
        <w:rPr/>
        <w:t>the arrival of</w:t>
      </w:r>
      <w:r>
        <w:rPr>
          <w:spacing w:val="-5"/>
        </w:rPr>
        <w:t> </w:t>
      </w:r>
      <w:r>
        <w:rPr/>
        <w:t>the animals to the slaughterhouse.</w:t>
      </w:r>
      <w:r>
        <w:rPr>
          <w:i/>
        </w:rPr>
        <w:t>Research Veterinary Science</w:t>
      </w:r>
      <w:r>
        <w:rPr/>
        <w:t>, 85: 204-207.</w:t>
      </w:r>
    </w:p>
    <w:p>
      <w:pPr>
        <w:spacing w:line="276" w:lineRule="auto" w:before="240"/>
        <w:ind w:left="1640" w:right="1172" w:hanging="720"/>
        <w:jc w:val="both"/>
        <w:rPr>
          <w:sz w:val="22"/>
        </w:rPr>
      </w:pPr>
      <w:r>
        <w:rPr>
          <w:sz w:val="22"/>
        </w:rPr>
        <w:t>Maguire, H., Cowden, J., Jacob, M and Rowe, B. (1992). An outbreak of </w:t>
      </w:r>
      <w:r>
        <w:rPr>
          <w:i/>
          <w:sz w:val="22"/>
        </w:rPr>
        <w:t>Salmonella dublin</w:t>
      </w:r>
      <w:r>
        <w:rPr>
          <w:sz w:val="22"/>
        </w:rPr>
        <w:t>infection in England and Wales associated with a soft unpasteurized cow’s milk cheese. </w:t>
      </w:r>
      <w:r>
        <w:rPr>
          <w:i/>
          <w:sz w:val="22"/>
        </w:rPr>
        <w:t>Epidemiology and Infection, 109</w:t>
      </w:r>
      <w:r>
        <w:rPr>
          <w:sz w:val="22"/>
        </w:rPr>
        <w:t>: 389–396.</w:t>
      </w:r>
    </w:p>
    <w:p>
      <w:pPr>
        <w:spacing w:line="276" w:lineRule="auto" w:before="240"/>
        <w:ind w:left="1640" w:right="1175" w:hanging="720"/>
        <w:jc w:val="both"/>
        <w:rPr>
          <w:sz w:val="22"/>
        </w:rPr>
      </w:pPr>
      <w:r>
        <w:rPr>
          <w:sz w:val="22"/>
        </w:rPr>
        <w:t>Makovec, J.A and Ruegg, P.L. (2003). Antibiotic resistance of bacteria isolated from dairy cow milk samples submitted for bacteriological cultures-8905 samples (1994–2001). </w:t>
      </w:r>
      <w:r>
        <w:rPr>
          <w:i/>
          <w:sz w:val="22"/>
        </w:rPr>
        <w:t>Journal of American Veterinary Association, 222</w:t>
      </w:r>
      <w:r>
        <w:rPr>
          <w:sz w:val="22"/>
        </w:rPr>
        <w:t>: 1582–1589.</w:t>
      </w:r>
    </w:p>
    <w:p>
      <w:pPr>
        <w:pStyle w:val="BodyText"/>
      </w:pPr>
    </w:p>
    <w:p>
      <w:pPr>
        <w:pStyle w:val="BodyText"/>
        <w:spacing w:before="173"/>
      </w:pPr>
    </w:p>
    <w:p>
      <w:pPr>
        <w:spacing w:line="276" w:lineRule="auto" w:before="0"/>
        <w:ind w:left="1640" w:right="1176" w:hanging="720"/>
        <w:jc w:val="both"/>
        <w:rPr>
          <w:sz w:val="22"/>
        </w:rPr>
      </w:pPr>
      <w:r>
        <w:rPr>
          <w:sz w:val="22"/>
        </w:rPr>
        <w:t>Mannu, L., Paba, E., Daga, R., Comunian, R., Zanetti, S., Dupre, I and Sechi, L.A. (2003). Comparison of</w:t>
      </w:r>
      <w:r>
        <w:rPr>
          <w:spacing w:val="40"/>
          <w:sz w:val="22"/>
        </w:rPr>
        <w:t> </w:t>
      </w:r>
      <w:r>
        <w:rPr>
          <w:sz w:val="22"/>
        </w:rPr>
        <w:t>the</w:t>
      </w:r>
      <w:r>
        <w:rPr>
          <w:spacing w:val="-2"/>
          <w:sz w:val="22"/>
        </w:rPr>
        <w:t> </w:t>
      </w:r>
      <w:r>
        <w:rPr>
          <w:sz w:val="22"/>
        </w:rPr>
        <w:t>incidence</w:t>
      </w:r>
      <w:r>
        <w:rPr>
          <w:spacing w:val="-2"/>
          <w:sz w:val="22"/>
        </w:rPr>
        <w:t> </w:t>
      </w:r>
      <w:r>
        <w:rPr>
          <w:sz w:val="22"/>
        </w:rPr>
        <w:t>of</w:t>
      </w:r>
      <w:r>
        <w:rPr>
          <w:spacing w:val="-3"/>
          <w:sz w:val="22"/>
        </w:rPr>
        <w:t> </w:t>
      </w:r>
      <w:r>
        <w:rPr>
          <w:sz w:val="22"/>
        </w:rPr>
        <w:t>virulence</w:t>
      </w:r>
      <w:r>
        <w:rPr>
          <w:spacing w:val="-2"/>
          <w:sz w:val="22"/>
        </w:rPr>
        <w:t> </w:t>
      </w:r>
      <w:r>
        <w:rPr>
          <w:sz w:val="22"/>
        </w:rPr>
        <w:t>determinants</w:t>
      </w:r>
      <w:r>
        <w:rPr>
          <w:spacing w:val="-2"/>
          <w:sz w:val="22"/>
        </w:rPr>
        <w:t> </w:t>
      </w:r>
      <w:r>
        <w:rPr>
          <w:sz w:val="22"/>
        </w:rPr>
        <w:t>and</w:t>
      </w:r>
      <w:r>
        <w:rPr>
          <w:spacing w:val="-7"/>
          <w:sz w:val="22"/>
        </w:rPr>
        <w:t> </w:t>
      </w:r>
      <w:r>
        <w:rPr>
          <w:sz w:val="22"/>
        </w:rPr>
        <w:t>antibiotic</w:t>
      </w:r>
      <w:r>
        <w:rPr>
          <w:spacing w:val="-8"/>
          <w:sz w:val="22"/>
        </w:rPr>
        <w:t> </w:t>
      </w:r>
      <w:r>
        <w:rPr>
          <w:sz w:val="22"/>
        </w:rPr>
        <w:t>resistance</w:t>
      </w:r>
      <w:r>
        <w:rPr>
          <w:spacing w:val="-2"/>
          <w:sz w:val="22"/>
        </w:rPr>
        <w:t> </w:t>
      </w:r>
      <w:r>
        <w:rPr>
          <w:sz w:val="22"/>
        </w:rPr>
        <w:t>between </w:t>
      </w:r>
      <w:r>
        <w:rPr>
          <w:i/>
          <w:sz w:val="22"/>
        </w:rPr>
        <w:t>Enterococcus</w:t>
      </w:r>
      <w:r>
        <w:rPr>
          <w:i/>
          <w:spacing w:val="-2"/>
          <w:sz w:val="22"/>
        </w:rPr>
        <w:t> </w:t>
      </w:r>
      <w:r>
        <w:rPr>
          <w:i/>
          <w:sz w:val="22"/>
        </w:rPr>
        <w:t>faecium </w:t>
      </w:r>
      <w:r>
        <w:rPr>
          <w:sz w:val="22"/>
        </w:rPr>
        <w:t>strains of dairy, animal and clinical origin, </w:t>
      </w:r>
      <w:r>
        <w:rPr>
          <w:i/>
          <w:sz w:val="22"/>
        </w:rPr>
        <w:t>International Journal of Food Microbiology</w:t>
      </w:r>
      <w:r>
        <w:rPr>
          <w:sz w:val="22"/>
        </w:rPr>
        <w:t>, 88: 291- </w:t>
      </w:r>
      <w:r>
        <w:rPr>
          <w:spacing w:val="-4"/>
          <w:sz w:val="22"/>
        </w:rPr>
        <w:t>304.</w:t>
      </w:r>
    </w:p>
    <w:p>
      <w:pPr>
        <w:pStyle w:val="BodyText"/>
        <w:spacing w:line="278" w:lineRule="auto" w:before="239"/>
        <w:ind w:left="1640" w:right="1179" w:hanging="720"/>
        <w:jc w:val="both"/>
      </w:pPr>
      <w:r>
        <w:rPr>
          <w:color w:val="221E1F"/>
        </w:rPr>
        <w:t>Marco, M. L and Wells-Bennik, M.H.J. (2008). Impact of bacterial genomics on determining</w:t>
      </w:r>
      <w:r>
        <w:rPr>
          <w:color w:val="221E1F"/>
          <w:spacing w:val="40"/>
        </w:rPr>
        <w:t> </w:t>
      </w:r>
      <w:r>
        <w:rPr>
          <w:color w:val="221E1F"/>
        </w:rPr>
        <w:t>quality and safety in the dairy production chain. </w:t>
      </w:r>
      <w:r>
        <w:rPr>
          <w:i/>
          <w:color w:val="221E1F"/>
        </w:rPr>
        <w:t>International Dairy Journal, </w:t>
      </w:r>
      <w:r>
        <w:rPr>
          <w:color w:val="221E1F"/>
        </w:rPr>
        <w:t>18: 486-495.</w:t>
      </w:r>
    </w:p>
    <w:p>
      <w:pPr>
        <w:spacing w:line="276" w:lineRule="auto" w:before="236"/>
        <w:ind w:left="1640" w:right="1172" w:hanging="720"/>
        <w:jc w:val="both"/>
        <w:rPr>
          <w:sz w:val="22"/>
        </w:rPr>
      </w:pPr>
      <w:r>
        <w:rPr>
          <w:sz w:val="22"/>
        </w:rPr>
        <w:t>Mareček, J., Fikselová, M and Frančáková, H. (2008).Nutritional and technological value of selected edible potatoes during storage.</w:t>
      </w:r>
      <w:r>
        <w:rPr>
          <w:i/>
          <w:sz w:val="22"/>
        </w:rPr>
        <w:t>Zeszyty problemowe postepow nauk rolniczych</w:t>
      </w:r>
      <w:r>
        <w:rPr>
          <w:sz w:val="22"/>
        </w:rPr>
        <w:t>, </w:t>
      </w:r>
      <w:r>
        <w:rPr>
          <w:i/>
          <w:sz w:val="22"/>
        </w:rPr>
        <w:t>Warszawa: Polska akademia nauk</w:t>
      </w:r>
      <w:r>
        <w:rPr>
          <w:sz w:val="22"/>
        </w:rPr>
        <w:t>, PP. 293-299.</w:t>
      </w:r>
    </w:p>
    <w:p>
      <w:pPr>
        <w:pStyle w:val="BodyText"/>
      </w:pPr>
    </w:p>
    <w:p>
      <w:pPr>
        <w:pStyle w:val="BodyText"/>
        <w:spacing w:before="173"/>
      </w:pPr>
    </w:p>
    <w:p>
      <w:pPr>
        <w:spacing w:before="0"/>
        <w:ind w:left="920" w:right="0" w:firstLine="0"/>
        <w:jc w:val="left"/>
        <w:rPr>
          <w:sz w:val="22"/>
        </w:rPr>
      </w:pPr>
      <w:r>
        <w:rPr>
          <w:sz w:val="22"/>
        </w:rPr>
        <w:t>Marcelo,</w:t>
      </w:r>
      <w:r>
        <w:rPr>
          <w:spacing w:val="18"/>
          <w:sz w:val="22"/>
        </w:rPr>
        <w:t> </w:t>
      </w:r>
      <w:r>
        <w:rPr>
          <w:sz w:val="22"/>
        </w:rPr>
        <w:t>G.,</w:t>
      </w:r>
      <w:r>
        <w:rPr>
          <w:spacing w:val="19"/>
          <w:sz w:val="22"/>
        </w:rPr>
        <w:t> </w:t>
      </w:r>
      <w:r>
        <w:rPr>
          <w:sz w:val="22"/>
        </w:rPr>
        <w:t>Tolmasky,</w:t>
      </w:r>
      <w:r>
        <w:rPr>
          <w:spacing w:val="19"/>
          <w:sz w:val="22"/>
        </w:rPr>
        <w:t> </w:t>
      </w:r>
      <w:r>
        <w:rPr>
          <w:sz w:val="22"/>
        </w:rPr>
        <w:t>E.,</w:t>
      </w:r>
      <w:r>
        <w:rPr>
          <w:spacing w:val="19"/>
          <w:sz w:val="22"/>
        </w:rPr>
        <w:t> </w:t>
      </w:r>
      <w:r>
        <w:rPr>
          <w:sz w:val="22"/>
        </w:rPr>
        <w:t>Actis,</w:t>
      </w:r>
      <w:r>
        <w:rPr>
          <w:spacing w:val="22"/>
          <w:sz w:val="22"/>
        </w:rPr>
        <w:t> </w:t>
      </w:r>
      <w:r>
        <w:rPr>
          <w:sz w:val="22"/>
        </w:rPr>
        <w:t>L.A</w:t>
      </w:r>
      <w:r>
        <w:rPr>
          <w:spacing w:val="23"/>
          <w:sz w:val="22"/>
        </w:rPr>
        <w:t> </w:t>
      </w:r>
      <w:r>
        <w:rPr>
          <w:sz w:val="22"/>
        </w:rPr>
        <w:t>and</w:t>
      </w:r>
      <w:r>
        <w:rPr>
          <w:spacing w:val="20"/>
          <w:sz w:val="22"/>
        </w:rPr>
        <w:t> </w:t>
      </w:r>
      <w:r>
        <w:rPr>
          <w:sz w:val="22"/>
        </w:rPr>
        <w:t>Crosa,</w:t>
      </w:r>
      <w:r>
        <w:rPr>
          <w:spacing w:val="19"/>
          <w:sz w:val="22"/>
        </w:rPr>
        <w:t> </w:t>
      </w:r>
      <w:r>
        <w:rPr>
          <w:sz w:val="22"/>
        </w:rPr>
        <w:t>J.H.</w:t>
      </w:r>
      <w:r>
        <w:rPr>
          <w:spacing w:val="22"/>
          <w:sz w:val="22"/>
        </w:rPr>
        <w:t> </w:t>
      </w:r>
      <w:r>
        <w:rPr>
          <w:sz w:val="22"/>
        </w:rPr>
        <w:t>(1998).</w:t>
      </w:r>
      <w:r>
        <w:rPr>
          <w:i/>
          <w:sz w:val="22"/>
        </w:rPr>
        <w:t>Plasmids</w:t>
      </w:r>
      <w:r>
        <w:rPr>
          <w:i/>
          <w:spacing w:val="22"/>
          <w:sz w:val="22"/>
        </w:rPr>
        <w:t> </w:t>
      </w:r>
      <w:r>
        <w:rPr>
          <w:i/>
          <w:sz w:val="22"/>
        </w:rPr>
        <w:t>-</w:t>
      </w:r>
      <w:r>
        <w:rPr>
          <w:i/>
          <w:spacing w:val="21"/>
          <w:sz w:val="22"/>
        </w:rPr>
        <w:t> </w:t>
      </w:r>
      <w:r>
        <w:rPr>
          <w:i/>
          <w:sz w:val="22"/>
        </w:rPr>
        <w:t>A</w:t>
      </w:r>
      <w:r>
        <w:rPr>
          <w:i/>
          <w:spacing w:val="22"/>
          <w:sz w:val="22"/>
        </w:rPr>
        <w:t> </w:t>
      </w:r>
      <w:r>
        <w:rPr>
          <w:i/>
          <w:sz w:val="22"/>
        </w:rPr>
        <w:t>Practical</w:t>
      </w:r>
      <w:r>
        <w:rPr>
          <w:i/>
          <w:spacing w:val="23"/>
          <w:sz w:val="22"/>
        </w:rPr>
        <w:t> </w:t>
      </w:r>
      <w:r>
        <w:rPr>
          <w:i/>
          <w:sz w:val="22"/>
        </w:rPr>
        <w:t>Approach</w:t>
      </w:r>
      <w:r>
        <w:rPr>
          <w:sz w:val="22"/>
        </w:rPr>
        <w:t>.</w:t>
      </w:r>
      <w:r>
        <w:rPr>
          <w:spacing w:val="23"/>
          <w:sz w:val="22"/>
        </w:rPr>
        <w:t> </w:t>
      </w:r>
      <w:r>
        <w:rPr>
          <w:sz w:val="22"/>
        </w:rPr>
        <w:t>In:</w:t>
      </w:r>
      <w:r>
        <w:rPr>
          <w:spacing w:val="19"/>
          <w:sz w:val="22"/>
        </w:rPr>
        <w:t> </w:t>
      </w:r>
      <w:r>
        <w:rPr>
          <w:spacing w:val="-2"/>
          <w:sz w:val="22"/>
        </w:rPr>
        <w:t>Hardy,</w:t>
      </w:r>
    </w:p>
    <w:p>
      <w:pPr>
        <w:pStyle w:val="BodyText"/>
        <w:spacing w:before="39"/>
        <w:ind w:left="1640"/>
      </w:pPr>
      <w:r>
        <w:rPr/>
        <w:t>K.G.</w:t>
      </w:r>
      <w:r>
        <w:rPr>
          <w:spacing w:val="-1"/>
        </w:rPr>
        <w:t> </w:t>
      </w:r>
      <w:r>
        <w:rPr/>
        <w:t>(Ed.),</w:t>
      </w:r>
      <w:r>
        <w:rPr>
          <w:spacing w:val="-5"/>
        </w:rPr>
        <w:t> </w:t>
      </w:r>
      <w:r>
        <w:rPr/>
        <w:t>IRL</w:t>
      </w:r>
      <w:r>
        <w:rPr>
          <w:spacing w:val="-5"/>
        </w:rPr>
        <w:t> </w:t>
      </w:r>
      <w:r>
        <w:rPr/>
        <w:t>Press,</w:t>
      </w:r>
      <w:r>
        <w:rPr>
          <w:spacing w:val="-5"/>
        </w:rPr>
        <w:t> </w:t>
      </w:r>
      <w:r>
        <w:rPr/>
        <w:t>Oxford</w:t>
      </w:r>
      <w:r>
        <w:rPr>
          <w:spacing w:val="-4"/>
        </w:rPr>
        <w:t> </w:t>
      </w:r>
      <w:r>
        <w:rPr/>
        <w:t>University</w:t>
      </w:r>
      <w:r>
        <w:rPr>
          <w:spacing w:val="-2"/>
        </w:rPr>
        <w:t> </w:t>
      </w:r>
      <w:r>
        <w:rPr/>
        <w:t>Press,</w:t>
      </w:r>
      <w:r>
        <w:rPr>
          <w:spacing w:val="-5"/>
        </w:rPr>
        <w:t> </w:t>
      </w:r>
      <w:r>
        <w:rPr/>
        <w:t>PP. 252-</w:t>
      </w:r>
      <w:r>
        <w:rPr>
          <w:spacing w:val="-4"/>
        </w:rPr>
        <w:t>258.</w:t>
      </w:r>
    </w:p>
    <w:p>
      <w:pPr>
        <w:spacing w:after="0"/>
        <w:sectPr>
          <w:pgSz w:w="12240" w:h="15840"/>
          <w:pgMar w:header="0" w:footer="1017" w:top="1400" w:bottom="1200" w:left="520" w:right="260"/>
        </w:sectPr>
      </w:pPr>
    </w:p>
    <w:p>
      <w:pPr>
        <w:spacing w:line="237" w:lineRule="auto" w:before="74"/>
        <w:ind w:left="1640" w:right="1178" w:hanging="720"/>
        <w:jc w:val="both"/>
        <w:rPr>
          <w:rFonts w:ascii="Times New Roman" w:hAnsi="Times New Roman"/>
          <w:sz w:val="24"/>
        </w:rPr>
      </w:pPr>
      <w:r>
        <w:rPr>
          <w:rFonts w:ascii="Times New Roman" w:hAnsi="Times New Roman"/>
          <w:sz w:val="24"/>
        </w:rPr>
        <w:t>Marshall, R.T. (1992). </w:t>
      </w:r>
      <w:r>
        <w:rPr>
          <w:rFonts w:ascii="Times New Roman" w:hAnsi="Times New Roman"/>
          <w:i/>
          <w:sz w:val="24"/>
        </w:rPr>
        <w:t>Standard Methods for the Examination of Dairy Products </w:t>
      </w:r>
      <w:r>
        <w:rPr>
          <w:rFonts w:ascii="Times New Roman" w:hAnsi="Times New Roman"/>
          <w:sz w:val="24"/>
        </w:rPr>
        <w:t>(16th Edition).American Public Health Association. Washington, D.C. PP. 103 – 212.</w:t>
      </w:r>
    </w:p>
    <w:p>
      <w:pPr>
        <w:pStyle w:val="BodyText"/>
        <w:spacing w:before="5"/>
        <w:rPr>
          <w:rFonts w:ascii="Times New Roman"/>
          <w:sz w:val="24"/>
        </w:rPr>
      </w:pPr>
    </w:p>
    <w:p>
      <w:pPr>
        <w:spacing w:line="240" w:lineRule="auto" w:before="1"/>
        <w:ind w:left="1640" w:right="1179" w:hanging="720"/>
        <w:jc w:val="both"/>
        <w:rPr>
          <w:rFonts w:ascii="Times New Roman"/>
          <w:sz w:val="24"/>
        </w:rPr>
      </w:pPr>
      <w:r>
        <w:rPr>
          <w:rFonts w:ascii="Times New Roman"/>
          <w:sz w:val="24"/>
        </w:rPr>
        <w:t>Martinez, J.L. (2009). The Role of</w:t>
      </w:r>
      <w:r>
        <w:rPr>
          <w:rFonts w:ascii="Times New Roman"/>
          <w:spacing w:val="-7"/>
          <w:sz w:val="24"/>
        </w:rPr>
        <w:t> </w:t>
      </w:r>
      <w:r>
        <w:rPr>
          <w:rFonts w:ascii="Times New Roman"/>
          <w:sz w:val="24"/>
        </w:rPr>
        <w:t>Natural</w:t>
      </w:r>
      <w:r>
        <w:rPr>
          <w:rFonts w:ascii="Times New Roman"/>
          <w:spacing w:val="-8"/>
          <w:sz w:val="24"/>
        </w:rPr>
        <w:t> </w:t>
      </w:r>
      <w:r>
        <w:rPr>
          <w:rFonts w:ascii="Times New Roman"/>
          <w:sz w:val="24"/>
        </w:rPr>
        <w:t>Environments in the Evolution</w:t>
      </w:r>
      <w:r>
        <w:rPr>
          <w:rFonts w:ascii="Times New Roman"/>
          <w:spacing w:val="-4"/>
          <w:sz w:val="24"/>
        </w:rPr>
        <w:t> </w:t>
      </w:r>
      <w:r>
        <w:rPr>
          <w:rFonts w:ascii="Times New Roman"/>
          <w:sz w:val="24"/>
        </w:rPr>
        <w:t>of</w:t>
      </w:r>
      <w:r>
        <w:rPr>
          <w:rFonts w:ascii="Times New Roman"/>
          <w:spacing w:val="-7"/>
          <w:sz w:val="24"/>
        </w:rPr>
        <w:t> </w:t>
      </w:r>
      <w:r>
        <w:rPr>
          <w:rFonts w:ascii="Times New Roman"/>
          <w:sz w:val="24"/>
        </w:rPr>
        <w:t>Resistance Traits in Pathogenic Bacteria.</w:t>
      </w:r>
      <w:r>
        <w:rPr>
          <w:rFonts w:ascii="Times New Roman"/>
          <w:i/>
          <w:sz w:val="24"/>
        </w:rPr>
        <w:t>Proceedings of the Royal Society of Biological Sciences</w:t>
      </w:r>
      <w:r>
        <w:rPr>
          <w:rFonts w:ascii="Times New Roman"/>
          <w:sz w:val="24"/>
        </w:rPr>
        <w:t>, 276: 2521- </w:t>
      </w:r>
      <w:r>
        <w:rPr>
          <w:rFonts w:ascii="Times New Roman"/>
          <w:spacing w:val="-2"/>
          <w:sz w:val="24"/>
        </w:rPr>
        <w:t>2530.</w:t>
      </w:r>
    </w:p>
    <w:p>
      <w:pPr>
        <w:pStyle w:val="BodyText"/>
        <w:spacing w:line="273" w:lineRule="auto" w:before="252"/>
        <w:ind w:left="1640" w:right="1176" w:hanging="720"/>
        <w:jc w:val="both"/>
      </w:pPr>
      <w:r>
        <w:rPr/>
        <w:t>Martinez-Freijo, P.</w:t>
      </w:r>
      <w:r>
        <w:rPr>
          <w:i/>
        </w:rPr>
        <w:t>, </w:t>
      </w:r>
      <w:r>
        <w:rPr/>
        <w:t>Fluit, A.C., Schmitz, F.J., Grek, V.S.C., Verhoef, J and Jones, M.E. (1998). Class 1 integrons in gram-negative isolates and association with decreased susceptibility to multiple antibiotic compounds </w:t>
      </w:r>
      <w:r>
        <w:rPr>
          <w:i/>
        </w:rPr>
        <w:t>Journal of Antimicrobial Chemotherapy </w:t>
      </w:r>
      <w:r>
        <w:rPr/>
        <w:t>42: 689-696.</w:t>
      </w:r>
    </w:p>
    <w:p>
      <w:pPr>
        <w:pStyle w:val="BodyText"/>
        <w:spacing w:line="278" w:lineRule="auto" w:before="243"/>
        <w:ind w:left="1640" w:right="1176" w:hanging="720"/>
        <w:jc w:val="both"/>
      </w:pPr>
      <w:r>
        <w:rPr/>
        <w:t>Martinez-Freijo, P., Fluit, A.C., Schmitz, F.J., Verhoef, J and Jones, M.E. (1999). Many class 1 integrons comprise distinct stable structures occurring in different species of Enterobacteriaceae isolated from widespread geographic regions in Europe. </w:t>
      </w:r>
      <w:r>
        <w:rPr>
          <w:i/>
        </w:rPr>
        <w:t>Antimicrobial Agents and Chemotherapy</w:t>
      </w:r>
      <w:r>
        <w:rPr/>
        <w:t>, 43: </w:t>
      </w:r>
      <w:r>
        <w:rPr>
          <w:spacing w:val="-2"/>
        </w:rPr>
        <w:t>686-689.</w:t>
      </w:r>
    </w:p>
    <w:p>
      <w:pPr>
        <w:pStyle w:val="BodyText"/>
      </w:pPr>
    </w:p>
    <w:p>
      <w:pPr>
        <w:pStyle w:val="BodyText"/>
        <w:spacing w:before="165"/>
      </w:pPr>
    </w:p>
    <w:p>
      <w:pPr>
        <w:pStyle w:val="BodyText"/>
        <w:spacing w:line="273" w:lineRule="auto" w:before="1"/>
        <w:ind w:left="1640" w:right="1181" w:hanging="720"/>
        <w:jc w:val="both"/>
      </w:pPr>
      <w:r>
        <w:rPr/>
        <w:t>Matagne, A., Dubus, A., Galleni, M and Frère, J.M. (1999). The beta-lactamase cycle: a tale of selective pressure and bacterial ingenuity. </w:t>
      </w:r>
      <w:r>
        <w:rPr>
          <w:i/>
        </w:rPr>
        <w:t>National Products Report</w:t>
      </w:r>
      <w:r>
        <w:rPr/>
        <w:t>, 16</w:t>
      </w:r>
      <w:r>
        <w:rPr>
          <w:b/>
        </w:rPr>
        <w:t>: </w:t>
      </w:r>
      <w:r>
        <w:rPr/>
        <w:t>1–19.</w:t>
      </w:r>
    </w:p>
    <w:p>
      <w:pPr>
        <w:pStyle w:val="BodyText"/>
        <w:spacing w:line="278" w:lineRule="auto" w:before="242"/>
        <w:ind w:left="1640" w:right="1178" w:hanging="720"/>
        <w:jc w:val="both"/>
      </w:pPr>
      <w:r>
        <w:rPr/>
        <w:t>Matthew, A.G. (2007). Antibiotic Resistance in Bacteria Associated with Food Animals: A United States perspective of Livestock Production. </w:t>
      </w:r>
      <w:r>
        <w:rPr>
          <w:i/>
        </w:rPr>
        <w:t>Foodborne Pathogens and Disease</w:t>
      </w:r>
      <w:r>
        <w:rPr/>
        <w:t>. 4: 115-133</w:t>
      </w:r>
    </w:p>
    <w:p>
      <w:pPr>
        <w:pStyle w:val="BodyText"/>
      </w:pPr>
    </w:p>
    <w:p>
      <w:pPr>
        <w:pStyle w:val="BodyText"/>
        <w:spacing w:before="169"/>
      </w:pPr>
    </w:p>
    <w:p>
      <w:pPr>
        <w:pStyle w:val="BodyText"/>
        <w:spacing w:line="276" w:lineRule="auto"/>
        <w:ind w:left="1640" w:right="1176" w:hanging="720"/>
        <w:jc w:val="both"/>
      </w:pPr>
      <w:r>
        <w:rPr/>
        <w:t>May,</w:t>
      </w:r>
      <w:r>
        <w:rPr>
          <w:spacing w:val="-2"/>
        </w:rPr>
        <w:t> </w:t>
      </w:r>
      <w:r>
        <w:rPr/>
        <w:t>J. M.,</w:t>
      </w:r>
      <w:r>
        <w:rPr>
          <w:spacing w:val="-2"/>
        </w:rPr>
        <w:t> </w:t>
      </w:r>
      <w:r>
        <w:rPr/>
        <w:t>Qu,</w:t>
      </w:r>
      <w:r>
        <w:rPr>
          <w:spacing w:val="-2"/>
        </w:rPr>
        <w:t> </w:t>
      </w:r>
      <w:r>
        <w:rPr/>
        <w:t>Z</w:t>
      </w:r>
      <w:r>
        <w:rPr>
          <w:spacing w:val="-2"/>
        </w:rPr>
        <w:t> </w:t>
      </w:r>
      <w:r>
        <w:rPr/>
        <w:t>and Whitesell,</w:t>
      </w:r>
      <w:r>
        <w:rPr>
          <w:spacing w:val="-2"/>
        </w:rPr>
        <w:t> </w:t>
      </w:r>
      <w:r>
        <w:rPr/>
        <w:t>R. R. (2003). Generation of oxidant</w:t>
      </w:r>
      <w:r>
        <w:rPr>
          <w:spacing w:val="-1"/>
        </w:rPr>
        <w:t> </w:t>
      </w:r>
      <w:r>
        <w:rPr/>
        <w:t>stress in cultured endothelial</w:t>
      </w:r>
      <w:r>
        <w:rPr>
          <w:spacing w:val="-2"/>
        </w:rPr>
        <w:t> </w:t>
      </w:r>
      <w:r>
        <w:rPr/>
        <w:t>cells</w:t>
      </w:r>
      <w:r>
        <w:rPr>
          <w:spacing w:val="-4"/>
        </w:rPr>
        <w:t> </w:t>
      </w:r>
      <w:r>
        <w:rPr/>
        <w:t>by methylene blue: protective effects of glucose and ascorbic acid. </w:t>
      </w:r>
      <w:r>
        <w:rPr>
          <w:i/>
        </w:rPr>
        <w:t>Biochemical Pharmacology</w:t>
      </w:r>
      <w:r>
        <w:rPr>
          <w:i/>
          <w:spacing w:val="40"/>
        </w:rPr>
        <w:t> </w:t>
      </w:r>
      <w:r>
        <w:rPr/>
        <w:t>66: </w:t>
      </w:r>
      <w:r>
        <w:rPr>
          <w:spacing w:val="-2"/>
        </w:rPr>
        <w:t>777–784.</w:t>
      </w:r>
    </w:p>
    <w:p>
      <w:pPr>
        <w:pStyle w:val="BodyText"/>
        <w:spacing w:line="276" w:lineRule="auto" w:before="240"/>
        <w:ind w:left="1640" w:right="1181" w:hanging="720"/>
        <w:jc w:val="both"/>
      </w:pPr>
      <w:r>
        <w:rPr/>
        <w:t>Mazurek, J., Salehi, E., Propes, D., Holt, J., Bannerman, T., Nicholson, L.M., Bundesen, M., Duffy, R and Moolenaar, R.L. (2004). A multistate outbreak of </w:t>
      </w:r>
      <w:r>
        <w:rPr>
          <w:i/>
        </w:rPr>
        <w:t>Salmonella </w:t>
      </w:r>
      <w:r>
        <w:rPr/>
        <w:t>enterica serotype Typhimurium infection linked to raw milk consumption-Ohio. </w:t>
      </w:r>
      <w:r>
        <w:rPr>
          <w:i/>
        </w:rPr>
        <w:t>Journal of Food Protection</w:t>
      </w:r>
      <w:r>
        <w:rPr/>
        <w:t>. 67: 2165–2170.</w:t>
      </w:r>
    </w:p>
    <w:p>
      <w:pPr>
        <w:pStyle w:val="BodyText"/>
        <w:spacing w:line="273" w:lineRule="auto" w:before="240"/>
        <w:ind w:left="1640" w:right="1178" w:hanging="720"/>
        <w:jc w:val="both"/>
      </w:pPr>
      <w:r>
        <w:rPr/>
        <w:t>McDermott, P.F., Zhao, S., Wagner, D.D., Simjee, S., Walker, R. D and White, D.G. (2002). The Food</w:t>
      </w:r>
      <w:r>
        <w:rPr>
          <w:spacing w:val="40"/>
        </w:rPr>
        <w:t> </w:t>
      </w:r>
      <w:r>
        <w:rPr/>
        <w:t>Safety Perspective of Antibiotic Resistance.</w:t>
      </w:r>
      <w:r>
        <w:rPr>
          <w:i/>
        </w:rPr>
        <w:t>Animal Biotechnology</w:t>
      </w:r>
      <w:r>
        <w:rPr/>
        <w:t>, 13: 71-84</w:t>
      </w:r>
    </w:p>
    <w:p>
      <w:pPr>
        <w:pStyle w:val="BodyText"/>
        <w:spacing w:line="276" w:lineRule="auto" w:before="242"/>
        <w:ind w:left="1640" w:right="1178" w:hanging="720"/>
        <w:jc w:val="both"/>
      </w:pPr>
      <w:r>
        <w:rPr/>
        <w:t>McMahon, M.A.S., Xu, J., Moore, J.E., Blair, I. S and McDowell, D.A. (2007).Environmental Stress and Antibiotic Resistance in Food-Related Pathogens.</w:t>
      </w:r>
      <w:r>
        <w:rPr>
          <w:i/>
        </w:rPr>
        <w:t>Applied Environmental Microbiology</w:t>
      </w:r>
      <w:r>
        <w:rPr/>
        <w:t>, 73: 211- </w:t>
      </w:r>
      <w:r>
        <w:rPr>
          <w:spacing w:val="-4"/>
        </w:rPr>
        <w:t>217.</w:t>
      </w:r>
    </w:p>
    <w:p>
      <w:pPr>
        <w:pStyle w:val="BodyText"/>
        <w:spacing w:line="276" w:lineRule="auto" w:before="240"/>
        <w:ind w:left="1640" w:right="1184" w:hanging="720"/>
        <w:jc w:val="both"/>
      </w:pPr>
      <w:r>
        <w:rPr/>
        <w:t>Mead, P. S., Slutsker, L., Dietz, V., Mccaig, L.F., Bresee, J.S., Shapiro, C., Griffin, P.M and Tauxe, R. V. (1999). Food-related illness and death in the United States.</w:t>
      </w:r>
      <w:r>
        <w:rPr>
          <w:i/>
        </w:rPr>
        <w:t>Emerging Infectious Diseases</w:t>
      </w:r>
      <w:r>
        <w:rPr/>
        <w:t>,</w:t>
      </w:r>
      <w:r>
        <w:rPr>
          <w:spacing w:val="-2"/>
        </w:rPr>
        <w:t> </w:t>
      </w:r>
      <w:r>
        <w:rPr/>
        <w:t>5:</w:t>
      </w:r>
      <w:r>
        <w:rPr>
          <w:spacing w:val="-1"/>
        </w:rPr>
        <w:t> </w:t>
      </w:r>
      <w:r>
        <w:rPr/>
        <w:t>607- </w:t>
      </w:r>
      <w:r>
        <w:rPr>
          <w:spacing w:val="-4"/>
        </w:rPr>
        <w:t>625.</w:t>
      </w:r>
    </w:p>
    <w:p>
      <w:pPr>
        <w:spacing w:after="0" w:line="276" w:lineRule="auto"/>
        <w:jc w:val="both"/>
        <w:sectPr>
          <w:pgSz w:w="12240" w:h="15840"/>
          <w:pgMar w:header="0" w:footer="1017" w:top="1360" w:bottom="1200" w:left="520" w:right="260"/>
        </w:sectPr>
      </w:pPr>
    </w:p>
    <w:p>
      <w:pPr>
        <w:spacing w:line="276" w:lineRule="auto" w:before="72"/>
        <w:ind w:left="1640" w:right="1183" w:hanging="720"/>
        <w:jc w:val="both"/>
        <w:rPr>
          <w:rFonts w:ascii="Times New Roman" w:hAnsi="Times New Roman"/>
          <w:sz w:val="24"/>
        </w:rPr>
      </w:pPr>
      <w:r>
        <w:rPr>
          <w:rFonts w:ascii="Times New Roman" w:hAnsi="Times New Roman"/>
          <w:sz w:val="24"/>
        </w:rPr>
        <w:t>Medhammar, E., Wijesinha-Bettoni, R., Stadlmayr, B., Nilsson, E., Charrondiere, U. R and Burlingame, B. (2012).Composition of milk from minor dairy animals and buffalo</w:t>
      </w:r>
      <w:r>
        <w:rPr>
          <w:rFonts w:ascii="Times New Roman" w:hAnsi="Times New Roman"/>
          <w:spacing w:val="40"/>
          <w:sz w:val="24"/>
        </w:rPr>
        <w:t> </w:t>
      </w:r>
      <w:r>
        <w:rPr>
          <w:rFonts w:ascii="Times New Roman" w:hAnsi="Times New Roman"/>
          <w:sz w:val="24"/>
        </w:rPr>
        <w:t>breeds: a biodiversity</w:t>
      </w:r>
      <w:r>
        <w:rPr>
          <w:rFonts w:ascii="Times New Roman" w:hAnsi="Times New Roman"/>
          <w:spacing w:val="-6"/>
          <w:sz w:val="24"/>
        </w:rPr>
        <w:t> </w:t>
      </w:r>
      <w:r>
        <w:rPr>
          <w:rFonts w:ascii="Times New Roman" w:hAnsi="Times New Roman"/>
          <w:sz w:val="24"/>
        </w:rPr>
        <w:t>perspective. </w:t>
      </w:r>
      <w:r>
        <w:rPr>
          <w:rFonts w:ascii="Times New Roman" w:hAnsi="Times New Roman"/>
          <w:i/>
          <w:sz w:val="24"/>
        </w:rPr>
        <w:t>Journal</w:t>
      </w:r>
      <w:r>
        <w:rPr>
          <w:rFonts w:ascii="Times New Roman" w:hAnsi="Times New Roman"/>
          <w:i/>
          <w:spacing w:val="-2"/>
          <w:sz w:val="24"/>
        </w:rPr>
        <w:t> </w:t>
      </w:r>
      <w:r>
        <w:rPr>
          <w:rFonts w:ascii="Times New Roman" w:hAnsi="Times New Roman"/>
          <w:i/>
          <w:sz w:val="24"/>
        </w:rPr>
        <w:t>of the</w:t>
      </w:r>
      <w:r>
        <w:rPr>
          <w:rFonts w:ascii="Times New Roman" w:hAnsi="Times New Roman"/>
          <w:i/>
          <w:spacing w:val="-2"/>
          <w:sz w:val="24"/>
        </w:rPr>
        <w:t> </w:t>
      </w:r>
      <w:r>
        <w:rPr>
          <w:rFonts w:ascii="Times New Roman" w:hAnsi="Times New Roman"/>
          <w:i/>
          <w:sz w:val="24"/>
        </w:rPr>
        <w:t>Science</w:t>
      </w:r>
      <w:r>
        <w:rPr>
          <w:rFonts w:ascii="Times New Roman" w:hAnsi="Times New Roman"/>
          <w:i/>
          <w:spacing w:val="-2"/>
          <w:sz w:val="24"/>
        </w:rPr>
        <w:t> </w:t>
      </w:r>
      <w:r>
        <w:rPr>
          <w:rFonts w:ascii="Times New Roman" w:hAnsi="Times New Roman"/>
          <w:i/>
          <w:sz w:val="24"/>
        </w:rPr>
        <w:t>of Food</w:t>
      </w:r>
      <w:r>
        <w:rPr>
          <w:rFonts w:ascii="Times New Roman" w:hAnsi="Times New Roman"/>
          <w:i/>
          <w:spacing w:val="-2"/>
          <w:sz w:val="24"/>
        </w:rPr>
        <w:t> </w:t>
      </w:r>
      <w:r>
        <w:rPr>
          <w:rFonts w:ascii="Times New Roman" w:hAnsi="Times New Roman"/>
          <w:i/>
          <w:sz w:val="24"/>
        </w:rPr>
        <w:t>and Agriculture,</w:t>
      </w:r>
      <w:r>
        <w:rPr>
          <w:rFonts w:ascii="Times New Roman" w:hAnsi="Times New Roman"/>
          <w:sz w:val="24"/>
        </w:rPr>
        <w:t>92</w:t>
      </w:r>
      <w:r>
        <w:rPr>
          <w:rFonts w:ascii="Times New Roman" w:hAnsi="Times New Roman"/>
          <w:spacing w:val="-2"/>
          <w:sz w:val="24"/>
        </w:rPr>
        <w:t> </w:t>
      </w:r>
      <w:r>
        <w:rPr>
          <w:rFonts w:ascii="Times New Roman" w:hAnsi="Times New Roman"/>
          <w:sz w:val="24"/>
        </w:rPr>
        <w:t>(3): </w:t>
      </w:r>
      <w:r>
        <w:rPr>
          <w:rFonts w:ascii="Times New Roman" w:hAnsi="Times New Roman"/>
          <w:spacing w:val="-2"/>
          <w:sz w:val="24"/>
        </w:rPr>
        <w:t>445–474.</w:t>
      </w:r>
    </w:p>
    <w:p>
      <w:pPr>
        <w:spacing w:line="276" w:lineRule="auto" w:before="247"/>
        <w:ind w:left="1640" w:right="1175" w:hanging="720"/>
        <w:jc w:val="both"/>
        <w:rPr>
          <w:sz w:val="22"/>
        </w:rPr>
      </w:pPr>
      <w:r>
        <w:rPr>
          <w:sz w:val="22"/>
        </w:rPr>
        <w:t>Meng, J., Doyle, P. M., Zhao, S and Zhao, T. (2001).Enterohemorrhagic</w:t>
      </w:r>
      <w:r>
        <w:rPr>
          <w:spacing w:val="40"/>
          <w:sz w:val="22"/>
        </w:rPr>
        <w:t> </w:t>
      </w:r>
      <w:r>
        <w:rPr>
          <w:i/>
          <w:sz w:val="22"/>
        </w:rPr>
        <w:t>Escherichia coli</w:t>
      </w:r>
      <w:r>
        <w:rPr>
          <w:sz w:val="22"/>
        </w:rPr>
        <w:t>.</w:t>
      </w:r>
      <w:r>
        <w:rPr>
          <w:spacing w:val="40"/>
          <w:sz w:val="22"/>
        </w:rPr>
        <w:t> </w:t>
      </w:r>
      <w:r>
        <w:rPr>
          <w:sz w:val="22"/>
        </w:rPr>
        <w:t>In: Doyle M.P., Beuchat,</w:t>
      </w:r>
      <w:r>
        <w:rPr>
          <w:spacing w:val="-3"/>
          <w:sz w:val="22"/>
        </w:rPr>
        <w:t> </w:t>
      </w:r>
      <w:r>
        <w:rPr>
          <w:sz w:val="22"/>
        </w:rPr>
        <w:t>L.R.,</w:t>
      </w:r>
      <w:r>
        <w:rPr>
          <w:spacing w:val="-3"/>
          <w:sz w:val="22"/>
        </w:rPr>
        <w:t> </w:t>
      </w:r>
      <w:r>
        <w:rPr>
          <w:sz w:val="22"/>
        </w:rPr>
        <w:t>Montville,</w:t>
      </w:r>
      <w:r>
        <w:rPr>
          <w:spacing w:val="-3"/>
          <w:sz w:val="22"/>
        </w:rPr>
        <w:t> </w:t>
      </w:r>
      <w:r>
        <w:rPr>
          <w:sz w:val="22"/>
        </w:rPr>
        <w:t>T.J. (Eds.)</w:t>
      </w:r>
      <w:r>
        <w:rPr>
          <w:spacing w:val="-4"/>
          <w:sz w:val="22"/>
        </w:rPr>
        <w:t> </w:t>
      </w:r>
      <w:r>
        <w:rPr>
          <w:i/>
          <w:sz w:val="22"/>
        </w:rPr>
        <w:t>Food Microbiology:</w:t>
      </w:r>
      <w:r>
        <w:rPr>
          <w:i/>
          <w:spacing w:val="-6"/>
          <w:sz w:val="22"/>
        </w:rPr>
        <w:t> </w:t>
      </w:r>
      <w:r>
        <w:rPr>
          <w:i/>
          <w:sz w:val="22"/>
        </w:rPr>
        <w:t>Fundamentals and</w:t>
      </w:r>
      <w:r>
        <w:rPr>
          <w:i/>
          <w:spacing w:val="-3"/>
          <w:sz w:val="22"/>
        </w:rPr>
        <w:t> </w:t>
      </w:r>
      <w:r>
        <w:rPr>
          <w:i/>
          <w:sz w:val="22"/>
        </w:rPr>
        <w:t>Frontiers</w:t>
      </w:r>
      <w:r>
        <w:rPr>
          <w:sz w:val="22"/>
        </w:rPr>
        <w:t>. 2nd</w:t>
      </w:r>
      <w:r>
        <w:rPr>
          <w:spacing w:val="-1"/>
          <w:sz w:val="22"/>
        </w:rPr>
        <w:t> </w:t>
      </w:r>
      <w:r>
        <w:rPr>
          <w:sz w:val="22"/>
        </w:rPr>
        <w:t>Ed.</w:t>
      </w:r>
      <w:r>
        <w:rPr>
          <w:spacing w:val="-3"/>
          <w:sz w:val="22"/>
        </w:rPr>
        <w:t> </w:t>
      </w:r>
      <w:r>
        <w:rPr>
          <w:sz w:val="22"/>
        </w:rPr>
        <w:t>ASM Press,Washington, D. C. PP. 171-191.</w:t>
      </w:r>
    </w:p>
    <w:p>
      <w:pPr>
        <w:spacing w:line="278" w:lineRule="auto" w:before="240"/>
        <w:ind w:left="1640" w:right="1179" w:hanging="720"/>
        <w:jc w:val="both"/>
        <w:rPr>
          <w:sz w:val="22"/>
        </w:rPr>
      </w:pPr>
      <w:r>
        <w:rPr>
          <w:sz w:val="22"/>
        </w:rPr>
        <w:t>Mingeot-Leclercq, M.P., Glupczynski, Y and Tulkens, P.M. (1999). Aminoglycosides: activity and resistance. </w:t>
      </w:r>
      <w:r>
        <w:rPr>
          <w:i/>
          <w:sz w:val="22"/>
        </w:rPr>
        <w:t>Antimicrobial Agents and Chemotherapy</w:t>
      </w:r>
      <w:r>
        <w:rPr>
          <w:sz w:val="22"/>
        </w:rPr>
        <w:t>, 43: 727-737.</w:t>
      </w:r>
    </w:p>
    <w:p>
      <w:pPr>
        <w:pStyle w:val="BodyText"/>
        <w:spacing w:line="278" w:lineRule="auto" w:before="236"/>
        <w:ind w:left="1640" w:right="1181" w:hanging="720"/>
        <w:jc w:val="both"/>
      </w:pPr>
      <w:r>
        <w:rPr/>
        <w:t>Miriagou, V., Carattoli, A and Fanning, S. (2006). Antimicrobial resistance islands: resistance gene</w:t>
      </w:r>
      <w:r>
        <w:rPr>
          <w:spacing w:val="40"/>
        </w:rPr>
        <w:t> </w:t>
      </w:r>
      <w:r>
        <w:rPr/>
        <w:t>clusters in </w:t>
      </w:r>
      <w:r>
        <w:rPr>
          <w:i/>
        </w:rPr>
        <w:t>Salmonella </w:t>
      </w:r>
      <w:r>
        <w:rPr/>
        <w:t>chromosome and plasmids. </w:t>
      </w:r>
      <w:r>
        <w:rPr>
          <w:i/>
        </w:rPr>
        <w:t>Microbes and Infection</w:t>
      </w:r>
      <w:r>
        <w:rPr/>
        <w:t>, 8: 1923-1930.</w:t>
      </w:r>
    </w:p>
    <w:p>
      <w:pPr>
        <w:pStyle w:val="BodyText"/>
      </w:pPr>
    </w:p>
    <w:p>
      <w:pPr>
        <w:pStyle w:val="BodyText"/>
        <w:spacing w:before="169"/>
      </w:pPr>
    </w:p>
    <w:p>
      <w:pPr>
        <w:spacing w:line="273" w:lineRule="auto" w:before="1"/>
        <w:ind w:left="1640" w:right="1183" w:hanging="720"/>
        <w:jc w:val="both"/>
        <w:rPr>
          <w:sz w:val="22"/>
        </w:rPr>
      </w:pPr>
      <w:r>
        <w:rPr>
          <w:sz w:val="22"/>
        </w:rPr>
        <w:t>Mittmann, N., Jivarj, N., Wong, F and Yoon, A.A (2002)."Oral fluoroquinolones in the treatment of pneumonia, bronchitis and sinusitis".</w:t>
      </w:r>
      <w:r>
        <w:rPr>
          <w:i/>
          <w:sz w:val="22"/>
        </w:rPr>
        <w:t>Canadian Journal of Infectious Diseases</w:t>
      </w:r>
      <w:r>
        <w:rPr>
          <w:sz w:val="22"/>
        </w:rPr>
        <w:t>13 (5): 293–300.</w:t>
      </w:r>
    </w:p>
    <w:p>
      <w:pPr>
        <w:pStyle w:val="BodyText"/>
      </w:pPr>
    </w:p>
    <w:p>
      <w:pPr>
        <w:pStyle w:val="BodyText"/>
        <w:spacing w:before="175"/>
      </w:pPr>
    </w:p>
    <w:p>
      <w:pPr>
        <w:spacing w:line="273" w:lineRule="auto" w:before="0"/>
        <w:ind w:left="1640" w:right="1176" w:hanging="720"/>
        <w:jc w:val="both"/>
        <w:rPr>
          <w:sz w:val="22"/>
        </w:rPr>
      </w:pPr>
      <w:r>
        <w:rPr>
          <w:sz w:val="22"/>
        </w:rPr>
        <w:t>Moore, D., Dowhan, D., Chory, J and Ribaudo, R.K. (2002).Isolation and purification of large DNA fragments from agarose gels.</w:t>
      </w:r>
      <w:r>
        <w:rPr>
          <w:i/>
          <w:sz w:val="22"/>
        </w:rPr>
        <w:t>Current Protocol in Molecular Biology</w:t>
      </w:r>
      <w:r>
        <w:rPr>
          <w:sz w:val="22"/>
        </w:rPr>
        <w:t>,59:2.6.1-2.6.12.</w:t>
      </w:r>
    </w:p>
    <w:p>
      <w:pPr>
        <w:pStyle w:val="BodyText"/>
        <w:spacing w:line="278" w:lineRule="auto" w:before="242"/>
        <w:ind w:left="1640" w:right="1176" w:hanging="720"/>
        <w:jc w:val="both"/>
      </w:pPr>
      <w:r>
        <w:rPr/>
        <w:t>Mora, A., Blanco, M., Blanco, J.E., Alonso, M.P., Dhabi, G., Thompson-Carter, F., User, M.A., Bartolome, R., Prats, G and Blanco, J. (2004). Phage types and genotypes of human and animal Shiga toxin producing </w:t>
      </w:r>
      <w:r>
        <w:rPr>
          <w:i/>
        </w:rPr>
        <w:t>Escherichia coli </w:t>
      </w:r>
      <w:r>
        <w:rPr/>
        <w:t>O157:H7 in Spain. Identification of two predominating phage types (PT2 and PT8).</w:t>
      </w:r>
      <w:r>
        <w:rPr>
          <w:i/>
        </w:rPr>
        <w:t>Journal of</w:t>
      </w:r>
      <w:r>
        <w:rPr>
          <w:i/>
          <w:spacing w:val="40"/>
        </w:rPr>
        <w:t> </w:t>
      </w:r>
      <w:r>
        <w:rPr>
          <w:i/>
        </w:rPr>
        <w:t>Clinical Microbiology</w:t>
      </w:r>
      <w:r>
        <w:rPr/>
        <w:t>. 42: 4007-4015.</w:t>
      </w:r>
    </w:p>
    <w:p>
      <w:pPr>
        <w:spacing w:line="276" w:lineRule="auto" w:before="232"/>
        <w:ind w:left="1640" w:right="1179" w:hanging="720"/>
        <w:jc w:val="both"/>
        <w:rPr>
          <w:sz w:val="22"/>
        </w:rPr>
      </w:pPr>
      <w:r>
        <w:rPr>
          <w:sz w:val="22"/>
        </w:rPr>
        <w:t>Murinda, S.E., Nguyen, L.T., Nan, H. M and Almeida, R.A., (2004).Detection of sorbitol negative and sorbitol-positive shiga toxin-producing </w:t>
      </w:r>
      <w:r>
        <w:rPr>
          <w:i/>
          <w:sz w:val="22"/>
        </w:rPr>
        <w:t>Escherichia coli</w:t>
      </w:r>
      <w:r>
        <w:rPr>
          <w:sz w:val="22"/>
        </w:rPr>
        <w:t>, </w:t>
      </w:r>
      <w:r>
        <w:rPr>
          <w:i/>
          <w:sz w:val="22"/>
        </w:rPr>
        <w:t>Listeria monocytogenes</w:t>
      </w:r>
      <w:r>
        <w:rPr>
          <w:sz w:val="22"/>
        </w:rPr>
        <w:t>, </w:t>
      </w:r>
      <w:r>
        <w:rPr>
          <w:i/>
          <w:sz w:val="22"/>
        </w:rPr>
        <w:t>Campylobacter jejuni </w:t>
      </w:r>
      <w:r>
        <w:rPr>
          <w:sz w:val="22"/>
        </w:rPr>
        <w:t>and </w:t>
      </w:r>
      <w:r>
        <w:rPr>
          <w:i/>
          <w:sz w:val="22"/>
        </w:rPr>
        <w:t>Salmonella </w:t>
      </w:r>
      <w:r>
        <w:rPr>
          <w:sz w:val="22"/>
        </w:rPr>
        <w:t>species in dairy farm environments.</w:t>
      </w:r>
      <w:r>
        <w:rPr>
          <w:i/>
          <w:sz w:val="22"/>
        </w:rPr>
        <w:t>Foodborne Pathogens and Disease, 1</w:t>
      </w:r>
      <w:r>
        <w:rPr>
          <w:sz w:val="22"/>
        </w:rPr>
        <w:t>: </w:t>
      </w:r>
      <w:r>
        <w:rPr>
          <w:spacing w:val="-2"/>
          <w:sz w:val="22"/>
        </w:rPr>
        <w:t>97–104.</w:t>
      </w:r>
    </w:p>
    <w:p>
      <w:pPr>
        <w:spacing w:before="239"/>
        <w:ind w:left="920" w:right="0" w:firstLine="0"/>
        <w:jc w:val="left"/>
        <w:rPr>
          <w:sz w:val="22"/>
        </w:rPr>
      </w:pPr>
      <w:r>
        <w:rPr>
          <w:sz w:val="22"/>
        </w:rPr>
        <w:t>Murphy,</w:t>
      </w:r>
      <w:r>
        <w:rPr>
          <w:spacing w:val="21"/>
          <w:sz w:val="22"/>
        </w:rPr>
        <w:t> </w:t>
      </w:r>
      <w:r>
        <w:rPr>
          <w:sz w:val="22"/>
        </w:rPr>
        <w:t>S.C.</w:t>
      </w:r>
      <w:r>
        <w:rPr>
          <w:spacing w:val="25"/>
          <w:sz w:val="22"/>
        </w:rPr>
        <w:t> </w:t>
      </w:r>
      <w:r>
        <w:rPr>
          <w:sz w:val="22"/>
        </w:rPr>
        <w:t>(1996).</w:t>
      </w:r>
      <w:r>
        <w:rPr>
          <w:spacing w:val="26"/>
          <w:sz w:val="22"/>
        </w:rPr>
        <w:t> </w:t>
      </w:r>
      <w:r>
        <w:rPr>
          <w:i/>
          <w:sz w:val="22"/>
        </w:rPr>
        <w:t>Sources</w:t>
      </w:r>
      <w:r>
        <w:rPr>
          <w:i/>
          <w:spacing w:val="23"/>
          <w:sz w:val="22"/>
        </w:rPr>
        <w:t> </w:t>
      </w:r>
      <w:r>
        <w:rPr>
          <w:i/>
          <w:sz w:val="22"/>
        </w:rPr>
        <w:t>and</w:t>
      </w:r>
      <w:r>
        <w:rPr>
          <w:i/>
          <w:spacing w:val="25"/>
          <w:sz w:val="22"/>
        </w:rPr>
        <w:t> </w:t>
      </w:r>
      <w:r>
        <w:rPr>
          <w:i/>
          <w:sz w:val="22"/>
        </w:rPr>
        <w:t>Causes</w:t>
      </w:r>
      <w:r>
        <w:rPr>
          <w:i/>
          <w:spacing w:val="19"/>
          <w:sz w:val="22"/>
        </w:rPr>
        <w:t> </w:t>
      </w:r>
      <w:r>
        <w:rPr>
          <w:i/>
          <w:sz w:val="22"/>
        </w:rPr>
        <w:t>of</w:t>
      </w:r>
      <w:r>
        <w:rPr>
          <w:i/>
          <w:spacing w:val="24"/>
          <w:sz w:val="22"/>
        </w:rPr>
        <w:t> </w:t>
      </w:r>
      <w:r>
        <w:rPr>
          <w:i/>
          <w:sz w:val="22"/>
        </w:rPr>
        <w:t>High</w:t>
      </w:r>
      <w:r>
        <w:rPr>
          <w:i/>
          <w:spacing w:val="24"/>
          <w:sz w:val="22"/>
        </w:rPr>
        <w:t> </w:t>
      </w:r>
      <w:r>
        <w:rPr>
          <w:i/>
          <w:sz w:val="22"/>
        </w:rPr>
        <w:t>Bacteria</w:t>
      </w:r>
      <w:r>
        <w:rPr>
          <w:i/>
          <w:spacing w:val="24"/>
          <w:sz w:val="22"/>
        </w:rPr>
        <w:t> </w:t>
      </w:r>
      <w:r>
        <w:rPr>
          <w:i/>
          <w:sz w:val="22"/>
        </w:rPr>
        <w:t>Count</w:t>
      </w:r>
      <w:r>
        <w:rPr>
          <w:i/>
          <w:spacing w:val="22"/>
          <w:sz w:val="22"/>
        </w:rPr>
        <w:t> </w:t>
      </w:r>
      <w:r>
        <w:rPr>
          <w:i/>
          <w:sz w:val="22"/>
        </w:rPr>
        <w:t>in</w:t>
      </w:r>
      <w:r>
        <w:rPr>
          <w:i/>
          <w:spacing w:val="24"/>
          <w:sz w:val="22"/>
        </w:rPr>
        <w:t> </w:t>
      </w:r>
      <w:r>
        <w:rPr>
          <w:i/>
          <w:sz w:val="22"/>
        </w:rPr>
        <w:t>Raw</w:t>
      </w:r>
      <w:r>
        <w:rPr>
          <w:i/>
          <w:spacing w:val="24"/>
          <w:sz w:val="22"/>
        </w:rPr>
        <w:t> </w:t>
      </w:r>
      <w:r>
        <w:rPr>
          <w:i/>
          <w:sz w:val="22"/>
        </w:rPr>
        <w:t>Milk</w:t>
      </w:r>
      <w:r>
        <w:rPr>
          <w:sz w:val="22"/>
        </w:rPr>
        <w:t>:</w:t>
      </w:r>
      <w:r>
        <w:rPr>
          <w:spacing w:val="22"/>
          <w:sz w:val="22"/>
        </w:rPr>
        <w:t> </w:t>
      </w:r>
      <w:r>
        <w:rPr>
          <w:sz w:val="22"/>
        </w:rPr>
        <w:t>AnAbbreviated</w:t>
      </w:r>
      <w:r>
        <w:rPr>
          <w:spacing w:val="23"/>
          <w:sz w:val="22"/>
        </w:rPr>
        <w:t> </w:t>
      </w:r>
      <w:r>
        <w:rPr>
          <w:spacing w:val="-2"/>
          <w:sz w:val="22"/>
        </w:rPr>
        <w:t>Review.</w:t>
      </w:r>
    </w:p>
    <w:p>
      <w:pPr>
        <w:pStyle w:val="BodyText"/>
        <w:spacing w:before="43"/>
        <w:ind w:left="1640"/>
      </w:pPr>
      <w:r>
        <w:rPr/>
        <w:t>Cornell</w:t>
      </w:r>
      <w:r>
        <w:rPr>
          <w:spacing w:val="-4"/>
        </w:rPr>
        <w:t> </w:t>
      </w:r>
      <w:r>
        <w:rPr/>
        <w:t>University,</w:t>
      </w:r>
      <w:r>
        <w:rPr>
          <w:spacing w:val="-6"/>
        </w:rPr>
        <w:t> </w:t>
      </w:r>
      <w:r>
        <w:rPr/>
        <w:t>Ithaca,</w:t>
      </w:r>
      <w:r>
        <w:rPr>
          <w:spacing w:val="-6"/>
        </w:rPr>
        <w:t> </w:t>
      </w:r>
      <w:r>
        <w:rPr/>
        <w:t>N.Y.</w:t>
      </w:r>
      <w:r>
        <w:rPr>
          <w:spacing w:val="-2"/>
        </w:rPr>
        <w:t> </w:t>
      </w:r>
      <w:r>
        <w:rPr/>
        <w:t>PP.</w:t>
      </w:r>
      <w:r>
        <w:rPr>
          <w:spacing w:val="-1"/>
        </w:rPr>
        <w:t> </w:t>
      </w:r>
      <w:r>
        <w:rPr/>
        <w:t>1-</w:t>
      </w:r>
      <w:r>
        <w:rPr>
          <w:spacing w:val="-5"/>
        </w:rPr>
        <w:t>4.</w:t>
      </w:r>
    </w:p>
    <w:p>
      <w:pPr>
        <w:pStyle w:val="BodyText"/>
        <w:spacing w:before="10"/>
      </w:pPr>
    </w:p>
    <w:p>
      <w:pPr>
        <w:spacing w:line="273" w:lineRule="auto" w:before="0"/>
        <w:ind w:left="1640" w:right="1180" w:hanging="720"/>
        <w:jc w:val="both"/>
        <w:rPr>
          <w:sz w:val="22"/>
        </w:rPr>
      </w:pPr>
      <w:r>
        <w:rPr>
          <w:sz w:val="22"/>
        </w:rPr>
        <w:t>Murphy, S. C and Boor, K.J. (2000).Trouble shooting sources and causes of high bacteria counts in raw milk.</w:t>
      </w:r>
      <w:r>
        <w:rPr>
          <w:i/>
          <w:sz w:val="22"/>
        </w:rPr>
        <w:t>Dairy Food and Environmental Sanitation</w:t>
      </w:r>
      <w:r>
        <w:rPr>
          <w:sz w:val="22"/>
        </w:rPr>
        <w:t>, 20(8): 606-611.</w:t>
      </w:r>
    </w:p>
    <w:p>
      <w:pPr>
        <w:spacing w:line="278" w:lineRule="auto" w:before="242"/>
        <w:ind w:left="1640" w:right="1186" w:hanging="720"/>
        <w:jc w:val="both"/>
        <w:rPr>
          <w:sz w:val="22"/>
        </w:rPr>
      </w:pPr>
      <w:r>
        <w:rPr>
          <w:sz w:val="22"/>
        </w:rPr>
        <w:t>Murray, I.A and Shaw, W. V. (1997).O-acethyltransferases for chloramphenicol and other natural products.</w:t>
      </w:r>
      <w:r>
        <w:rPr>
          <w:i/>
          <w:sz w:val="22"/>
        </w:rPr>
        <w:t>Antimicrobial Agents and Chemotherapy, </w:t>
      </w:r>
      <w:r>
        <w:rPr>
          <w:sz w:val="22"/>
        </w:rPr>
        <w:t>41:1-6.</w:t>
      </w:r>
    </w:p>
    <w:p>
      <w:pPr>
        <w:spacing w:after="0" w:line="278" w:lineRule="auto"/>
        <w:jc w:val="both"/>
        <w:rPr>
          <w:sz w:val="22"/>
        </w:rPr>
        <w:sectPr>
          <w:pgSz w:w="12240" w:h="15840"/>
          <w:pgMar w:header="0" w:footer="1017" w:top="1360" w:bottom="1200" w:left="520" w:right="260"/>
        </w:sectPr>
      </w:pPr>
    </w:p>
    <w:p>
      <w:pPr>
        <w:spacing w:line="276" w:lineRule="auto" w:before="41"/>
        <w:ind w:left="1640" w:right="1175" w:hanging="720"/>
        <w:jc w:val="both"/>
        <w:rPr>
          <w:sz w:val="22"/>
        </w:rPr>
      </w:pPr>
      <w:r>
        <w:rPr>
          <w:sz w:val="22"/>
        </w:rPr>
        <w:t>Mustapha, A., Hertzler, S. R and Savaiano, D.A. (1997). Lactose: Nutritional significance. In Fox PF (ed): “</w:t>
      </w:r>
      <w:r>
        <w:rPr>
          <w:i/>
          <w:sz w:val="22"/>
        </w:rPr>
        <w:t>Advanced Dairy Chemistry. Volume 3: Lactose, Water, Salts and Vitamins</w:t>
      </w:r>
      <w:r>
        <w:rPr>
          <w:sz w:val="22"/>
        </w:rPr>
        <w:t>,” 2nd ed. London:Chapman and Hall, PP 127–154.</w:t>
      </w:r>
    </w:p>
    <w:p>
      <w:pPr>
        <w:pStyle w:val="BodyText"/>
        <w:spacing w:line="276" w:lineRule="auto" w:before="240"/>
        <w:ind w:left="1640" w:right="1180" w:hanging="720"/>
        <w:jc w:val="both"/>
      </w:pPr>
      <w:r>
        <w:rPr/>
        <w:t>Nandi,</w:t>
      </w:r>
      <w:r>
        <w:rPr>
          <w:spacing w:val="-4"/>
        </w:rPr>
        <w:t> </w:t>
      </w:r>
      <w:r>
        <w:rPr/>
        <w:t>S.,</w:t>
      </w:r>
      <w:r>
        <w:rPr>
          <w:spacing w:val="-4"/>
        </w:rPr>
        <w:t> </w:t>
      </w:r>
      <w:r>
        <w:rPr/>
        <w:t>Maurer,</w:t>
      </w:r>
      <w:r>
        <w:rPr>
          <w:spacing w:val="-4"/>
        </w:rPr>
        <w:t> </w:t>
      </w:r>
      <w:r>
        <w:rPr/>
        <w:t>J.J.,</w:t>
      </w:r>
      <w:r>
        <w:rPr>
          <w:spacing w:val="-4"/>
        </w:rPr>
        <w:t> </w:t>
      </w:r>
      <w:r>
        <w:rPr/>
        <w:t>Hofacre,</w:t>
      </w:r>
      <w:r>
        <w:rPr>
          <w:spacing w:val="-4"/>
        </w:rPr>
        <w:t> </w:t>
      </w:r>
      <w:r>
        <w:rPr/>
        <w:t>C andSummers,</w:t>
      </w:r>
      <w:r>
        <w:rPr>
          <w:spacing w:val="-4"/>
        </w:rPr>
        <w:t> </w:t>
      </w:r>
      <w:r>
        <w:rPr/>
        <w:t>A.O. (2004). Gram</w:t>
      </w:r>
      <w:r>
        <w:rPr>
          <w:spacing w:val="-1"/>
        </w:rPr>
        <w:t> </w:t>
      </w:r>
      <w:r>
        <w:rPr/>
        <w:t>positive</w:t>
      </w:r>
      <w:r>
        <w:rPr>
          <w:spacing w:val="-2"/>
        </w:rPr>
        <w:t> </w:t>
      </w:r>
      <w:r>
        <w:rPr/>
        <w:t>bacteria</w:t>
      </w:r>
      <w:r>
        <w:rPr>
          <w:spacing w:val="-2"/>
        </w:rPr>
        <w:t> </w:t>
      </w:r>
      <w:r>
        <w:rPr/>
        <w:t>are</w:t>
      </w:r>
      <w:r>
        <w:rPr>
          <w:spacing w:val="-2"/>
        </w:rPr>
        <w:t> </w:t>
      </w:r>
      <w:r>
        <w:rPr/>
        <w:t>a</w:t>
      </w:r>
      <w:r>
        <w:rPr>
          <w:spacing w:val="-2"/>
        </w:rPr>
        <w:t> </w:t>
      </w:r>
      <w:r>
        <w:rPr/>
        <w:t>major</w:t>
      </w:r>
      <w:r>
        <w:rPr>
          <w:spacing w:val="-2"/>
        </w:rPr>
        <w:t> </w:t>
      </w:r>
      <w:r>
        <w:rPr/>
        <w:t>reservoir of class 1 antibiotic resistance integrons in poultry litter. </w:t>
      </w:r>
      <w:r>
        <w:rPr>
          <w:i/>
        </w:rPr>
        <w:t>Proceedings of National Academy Science USA </w:t>
      </w:r>
      <w:r>
        <w:rPr/>
        <w:t>101: 7118-7122.</w:t>
      </w:r>
    </w:p>
    <w:p>
      <w:pPr>
        <w:pStyle w:val="BodyText"/>
      </w:pPr>
    </w:p>
    <w:p>
      <w:pPr>
        <w:pStyle w:val="BodyText"/>
        <w:spacing w:before="173"/>
      </w:pPr>
    </w:p>
    <w:p>
      <w:pPr>
        <w:pStyle w:val="BodyText"/>
        <w:spacing w:line="273" w:lineRule="auto"/>
        <w:ind w:left="1640" w:right="1180" w:hanging="720"/>
        <w:jc w:val="both"/>
      </w:pPr>
      <w:r>
        <w:rPr/>
        <w:t>Nandy, S. K., Bapat, P and Venkatesh, K.V. (2007). Sporulating Bacteria Prefers Predation to</w:t>
      </w:r>
      <w:r>
        <w:rPr>
          <w:spacing w:val="-2"/>
        </w:rPr>
        <w:t> </w:t>
      </w:r>
      <w:r>
        <w:rPr/>
        <w:t>Cannibalism in Mixed Cultures. </w:t>
      </w:r>
      <w:r>
        <w:rPr>
          <w:i/>
        </w:rPr>
        <w:t>FEBS Letters, </w:t>
      </w:r>
      <w:r>
        <w:rPr/>
        <w:t>581: 151- 156.</w:t>
      </w:r>
    </w:p>
    <w:p>
      <w:pPr>
        <w:pStyle w:val="BodyText"/>
        <w:tabs>
          <w:tab w:pos="2969" w:val="left" w:leader="none"/>
          <w:tab w:pos="4735" w:val="left" w:leader="none"/>
          <w:tab w:pos="6357" w:val="left" w:leader="none"/>
          <w:tab w:pos="7543" w:val="left" w:leader="none"/>
          <w:tab w:pos="8580" w:val="left" w:leader="none"/>
          <w:tab w:pos="9837" w:val="left" w:leader="none"/>
        </w:tabs>
        <w:spacing w:line="276" w:lineRule="auto" w:before="243"/>
        <w:ind w:left="1640" w:right="1175" w:hanging="720"/>
        <w:jc w:val="both"/>
      </w:pPr>
      <w:r>
        <w:rPr/>
        <w:t>National Institute of Allergy and Infectious Diseases.National Institutes of Health.(2009). Antimicrobial </w:t>
      </w:r>
      <w:r>
        <w:rPr>
          <w:spacing w:val="-2"/>
        </w:rPr>
        <w:t>(Drug)</w:t>
      </w:r>
      <w:r>
        <w:rPr/>
        <w:tab/>
      </w:r>
      <w:r>
        <w:rPr>
          <w:spacing w:val="-2"/>
        </w:rPr>
        <w:t>Resistance.</w:t>
      </w:r>
      <w:r>
        <w:rPr/>
        <w:tab/>
      </w:r>
      <w:r>
        <w:rPr>
          <w:spacing w:val="-2"/>
        </w:rPr>
        <w:t>Retrieved</w:t>
      </w:r>
      <w:r>
        <w:rPr/>
        <w:tab/>
      </w:r>
      <w:r>
        <w:rPr>
          <w:spacing w:val="-2"/>
        </w:rPr>
        <w:t>April</w:t>
      </w:r>
      <w:r>
        <w:rPr/>
        <w:tab/>
      </w:r>
      <w:r>
        <w:rPr>
          <w:spacing w:val="-4"/>
        </w:rPr>
        <w:t>21,</w:t>
      </w:r>
      <w:r>
        <w:rPr/>
        <w:tab/>
      </w:r>
      <w:r>
        <w:rPr>
          <w:spacing w:val="-2"/>
        </w:rPr>
        <w:t>2011,</w:t>
      </w:r>
      <w:r>
        <w:rPr/>
        <w:tab/>
      </w:r>
      <w:r>
        <w:rPr>
          <w:spacing w:val="-4"/>
        </w:rPr>
        <w:t>from </w:t>
      </w:r>
      <w:hyperlink r:id="rId20">
        <w:r>
          <w:rPr>
            <w:spacing w:val="-2"/>
          </w:rPr>
          <w:t>http://www.niaid.nih.gov/topics/antimicrobialResistance/Understanding/Pages/causes.asp</w:t>
        </w:r>
      </w:hyperlink>
    </w:p>
    <w:p>
      <w:pPr>
        <w:pStyle w:val="BodyText"/>
        <w:spacing w:before="239"/>
        <w:ind w:left="920"/>
      </w:pPr>
      <w:r>
        <w:rPr/>
        <w:t>Neely,</w:t>
      </w:r>
      <w:r>
        <w:rPr>
          <w:spacing w:val="-10"/>
        </w:rPr>
        <w:t> </w:t>
      </w:r>
      <w:r>
        <w:rPr/>
        <w:t>A.</w:t>
      </w:r>
      <w:r>
        <w:rPr>
          <w:spacing w:val="-3"/>
        </w:rPr>
        <w:t> </w:t>
      </w:r>
      <w:r>
        <w:rPr/>
        <w:t>N</w:t>
      </w:r>
      <w:r>
        <w:rPr>
          <w:spacing w:val="-4"/>
        </w:rPr>
        <w:t> </w:t>
      </w:r>
      <w:r>
        <w:rPr/>
        <w:t>and</w:t>
      </w:r>
      <w:r>
        <w:rPr>
          <w:spacing w:val="-6"/>
        </w:rPr>
        <w:t> </w:t>
      </w:r>
      <w:r>
        <w:rPr/>
        <w:t>Holder,</w:t>
      </w:r>
      <w:r>
        <w:rPr>
          <w:spacing w:val="-7"/>
        </w:rPr>
        <w:t> </w:t>
      </w:r>
      <w:r>
        <w:rPr/>
        <w:t>I.</w:t>
      </w:r>
      <w:r>
        <w:rPr>
          <w:spacing w:val="-4"/>
        </w:rPr>
        <w:t> </w:t>
      </w:r>
      <w:r>
        <w:rPr/>
        <w:t>A.</w:t>
      </w:r>
      <w:r>
        <w:rPr>
          <w:spacing w:val="-3"/>
        </w:rPr>
        <w:t> </w:t>
      </w:r>
      <w:r>
        <w:rPr/>
        <w:t>(1999).Antimicrobial</w:t>
      </w:r>
      <w:r>
        <w:rPr>
          <w:spacing w:val="-3"/>
        </w:rPr>
        <w:t> </w:t>
      </w:r>
      <w:r>
        <w:rPr/>
        <w:t>resistance.</w:t>
      </w:r>
      <w:r>
        <w:rPr>
          <w:i/>
        </w:rPr>
        <w:t>Burns,</w:t>
      </w:r>
      <w:r>
        <w:rPr>
          <w:i/>
          <w:spacing w:val="-7"/>
        </w:rPr>
        <w:t> </w:t>
      </w:r>
      <w:r>
        <w:rPr/>
        <w:t>25(1):17-</w:t>
      </w:r>
      <w:r>
        <w:rPr>
          <w:spacing w:val="-5"/>
        </w:rPr>
        <w:t>24</w:t>
      </w:r>
    </w:p>
    <w:p>
      <w:pPr>
        <w:pStyle w:val="BodyText"/>
        <w:spacing w:before="10"/>
      </w:pPr>
    </w:p>
    <w:p>
      <w:pPr>
        <w:pStyle w:val="BodyText"/>
        <w:spacing w:line="278" w:lineRule="auto" w:before="1"/>
        <w:ind w:left="1640" w:right="1180" w:hanging="720"/>
        <w:jc w:val="both"/>
      </w:pPr>
      <w:r>
        <w:rPr/>
        <w:t>Nel, H. (2002). The establishment and standardization of a veterinary antimicrobial resistance surveillance program in South Africa. Msc thesis, University of Pretoria.</w:t>
      </w:r>
    </w:p>
    <w:p>
      <w:pPr>
        <w:pStyle w:val="BodyText"/>
        <w:spacing w:line="278" w:lineRule="auto" w:before="236"/>
        <w:ind w:left="1640" w:right="1182" w:hanging="720"/>
        <w:jc w:val="both"/>
      </w:pPr>
      <w:r>
        <w:rPr/>
        <w:t>Ng, L.K., Martin, I., Alfa, M and Mulvey, M. (2001). Multiplex PCR for the detection of tetracycline resistant genes. </w:t>
      </w:r>
      <w:r>
        <w:rPr>
          <w:i/>
        </w:rPr>
        <w:t>Molecular and Cellular Probes</w:t>
      </w:r>
      <w:r>
        <w:rPr/>
        <w:t>, 15: 209-215.</w:t>
      </w:r>
    </w:p>
    <w:p>
      <w:pPr>
        <w:pStyle w:val="BodyText"/>
      </w:pPr>
    </w:p>
    <w:p>
      <w:pPr>
        <w:pStyle w:val="BodyText"/>
        <w:spacing w:before="169"/>
      </w:pPr>
    </w:p>
    <w:p>
      <w:pPr>
        <w:pStyle w:val="BodyText"/>
        <w:spacing w:line="273" w:lineRule="auto"/>
        <w:ind w:left="1640" w:right="1175" w:hanging="720"/>
        <w:jc w:val="both"/>
      </w:pPr>
      <w:r>
        <w:rPr/>
        <w:t>Nickerson,</w:t>
      </w:r>
      <w:r>
        <w:rPr>
          <w:spacing w:val="-1"/>
        </w:rPr>
        <w:t> </w:t>
      </w:r>
      <w:r>
        <w:rPr/>
        <w:t>S. C.(1999). Milk Production: Factors Affecting Milk Composition. In: </w:t>
      </w:r>
      <w:r>
        <w:rPr>
          <w:i/>
        </w:rPr>
        <w:t>Milk Quality</w:t>
      </w:r>
      <w:r>
        <w:rPr/>
        <w:t>,</w:t>
      </w:r>
      <w:r>
        <w:rPr>
          <w:spacing w:val="-1"/>
        </w:rPr>
        <w:t> </w:t>
      </w:r>
      <w:r>
        <w:rPr/>
        <w:t>Aspan,</w:t>
      </w:r>
      <w:r>
        <w:rPr>
          <w:spacing w:val="-1"/>
        </w:rPr>
        <w:t> </w:t>
      </w:r>
      <w:r>
        <w:rPr/>
        <w:t>H.F. (Ed.). 1st Edn., Chapman and Hall, Glasgow, Scotland, UK., PP 3-23.</w:t>
      </w:r>
    </w:p>
    <w:p>
      <w:pPr>
        <w:spacing w:line="276" w:lineRule="auto" w:before="242"/>
        <w:ind w:left="1640" w:right="1180" w:hanging="720"/>
        <w:jc w:val="both"/>
        <w:rPr>
          <w:sz w:val="22"/>
        </w:rPr>
      </w:pPr>
      <w:r>
        <w:rPr>
          <w:sz w:val="22"/>
        </w:rPr>
        <w:t>Normanno,</w:t>
      </w:r>
      <w:r>
        <w:rPr>
          <w:spacing w:val="-6"/>
          <w:sz w:val="22"/>
        </w:rPr>
        <w:t> </w:t>
      </w:r>
      <w:r>
        <w:rPr>
          <w:sz w:val="22"/>
        </w:rPr>
        <w:t>G.,</w:t>
      </w:r>
      <w:r>
        <w:rPr>
          <w:spacing w:val="-6"/>
          <w:sz w:val="22"/>
        </w:rPr>
        <w:t> </w:t>
      </w:r>
      <w:r>
        <w:rPr>
          <w:sz w:val="22"/>
        </w:rPr>
        <w:t>La Salandra,</w:t>
      </w:r>
      <w:r>
        <w:rPr>
          <w:spacing w:val="-6"/>
          <w:sz w:val="22"/>
        </w:rPr>
        <w:t> </w:t>
      </w:r>
      <w:r>
        <w:rPr>
          <w:sz w:val="22"/>
        </w:rPr>
        <w:t>G</w:t>
      </w:r>
      <w:r>
        <w:rPr>
          <w:spacing w:val="-4"/>
          <w:sz w:val="22"/>
        </w:rPr>
        <w:t> </w:t>
      </w:r>
      <w:r>
        <w:rPr>
          <w:sz w:val="22"/>
        </w:rPr>
        <w:t>and Dambrosio,</w:t>
      </w:r>
      <w:r>
        <w:rPr>
          <w:spacing w:val="-6"/>
          <w:sz w:val="22"/>
        </w:rPr>
        <w:t> </w:t>
      </w:r>
      <w:r>
        <w:rPr>
          <w:sz w:val="22"/>
        </w:rPr>
        <w:t>A.</w:t>
      </w:r>
      <w:r>
        <w:rPr>
          <w:spacing w:val="-2"/>
          <w:sz w:val="22"/>
        </w:rPr>
        <w:t> </w:t>
      </w:r>
      <w:r>
        <w:rPr>
          <w:sz w:val="22"/>
        </w:rPr>
        <w:t>(2007).</w:t>
      </w:r>
      <w:r>
        <w:rPr>
          <w:spacing w:val="-2"/>
          <w:sz w:val="22"/>
        </w:rPr>
        <w:t> </w:t>
      </w:r>
      <w:r>
        <w:rPr>
          <w:sz w:val="22"/>
        </w:rPr>
        <w:t>“Occurrence,</w:t>
      </w:r>
      <w:r>
        <w:rPr>
          <w:spacing w:val="-6"/>
          <w:sz w:val="22"/>
        </w:rPr>
        <w:t> </w:t>
      </w:r>
      <w:r>
        <w:rPr>
          <w:sz w:val="22"/>
        </w:rPr>
        <w:t>characterization</w:t>
      </w:r>
      <w:r>
        <w:rPr>
          <w:spacing w:val="-5"/>
          <w:sz w:val="22"/>
        </w:rPr>
        <w:t> </w:t>
      </w:r>
      <w:r>
        <w:rPr>
          <w:sz w:val="22"/>
        </w:rPr>
        <w:t>and antimicrobial resistance of enterotoxigenic </w:t>
      </w:r>
      <w:r>
        <w:rPr>
          <w:i/>
          <w:sz w:val="22"/>
        </w:rPr>
        <w:t>Staphylococcus aureus </w:t>
      </w:r>
      <w:r>
        <w:rPr>
          <w:sz w:val="22"/>
        </w:rPr>
        <w:t>isolated from meat and dairy products,” </w:t>
      </w:r>
      <w:r>
        <w:rPr>
          <w:i/>
          <w:sz w:val="22"/>
        </w:rPr>
        <w:t>International Journal of Food Microbiology</w:t>
      </w:r>
      <w:r>
        <w:rPr>
          <w:sz w:val="22"/>
        </w:rPr>
        <w:t>, 115 (3): 290–296.</w:t>
      </w:r>
    </w:p>
    <w:p>
      <w:pPr>
        <w:pStyle w:val="BodyText"/>
      </w:pPr>
    </w:p>
    <w:p>
      <w:pPr>
        <w:pStyle w:val="BodyText"/>
        <w:spacing w:before="173"/>
      </w:pPr>
    </w:p>
    <w:p>
      <w:pPr>
        <w:pStyle w:val="BodyText"/>
        <w:spacing w:line="276" w:lineRule="auto"/>
        <w:ind w:left="1640" w:right="1176" w:hanging="720"/>
        <w:jc w:val="both"/>
      </w:pPr>
      <w:r>
        <w:rPr/>
        <w:t>Nováková, I., Kačániová, M., Arpášová, H., Haščík, P., Kunová, S and Čuboň, A. (2010).Antibiotic Resistance of Enterococci and Coliform Bacteria in Dairy Products from Commercial Farms. Scientific Papers: </w:t>
      </w:r>
      <w:r>
        <w:rPr>
          <w:i/>
        </w:rPr>
        <w:t>Animal Science and Biotechnology</w:t>
      </w:r>
      <w:r>
        <w:rPr/>
        <w:t>, 43 (1): 1-3</w:t>
      </w:r>
    </w:p>
    <w:p>
      <w:pPr>
        <w:pStyle w:val="BodyText"/>
        <w:spacing w:line="276" w:lineRule="auto" w:before="240"/>
        <w:ind w:left="1640" w:right="1174" w:hanging="720"/>
        <w:jc w:val="both"/>
      </w:pPr>
      <w:r>
        <w:rPr/>
        <w:t>Nys, S., Okeke, I.N., Kariuki, S., Dinant, G. J., Driessen C and Stobberingh, E.E. (2004).</w:t>
      </w:r>
      <w:r>
        <w:rPr>
          <w:spacing w:val="40"/>
        </w:rPr>
        <w:t> </w:t>
      </w:r>
      <w:r>
        <w:rPr/>
        <w:t>Antimicrobial resistance of fecal </w:t>
      </w:r>
      <w:r>
        <w:rPr>
          <w:i/>
        </w:rPr>
        <w:t>E. coli </w:t>
      </w:r>
      <w:r>
        <w:rPr/>
        <w:t>from healthy volunteers from eight developing countries.</w:t>
      </w:r>
      <w:r>
        <w:rPr>
          <w:i/>
        </w:rPr>
        <w:t>Journal of Antimicrobial Chemotherapy </w:t>
      </w:r>
      <w:r>
        <w:rPr/>
        <w:t>54 (5): 952-955</w:t>
      </w:r>
    </w:p>
    <w:p>
      <w:pPr>
        <w:pStyle w:val="BodyText"/>
        <w:spacing w:before="240"/>
        <w:ind w:left="920"/>
      </w:pPr>
      <w:r>
        <w:rPr/>
        <w:t>O’Mahony,</w:t>
      </w:r>
      <w:r>
        <w:rPr>
          <w:spacing w:val="-3"/>
        </w:rPr>
        <w:t> </w:t>
      </w:r>
      <w:r>
        <w:rPr/>
        <w:t>F.</w:t>
      </w:r>
      <w:r>
        <w:rPr>
          <w:spacing w:val="-3"/>
        </w:rPr>
        <w:t> </w:t>
      </w:r>
      <w:r>
        <w:rPr/>
        <w:t>(1988):</w:t>
      </w:r>
      <w:r>
        <w:rPr>
          <w:spacing w:val="-5"/>
        </w:rPr>
        <w:t> </w:t>
      </w:r>
      <w:r>
        <w:rPr/>
        <w:t>Rural</w:t>
      </w:r>
      <w:r>
        <w:rPr>
          <w:spacing w:val="-3"/>
        </w:rPr>
        <w:t> </w:t>
      </w:r>
      <w:r>
        <w:rPr/>
        <w:t>Dairy</w:t>
      </w:r>
      <w:r>
        <w:rPr>
          <w:spacing w:val="-3"/>
        </w:rPr>
        <w:t> </w:t>
      </w:r>
      <w:r>
        <w:rPr/>
        <w:t>Technology,</w:t>
      </w:r>
      <w:r>
        <w:rPr>
          <w:spacing w:val="-3"/>
        </w:rPr>
        <w:t> </w:t>
      </w:r>
      <w:r>
        <w:rPr/>
        <w:t>Experiences</w:t>
      </w:r>
      <w:r>
        <w:rPr>
          <w:spacing w:val="-4"/>
        </w:rPr>
        <w:t> </w:t>
      </w:r>
      <w:r>
        <w:rPr/>
        <w:t>in</w:t>
      </w:r>
      <w:r>
        <w:rPr>
          <w:spacing w:val="-6"/>
        </w:rPr>
        <w:t> </w:t>
      </w:r>
      <w:r>
        <w:rPr/>
        <w:t>Ethiopia.</w:t>
      </w:r>
      <w:r>
        <w:rPr>
          <w:spacing w:val="-1"/>
        </w:rPr>
        <w:t> </w:t>
      </w:r>
      <w:r>
        <w:rPr/>
        <w:t>ILCA,</w:t>
      </w:r>
      <w:r>
        <w:rPr>
          <w:spacing w:val="-7"/>
        </w:rPr>
        <w:t> </w:t>
      </w:r>
      <w:r>
        <w:rPr/>
        <w:t>Manual</w:t>
      </w:r>
      <w:r>
        <w:rPr>
          <w:spacing w:val="-2"/>
        </w:rPr>
        <w:t> </w:t>
      </w:r>
      <w:r>
        <w:rPr/>
        <w:t>4,</w:t>
      </w:r>
      <w:r>
        <w:rPr>
          <w:spacing w:val="-7"/>
        </w:rPr>
        <w:t> </w:t>
      </w:r>
      <w:r>
        <w:rPr/>
        <w:t>PP.</w:t>
      </w:r>
      <w:r>
        <w:rPr>
          <w:spacing w:val="-2"/>
        </w:rPr>
        <w:t> </w:t>
      </w:r>
      <w:r>
        <w:rPr>
          <w:spacing w:val="-5"/>
        </w:rPr>
        <w:t>64.</w:t>
      </w:r>
    </w:p>
    <w:p>
      <w:pPr>
        <w:spacing w:after="0"/>
        <w:sectPr>
          <w:pgSz w:w="12240" w:h="15840"/>
          <w:pgMar w:header="0" w:footer="1017" w:top="1400" w:bottom="1200" w:left="520" w:right="260"/>
        </w:sectPr>
      </w:pPr>
    </w:p>
    <w:p>
      <w:pPr>
        <w:pStyle w:val="BodyText"/>
        <w:spacing w:line="276" w:lineRule="auto" w:before="41"/>
        <w:ind w:left="1640" w:right="1174" w:hanging="720"/>
        <w:jc w:val="both"/>
      </w:pPr>
      <w:r>
        <w:rPr/>
        <w:t>Okeke, I. (2005). The antimicrobial rebellion: trends and containment of antimicrobial resistance in Africa. Africa conference; African health and illness. Available on line: </w:t>
      </w:r>
      <w:hyperlink r:id="rId21">
        <w:r>
          <w:rPr>
            <w:spacing w:val="-2"/>
          </w:rPr>
          <w:t>http://www.utexas.edu/conferences/africa/2005/panels/okeke.html</w:t>
        </w:r>
      </w:hyperlink>
    </w:p>
    <w:p>
      <w:pPr>
        <w:pStyle w:val="BodyText"/>
        <w:spacing w:line="273" w:lineRule="auto" w:before="240"/>
        <w:ind w:left="1640" w:right="1178" w:hanging="720"/>
        <w:jc w:val="both"/>
      </w:pPr>
      <w:r>
        <w:rPr/>
        <w:t>Okeke, I. N and Adebayo, A. (2003). Export of antimicrobial drugs by West African travelers. </w:t>
      </w:r>
      <w:r>
        <w:rPr>
          <w:i/>
        </w:rPr>
        <w:t>Journal of Travel Medicine</w:t>
      </w:r>
      <w:r>
        <w:rPr/>
        <w:t>, 10: 133-135.</w:t>
      </w:r>
    </w:p>
    <w:p>
      <w:pPr>
        <w:pStyle w:val="BodyText"/>
        <w:spacing w:line="278" w:lineRule="auto" w:before="242"/>
        <w:ind w:left="1640" w:right="1180" w:hanging="720"/>
        <w:jc w:val="both"/>
      </w:pPr>
      <w:r>
        <w:rPr/>
        <w:t>Okeke, I.N., Aboderin, O.A., Byarugaba, D.K., Ojo, K.K and Opintan, J.A. (2007).Growing problem of multidrug-resistant</w:t>
      </w:r>
      <w:r>
        <w:rPr>
          <w:spacing w:val="-5"/>
        </w:rPr>
        <w:t> </w:t>
      </w:r>
      <w:r>
        <w:rPr/>
        <w:t>enteric</w:t>
      </w:r>
      <w:r>
        <w:rPr>
          <w:spacing w:val="-5"/>
        </w:rPr>
        <w:t> </w:t>
      </w:r>
      <w:r>
        <w:rPr/>
        <w:t>pathogens</w:t>
      </w:r>
      <w:r>
        <w:rPr>
          <w:spacing w:val="-3"/>
        </w:rPr>
        <w:t> </w:t>
      </w:r>
      <w:r>
        <w:rPr/>
        <w:t>in</w:t>
      </w:r>
      <w:r>
        <w:rPr>
          <w:spacing w:val="-4"/>
        </w:rPr>
        <w:t> </w:t>
      </w:r>
      <w:r>
        <w:rPr/>
        <w:t>Africa.</w:t>
      </w:r>
      <w:r>
        <w:rPr>
          <w:i/>
        </w:rPr>
        <w:t>Emerging</w:t>
      </w:r>
      <w:r>
        <w:rPr>
          <w:i/>
          <w:spacing w:val="-1"/>
        </w:rPr>
        <w:t> </w:t>
      </w:r>
      <w:r>
        <w:rPr>
          <w:i/>
        </w:rPr>
        <w:t>Infectious</w:t>
      </w:r>
      <w:r>
        <w:rPr>
          <w:i/>
          <w:spacing w:val="-3"/>
        </w:rPr>
        <w:t> </w:t>
      </w:r>
      <w:r>
        <w:rPr>
          <w:i/>
        </w:rPr>
        <w:t>Diseases</w:t>
      </w:r>
      <w:r>
        <w:rPr/>
        <w:t>,</w:t>
      </w:r>
      <w:r>
        <w:rPr>
          <w:spacing w:val="-5"/>
        </w:rPr>
        <w:t> </w:t>
      </w:r>
      <w:r>
        <w:rPr/>
        <w:t>13(11): 1640-1646.</w:t>
      </w:r>
    </w:p>
    <w:p>
      <w:pPr>
        <w:pStyle w:val="BodyText"/>
        <w:spacing w:before="11"/>
      </w:pPr>
    </w:p>
    <w:p>
      <w:pPr>
        <w:pStyle w:val="BodyText"/>
        <w:spacing w:line="273" w:lineRule="auto"/>
        <w:ind w:left="1640" w:right="1175" w:hanging="720"/>
        <w:jc w:val="both"/>
      </w:pPr>
      <w:r>
        <w:rPr/>
        <w:t>Okolo, S.N., Onwuanaku, C., Okonji, M., VanderJagt, D.J., Millson, M., Churchwell, C and Glew, R.H. (2000).Concentration of eight trace minerals in milk and sera of mother-infant pairs in</w:t>
      </w:r>
      <w:r>
        <w:rPr>
          <w:spacing w:val="-1"/>
        </w:rPr>
        <w:t> </w:t>
      </w:r>
      <w:r>
        <w:rPr/>
        <w:t>Northern Nigeria. </w:t>
      </w:r>
      <w:r>
        <w:rPr>
          <w:i/>
        </w:rPr>
        <w:t>Journal of Tropical Pediatrics</w:t>
      </w:r>
      <w:r>
        <w:rPr/>
        <w:t>,46(3): 160-162.</w:t>
      </w:r>
    </w:p>
    <w:p>
      <w:pPr>
        <w:pStyle w:val="BodyText"/>
        <w:spacing w:before="18"/>
      </w:pPr>
    </w:p>
    <w:p>
      <w:pPr>
        <w:pStyle w:val="BodyText"/>
        <w:spacing w:line="276" w:lineRule="auto"/>
        <w:ind w:left="1640" w:right="1174" w:hanging="720"/>
        <w:jc w:val="both"/>
      </w:pPr>
      <w:r>
        <w:rPr/>
        <w:t>Okonko, I.O., Soleye, F.A., Amusan, T.A., Ogun, A.A., Ogunnusi, T.A and Ejembi, J. (2009a). Incidence of Multi-Drug Resistance (MDR) Organisms in Abeokuta, Southwestern Nigeria.</w:t>
      </w:r>
      <w:r>
        <w:rPr>
          <w:i/>
        </w:rPr>
        <w:t>Global Journal of Pharmacol</w:t>
      </w:r>
      <w:r>
        <w:rPr/>
        <w:t>ogy, 3(2): 69-80.</w:t>
      </w:r>
    </w:p>
    <w:p>
      <w:pPr>
        <w:pStyle w:val="BodyText"/>
        <w:spacing w:line="276" w:lineRule="auto" w:before="240"/>
        <w:ind w:left="1640" w:right="1172" w:hanging="720"/>
        <w:jc w:val="both"/>
      </w:pPr>
      <w:r>
        <w:rPr/>
        <w:t>Okonko, I.O., Donbraye-Emmanuel, O.B., Ijandipe, L.A., Ogun, A.A., Adedeji, A.O and Udeze, A.O. (2009b). Antibiotics Sensitivity and Resistance Patterns of Uropathogens to Nitrofurantoin and Nalidixic Acid in Pregnant Women with Urinary Tract Infections in Ibadan, Nigeria.</w:t>
      </w:r>
      <w:r>
        <w:rPr>
          <w:i/>
        </w:rPr>
        <w:t>Middle- EastJournal of Scientific Research</w:t>
      </w:r>
      <w:r>
        <w:rPr/>
        <w:t>, 4 (2): 105-109.</w:t>
      </w:r>
    </w:p>
    <w:p>
      <w:pPr>
        <w:spacing w:line="278" w:lineRule="auto" w:before="238"/>
        <w:ind w:left="1640" w:right="1182" w:hanging="720"/>
        <w:jc w:val="both"/>
        <w:rPr>
          <w:sz w:val="22"/>
        </w:rPr>
      </w:pPr>
      <w:r>
        <w:rPr>
          <w:sz w:val="22"/>
        </w:rPr>
        <w:t>Okpalugo, J., Ibrahim, K., Izebe, K. S and Inyang, U.S. (2008). Aspects of microbial quality of some milk products in Abuja, Nigeria.</w:t>
      </w:r>
      <w:r>
        <w:rPr>
          <w:i/>
          <w:sz w:val="22"/>
        </w:rPr>
        <w:t>Tropical Journal of Pharmaceutical Research</w:t>
      </w:r>
      <w:r>
        <w:rPr>
          <w:sz w:val="22"/>
        </w:rPr>
        <w:t>, 7 (4):1169-1177.</w:t>
      </w:r>
    </w:p>
    <w:p>
      <w:pPr>
        <w:spacing w:line="273" w:lineRule="auto" w:before="236"/>
        <w:ind w:left="1640" w:right="1180" w:hanging="720"/>
        <w:jc w:val="both"/>
        <w:rPr>
          <w:sz w:val="22"/>
        </w:rPr>
      </w:pPr>
      <w:r>
        <w:rPr>
          <w:sz w:val="22"/>
        </w:rPr>
        <w:t>Oladipo, I. C and Omo-Adua, R. O. (2011). Antibiotics resistance among bacteria isolated from evaporated milk. </w:t>
      </w:r>
      <w:r>
        <w:rPr>
          <w:i/>
          <w:sz w:val="22"/>
        </w:rPr>
        <w:t>Asian Journal of Biological Sciences</w:t>
      </w:r>
      <w:r>
        <w:rPr>
          <w:sz w:val="22"/>
        </w:rPr>
        <w:t>, 4 (1): 77-83.</w:t>
      </w:r>
    </w:p>
    <w:p>
      <w:pPr>
        <w:pStyle w:val="BodyText"/>
        <w:spacing w:line="278" w:lineRule="auto" w:before="242"/>
        <w:ind w:left="1640" w:right="1180" w:hanging="720"/>
        <w:jc w:val="both"/>
      </w:pPr>
      <w:r>
        <w:rPr/>
        <w:t>Oliver, S.P., Jayarao, B. M and Almeida, R.A. (2005). Foodborne pathogens in milk and the dairy farm environment: food safety and public health implications</w:t>
      </w:r>
      <w:r>
        <w:rPr>
          <w:i/>
        </w:rPr>
        <w:t>. Foodborne Pathogens and disease, </w:t>
      </w:r>
      <w:r>
        <w:rPr/>
        <w:t>2: </w:t>
      </w:r>
      <w:r>
        <w:rPr>
          <w:spacing w:val="-2"/>
        </w:rPr>
        <w:t>115-129.</w:t>
      </w:r>
    </w:p>
    <w:p>
      <w:pPr>
        <w:pStyle w:val="BodyText"/>
        <w:spacing w:line="276" w:lineRule="auto" w:before="237"/>
        <w:ind w:left="1640" w:right="1178" w:hanging="720"/>
        <w:jc w:val="both"/>
      </w:pPr>
      <w:r>
        <w:rPr/>
        <w:t>Ombui, J.N., Arimi, S.M., Mcdermott, J.J., Mbugua, S.K., Githua, A. A and Muthoni, J.</w:t>
      </w:r>
      <w:r>
        <w:rPr>
          <w:spacing w:val="40"/>
        </w:rPr>
        <w:t> </w:t>
      </w:r>
      <w:r>
        <w:rPr/>
        <w:t>(1995). Quality of raw milk collected and marketed by dairy cooperative societies in Kiambu District,</w:t>
      </w:r>
      <w:r>
        <w:rPr>
          <w:spacing w:val="40"/>
        </w:rPr>
        <w:t> </w:t>
      </w:r>
      <w:r>
        <w:rPr/>
        <w:t>Kenya.</w:t>
      </w:r>
      <w:r>
        <w:rPr>
          <w:i/>
        </w:rPr>
        <w:t>Bulletin of Animal Health and Production in Africa</w:t>
      </w:r>
      <w:r>
        <w:rPr/>
        <w:t>, 43: 277-284.</w:t>
      </w:r>
    </w:p>
    <w:p>
      <w:pPr>
        <w:pStyle w:val="BodyText"/>
        <w:spacing w:before="240"/>
        <w:ind w:left="920"/>
      </w:pPr>
      <w:r>
        <w:rPr/>
        <w:t>Onaolapo,</w:t>
      </w:r>
      <w:r>
        <w:rPr>
          <w:spacing w:val="44"/>
        </w:rPr>
        <w:t> </w:t>
      </w:r>
      <w:r>
        <w:rPr/>
        <w:t>J.A</w:t>
      </w:r>
      <w:r>
        <w:rPr>
          <w:spacing w:val="49"/>
        </w:rPr>
        <w:t> </w:t>
      </w:r>
      <w:r>
        <w:rPr/>
        <w:t>and</w:t>
      </w:r>
      <w:r>
        <w:rPr>
          <w:spacing w:val="46"/>
        </w:rPr>
        <w:t> </w:t>
      </w:r>
      <w:r>
        <w:rPr/>
        <w:t>Klemperer,</w:t>
      </w:r>
      <w:r>
        <w:rPr>
          <w:spacing w:val="45"/>
        </w:rPr>
        <w:t> </w:t>
      </w:r>
      <w:r>
        <w:rPr/>
        <w:t>R.M.M.</w:t>
      </w:r>
      <w:r>
        <w:rPr>
          <w:spacing w:val="44"/>
        </w:rPr>
        <w:t> </w:t>
      </w:r>
      <w:r>
        <w:rPr/>
        <w:t>(1986).Effect</w:t>
      </w:r>
      <w:r>
        <w:rPr>
          <w:spacing w:val="49"/>
        </w:rPr>
        <w:t> </w:t>
      </w:r>
      <w:r>
        <w:rPr/>
        <w:t>of</w:t>
      </w:r>
      <w:r>
        <w:rPr>
          <w:spacing w:val="47"/>
        </w:rPr>
        <w:t> </w:t>
      </w:r>
      <w:r>
        <w:rPr/>
        <w:t>R-plasmid</w:t>
      </w:r>
      <w:r>
        <w:rPr>
          <w:spacing w:val="46"/>
        </w:rPr>
        <w:t> </w:t>
      </w:r>
      <w:r>
        <w:rPr/>
        <w:t>RP1</w:t>
      </w:r>
      <w:r>
        <w:rPr>
          <w:spacing w:val="45"/>
        </w:rPr>
        <w:t> </w:t>
      </w:r>
      <w:r>
        <w:rPr/>
        <w:t>on</w:t>
      </w:r>
      <w:r>
        <w:rPr>
          <w:spacing w:val="46"/>
        </w:rPr>
        <w:t> </w:t>
      </w:r>
      <w:r>
        <w:rPr/>
        <w:t>surface</w:t>
      </w:r>
      <w:r>
        <w:rPr>
          <w:spacing w:val="47"/>
        </w:rPr>
        <w:t> </w:t>
      </w:r>
      <w:r>
        <w:rPr/>
        <w:t>hydrophobicity</w:t>
      </w:r>
      <w:r>
        <w:rPr>
          <w:spacing w:val="48"/>
        </w:rPr>
        <w:t> </w:t>
      </w:r>
      <w:r>
        <w:rPr>
          <w:spacing w:val="-5"/>
        </w:rPr>
        <w:t>of</w:t>
      </w:r>
    </w:p>
    <w:p>
      <w:pPr>
        <w:spacing w:before="39"/>
        <w:ind w:left="1640" w:right="0" w:firstLine="0"/>
        <w:jc w:val="left"/>
        <w:rPr>
          <w:sz w:val="22"/>
        </w:rPr>
      </w:pPr>
      <w:r>
        <w:rPr>
          <w:i/>
          <w:sz w:val="22"/>
        </w:rPr>
        <w:t>Proteus</w:t>
      </w:r>
      <w:r>
        <w:rPr>
          <w:i/>
          <w:spacing w:val="-8"/>
          <w:sz w:val="22"/>
        </w:rPr>
        <w:t> </w:t>
      </w:r>
      <w:r>
        <w:rPr>
          <w:i/>
          <w:sz w:val="22"/>
        </w:rPr>
        <w:t>mirabilis.</w:t>
      </w:r>
      <w:r>
        <w:rPr>
          <w:i/>
          <w:spacing w:val="-4"/>
          <w:sz w:val="22"/>
        </w:rPr>
        <w:t> </w:t>
      </w:r>
      <w:r>
        <w:rPr>
          <w:i/>
          <w:sz w:val="22"/>
        </w:rPr>
        <w:t>Journal</w:t>
      </w:r>
      <w:r>
        <w:rPr>
          <w:i/>
          <w:spacing w:val="-3"/>
          <w:sz w:val="22"/>
        </w:rPr>
        <w:t> </w:t>
      </w:r>
      <w:r>
        <w:rPr>
          <w:i/>
          <w:sz w:val="22"/>
        </w:rPr>
        <w:t>of</w:t>
      </w:r>
      <w:r>
        <w:rPr>
          <w:i/>
          <w:spacing w:val="-6"/>
          <w:sz w:val="22"/>
        </w:rPr>
        <w:t> </w:t>
      </w:r>
      <w:r>
        <w:rPr>
          <w:i/>
          <w:sz w:val="22"/>
        </w:rPr>
        <w:t>General</w:t>
      </w:r>
      <w:r>
        <w:rPr>
          <w:i/>
          <w:spacing w:val="-4"/>
          <w:sz w:val="22"/>
        </w:rPr>
        <w:t> </w:t>
      </w:r>
      <w:r>
        <w:rPr>
          <w:i/>
          <w:sz w:val="22"/>
        </w:rPr>
        <w:t>Microbiology</w:t>
      </w:r>
      <w:r>
        <w:rPr>
          <w:sz w:val="22"/>
        </w:rPr>
        <w:t>,</w:t>
      </w:r>
      <w:r>
        <w:rPr>
          <w:spacing w:val="-7"/>
          <w:sz w:val="22"/>
        </w:rPr>
        <w:t> </w:t>
      </w:r>
      <w:r>
        <w:rPr>
          <w:sz w:val="22"/>
        </w:rPr>
        <w:t>132:</w:t>
      </w:r>
      <w:r>
        <w:rPr>
          <w:spacing w:val="-6"/>
          <w:sz w:val="22"/>
        </w:rPr>
        <w:t> </w:t>
      </w:r>
      <w:r>
        <w:rPr>
          <w:sz w:val="22"/>
        </w:rPr>
        <w:t>3303-</w:t>
      </w:r>
      <w:r>
        <w:rPr>
          <w:spacing w:val="-2"/>
          <w:sz w:val="22"/>
        </w:rPr>
        <w:t>3307.</w:t>
      </w:r>
    </w:p>
    <w:p>
      <w:pPr>
        <w:pStyle w:val="BodyText"/>
        <w:spacing w:before="9"/>
      </w:pPr>
    </w:p>
    <w:p>
      <w:pPr>
        <w:spacing w:line="278" w:lineRule="auto" w:before="1"/>
        <w:ind w:left="1640" w:right="1173" w:hanging="720"/>
        <w:jc w:val="both"/>
        <w:rPr>
          <w:sz w:val="22"/>
        </w:rPr>
      </w:pPr>
      <w:r>
        <w:rPr>
          <w:sz w:val="22"/>
        </w:rPr>
        <w:t>Onaolapo. J.A., Nuhu, Z.A and Olurinola, P.F. (1997). Comparative study of the surface properties of three </w:t>
      </w:r>
      <w:r>
        <w:rPr>
          <w:i/>
          <w:sz w:val="22"/>
        </w:rPr>
        <w:t>Escherichia coli </w:t>
      </w:r>
      <w:r>
        <w:rPr>
          <w:sz w:val="22"/>
        </w:rPr>
        <w:t>isolates. </w:t>
      </w:r>
      <w:r>
        <w:rPr>
          <w:i/>
          <w:sz w:val="22"/>
        </w:rPr>
        <w:t>Biomedical Letters</w:t>
      </w:r>
      <w:r>
        <w:rPr>
          <w:sz w:val="22"/>
        </w:rPr>
        <w:t>, 55: 211-220.</w:t>
      </w:r>
    </w:p>
    <w:p>
      <w:pPr>
        <w:spacing w:after="0" w:line="278" w:lineRule="auto"/>
        <w:jc w:val="both"/>
        <w:rPr>
          <w:sz w:val="22"/>
        </w:rPr>
        <w:sectPr>
          <w:pgSz w:w="12240" w:h="15840"/>
          <w:pgMar w:header="0" w:footer="1017" w:top="1400" w:bottom="1200" w:left="520" w:right="260"/>
        </w:sectPr>
      </w:pPr>
    </w:p>
    <w:p>
      <w:pPr>
        <w:pStyle w:val="BodyText"/>
        <w:spacing w:line="273" w:lineRule="auto" w:before="41"/>
        <w:ind w:left="1640" w:right="1181" w:hanging="720"/>
        <w:jc w:val="both"/>
      </w:pPr>
      <w:r>
        <w:rPr/>
        <w:t>Oranusi, S., Galadima, M., Umoh, V. J and Nwanze, P.I.(2007). Food safety evaluation in boarding school in Zaria Nigeria, using the HACCP system.</w:t>
      </w:r>
      <w:r>
        <w:rPr>
          <w:i/>
        </w:rPr>
        <w:t>Scientific Research and essay</w:t>
      </w:r>
      <w:r>
        <w:rPr/>
        <w:t>, 2(10): 426–423.</w:t>
      </w:r>
    </w:p>
    <w:p>
      <w:pPr>
        <w:pStyle w:val="BodyText"/>
        <w:spacing w:line="276" w:lineRule="auto" w:before="243"/>
        <w:ind w:left="1640" w:right="1176" w:hanging="720"/>
        <w:jc w:val="both"/>
      </w:pPr>
      <w:r>
        <w:rPr/>
        <w:t>Osman, B.Ö., Tosun, I., Aydin, F., Kiliç, O.A and Ertürk, M. (2006). Carriage of Mobilizable Plasmid- Mediated</w:t>
      </w:r>
      <w:r>
        <w:rPr>
          <w:spacing w:val="-4"/>
        </w:rPr>
        <w:t> </w:t>
      </w:r>
      <w:r>
        <w:rPr/>
        <w:t>β-Lactamase</w:t>
      </w:r>
      <w:r>
        <w:rPr>
          <w:spacing w:val="-3"/>
        </w:rPr>
        <w:t> </w:t>
      </w:r>
      <w:r>
        <w:rPr/>
        <w:t>Gene</w:t>
      </w:r>
      <w:r>
        <w:rPr>
          <w:spacing w:val="-3"/>
        </w:rPr>
        <w:t> </w:t>
      </w:r>
      <w:r>
        <w:rPr/>
        <w:t>in</w:t>
      </w:r>
      <w:r>
        <w:rPr>
          <w:spacing w:val="-4"/>
        </w:rPr>
        <w:t> </w:t>
      </w:r>
      <w:r>
        <w:rPr/>
        <w:t>Ampicillin-Resistant</w:t>
      </w:r>
      <w:r>
        <w:rPr>
          <w:spacing w:val="-5"/>
        </w:rPr>
        <w:t> </w:t>
      </w:r>
      <w:r>
        <w:rPr>
          <w:i/>
        </w:rPr>
        <w:t>Escherichia</w:t>
      </w:r>
      <w:r>
        <w:rPr>
          <w:i/>
          <w:spacing w:val="-1"/>
        </w:rPr>
        <w:t> </w:t>
      </w:r>
      <w:r>
        <w:rPr>
          <w:i/>
        </w:rPr>
        <w:t>coli </w:t>
      </w:r>
      <w:r>
        <w:rPr/>
        <w:t>strains</w:t>
      </w:r>
      <w:r>
        <w:rPr>
          <w:spacing w:val="-3"/>
        </w:rPr>
        <w:t> </w:t>
      </w:r>
      <w:r>
        <w:rPr/>
        <w:t>with</w:t>
      </w:r>
      <w:r>
        <w:rPr>
          <w:spacing w:val="-4"/>
        </w:rPr>
        <w:t> </w:t>
      </w:r>
      <w:r>
        <w:rPr/>
        <w:t>Origin</w:t>
      </w:r>
      <w:r>
        <w:rPr>
          <w:spacing w:val="-4"/>
        </w:rPr>
        <w:t> </w:t>
      </w:r>
      <w:r>
        <w:rPr/>
        <w:t>of</w:t>
      </w:r>
      <w:r>
        <w:rPr>
          <w:spacing w:val="-3"/>
        </w:rPr>
        <w:t> </w:t>
      </w:r>
      <w:r>
        <w:rPr/>
        <w:t>Normal Fecal Flora. </w:t>
      </w:r>
      <w:r>
        <w:rPr>
          <w:i/>
        </w:rPr>
        <w:t>TurkishJournal of Medical Sciences</w:t>
      </w:r>
      <w:r>
        <w:rPr/>
        <w:t>, 36 (5): 307-314.</w:t>
      </w:r>
    </w:p>
    <w:p>
      <w:pPr>
        <w:pStyle w:val="BodyText"/>
        <w:spacing w:line="276" w:lineRule="auto" w:before="239"/>
        <w:ind w:left="1640" w:right="1176" w:hanging="720"/>
        <w:jc w:val="both"/>
      </w:pPr>
      <w:r>
        <w:rPr/>
        <w:t>Oteo, J., Campos, J and Baquero, F. (2002).Antibiotic resistance in 1962. Invasive isolates of </w:t>
      </w:r>
      <w:r>
        <w:rPr>
          <w:i/>
        </w:rPr>
        <w:t>Escherichia coli </w:t>
      </w:r>
      <w:r>
        <w:rPr/>
        <w:t>in 27 Spanish hospitals participating in the European Antimicrobial Resistance Surveillance System (2001). </w:t>
      </w:r>
      <w:r>
        <w:rPr>
          <w:i/>
        </w:rPr>
        <w:t>Journal Antimicrobial Chemotherapy</w:t>
      </w:r>
      <w:r>
        <w:rPr/>
        <w:t>, 50: 945-952.</w:t>
      </w:r>
    </w:p>
    <w:p>
      <w:pPr>
        <w:pStyle w:val="BodyText"/>
        <w:spacing w:line="278" w:lineRule="auto" w:before="240"/>
        <w:ind w:left="1640" w:right="1174" w:hanging="720"/>
        <w:jc w:val="both"/>
      </w:pPr>
      <w:r>
        <w:rPr/>
        <w:t>Oviedo-Boyso, J., Barriga-Rivera, J.G., Valdez- Alarcón, J.J., Bravo-Patiño, A., Cárabez-Trejo, A., Cajero- Juárez, M and Baizabal-Aguirre, V.M. (2008). Internalization of </w:t>
      </w:r>
      <w:r>
        <w:rPr>
          <w:i/>
        </w:rPr>
        <w:t>S. aureus </w:t>
      </w:r>
      <w:r>
        <w:rPr/>
        <w:t>by bovine endothelial cells is associated with the activity state of NFkappaB and modulated by the pro-inflammatory cytokines TNF-alpha and IL-1beta.Scand. </w:t>
      </w:r>
      <w:r>
        <w:rPr>
          <w:i/>
        </w:rPr>
        <w:t>Journal of Immunology, </w:t>
      </w:r>
      <w:r>
        <w:rPr/>
        <w:t>67(2):169-176.</w:t>
      </w:r>
    </w:p>
    <w:p>
      <w:pPr>
        <w:pStyle w:val="BodyText"/>
      </w:pPr>
    </w:p>
    <w:p>
      <w:pPr>
        <w:pStyle w:val="BodyText"/>
        <w:spacing w:before="166"/>
      </w:pPr>
    </w:p>
    <w:p>
      <w:pPr>
        <w:spacing w:line="273" w:lineRule="auto" w:before="0"/>
        <w:ind w:left="1548" w:right="1175" w:hanging="629"/>
        <w:jc w:val="both"/>
        <w:rPr>
          <w:sz w:val="22"/>
        </w:rPr>
      </w:pPr>
      <w:r>
        <w:rPr>
          <w:sz w:val="22"/>
        </w:rPr>
        <w:t>Owens, R. C and Ambrose, J.R. (2005). "Antimicrobial safety: focus on fluoroquinolones". </w:t>
      </w:r>
      <w:r>
        <w:rPr>
          <w:i/>
          <w:sz w:val="22"/>
        </w:rPr>
        <w:t>Clinical Infectious Diseases,</w:t>
      </w:r>
      <w:r>
        <w:rPr>
          <w:sz w:val="22"/>
        </w:rPr>
        <w:t>41 Suppl 2: S144–S157.</w:t>
      </w:r>
    </w:p>
    <w:p>
      <w:pPr>
        <w:spacing w:line="278" w:lineRule="auto" w:before="242"/>
        <w:ind w:left="1640" w:right="1173" w:hanging="720"/>
        <w:jc w:val="both"/>
        <w:rPr>
          <w:sz w:val="22"/>
        </w:rPr>
      </w:pPr>
      <w:r>
        <w:rPr>
          <w:sz w:val="22"/>
        </w:rPr>
        <w:t>Oyawoye, O.M., Oyawoye, E.O., Bangbose, A. M and Danka, S.R. (1997).Effect of chemical preservatives on the shelf life of nono.</w:t>
      </w:r>
      <w:r>
        <w:rPr>
          <w:i/>
          <w:sz w:val="22"/>
        </w:rPr>
        <w:t>Applied Journal of Tropical Agriculture</w:t>
      </w:r>
      <w:r>
        <w:rPr>
          <w:sz w:val="22"/>
        </w:rPr>
        <w:t>, 2: 63–66.</w:t>
      </w:r>
    </w:p>
    <w:p>
      <w:pPr>
        <w:spacing w:line="276" w:lineRule="auto" w:before="236"/>
        <w:ind w:left="1640" w:right="1174" w:hanging="720"/>
        <w:jc w:val="both"/>
        <w:rPr>
          <w:sz w:val="22"/>
        </w:rPr>
      </w:pPr>
      <w:r>
        <w:rPr>
          <w:sz w:val="22"/>
        </w:rPr>
        <w:t>Paneto, B.R., Schocken-Iturrino, R. P., Macedo, C., Santo, E and Marin, J.M. (2007).Occurrence of toxigenic</w:t>
      </w:r>
      <w:r>
        <w:rPr>
          <w:spacing w:val="-3"/>
          <w:sz w:val="22"/>
        </w:rPr>
        <w:t> </w:t>
      </w:r>
      <w:r>
        <w:rPr>
          <w:sz w:val="22"/>
        </w:rPr>
        <w:t>Escherichia</w:t>
      </w:r>
      <w:r>
        <w:rPr>
          <w:spacing w:val="-2"/>
          <w:sz w:val="22"/>
        </w:rPr>
        <w:t> </w:t>
      </w:r>
      <w:r>
        <w:rPr>
          <w:sz w:val="22"/>
        </w:rPr>
        <w:t>coli in</w:t>
      </w:r>
      <w:r>
        <w:rPr>
          <w:spacing w:val="-2"/>
          <w:sz w:val="22"/>
        </w:rPr>
        <w:t> </w:t>
      </w:r>
      <w:r>
        <w:rPr>
          <w:sz w:val="22"/>
        </w:rPr>
        <w:t>raw</w:t>
      </w:r>
      <w:r>
        <w:rPr>
          <w:spacing w:val="-1"/>
          <w:sz w:val="22"/>
        </w:rPr>
        <w:t> </w:t>
      </w:r>
      <w:r>
        <w:rPr>
          <w:sz w:val="22"/>
        </w:rPr>
        <w:t>milk</w:t>
      </w:r>
      <w:r>
        <w:rPr>
          <w:spacing w:val="-1"/>
          <w:sz w:val="22"/>
        </w:rPr>
        <w:t> </w:t>
      </w:r>
      <w:r>
        <w:rPr>
          <w:sz w:val="22"/>
        </w:rPr>
        <w:t>cheese</w:t>
      </w:r>
      <w:r>
        <w:rPr>
          <w:spacing w:val="-1"/>
          <w:sz w:val="22"/>
        </w:rPr>
        <w:t> </w:t>
      </w:r>
      <w:r>
        <w:rPr>
          <w:sz w:val="22"/>
        </w:rPr>
        <w:t>in</w:t>
      </w:r>
      <w:r>
        <w:rPr>
          <w:spacing w:val="-2"/>
          <w:sz w:val="22"/>
        </w:rPr>
        <w:t> </w:t>
      </w:r>
      <w:r>
        <w:rPr>
          <w:sz w:val="22"/>
        </w:rPr>
        <w:t>Brazil.</w:t>
      </w:r>
      <w:r>
        <w:rPr>
          <w:i/>
          <w:sz w:val="22"/>
        </w:rPr>
        <w:t>Arquivo Brasileiro</w:t>
      </w:r>
      <w:r>
        <w:rPr>
          <w:i/>
          <w:spacing w:val="-3"/>
          <w:sz w:val="22"/>
        </w:rPr>
        <w:t> </w:t>
      </w:r>
      <w:r>
        <w:rPr>
          <w:i/>
          <w:sz w:val="22"/>
        </w:rPr>
        <w:t>de</w:t>
      </w:r>
      <w:r>
        <w:rPr>
          <w:i/>
          <w:spacing w:val="-1"/>
          <w:sz w:val="22"/>
        </w:rPr>
        <w:t> </w:t>
      </w:r>
      <w:r>
        <w:rPr>
          <w:i/>
          <w:sz w:val="22"/>
        </w:rPr>
        <w:t>Medicina Veterinariae Zootecnia</w:t>
      </w:r>
      <w:r>
        <w:rPr>
          <w:sz w:val="22"/>
        </w:rPr>
        <w:t>, 59: 508–512.</w:t>
      </w:r>
    </w:p>
    <w:p>
      <w:pPr>
        <w:pStyle w:val="BodyText"/>
      </w:pPr>
    </w:p>
    <w:p>
      <w:pPr>
        <w:pStyle w:val="BodyText"/>
        <w:spacing w:before="173"/>
      </w:pPr>
    </w:p>
    <w:p>
      <w:pPr>
        <w:pStyle w:val="BodyText"/>
        <w:spacing w:line="273" w:lineRule="auto"/>
        <w:ind w:left="1640" w:right="1173" w:hanging="720"/>
        <w:jc w:val="both"/>
      </w:pPr>
      <w:r>
        <w:rPr/>
        <w:t>Pape-Zambito,</w:t>
      </w:r>
      <w:r>
        <w:rPr>
          <w:spacing w:val="-3"/>
        </w:rPr>
        <w:t> </w:t>
      </w:r>
      <w:r>
        <w:rPr/>
        <w:t>D.A.,</w:t>
      </w:r>
      <w:r>
        <w:rPr>
          <w:spacing w:val="-3"/>
        </w:rPr>
        <w:t> </w:t>
      </w:r>
      <w:r>
        <w:rPr/>
        <w:t>Magliaro,</w:t>
      </w:r>
      <w:r>
        <w:rPr>
          <w:spacing w:val="-3"/>
        </w:rPr>
        <w:t> </w:t>
      </w:r>
      <w:r>
        <w:rPr/>
        <w:t>A.</w:t>
      </w:r>
      <w:r>
        <w:rPr>
          <w:spacing w:val="-3"/>
        </w:rPr>
        <w:t> </w:t>
      </w:r>
      <w:r>
        <w:rPr/>
        <w:t>L</w:t>
      </w:r>
      <w:r>
        <w:rPr>
          <w:spacing w:val="-2"/>
        </w:rPr>
        <w:t> </w:t>
      </w:r>
      <w:r>
        <w:rPr/>
        <w:t>and</w:t>
      </w:r>
      <w:r>
        <w:rPr>
          <w:spacing w:val="-1"/>
        </w:rPr>
        <w:t> </w:t>
      </w:r>
      <w:r>
        <w:rPr/>
        <w:t>Kensinger,</w:t>
      </w:r>
      <w:r>
        <w:rPr>
          <w:spacing w:val="-3"/>
        </w:rPr>
        <w:t> </w:t>
      </w:r>
      <w:r>
        <w:rPr/>
        <w:t>R.S.</w:t>
      </w:r>
      <w:r>
        <w:rPr>
          <w:spacing w:val="-3"/>
        </w:rPr>
        <w:t> </w:t>
      </w:r>
      <w:r>
        <w:rPr/>
        <w:t>(2007).Concentrations of</w:t>
      </w:r>
      <w:r>
        <w:rPr>
          <w:spacing w:val="-1"/>
        </w:rPr>
        <w:t> </w:t>
      </w:r>
      <w:r>
        <w:rPr/>
        <w:t>17β-estradiol in</w:t>
      </w:r>
      <w:r>
        <w:rPr>
          <w:spacing w:val="-1"/>
        </w:rPr>
        <w:t> </w:t>
      </w:r>
      <w:r>
        <w:rPr/>
        <w:t>Holstein whole milk.</w:t>
      </w:r>
      <w:r>
        <w:rPr>
          <w:i/>
        </w:rPr>
        <w:t>Journal of Dairy Science</w:t>
      </w:r>
      <w:r>
        <w:rPr/>
        <w:t>, 90: 3308-3313.</w:t>
      </w:r>
    </w:p>
    <w:p>
      <w:pPr>
        <w:spacing w:line="278" w:lineRule="auto" w:before="242"/>
        <w:ind w:left="1640" w:right="1175" w:hanging="720"/>
        <w:jc w:val="both"/>
        <w:rPr>
          <w:sz w:val="22"/>
        </w:rPr>
      </w:pPr>
      <w:r>
        <w:rPr>
          <w:sz w:val="22"/>
        </w:rPr>
        <w:t>Paul, S., Bezbarauh, R.L., Roy, M. K and Ghosh, A.C. (1997). Multiple antibiotic resistant index and its reversion in </w:t>
      </w:r>
      <w:r>
        <w:rPr>
          <w:i/>
          <w:sz w:val="22"/>
        </w:rPr>
        <w:t>Pseudomonas aeroginosa</w:t>
      </w:r>
      <w:r>
        <w:rPr>
          <w:sz w:val="22"/>
        </w:rPr>
        <w:t>. </w:t>
      </w:r>
      <w:r>
        <w:rPr>
          <w:i/>
          <w:sz w:val="22"/>
        </w:rPr>
        <w:t>Letters of Applied Microbiology</w:t>
      </w:r>
      <w:r>
        <w:rPr>
          <w:sz w:val="22"/>
        </w:rPr>
        <w:t>, 24: 109-171.</w:t>
      </w:r>
    </w:p>
    <w:p>
      <w:pPr>
        <w:pStyle w:val="BodyText"/>
        <w:spacing w:line="278" w:lineRule="auto" w:before="237"/>
        <w:ind w:left="1640" w:right="1179" w:hanging="720"/>
        <w:jc w:val="both"/>
      </w:pPr>
      <w:r>
        <w:rPr/>
        <w:t>Paulsen, I. T., Brown, M. H and Skurray, R. A. (1996).Proton-dependent multidrug efflux systems.</w:t>
      </w:r>
      <w:r>
        <w:rPr>
          <w:i/>
        </w:rPr>
        <w:t>Microbiology Reviews</w:t>
      </w:r>
      <w:r>
        <w:rPr/>
        <w:t>, 60: 575-608.</w:t>
      </w:r>
    </w:p>
    <w:p>
      <w:pPr>
        <w:spacing w:line="273" w:lineRule="auto" w:before="236"/>
        <w:ind w:left="1640" w:right="1178" w:hanging="720"/>
        <w:jc w:val="both"/>
        <w:rPr>
          <w:sz w:val="22"/>
        </w:rPr>
      </w:pPr>
      <w:r>
        <w:rPr>
          <w:sz w:val="22"/>
        </w:rPr>
        <w:t>Pazakova, J., Turek, P and Laciakova, A. (1997).The survival of </w:t>
      </w:r>
      <w:r>
        <w:rPr>
          <w:i/>
          <w:sz w:val="22"/>
        </w:rPr>
        <w:t>Staphylococcus aureus </w:t>
      </w:r>
      <w:r>
        <w:rPr>
          <w:sz w:val="22"/>
        </w:rPr>
        <w:t>during the fermentation and storage of yoghurt.</w:t>
      </w:r>
      <w:r>
        <w:rPr>
          <w:i/>
          <w:sz w:val="22"/>
        </w:rPr>
        <w:t>Journal of Applied Microbiology</w:t>
      </w:r>
      <w:r>
        <w:rPr>
          <w:sz w:val="22"/>
        </w:rPr>
        <w:t>.82: 659-662.</w:t>
      </w:r>
    </w:p>
    <w:p>
      <w:pPr>
        <w:spacing w:line="276" w:lineRule="auto" w:before="242"/>
        <w:ind w:left="1640" w:right="1173" w:hanging="720"/>
        <w:jc w:val="both"/>
        <w:rPr>
          <w:sz w:val="22"/>
        </w:rPr>
      </w:pPr>
      <w:r>
        <w:rPr>
          <w:sz w:val="22"/>
        </w:rPr>
        <w:t>Perreten, V and Boerlin, P. (2003). A new sulphonamide resistance gene (sul3) in </w:t>
      </w:r>
      <w:r>
        <w:rPr>
          <w:i/>
          <w:sz w:val="22"/>
        </w:rPr>
        <w:t>Escherichia coli </w:t>
      </w:r>
      <w:r>
        <w:rPr>
          <w:sz w:val="22"/>
        </w:rPr>
        <w:t>is widespread in the pig population in Switzerland. </w:t>
      </w:r>
      <w:r>
        <w:rPr>
          <w:i/>
          <w:sz w:val="22"/>
        </w:rPr>
        <w:t>Antimicrobial Agents Chemotherapy</w:t>
      </w:r>
      <w:r>
        <w:rPr>
          <w:sz w:val="22"/>
        </w:rPr>
        <w:t>, 47: 1169- </w:t>
      </w:r>
      <w:r>
        <w:rPr>
          <w:spacing w:val="-2"/>
          <w:sz w:val="22"/>
        </w:rPr>
        <w:t>1172.</w:t>
      </w:r>
    </w:p>
    <w:p>
      <w:pPr>
        <w:spacing w:after="0" w:line="276" w:lineRule="auto"/>
        <w:jc w:val="both"/>
        <w:rPr>
          <w:sz w:val="22"/>
        </w:rPr>
        <w:sectPr>
          <w:pgSz w:w="12240" w:h="15840"/>
          <w:pgMar w:header="0" w:footer="1017" w:top="1400" w:bottom="1200" w:left="520" w:right="260"/>
        </w:sectPr>
      </w:pPr>
    </w:p>
    <w:p>
      <w:pPr>
        <w:pStyle w:val="BodyText"/>
        <w:spacing w:line="276" w:lineRule="auto" w:before="41"/>
        <w:ind w:left="1640" w:right="1174" w:hanging="720"/>
        <w:jc w:val="both"/>
      </w:pPr>
      <w:r>
        <w:rPr/>
        <w:t>Phillips, J. D and Griffiths, M.W. (1990). Pasteurized dairy products: the constraints imposed by environmental contamination, In: Nriagu, J.O. and Simmons, M.S. (Eds.) </w:t>
      </w:r>
      <w:r>
        <w:rPr>
          <w:i/>
        </w:rPr>
        <w:t>Food contamination from environment sources</w:t>
      </w:r>
      <w:r>
        <w:rPr/>
        <w:t>. Wiley, New York, PP. 387–456.</w:t>
      </w:r>
    </w:p>
    <w:p>
      <w:pPr>
        <w:pStyle w:val="BodyText"/>
        <w:spacing w:line="273" w:lineRule="auto" w:before="240"/>
        <w:ind w:left="1640" w:right="1172" w:hanging="720"/>
        <w:jc w:val="both"/>
      </w:pPr>
      <w:r>
        <w:rPr/>
        <w:t>Piddock, L.J.V. (2006). Clinically relevant chromosomally encoded multi drug resistance efflux pumps in bacteria. </w:t>
      </w:r>
      <w:r>
        <w:rPr>
          <w:i/>
        </w:rPr>
        <w:t>Clinical Microbiology Reviews</w:t>
      </w:r>
      <w:r>
        <w:rPr/>
        <w:t>, 19(2): 382-402.</w:t>
      </w:r>
    </w:p>
    <w:p>
      <w:pPr>
        <w:pStyle w:val="BodyText"/>
        <w:spacing w:line="278" w:lineRule="auto" w:before="242"/>
        <w:ind w:left="1640" w:right="1178" w:hanging="720"/>
        <w:jc w:val="both"/>
      </w:pPr>
      <w:r>
        <w:rPr/>
        <w:t>Pitkala, A., Haveri, M., Pyorala, S and Myllys, V. (2004).Bovine mastitis in Finland 2001 prevalence, distribution of bacteria and antimicrobial resistance.</w:t>
      </w:r>
      <w:r>
        <w:rPr>
          <w:i/>
        </w:rPr>
        <w:t>Journal of Dairy Science, 87</w:t>
      </w:r>
      <w:r>
        <w:rPr/>
        <w:t>: 2433–2441.</w:t>
      </w:r>
    </w:p>
    <w:p>
      <w:pPr>
        <w:pStyle w:val="BodyText"/>
        <w:spacing w:line="276" w:lineRule="auto" w:before="237"/>
        <w:ind w:left="1640" w:right="1173" w:hanging="720"/>
        <w:jc w:val="both"/>
      </w:pPr>
      <w:r>
        <w:rPr/>
        <w:t>Pitt, T.L and Sparrow, M. (2001). Survey of antimicrobial resistance of </w:t>
      </w:r>
      <w:r>
        <w:rPr>
          <w:i/>
        </w:rPr>
        <w:t>Pseudomonas aeruginosa </w:t>
      </w:r>
      <w:r>
        <w:rPr/>
        <w:t>isolates from cystic fibrosis patients in the United Kingdom. Abstracts of 24th European Cystic Fibrosis Conference. Vienna.</w:t>
      </w:r>
    </w:p>
    <w:p>
      <w:pPr>
        <w:spacing w:line="278" w:lineRule="auto" w:before="239"/>
        <w:ind w:left="1640" w:right="1175" w:hanging="720"/>
        <w:jc w:val="both"/>
        <w:rPr>
          <w:sz w:val="22"/>
        </w:rPr>
      </w:pPr>
      <w:r>
        <w:rPr>
          <w:sz w:val="22"/>
        </w:rPr>
        <w:t>Pohl, P., Lintermans, P., Marin, M and Couturier, M. (1999). Epidemiological study of </w:t>
      </w:r>
      <w:r>
        <w:rPr>
          <w:i/>
          <w:sz w:val="22"/>
        </w:rPr>
        <w:t>Salmonella enteritidis </w:t>
      </w:r>
      <w:r>
        <w:rPr>
          <w:sz w:val="22"/>
        </w:rPr>
        <w:t>strains of animal origin in Belgium. </w:t>
      </w:r>
      <w:r>
        <w:rPr>
          <w:i/>
          <w:sz w:val="22"/>
        </w:rPr>
        <w:t>Epidemiology and Infection, </w:t>
      </w:r>
      <w:r>
        <w:rPr>
          <w:sz w:val="22"/>
        </w:rPr>
        <w:t>106: 11-16.</w:t>
      </w:r>
    </w:p>
    <w:p>
      <w:pPr>
        <w:pStyle w:val="BodyText"/>
        <w:spacing w:line="276" w:lineRule="auto" w:before="237"/>
        <w:ind w:left="1640" w:right="1173" w:hanging="720"/>
        <w:jc w:val="both"/>
      </w:pPr>
      <w:r>
        <w:rPr/>
        <w:t>Prescott, J.F. (2000). Antimicrobial drug resistance and its epidemiology. In: Prescott, J.F., Baggot, J.D., Walker, R.D. (Eds.) </w:t>
      </w:r>
      <w:r>
        <w:rPr>
          <w:i/>
        </w:rPr>
        <w:t>Antimicrobial Therapyin Veterinary Medicine </w:t>
      </w:r>
      <w:r>
        <w:rPr/>
        <w:t>.Third Edition,</w:t>
      </w:r>
      <w:r>
        <w:rPr>
          <w:spacing w:val="40"/>
        </w:rPr>
        <w:t> </w:t>
      </w:r>
      <w:r>
        <w:rPr/>
        <w:t>Ames, Iowa</w:t>
      </w:r>
      <w:r>
        <w:rPr>
          <w:spacing w:val="80"/>
        </w:rPr>
        <w:t> </w:t>
      </w:r>
      <w:r>
        <w:rPr/>
        <w:t>State University Press, PP. 27-49.</w:t>
      </w:r>
    </w:p>
    <w:p>
      <w:pPr>
        <w:pStyle w:val="BodyText"/>
        <w:spacing w:line="273" w:lineRule="auto" w:before="239"/>
        <w:ind w:left="1640" w:right="1177" w:hanging="720"/>
        <w:jc w:val="both"/>
      </w:pPr>
      <w:r>
        <w:rPr/>
        <w:t>Prescott, M., Harley, P and Klein, A. (2008).Chemotherapy.</w:t>
      </w:r>
      <w:r>
        <w:rPr>
          <w:i/>
        </w:rPr>
        <w:t>Microbiology.</w:t>
      </w:r>
      <w:r>
        <w:rPr/>
        <w:t>Seventh edition, McGraw – Hill, New York.PP. 835- 850.</w:t>
      </w:r>
    </w:p>
    <w:p>
      <w:pPr>
        <w:pStyle w:val="BodyText"/>
        <w:spacing w:before="243"/>
        <w:ind w:left="920"/>
      </w:pPr>
      <w:r>
        <w:rPr/>
        <w:t>Proctor,</w:t>
      </w:r>
      <w:r>
        <w:rPr>
          <w:spacing w:val="57"/>
        </w:rPr>
        <w:t> </w:t>
      </w:r>
      <w:r>
        <w:rPr/>
        <w:t>M.</w:t>
      </w:r>
      <w:r>
        <w:rPr>
          <w:spacing w:val="68"/>
        </w:rPr>
        <w:t> </w:t>
      </w:r>
      <w:r>
        <w:rPr/>
        <w:t>E</w:t>
      </w:r>
      <w:r>
        <w:rPr>
          <w:spacing w:val="60"/>
        </w:rPr>
        <w:t> </w:t>
      </w:r>
      <w:r>
        <w:rPr/>
        <w:t>and</w:t>
      </w:r>
      <w:r>
        <w:rPr>
          <w:spacing w:val="61"/>
        </w:rPr>
        <w:t> </w:t>
      </w:r>
      <w:r>
        <w:rPr/>
        <w:t>Davis,</w:t>
      </w:r>
      <w:r>
        <w:rPr>
          <w:spacing w:val="60"/>
        </w:rPr>
        <w:t> </w:t>
      </w:r>
      <w:r>
        <w:rPr/>
        <w:t>J.P.</w:t>
      </w:r>
      <w:r>
        <w:rPr>
          <w:spacing w:val="64"/>
        </w:rPr>
        <w:t> </w:t>
      </w:r>
      <w:r>
        <w:rPr/>
        <w:t>(2000).</w:t>
      </w:r>
      <w:r>
        <w:rPr>
          <w:i/>
        </w:rPr>
        <w:t>Escherichia</w:t>
      </w:r>
      <w:r>
        <w:rPr>
          <w:i/>
          <w:spacing w:val="63"/>
        </w:rPr>
        <w:t> </w:t>
      </w:r>
      <w:r>
        <w:rPr>
          <w:i/>
        </w:rPr>
        <w:t>coli</w:t>
      </w:r>
      <w:r>
        <w:rPr>
          <w:i/>
          <w:spacing w:val="64"/>
        </w:rPr>
        <w:t> </w:t>
      </w:r>
      <w:r>
        <w:rPr/>
        <w:t>O157:H7</w:t>
      </w:r>
      <w:r>
        <w:rPr>
          <w:spacing w:val="61"/>
        </w:rPr>
        <w:t> </w:t>
      </w:r>
      <w:r>
        <w:rPr/>
        <w:t>infections</w:t>
      </w:r>
      <w:r>
        <w:rPr>
          <w:spacing w:val="61"/>
        </w:rPr>
        <w:t> </w:t>
      </w:r>
      <w:r>
        <w:rPr/>
        <w:t>in</w:t>
      </w:r>
      <w:r>
        <w:rPr>
          <w:spacing w:val="62"/>
        </w:rPr>
        <w:t> </w:t>
      </w:r>
      <w:r>
        <w:rPr/>
        <w:t>Wisconsin</w:t>
      </w:r>
      <w:r>
        <w:rPr>
          <w:spacing w:val="62"/>
        </w:rPr>
        <w:t> </w:t>
      </w:r>
      <w:r>
        <w:rPr>
          <w:spacing w:val="-2"/>
        </w:rPr>
        <w:t>1992–1999.</w:t>
      </w:r>
    </w:p>
    <w:p>
      <w:pPr>
        <w:spacing w:before="43"/>
        <w:ind w:left="1640" w:right="0" w:firstLine="0"/>
        <w:jc w:val="left"/>
        <w:rPr>
          <w:sz w:val="22"/>
        </w:rPr>
      </w:pPr>
      <w:r>
        <w:rPr>
          <w:i/>
          <w:sz w:val="22"/>
        </w:rPr>
        <w:t>Wisconsin</w:t>
      </w:r>
      <w:r>
        <w:rPr>
          <w:i/>
          <w:spacing w:val="-5"/>
          <w:sz w:val="22"/>
        </w:rPr>
        <w:t> </w:t>
      </w:r>
      <w:r>
        <w:rPr>
          <w:i/>
          <w:sz w:val="22"/>
        </w:rPr>
        <w:t>Medical</w:t>
      </w:r>
      <w:r>
        <w:rPr>
          <w:i/>
          <w:spacing w:val="-4"/>
          <w:sz w:val="22"/>
        </w:rPr>
        <w:t> </w:t>
      </w:r>
      <w:r>
        <w:rPr>
          <w:i/>
          <w:sz w:val="22"/>
        </w:rPr>
        <w:t>Journal</w:t>
      </w:r>
      <w:r>
        <w:rPr>
          <w:sz w:val="22"/>
        </w:rPr>
        <w:t>.</w:t>
      </w:r>
      <w:r>
        <w:rPr>
          <w:spacing w:val="-4"/>
          <w:sz w:val="22"/>
        </w:rPr>
        <w:t> </w:t>
      </w:r>
      <w:r>
        <w:rPr>
          <w:sz w:val="22"/>
        </w:rPr>
        <w:t>99:</w:t>
      </w:r>
      <w:r>
        <w:rPr>
          <w:spacing w:val="-7"/>
          <w:sz w:val="22"/>
        </w:rPr>
        <w:t> </w:t>
      </w:r>
      <w:r>
        <w:rPr>
          <w:spacing w:val="-2"/>
          <w:sz w:val="22"/>
        </w:rPr>
        <w:t>32–37.</w:t>
      </w:r>
    </w:p>
    <w:p>
      <w:pPr>
        <w:pStyle w:val="BodyText"/>
        <w:spacing w:before="10"/>
      </w:pPr>
    </w:p>
    <w:p>
      <w:pPr>
        <w:spacing w:line="278" w:lineRule="auto" w:before="0"/>
        <w:ind w:left="1640" w:right="1173" w:hanging="720"/>
        <w:jc w:val="both"/>
        <w:rPr>
          <w:sz w:val="22"/>
        </w:rPr>
      </w:pPr>
      <w:r>
        <w:rPr>
          <w:sz w:val="22"/>
        </w:rPr>
        <w:t>Quinn, P. J., Carter, M. E., Markey, B and Carter, G. R. (1999a).</w:t>
      </w:r>
      <w:r>
        <w:rPr>
          <w:i/>
          <w:sz w:val="22"/>
        </w:rPr>
        <w:t>Clinical Veterinary Microbiology</w:t>
      </w:r>
      <w:r>
        <w:rPr>
          <w:sz w:val="22"/>
        </w:rPr>
        <w:t>, Wolf publishing, London, England, PP. 327-344.</w:t>
      </w:r>
    </w:p>
    <w:p>
      <w:pPr>
        <w:spacing w:line="278" w:lineRule="auto" w:before="236"/>
        <w:ind w:left="1640" w:right="1179" w:hanging="720"/>
        <w:jc w:val="both"/>
        <w:rPr>
          <w:sz w:val="22"/>
        </w:rPr>
      </w:pPr>
      <w:r>
        <w:rPr>
          <w:sz w:val="22"/>
        </w:rPr>
        <w:t>Quinn, P.J., Carter, M. E., Markey, B and Carter, G.R. (1999b).</w:t>
      </w:r>
      <w:r>
        <w:rPr>
          <w:i/>
          <w:sz w:val="22"/>
        </w:rPr>
        <w:t>Clinical Veterinary Microbiology</w:t>
      </w:r>
      <w:r>
        <w:rPr>
          <w:sz w:val="22"/>
        </w:rPr>
        <w:t>. Mosby International Limited, Spain, PP. 118-143, 209-242.</w:t>
      </w:r>
    </w:p>
    <w:p>
      <w:pPr>
        <w:pStyle w:val="BodyText"/>
        <w:spacing w:line="276" w:lineRule="auto" w:before="236"/>
        <w:ind w:left="1640" w:right="1177" w:hanging="720"/>
        <w:jc w:val="both"/>
      </w:pPr>
      <w:r>
        <w:rPr/>
        <w:t>Quintiliani, R., Sahm, D.F and Courvalin, P. (1999).Mechanisms of resistance to antimicrobial agents. In: Murray, P.R., Baron, E.J., Pfaller, M.A., Tenover, F. C and Yolken, R.H. (Eds.) </w:t>
      </w:r>
      <w:r>
        <w:rPr>
          <w:i/>
        </w:rPr>
        <w:t>Manual of Clinical Microbiology </w:t>
      </w:r>
      <w:r>
        <w:rPr/>
        <w:t>7th Edition ASM Press, Washington, DC. PP. 1505-1525.</w:t>
      </w:r>
    </w:p>
    <w:p>
      <w:pPr>
        <w:pStyle w:val="BodyText"/>
        <w:spacing w:line="276" w:lineRule="auto" w:before="240"/>
        <w:ind w:left="1640" w:right="1175" w:hanging="720"/>
        <w:jc w:val="both"/>
      </w:pPr>
      <w:r>
        <w:rPr/>
        <w:t>Radstrom, P and Swedberg, G. (1988). RSF1010 and a conjugative plasmid contain sulII, one of two known genes for plasmid borne sulfonamide resistance dihydropteroate synthase </w:t>
      </w:r>
      <w:r>
        <w:rPr>
          <w:i/>
        </w:rPr>
        <w:t>Antimicrobial Agents Chemotherapy</w:t>
      </w:r>
      <w:r>
        <w:rPr/>
        <w:t>, 32: 1684-1692.</w:t>
      </w:r>
    </w:p>
    <w:p>
      <w:pPr>
        <w:pStyle w:val="BodyText"/>
        <w:spacing w:before="240"/>
        <w:ind w:left="920"/>
        <w:rPr>
          <w:i/>
        </w:rPr>
      </w:pPr>
      <w:r>
        <w:rPr/>
        <w:t>Rajmohan,</w:t>
      </w:r>
      <w:r>
        <w:rPr>
          <w:spacing w:val="40"/>
        </w:rPr>
        <w:t> </w:t>
      </w:r>
      <w:r>
        <w:rPr/>
        <w:t>S.,</w:t>
      </w:r>
      <w:r>
        <w:rPr>
          <w:spacing w:val="41"/>
        </w:rPr>
        <w:t> </w:t>
      </w:r>
      <w:r>
        <w:rPr/>
        <w:t>Dodd,</w:t>
      </w:r>
      <w:r>
        <w:rPr>
          <w:spacing w:val="41"/>
        </w:rPr>
        <w:t> </w:t>
      </w:r>
      <w:r>
        <w:rPr/>
        <w:t>C.E.R</w:t>
      </w:r>
      <w:r>
        <w:rPr>
          <w:spacing w:val="39"/>
        </w:rPr>
        <w:t> </w:t>
      </w:r>
      <w:r>
        <w:rPr/>
        <w:t>and</w:t>
      </w:r>
      <w:r>
        <w:rPr>
          <w:spacing w:val="43"/>
        </w:rPr>
        <w:t> </w:t>
      </w:r>
      <w:r>
        <w:rPr/>
        <w:t>Waites,</w:t>
      </w:r>
      <w:r>
        <w:rPr>
          <w:spacing w:val="41"/>
        </w:rPr>
        <w:t> </w:t>
      </w:r>
      <w:r>
        <w:rPr/>
        <w:t>W.M.</w:t>
      </w:r>
      <w:r>
        <w:rPr>
          <w:spacing w:val="42"/>
        </w:rPr>
        <w:t>  </w:t>
      </w:r>
      <w:r>
        <w:rPr/>
        <w:t>(2002).</w:t>
      </w:r>
      <w:r>
        <w:rPr>
          <w:spacing w:val="45"/>
        </w:rPr>
        <w:t> </w:t>
      </w:r>
      <w:r>
        <w:rPr/>
        <w:t>Enzymes</w:t>
      </w:r>
      <w:r>
        <w:rPr>
          <w:spacing w:val="37"/>
        </w:rPr>
        <w:t> </w:t>
      </w:r>
      <w:r>
        <w:rPr/>
        <w:t>from</w:t>
      </w:r>
      <w:r>
        <w:rPr>
          <w:spacing w:val="44"/>
        </w:rPr>
        <w:t> </w:t>
      </w:r>
      <w:r>
        <w:rPr/>
        <w:t>the</w:t>
      </w:r>
      <w:r>
        <w:rPr>
          <w:spacing w:val="39"/>
        </w:rPr>
        <w:t> </w:t>
      </w:r>
      <w:r>
        <w:rPr/>
        <w:t>isolates</w:t>
      </w:r>
      <w:r>
        <w:rPr>
          <w:spacing w:val="38"/>
        </w:rPr>
        <w:t> </w:t>
      </w:r>
      <w:r>
        <w:rPr/>
        <w:t>of</w:t>
      </w:r>
      <w:r>
        <w:rPr>
          <w:spacing w:val="42"/>
        </w:rPr>
        <w:t>  </w:t>
      </w:r>
      <w:r>
        <w:rPr>
          <w:i/>
        </w:rPr>
        <w:t>P.</w:t>
      </w:r>
      <w:r>
        <w:rPr>
          <w:i/>
          <w:spacing w:val="41"/>
        </w:rPr>
        <w:t> </w:t>
      </w:r>
      <w:r>
        <w:rPr>
          <w:i/>
          <w:spacing w:val="-2"/>
        </w:rPr>
        <w:t>fluorescens</w:t>
      </w:r>
    </w:p>
    <w:p>
      <w:pPr>
        <w:spacing w:before="39"/>
        <w:ind w:left="1640" w:right="0" w:firstLine="0"/>
        <w:jc w:val="left"/>
        <w:rPr>
          <w:sz w:val="22"/>
        </w:rPr>
      </w:pPr>
      <w:r>
        <w:rPr>
          <w:sz w:val="22"/>
        </w:rPr>
        <w:t>involved</w:t>
      </w:r>
      <w:r>
        <w:rPr>
          <w:spacing w:val="-6"/>
          <w:sz w:val="22"/>
        </w:rPr>
        <w:t> </w:t>
      </w:r>
      <w:r>
        <w:rPr>
          <w:sz w:val="22"/>
        </w:rPr>
        <w:t>in</w:t>
      </w:r>
      <w:r>
        <w:rPr>
          <w:spacing w:val="-6"/>
          <w:sz w:val="22"/>
        </w:rPr>
        <w:t> </w:t>
      </w:r>
      <w:r>
        <w:rPr>
          <w:sz w:val="22"/>
        </w:rPr>
        <w:t>food</w:t>
      </w:r>
      <w:r>
        <w:rPr>
          <w:spacing w:val="-5"/>
          <w:sz w:val="22"/>
        </w:rPr>
        <w:t> </w:t>
      </w:r>
      <w:r>
        <w:rPr>
          <w:sz w:val="22"/>
        </w:rPr>
        <w:t>spoilage.</w:t>
      </w:r>
      <w:r>
        <w:rPr>
          <w:spacing w:val="-3"/>
          <w:sz w:val="22"/>
        </w:rPr>
        <w:t> </w:t>
      </w:r>
      <w:r>
        <w:rPr>
          <w:i/>
          <w:sz w:val="22"/>
        </w:rPr>
        <w:t>Journal</w:t>
      </w:r>
      <w:r>
        <w:rPr>
          <w:i/>
          <w:spacing w:val="-3"/>
          <w:sz w:val="22"/>
        </w:rPr>
        <w:t> </w:t>
      </w:r>
      <w:r>
        <w:rPr>
          <w:i/>
          <w:sz w:val="22"/>
        </w:rPr>
        <w:t>of</w:t>
      </w:r>
      <w:r>
        <w:rPr>
          <w:i/>
          <w:spacing w:val="-5"/>
          <w:sz w:val="22"/>
        </w:rPr>
        <w:t> </w:t>
      </w:r>
      <w:r>
        <w:rPr>
          <w:i/>
          <w:sz w:val="22"/>
        </w:rPr>
        <w:t>Applied</w:t>
      </w:r>
      <w:r>
        <w:rPr>
          <w:i/>
          <w:spacing w:val="-2"/>
          <w:sz w:val="22"/>
        </w:rPr>
        <w:t> </w:t>
      </w:r>
      <w:r>
        <w:rPr>
          <w:i/>
          <w:sz w:val="22"/>
        </w:rPr>
        <w:t>Microbiology</w:t>
      </w:r>
      <w:r>
        <w:rPr>
          <w:sz w:val="22"/>
        </w:rPr>
        <w:t>,</w:t>
      </w:r>
      <w:r>
        <w:rPr>
          <w:spacing w:val="-7"/>
          <w:sz w:val="22"/>
        </w:rPr>
        <w:t> </w:t>
      </w:r>
      <w:r>
        <w:rPr>
          <w:sz w:val="22"/>
        </w:rPr>
        <w:t>93:</w:t>
      </w:r>
      <w:r>
        <w:rPr>
          <w:spacing w:val="-5"/>
          <w:sz w:val="22"/>
        </w:rPr>
        <w:t> </w:t>
      </w:r>
      <w:r>
        <w:rPr>
          <w:sz w:val="22"/>
        </w:rPr>
        <w:t>205-</w:t>
      </w:r>
      <w:r>
        <w:rPr>
          <w:spacing w:val="-5"/>
          <w:sz w:val="22"/>
        </w:rPr>
        <w:t>213</w:t>
      </w:r>
    </w:p>
    <w:p>
      <w:pPr>
        <w:spacing w:after="0"/>
        <w:jc w:val="left"/>
        <w:rPr>
          <w:sz w:val="22"/>
        </w:rPr>
        <w:sectPr>
          <w:pgSz w:w="12240" w:h="15840"/>
          <w:pgMar w:header="0" w:footer="1017" w:top="1400" w:bottom="1200" w:left="520" w:right="260"/>
        </w:sectPr>
      </w:pPr>
    </w:p>
    <w:p>
      <w:pPr>
        <w:spacing w:line="273" w:lineRule="auto" w:before="41"/>
        <w:ind w:left="1640" w:right="1177" w:hanging="720"/>
        <w:jc w:val="both"/>
        <w:rPr>
          <w:sz w:val="22"/>
        </w:rPr>
      </w:pPr>
      <w:r>
        <w:rPr>
          <w:sz w:val="22"/>
        </w:rPr>
        <w:t>Rea, M.C., Cogan, T.M and Tobin, S. (1992). Incidence of Pathogenic Bacteria in Raw-Milk in Ireland.</w:t>
      </w:r>
      <w:r>
        <w:rPr>
          <w:i/>
          <w:sz w:val="22"/>
        </w:rPr>
        <w:t>Journal of Applied Bacteriology, </w:t>
      </w:r>
      <w:r>
        <w:rPr>
          <w:sz w:val="22"/>
        </w:rPr>
        <w:t>73: 331-36.</w:t>
      </w:r>
    </w:p>
    <w:p>
      <w:pPr>
        <w:pStyle w:val="BodyText"/>
        <w:spacing w:line="278" w:lineRule="auto" w:before="243"/>
        <w:ind w:left="1640" w:right="1181" w:hanging="720"/>
        <w:jc w:val="both"/>
      </w:pPr>
      <w:r>
        <w:rPr/>
        <w:t>Recchia, G.D and Hall, R.M. (1995). Gene cassettes: a new class of mobile element </w:t>
      </w:r>
      <w:r>
        <w:rPr>
          <w:i/>
        </w:rPr>
        <w:t>Microbiology</w:t>
      </w:r>
      <w:r>
        <w:rPr/>
        <w:t>, 141: </w:t>
      </w:r>
      <w:r>
        <w:rPr>
          <w:spacing w:val="-2"/>
        </w:rPr>
        <w:t>3015-3027</w:t>
      </w:r>
    </w:p>
    <w:p>
      <w:pPr>
        <w:pStyle w:val="BodyText"/>
        <w:spacing w:line="278" w:lineRule="auto" w:before="236"/>
        <w:ind w:left="1640" w:right="1175" w:hanging="720"/>
        <w:jc w:val="both"/>
      </w:pPr>
      <w:r>
        <w:rPr/>
        <w:t>Recchia, G.D and Hall, R.M. (1997). Origins of mobile gene cassettes found in integrons </w:t>
      </w:r>
      <w:r>
        <w:rPr>
          <w:i/>
        </w:rPr>
        <w:t>Trends in Microbiology</w:t>
      </w:r>
      <w:r>
        <w:rPr/>
        <w:t>, 10: 389-394.</w:t>
      </w:r>
    </w:p>
    <w:p>
      <w:pPr>
        <w:pStyle w:val="BodyText"/>
        <w:spacing w:before="3"/>
      </w:pPr>
    </w:p>
    <w:p>
      <w:pPr>
        <w:spacing w:line="237" w:lineRule="auto" w:before="0"/>
        <w:ind w:left="1640" w:right="1181" w:hanging="720"/>
        <w:jc w:val="both"/>
        <w:rPr>
          <w:rFonts w:ascii="Times New Roman"/>
          <w:i/>
          <w:sz w:val="24"/>
        </w:rPr>
      </w:pPr>
      <w:r>
        <w:rPr>
          <w:rFonts w:ascii="Times New Roman"/>
          <w:sz w:val="24"/>
        </w:rPr>
        <w:t>Reddy, K. V</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Bordekar,</w:t>
      </w:r>
      <w:r>
        <w:rPr>
          <w:rFonts w:ascii="Times New Roman"/>
          <w:spacing w:val="-1"/>
          <w:sz w:val="24"/>
        </w:rPr>
        <w:t> </w:t>
      </w:r>
      <w:r>
        <w:rPr>
          <w:rFonts w:ascii="Times New Roman"/>
          <w:sz w:val="24"/>
        </w:rPr>
        <w:t>A.D.</w:t>
      </w:r>
      <w:r>
        <w:rPr>
          <w:rFonts w:ascii="Times New Roman"/>
          <w:spacing w:val="-1"/>
          <w:sz w:val="24"/>
        </w:rPr>
        <w:t> </w:t>
      </w:r>
      <w:r>
        <w:rPr>
          <w:rFonts w:ascii="Times New Roman"/>
          <w:sz w:val="24"/>
        </w:rPr>
        <w:t>(1999).Resazurin</w:t>
      </w:r>
      <w:r>
        <w:rPr>
          <w:rFonts w:ascii="Times New Roman"/>
          <w:spacing w:val="-2"/>
          <w:sz w:val="24"/>
        </w:rPr>
        <w:t> </w:t>
      </w:r>
      <w:r>
        <w:rPr>
          <w:rFonts w:ascii="Times New Roman"/>
          <w:sz w:val="24"/>
        </w:rPr>
        <w:t>reduction</w:t>
      </w:r>
      <w:r>
        <w:rPr>
          <w:rFonts w:ascii="Times New Roman"/>
          <w:spacing w:val="-7"/>
          <w:sz w:val="24"/>
        </w:rPr>
        <w:t> </w:t>
      </w:r>
      <w:r>
        <w:rPr>
          <w:rFonts w:ascii="Times New Roman"/>
          <w:sz w:val="24"/>
        </w:rPr>
        <w:t>test.</w:t>
      </w:r>
      <w:r>
        <w:rPr>
          <w:rFonts w:ascii="Times New Roman"/>
          <w:i/>
          <w:sz w:val="24"/>
        </w:rPr>
        <w:t>Indian</w:t>
      </w:r>
      <w:r>
        <w:rPr>
          <w:rFonts w:ascii="Times New Roman"/>
          <w:i/>
          <w:spacing w:val="-2"/>
          <w:sz w:val="24"/>
        </w:rPr>
        <w:t> </w:t>
      </w:r>
      <w:r>
        <w:rPr>
          <w:rFonts w:ascii="Times New Roman"/>
          <w:i/>
          <w:sz w:val="24"/>
        </w:rPr>
        <w:t>Journal</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Experimental Biology, 37: 782.</w:t>
      </w:r>
    </w:p>
    <w:p>
      <w:pPr>
        <w:pStyle w:val="BodyText"/>
        <w:spacing w:before="15"/>
        <w:rPr>
          <w:rFonts w:ascii="Times New Roman"/>
          <w:i/>
          <w:sz w:val="24"/>
        </w:rPr>
      </w:pPr>
    </w:p>
    <w:p>
      <w:pPr>
        <w:pStyle w:val="BodyText"/>
        <w:spacing w:line="273" w:lineRule="auto"/>
        <w:ind w:left="1640" w:right="1178" w:hanging="720"/>
        <w:jc w:val="both"/>
      </w:pPr>
      <w:r>
        <w:rPr/>
        <w:t>Reed,</w:t>
      </w:r>
      <w:r>
        <w:rPr>
          <w:spacing w:val="-1"/>
        </w:rPr>
        <w:t> </w:t>
      </w:r>
      <w:r>
        <w:rPr/>
        <w:t>B.A and Grivetti,</w:t>
      </w:r>
      <w:r>
        <w:rPr>
          <w:spacing w:val="-1"/>
        </w:rPr>
        <w:t> </w:t>
      </w:r>
      <w:r>
        <w:rPr/>
        <w:t>L.E.,</w:t>
      </w:r>
      <w:r>
        <w:rPr>
          <w:spacing w:val="-1"/>
        </w:rPr>
        <w:t> </w:t>
      </w:r>
      <w:r>
        <w:rPr/>
        <w:t>(2000).Controlling on-farm</w:t>
      </w:r>
      <w:r>
        <w:rPr>
          <w:spacing w:val="-2"/>
        </w:rPr>
        <w:t> </w:t>
      </w:r>
      <w:r>
        <w:rPr/>
        <w:t>inventories of bulk-tank raw milk-An opportunity to protect public health.</w:t>
      </w:r>
      <w:r>
        <w:rPr>
          <w:i/>
        </w:rPr>
        <w:t>Journal of Dairy Sciences</w:t>
      </w:r>
      <w:r>
        <w:rPr/>
        <w:t>, 83: 2988–2991.</w:t>
      </w:r>
    </w:p>
    <w:p>
      <w:pPr>
        <w:spacing w:line="276" w:lineRule="auto" w:before="243"/>
        <w:ind w:left="1640" w:right="1175" w:hanging="720"/>
        <w:jc w:val="both"/>
        <w:rPr>
          <w:sz w:val="22"/>
        </w:rPr>
      </w:pPr>
      <w:r>
        <w:rPr>
          <w:sz w:val="22"/>
        </w:rPr>
        <w:t>Reinoso, E.B., Ibanez, F., Raspanti, C., Odierno, L and Bogni, C.I. (2006). Characterization of </w:t>
      </w:r>
      <w:r>
        <w:rPr>
          <w:i/>
          <w:sz w:val="22"/>
        </w:rPr>
        <w:t>Staphylococcus aureus </w:t>
      </w:r>
      <w:r>
        <w:rPr>
          <w:sz w:val="22"/>
        </w:rPr>
        <w:t>strains isolated from humans in Argentina. </w:t>
      </w:r>
      <w:r>
        <w:rPr>
          <w:i/>
          <w:sz w:val="22"/>
        </w:rPr>
        <w:t>Journal of Basic Microbiology</w:t>
      </w:r>
      <w:r>
        <w:rPr>
          <w:sz w:val="22"/>
        </w:rPr>
        <w:t>, 46 (4): 286–293</w:t>
      </w:r>
    </w:p>
    <w:p>
      <w:pPr>
        <w:spacing w:line="278" w:lineRule="auto" w:before="239"/>
        <w:ind w:left="1640" w:right="1178" w:hanging="720"/>
        <w:jc w:val="both"/>
        <w:rPr>
          <w:sz w:val="22"/>
        </w:rPr>
      </w:pPr>
      <w:r>
        <w:rPr>
          <w:sz w:val="22"/>
        </w:rPr>
        <w:t>Renner,</w:t>
      </w:r>
      <w:r>
        <w:rPr>
          <w:spacing w:val="-1"/>
          <w:sz w:val="22"/>
        </w:rPr>
        <w:t> </w:t>
      </w:r>
      <w:r>
        <w:rPr>
          <w:sz w:val="22"/>
        </w:rPr>
        <w:t>E.,</w:t>
      </w:r>
      <w:r>
        <w:rPr>
          <w:spacing w:val="-1"/>
          <w:sz w:val="22"/>
        </w:rPr>
        <w:t> </w:t>
      </w:r>
      <w:r>
        <w:rPr>
          <w:sz w:val="22"/>
        </w:rPr>
        <w:t>Schaasfma,</w:t>
      </w:r>
      <w:r>
        <w:rPr>
          <w:spacing w:val="-1"/>
          <w:sz w:val="22"/>
        </w:rPr>
        <w:t> </w:t>
      </w:r>
      <w:r>
        <w:rPr>
          <w:sz w:val="22"/>
        </w:rPr>
        <w:t>G and Scott,</w:t>
      </w:r>
      <w:r>
        <w:rPr>
          <w:spacing w:val="-1"/>
          <w:sz w:val="22"/>
        </w:rPr>
        <w:t> </w:t>
      </w:r>
      <w:r>
        <w:rPr>
          <w:sz w:val="22"/>
        </w:rPr>
        <w:t>K.J. (1989) Micronutrients in milk. In: Renner,</w:t>
      </w:r>
      <w:r>
        <w:rPr>
          <w:spacing w:val="-1"/>
          <w:sz w:val="22"/>
        </w:rPr>
        <w:t> </w:t>
      </w:r>
      <w:r>
        <w:rPr>
          <w:sz w:val="22"/>
        </w:rPr>
        <w:t>E. (Ed.) </w:t>
      </w:r>
      <w:r>
        <w:rPr>
          <w:i/>
          <w:sz w:val="22"/>
        </w:rPr>
        <w:t>Micronutrients in milk and milk-based food products</w:t>
      </w:r>
      <w:r>
        <w:rPr>
          <w:sz w:val="22"/>
        </w:rPr>
        <w:t>. New York, NY: Elsevier applied science, PP. 1-70.</w:t>
      </w:r>
    </w:p>
    <w:p>
      <w:pPr>
        <w:pStyle w:val="BodyText"/>
        <w:spacing w:before="237"/>
        <w:ind w:right="256"/>
        <w:jc w:val="center"/>
      </w:pPr>
      <w:r>
        <w:rPr/>
        <w:t>Resih,</w:t>
      </w:r>
      <w:r>
        <w:rPr>
          <w:spacing w:val="50"/>
        </w:rPr>
        <w:t> </w:t>
      </w:r>
      <w:r>
        <w:rPr/>
        <w:t>O.,</w:t>
      </w:r>
      <w:r>
        <w:rPr>
          <w:spacing w:val="52"/>
        </w:rPr>
        <w:t> </w:t>
      </w:r>
      <w:r>
        <w:rPr/>
        <w:t>Ashkenazi,</w:t>
      </w:r>
      <w:r>
        <w:rPr>
          <w:spacing w:val="53"/>
        </w:rPr>
        <w:t> </w:t>
      </w:r>
      <w:r>
        <w:rPr/>
        <w:t>S.,</w:t>
      </w:r>
      <w:r>
        <w:rPr>
          <w:spacing w:val="52"/>
        </w:rPr>
        <w:t> </w:t>
      </w:r>
      <w:r>
        <w:rPr/>
        <w:t>Naor,</w:t>
      </w:r>
      <w:r>
        <w:rPr>
          <w:spacing w:val="53"/>
        </w:rPr>
        <w:t> </w:t>
      </w:r>
      <w:r>
        <w:rPr/>
        <w:t>N.,</w:t>
      </w:r>
      <w:r>
        <w:rPr>
          <w:spacing w:val="52"/>
        </w:rPr>
        <w:t> </w:t>
      </w:r>
      <w:r>
        <w:rPr/>
        <w:t>Samra,</w:t>
      </w:r>
      <w:r>
        <w:rPr>
          <w:spacing w:val="53"/>
        </w:rPr>
        <w:t> </w:t>
      </w:r>
      <w:r>
        <w:rPr/>
        <w:t>Z</w:t>
      </w:r>
      <w:r>
        <w:rPr>
          <w:spacing w:val="56"/>
        </w:rPr>
        <w:t> </w:t>
      </w:r>
      <w:r>
        <w:rPr/>
        <w:t>and</w:t>
      </w:r>
      <w:r>
        <w:rPr>
          <w:spacing w:val="54"/>
        </w:rPr>
        <w:t> </w:t>
      </w:r>
      <w:r>
        <w:rPr/>
        <w:t>Merlob,</w:t>
      </w:r>
      <w:r>
        <w:rPr>
          <w:spacing w:val="52"/>
        </w:rPr>
        <w:t> </w:t>
      </w:r>
      <w:r>
        <w:rPr/>
        <w:t>P.</w:t>
      </w:r>
      <w:r>
        <w:rPr>
          <w:spacing w:val="56"/>
        </w:rPr>
        <w:t> </w:t>
      </w:r>
      <w:r>
        <w:rPr/>
        <w:t>(1993).An</w:t>
      </w:r>
      <w:r>
        <w:rPr>
          <w:spacing w:val="53"/>
        </w:rPr>
        <w:t> </w:t>
      </w:r>
      <w:r>
        <w:rPr/>
        <w:t>outbreak</w:t>
      </w:r>
      <w:r>
        <w:rPr>
          <w:spacing w:val="55"/>
        </w:rPr>
        <w:t> </w:t>
      </w:r>
      <w:r>
        <w:rPr/>
        <w:t>of</w:t>
      </w:r>
      <w:r>
        <w:rPr>
          <w:spacing w:val="54"/>
        </w:rPr>
        <w:t> </w:t>
      </w:r>
      <w:r>
        <w:rPr/>
        <w:t>multi</w:t>
      </w:r>
      <w:r>
        <w:rPr>
          <w:spacing w:val="57"/>
        </w:rPr>
        <w:t> </w:t>
      </w:r>
      <w:r>
        <w:rPr>
          <w:spacing w:val="-2"/>
        </w:rPr>
        <w:t>resistant</w:t>
      </w:r>
    </w:p>
    <w:p>
      <w:pPr>
        <w:spacing w:before="38"/>
        <w:ind w:left="940" w:right="1353" w:firstLine="0"/>
        <w:jc w:val="center"/>
        <w:rPr>
          <w:sz w:val="22"/>
        </w:rPr>
      </w:pPr>
      <w:r>
        <w:rPr>
          <w:i/>
          <w:sz w:val="22"/>
        </w:rPr>
        <w:t>Klebsiella</w:t>
      </w:r>
      <w:r>
        <w:rPr>
          <w:i/>
          <w:spacing w:val="-7"/>
          <w:sz w:val="22"/>
        </w:rPr>
        <w:t> </w:t>
      </w:r>
      <w:r>
        <w:rPr>
          <w:sz w:val="22"/>
        </w:rPr>
        <w:t>in</w:t>
      </w:r>
      <w:r>
        <w:rPr>
          <w:spacing w:val="-5"/>
          <w:sz w:val="22"/>
        </w:rPr>
        <w:t> </w:t>
      </w:r>
      <w:r>
        <w:rPr>
          <w:sz w:val="22"/>
        </w:rPr>
        <w:t>a</w:t>
      </w:r>
      <w:r>
        <w:rPr>
          <w:spacing w:val="-4"/>
          <w:sz w:val="22"/>
        </w:rPr>
        <w:t> </w:t>
      </w:r>
      <w:r>
        <w:rPr>
          <w:sz w:val="22"/>
        </w:rPr>
        <w:t>neonatal</w:t>
      </w:r>
      <w:r>
        <w:rPr>
          <w:spacing w:val="-2"/>
          <w:sz w:val="22"/>
        </w:rPr>
        <w:t> </w:t>
      </w:r>
      <w:r>
        <w:rPr>
          <w:sz w:val="22"/>
        </w:rPr>
        <w:t>intensive</w:t>
      </w:r>
      <w:r>
        <w:rPr>
          <w:spacing w:val="-5"/>
          <w:sz w:val="22"/>
        </w:rPr>
        <w:t> </w:t>
      </w:r>
      <w:r>
        <w:rPr>
          <w:sz w:val="22"/>
        </w:rPr>
        <w:t>care</w:t>
      </w:r>
      <w:r>
        <w:rPr>
          <w:spacing w:val="-4"/>
          <w:sz w:val="22"/>
        </w:rPr>
        <w:t> </w:t>
      </w:r>
      <w:r>
        <w:rPr>
          <w:sz w:val="22"/>
        </w:rPr>
        <w:t>unit.</w:t>
      </w:r>
      <w:r>
        <w:rPr>
          <w:i/>
          <w:sz w:val="22"/>
        </w:rPr>
        <w:t>Journal</w:t>
      </w:r>
      <w:r>
        <w:rPr>
          <w:i/>
          <w:spacing w:val="-2"/>
          <w:sz w:val="22"/>
        </w:rPr>
        <w:t> </w:t>
      </w:r>
      <w:r>
        <w:rPr>
          <w:i/>
          <w:sz w:val="22"/>
        </w:rPr>
        <w:t>of</w:t>
      </w:r>
      <w:r>
        <w:rPr>
          <w:i/>
          <w:spacing w:val="-8"/>
          <w:sz w:val="22"/>
        </w:rPr>
        <w:t> </w:t>
      </w:r>
      <w:r>
        <w:rPr>
          <w:i/>
          <w:sz w:val="22"/>
        </w:rPr>
        <w:t>Hospital</w:t>
      </w:r>
      <w:r>
        <w:rPr>
          <w:i/>
          <w:spacing w:val="-3"/>
          <w:sz w:val="22"/>
        </w:rPr>
        <w:t> </w:t>
      </w:r>
      <w:r>
        <w:rPr>
          <w:i/>
          <w:sz w:val="22"/>
        </w:rPr>
        <w:t>Infection</w:t>
      </w:r>
      <w:r>
        <w:rPr>
          <w:sz w:val="22"/>
        </w:rPr>
        <w:t>,</w:t>
      </w:r>
      <w:r>
        <w:rPr>
          <w:spacing w:val="-6"/>
          <w:sz w:val="22"/>
        </w:rPr>
        <w:t> </w:t>
      </w:r>
      <w:r>
        <w:rPr>
          <w:sz w:val="22"/>
        </w:rPr>
        <w:t>25(4):</w:t>
      </w:r>
      <w:r>
        <w:rPr>
          <w:spacing w:val="-4"/>
          <w:sz w:val="22"/>
        </w:rPr>
        <w:t> </w:t>
      </w:r>
      <w:r>
        <w:rPr>
          <w:sz w:val="22"/>
        </w:rPr>
        <w:t>287-</w:t>
      </w:r>
      <w:r>
        <w:rPr>
          <w:spacing w:val="-4"/>
          <w:sz w:val="22"/>
        </w:rPr>
        <w:t>291.</w:t>
      </w:r>
    </w:p>
    <w:p>
      <w:pPr>
        <w:pStyle w:val="BodyText"/>
        <w:spacing w:before="10"/>
      </w:pPr>
    </w:p>
    <w:p>
      <w:pPr>
        <w:pStyle w:val="BodyText"/>
        <w:spacing w:line="276" w:lineRule="auto"/>
        <w:ind w:left="1640" w:right="1176" w:hanging="720"/>
        <w:jc w:val="both"/>
      </w:pPr>
      <w:r>
        <w:rPr/>
        <w:t>Rice, D. N and Bodman, G.R. (1997).</w:t>
      </w:r>
      <w:r>
        <w:rPr>
          <w:i/>
        </w:rPr>
        <w:t>The Somatic Cell Count and Milk Quality</w:t>
      </w:r>
      <w:r>
        <w:rPr/>
        <w:t>.Cooperative Extension, Institute of Agriculture and Natural Resources, University Of Nebraska-Lincoln. G93-1151-A, PP </w:t>
      </w:r>
      <w:r>
        <w:rPr>
          <w:spacing w:val="-4"/>
        </w:rPr>
        <w:t>1-5.</w:t>
      </w:r>
    </w:p>
    <w:p>
      <w:pPr>
        <w:pStyle w:val="BodyText"/>
        <w:spacing w:line="276" w:lineRule="auto" w:before="240"/>
        <w:ind w:left="1640" w:right="1177" w:hanging="720"/>
        <w:jc w:val="both"/>
      </w:pPr>
      <w:r>
        <w:rPr/>
        <w:t>Richet, H.M., Mohammed, J., McDonald, C.I and Jarvis, W.R. (2001).Building communication networks: International Network for the study and Prevention of emerging antimicrobial resistance.</w:t>
      </w:r>
      <w:r>
        <w:rPr>
          <w:i/>
        </w:rPr>
        <w:t>Emerging infectious diseases, </w:t>
      </w:r>
      <w:r>
        <w:rPr/>
        <w:t>7(2):319-322.</w:t>
      </w:r>
    </w:p>
    <w:p>
      <w:pPr>
        <w:pStyle w:val="BodyText"/>
        <w:spacing w:line="278" w:lineRule="auto" w:before="240"/>
        <w:ind w:left="1640" w:right="1179" w:hanging="720"/>
        <w:jc w:val="both"/>
      </w:pPr>
      <w:r>
        <w:rPr/>
        <w:t>Rodojcic – Prodaova, D and Necev, T. (1991).Most common agents of subclinical mastitis in cows on private and communal farms in the Republic of Macedonia.</w:t>
      </w:r>
      <w:r>
        <w:rPr>
          <w:i/>
        </w:rPr>
        <w:t>Veterinarski Glasnik, 45</w:t>
      </w:r>
      <w:r>
        <w:rPr/>
        <w:t>: 745–747.</w:t>
      </w:r>
    </w:p>
    <w:p>
      <w:pPr>
        <w:pStyle w:val="BodyText"/>
        <w:spacing w:line="278" w:lineRule="auto" w:before="236"/>
        <w:ind w:left="1640" w:right="1176" w:hanging="720"/>
        <w:jc w:val="both"/>
      </w:pPr>
      <w:r>
        <w:rPr/>
        <w:t>Rodriguez, C.N., Rodriguez-Morales, A.J., Garcia, A., Pastran, B., Meijomil, P., Barbella, R.A., Blanco, J.J., Vargas, J.A and</w:t>
      </w:r>
      <w:r>
        <w:rPr>
          <w:spacing w:val="-2"/>
        </w:rPr>
        <w:t> </w:t>
      </w:r>
      <w:r>
        <w:rPr/>
        <w:t>Gutierrez, G. (2005). Quinolone antimicrobial resistance in some </w:t>
      </w:r>
      <w:r>
        <w:rPr>
          <w:i/>
        </w:rPr>
        <w:t>Enterobacteria</w:t>
      </w:r>
      <w:r>
        <w:rPr/>
        <w:t>: a 10-year study in a Venezuelan general hospital. </w:t>
      </w:r>
      <w:r>
        <w:rPr>
          <w:i/>
        </w:rPr>
        <w:t>International Journal of Antimicrobial Agents, </w:t>
      </w:r>
      <w:r>
        <w:rPr/>
        <w:t>25 (6): 546-550.</w:t>
      </w:r>
    </w:p>
    <w:p>
      <w:pPr>
        <w:pStyle w:val="BodyText"/>
      </w:pPr>
    </w:p>
    <w:p>
      <w:pPr>
        <w:pStyle w:val="BodyText"/>
        <w:spacing w:before="166"/>
      </w:pPr>
    </w:p>
    <w:p>
      <w:pPr>
        <w:pStyle w:val="BodyText"/>
        <w:spacing w:line="273" w:lineRule="auto"/>
        <w:ind w:left="1640" w:right="1176" w:hanging="720"/>
        <w:jc w:val="both"/>
      </w:pPr>
      <w:r>
        <w:rPr/>
        <w:t>Roy, P. (1995). Integrons: novel mobile genetic elements mediating antibiotic resistance in enterobacteria and </w:t>
      </w:r>
      <w:r>
        <w:rPr>
          <w:i/>
        </w:rPr>
        <w:t>Pseudomonas</w:t>
      </w:r>
      <w:r>
        <w:rPr/>
        <w:t>. </w:t>
      </w:r>
      <w:r>
        <w:rPr>
          <w:i/>
        </w:rPr>
        <w:t>APUA Newsletter </w:t>
      </w:r>
      <w:r>
        <w:rPr/>
        <w:t>13(3): 1, 4-6.</w:t>
      </w:r>
    </w:p>
    <w:p>
      <w:pPr>
        <w:spacing w:after="0" w:line="273" w:lineRule="auto"/>
        <w:jc w:val="both"/>
        <w:sectPr>
          <w:pgSz w:w="12240" w:h="15840"/>
          <w:pgMar w:header="0" w:footer="1017" w:top="1400" w:bottom="1200" w:left="520" w:right="260"/>
        </w:sectPr>
      </w:pPr>
    </w:p>
    <w:p>
      <w:pPr>
        <w:spacing w:line="273" w:lineRule="auto" w:before="41"/>
        <w:ind w:left="1640" w:right="1183" w:hanging="720"/>
        <w:jc w:val="both"/>
        <w:rPr>
          <w:sz w:val="22"/>
        </w:rPr>
      </w:pPr>
      <w:r>
        <w:rPr>
          <w:sz w:val="22"/>
        </w:rPr>
        <w:t>Ruiz, J. (2003). Mechanisms of resistance of quinolones: target alterations, decreased accumulation and DNA gyrase protection. </w:t>
      </w:r>
      <w:r>
        <w:rPr>
          <w:i/>
          <w:sz w:val="22"/>
        </w:rPr>
        <w:t>Journal of Antimicrobial Chemotherapy</w:t>
      </w:r>
      <w:r>
        <w:rPr>
          <w:sz w:val="22"/>
        </w:rPr>
        <w:t>, 51: 1109-1117.</w:t>
      </w:r>
    </w:p>
    <w:p>
      <w:pPr>
        <w:pStyle w:val="BodyText"/>
        <w:spacing w:line="278" w:lineRule="auto" w:before="243"/>
        <w:ind w:left="1640" w:right="1180" w:hanging="720"/>
        <w:jc w:val="both"/>
      </w:pPr>
      <w:r>
        <w:rPr/>
        <w:t>Ryser, E.T. (1998). Public health concerns. In: Marth, E.H. and Steele, J.L. (Editors). </w:t>
      </w:r>
      <w:r>
        <w:rPr>
          <w:i/>
        </w:rPr>
        <w:t>Applied Dairy Microbiology</w:t>
      </w:r>
      <w:r>
        <w:rPr/>
        <w:t>, Marcel Dekker, Inc., New York, PP. 263-403.</w:t>
      </w:r>
    </w:p>
    <w:p>
      <w:pPr>
        <w:pStyle w:val="BodyText"/>
      </w:pPr>
    </w:p>
    <w:p>
      <w:pPr>
        <w:pStyle w:val="BodyText"/>
        <w:spacing w:before="169"/>
      </w:pPr>
    </w:p>
    <w:p>
      <w:pPr>
        <w:pStyle w:val="BodyText"/>
        <w:spacing w:line="276" w:lineRule="auto"/>
        <w:ind w:left="1640" w:right="1181" w:hanging="720"/>
        <w:jc w:val="both"/>
      </w:pPr>
      <w:r>
        <w:rPr/>
        <w:t>Saeed,</w:t>
      </w:r>
      <w:r>
        <w:rPr>
          <w:spacing w:val="-5"/>
        </w:rPr>
        <w:t> </w:t>
      </w:r>
      <w:r>
        <w:rPr/>
        <w:t>A.E.A.,</w:t>
      </w:r>
      <w:r>
        <w:rPr>
          <w:spacing w:val="-5"/>
        </w:rPr>
        <w:t> </w:t>
      </w:r>
      <w:r>
        <w:rPr/>
        <w:t>Zubeir,</w:t>
      </w:r>
      <w:r>
        <w:rPr>
          <w:spacing w:val="-5"/>
        </w:rPr>
        <w:t> </w:t>
      </w:r>
      <w:r>
        <w:rPr/>
        <w:t>E.M.,</w:t>
      </w:r>
      <w:r>
        <w:rPr>
          <w:spacing w:val="-5"/>
        </w:rPr>
        <w:t> </w:t>
      </w:r>
      <w:r>
        <w:rPr/>
        <w:t>Owni,</w:t>
      </w:r>
      <w:r>
        <w:rPr>
          <w:spacing w:val="-1"/>
        </w:rPr>
        <w:t> </w:t>
      </w:r>
      <w:r>
        <w:rPr/>
        <w:t>O.A.O.</w:t>
      </w:r>
      <w:r>
        <w:rPr>
          <w:spacing w:val="-1"/>
        </w:rPr>
        <w:t> </w:t>
      </w:r>
      <w:r>
        <w:rPr/>
        <w:t>(2009).</w:t>
      </w:r>
      <w:r>
        <w:rPr>
          <w:spacing w:val="-1"/>
        </w:rPr>
        <w:t> </w:t>
      </w:r>
      <w:r>
        <w:rPr/>
        <w:t>Antimicrobial</w:t>
      </w:r>
      <w:r>
        <w:rPr>
          <w:spacing w:val="-1"/>
        </w:rPr>
        <w:t> </w:t>
      </w:r>
      <w:r>
        <w:rPr/>
        <w:t>resistance</w:t>
      </w:r>
      <w:r>
        <w:rPr>
          <w:spacing w:val="-3"/>
        </w:rPr>
        <w:t> </w:t>
      </w:r>
      <w:r>
        <w:rPr/>
        <w:t>of</w:t>
      </w:r>
      <w:r>
        <w:rPr>
          <w:spacing w:val="-3"/>
        </w:rPr>
        <w:t> </w:t>
      </w:r>
      <w:r>
        <w:rPr/>
        <w:t>bacteria</w:t>
      </w:r>
      <w:r>
        <w:rPr>
          <w:spacing w:val="-3"/>
        </w:rPr>
        <w:t> </w:t>
      </w:r>
      <w:r>
        <w:rPr/>
        <w:t>associated</w:t>
      </w:r>
      <w:r>
        <w:rPr>
          <w:spacing w:val="-4"/>
        </w:rPr>
        <w:t> </w:t>
      </w:r>
      <w:r>
        <w:rPr/>
        <w:t>with</w:t>
      </w:r>
      <w:r>
        <w:rPr>
          <w:spacing w:val="-4"/>
        </w:rPr>
        <w:t> </w:t>
      </w:r>
      <w:r>
        <w:rPr/>
        <w:t>raw milk contaminated by chemical preservatives. </w:t>
      </w:r>
      <w:r>
        <w:rPr>
          <w:i/>
        </w:rPr>
        <w:t>World Journal of Dairy and Food Sciences</w:t>
      </w:r>
      <w:r>
        <w:rPr/>
        <w:t>, 4(1),</w:t>
      </w:r>
      <w:r>
        <w:rPr>
          <w:spacing w:val="40"/>
        </w:rPr>
        <w:t> </w:t>
      </w:r>
      <w:r>
        <w:rPr>
          <w:spacing w:val="-2"/>
        </w:rPr>
        <w:t>65-69.</w:t>
      </w:r>
    </w:p>
    <w:p>
      <w:pPr>
        <w:pStyle w:val="BodyText"/>
        <w:spacing w:line="273" w:lineRule="auto" w:before="240"/>
        <w:ind w:left="1640" w:right="1185" w:hanging="720"/>
        <w:jc w:val="both"/>
      </w:pPr>
      <w:r>
        <w:rPr/>
        <w:t>Salyers, A.A and Amiable Cuevas, C.F. (1997). Why are antibiotic resistance genes so resistant to elimination? </w:t>
      </w:r>
      <w:r>
        <w:rPr>
          <w:i/>
        </w:rPr>
        <w:t>Antimicrobial Chemotherapy </w:t>
      </w:r>
      <w:r>
        <w:rPr/>
        <w:t>41: 2321-2325.</w:t>
      </w:r>
    </w:p>
    <w:p>
      <w:pPr>
        <w:pStyle w:val="BodyText"/>
        <w:spacing w:before="242"/>
        <w:ind w:left="920"/>
      </w:pPr>
      <w:r>
        <w:rPr/>
        <w:t>Salyers,</w:t>
      </w:r>
      <w:r>
        <w:rPr>
          <w:spacing w:val="6"/>
        </w:rPr>
        <w:t> </w:t>
      </w:r>
      <w:r>
        <w:rPr/>
        <w:t>A.A.,</w:t>
      </w:r>
      <w:r>
        <w:rPr>
          <w:spacing w:val="8"/>
        </w:rPr>
        <w:t> </w:t>
      </w:r>
      <w:r>
        <w:rPr/>
        <w:t>Gupta,</w:t>
      </w:r>
      <w:r>
        <w:rPr>
          <w:spacing w:val="8"/>
        </w:rPr>
        <w:t> </w:t>
      </w:r>
      <w:r>
        <w:rPr/>
        <w:t>A</w:t>
      </w:r>
      <w:r>
        <w:rPr>
          <w:spacing w:val="13"/>
        </w:rPr>
        <w:t> </w:t>
      </w:r>
      <w:r>
        <w:rPr/>
        <w:t>and</w:t>
      </w:r>
      <w:r>
        <w:rPr>
          <w:spacing w:val="10"/>
        </w:rPr>
        <w:t> </w:t>
      </w:r>
      <w:r>
        <w:rPr/>
        <w:t>Wang,</w:t>
      </w:r>
      <w:r>
        <w:rPr>
          <w:spacing w:val="13"/>
        </w:rPr>
        <w:t> </w:t>
      </w:r>
      <w:r>
        <w:rPr/>
        <w:t>Y.</w:t>
      </w:r>
      <w:r>
        <w:rPr>
          <w:spacing w:val="12"/>
        </w:rPr>
        <w:t> </w:t>
      </w:r>
      <w:r>
        <w:rPr/>
        <w:t>(2004).Human</w:t>
      </w:r>
      <w:r>
        <w:rPr>
          <w:spacing w:val="10"/>
        </w:rPr>
        <w:t> </w:t>
      </w:r>
      <w:r>
        <w:rPr/>
        <w:t>intestinal</w:t>
      </w:r>
      <w:r>
        <w:rPr>
          <w:spacing w:val="12"/>
        </w:rPr>
        <w:t> </w:t>
      </w:r>
      <w:r>
        <w:rPr/>
        <w:t>bacteria</w:t>
      </w:r>
      <w:r>
        <w:rPr>
          <w:spacing w:val="10"/>
        </w:rPr>
        <w:t> </w:t>
      </w:r>
      <w:r>
        <w:rPr/>
        <w:t>as</w:t>
      </w:r>
      <w:r>
        <w:rPr>
          <w:spacing w:val="10"/>
        </w:rPr>
        <w:t> </w:t>
      </w:r>
      <w:r>
        <w:rPr/>
        <w:t>reservoirs</w:t>
      </w:r>
      <w:r>
        <w:rPr>
          <w:spacing w:val="10"/>
        </w:rPr>
        <w:t> </w:t>
      </w:r>
      <w:r>
        <w:rPr/>
        <w:t>for</w:t>
      </w:r>
      <w:r>
        <w:rPr>
          <w:spacing w:val="10"/>
        </w:rPr>
        <w:t> </w:t>
      </w:r>
      <w:r>
        <w:rPr/>
        <w:t>antibiotic</w:t>
      </w:r>
      <w:r>
        <w:rPr>
          <w:spacing w:val="9"/>
        </w:rPr>
        <w:t> </w:t>
      </w:r>
      <w:r>
        <w:rPr>
          <w:spacing w:val="-2"/>
        </w:rPr>
        <w:t>genes</w:t>
      </w:r>
    </w:p>
    <w:p>
      <w:pPr>
        <w:spacing w:before="43"/>
        <w:ind w:left="1640" w:right="0" w:firstLine="0"/>
        <w:jc w:val="left"/>
        <w:rPr>
          <w:sz w:val="22"/>
        </w:rPr>
      </w:pPr>
      <w:r>
        <w:rPr>
          <w:i/>
          <w:sz w:val="22"/>
        </w:rPr>
        <w:t>Trends</w:t>
      </w:r>
      <w:r>
        <w:rPr>
          <w:i/>
          <w:spacing w:val="-6"/>
          <w:sz w:val="22"/>
        </w:rPr>
        <w:t> </w:t>
      </w:r>
      <w:r>
        <w:rPr>
          <w:i/>
          <w:sz w:val="22"/>
        </w:rPr>
        <w:t>in</w:t>
      </w:r>
      <w:r>
        <w:rPr>
          <w:i/>
          <w:spacing w:val="-4"/>
          <w:sz w:val="22"/>
        </w:rPr>
        <w:t> </w:t>
      </w:r>
      <w:r>
        <w:rPr>
          <w:i/>
          <w:sz w:val="22"/>
        </w:rPr>
        <w:t>Microbiology</w:t>
      </w:r>
      <w:r>
        <w:rPr>
          <w:sz w:val="22"/>
        </w:rPr>
        <w:t>,</w:t>
      </w:r>
      <w:r>
        <w:rPr>
          <w:spacing w:val="-7"/>
          <w:sz w:val="22"/>
        </w:rPr>
        <w:t> </w:t>
      </w:r>
      <w:r>
        <w:rPr>
          <w:sz w:val="22"/>
        </w:rPr>
        <w:t>12:</w:t>
      </w:r>
      <w:r>
        <w:rPr>
          <w:spacing w:val="-6"/>
          <w:sz w:val="22"/>
        </w:rPr>
        <w:t> </w:t>
      </w:r>
      <w:r>
        <w:rPr>
          <w:sz w:val="22"/>
        </w:rPr>
        <w:t>412-</w:t>
      </w:r>
      <w:r>
        <w:rPr>
          <w:spacing w:val="-4"/>
          <w:sz w:val="22"/>
        </w:rPr>
        <w:t>416.</w:t>
      </w:r>
    </w:p>
    <w:p>
      <w:pPr>
        <w:pStyle w:val="BodyText"/>
        <w:spacing w:before="10"/>
      </w:pPr>
    </w:p>
    <w:p>
      <w:pPr>
        <w:spacing w:line="276" w:lineRule="auto" w:before="0"/>
        <w:ind w:left="1640" w:right="1176" w:hanging="720"/>
        <w:jc w:val="both"/>
        <w:rPr>
          <w:sz w:val="22"/>
        </w:rPr>
      </w:pPr>
      <w:r>
        <w:rPr>
          <w:sz w:val="22"/>
        </w:rPr>
        <w:t>Salyers, A.A.</w:t>
      </w:r>
      <w:r>
        <w:rPr>
          <w:i/>
          <w:sz w:val="22"/>
        </w:rPr>
        <w:t>, </w:t>
      </w:r>
      <w:r>
        <w:rPr>
          <w:sz w:val="22"/>
        </w:rPr>
        <w:t>Shoemaker, N.B and Stevens, A.M., (1995) </w:t>
      </w:r>
      <w:r>
        <w:rPr>
          <w:i/>
          <w:sz w:val="22"/>
        </w:rPr>
        <w:t>Tetracycline regulation of conjugal transfer genes, Two-component Signal Transduction</w:t>
      </w:r>
      <w:r>
        <w:rPr>
          <w:sz w:val="22"/>
        </w:rPr>
        <w:t>. Hoch, J.A. and Silhavey, T.J. (Eds.). Washington, DC, USA: American society for Microbiology PP. 393-400.</w:t>
      </w:r>
    </w:p>
    <w:p>
      <w:pPr>
        <w:pStyle w:val="BodyText"/>
        <w:spacing w:line="276" w:lineRule="auto" w:before="240"/>
        <w:ind w:left="1640" w:right="1177" w:hanging="720"/>
        <w:jc w:val="both"/>
      </w:pPr>
      <w:r>
        <w:rPr/>
        <w:t>Sandvang, D., Aarestrup, F.M and Jensen, L.B. (1997). Characterization of integrons and antibiotic resistance genes in Danish multi resistant </w:t>
      </w:r>
      <w:r>
        <w:rPr>
          <w:i/>
        </w:rPr>
        <w:t>Salmonella </w:t>
      </w:r>
      <w:r>
        <w:rPr/>
        <w:t>enteric Typhimurium DT104 </w:t>
      </w:r>
      <w:r>
        <w:rPr>
          <w:i/>
        </w:rPr>
        <w:t>FEMS Microbiology Letters</w:t>
      </w:r>
      <w:r>
        <w:rPr/>
        <w:t>, 157: 177-181.</w:t>
      </w:r>
    </w:p>
    <w:p>
      <w:pPr>
        <w:pStyle w:val="BodyText"/>
        <w:spacing w:line="276" w:lineRule="auto" w:before="240"/>
        <w:ind w:left="1640" w:right="1174" w:hanging="720"/>
        <w:jc w:val="both"/>
      </w:pPr>
      <w:r>
        <w:rPr/>
        <w:t>Sato, K.B., Bennedsgaard, T.W., Bartlet, P.C., Erskine, R.J and Kaneene, J.B. (2004) Comparison of antimicrobial susceptibility of </w:t>
      </w:r>
      <w:r>
        <w:rPr>
          <w:i/>
        </w:rPr>
        <w:t>Staphylococcus aureus </w:t>
      </w:r>
      <w:r>
        <w:rPr/>
        <w:t>isolated from bulk tank milk in organic and conventional Diary herds in the Midwestern United State and Denmark. </w:t>
      </w:r>
      <w:r>
        <w:rPr>
          <w:i/>
        </w:rPr>
        <w:t>Journal of Food Protection</w:t>
      </w:r>
      <w:r>
        <w:rPr/>
        <w:t>, 67: 1104-1110.</w:t>
      </w:r>
    </w:p>
    <w:p>
      <w:pPr>
        <w:pStyle w:val="BodyText"/>
        <w:spacing w:line="276" w:lineRule="auto" w:before="243"/>
        <w:ind w:left="1640" w:right="1176" w:hanging="720"/>
        <w:jc w:val="both"/>
      </w:pPr>
      <w:r>
        <w:rPr/>
        <w:t>Scherrer, D., Corti, S., Muehlherr, J.E., Zweifel, C and Stephan, R. (2004). “Phenotypic and genotypic characteristics of </w:t>
      </w:r>
      <w:r>
        <w:rPr>
          <w:i/>
        </w:rPr>
        <w:t>Staphylococcus aureus </w:t>
      </w:r>
      <w:r>
        <w:rPr/>
        <w:t>isolates from raw bulk-tank milk samples of goats and sheep,” </w:t>
      </w:r>
      <w:r>
        <w:rPr>
          <w:i/>
        </w:rPr>
        <w:t>Veterinary Microbiology</w:t>
      </w:r>
      <w:r>
        <w:rPr/>
        <w:t>, 101 (2): 101–107.</w:t>
      </w:r>
    </w:p>
    <w:p>
      <w:pPr>
        <w:pStyle w:val="BodyText"/>
        <w:spacing w:before="7"/>
      </w:pPr>
    </w:p>
    <w:p>
      <w:pPr>
        <w:spacing w:line="237" w:lineRule="auto" w:before="0"/>
        <w:ind w:left="1640" w:right="1181" w:hanging="720"/>
        <w:jc w:val="both"/>
        <w:rPr>
          <w:rFonts w:ascii="Times New Roman" w:hAnsi="Times New Roman"/>
          <w:sz w:val="24"/>
        </w:rPr>
      </w:pPr>
      <w:r>
        <w:rPr>
          <w:rFonts w:ascii="Times New Roman" w:hAnsi="Times New Roman"/>
          <w:sz w:val="24"/>
        </w:rPr>
        <w:t>Schlundt, J. (2002). “New directions in foodborne disease prevention,” </w:t>
      </w:r>
      <w:r>
        <w:rPr>
          <w:rFonts w:ascii="Times New Roman" w:hAnsi="Times New Roman"/>
          <w:i/>
          <w:sz w:val="24"/>
        </w:rPr>
        <w:t>International Journal of Food Microbiology</w:t>
      </w:r>
      <w:r>
        <w:rPr>
          <w:rFonts w:ascii="Times New Roman" w:hAnsi="Times New Roman"/>
          <w:sz w:val="24"/>
        </w:rPr>
        <w:t>, 78: 3–17.</w:t>
      </w:r>
    </w:p>
    <w:p>
      <w:pPr>
        <w:pStyle w:val="BodyText"/>
        <w:spacing w:before="16"/>
        <w:rPr>
          <w:rFonts w:ascii="Times New Roman"/>
          <w:sz w:val="24"/>
        </w:rPr>
      </w:pPr>
    </w:p>
    <w:p>
      <w:pPr>
        <w:spacing w:line="273" w:lineRule="auto" w:before="0"/>
        <w:ind w:left="1640" w:right="1174" w:hanging="720"/>
        <w:jc w:val="both"/>
        <w:rPr>
          <w:sz w:val="22"/>
        </w:rPr>
      </w:pPr>
      <w:r>
        <w:rPr>
          <w:sz w:val="22"/>
        </w:rPr>
        <w:t>Schroeder, C.M., Zhao, C., DebRoy, C., Torcolini, J., Zhao, S., White, D., Wagner, D., McDermott, P.F., Walker, R.D and Meng, J. (2002). Antimicrobial resistance of </w:t>
      </w:r>
      <w:r>
        <w:rPr>
          <w:i/>
          <w:sz w:val="22"/>
        </w:rPr>
        <w:t>Escherichia coli </w:t>
      </w:r>
      <w:r>
        <w:rPr>
          <w:sz w:val="22"/>
        </w:rPr>
        <w:t>O157 isolated form humans, cattle, swine and food. </w:t>
      </w:r>
      <w:r>
        <w:rPr>
          <w:i/>
          <w:sz w:val="22"/>
        </w:rPr>
        <w:t>Applied Journal of Environmental Microbiology</w:t>
      </w:r>
      <w:r>
        <w:rPr>
          <w:sz w:val="22"/>
        </w:rPr>
        <w:t>, 68:2:576-581</w:t>
      </w:r>
    </w:p>
    <w:p>
      <w:pPr>
        <w:pStyle w:val="BodyText"/>
        <w:spacing w:line="278" w:lineRule="auto" w:before="243"/>
        <w:ind w:left="1640" w:right="1176" w:hanging="720"/>
        <w:jc w:val="both"/>
      </w:pPr>
      <w:r>
        <w:rPr/>
        <w:t>Schwarz, S and Chaslus-Dancla, E. (2001).Use of antimicrobials in veterinary medicine and mechanisms</w:t>
      </w:r>
      <w:r>
        <w:rPr>
          <w:spacing w:val="40"/>
        </w:rPr>
        <w:t> </w:t>
      </w:r>
      <w:r>
        <w:rPr/>
        <w:t>of resistance.</w:t>
      </w:r>
      <w:r>
        <w:rPr>
          <w:i/>
        </w:rPr>
        <w:t>Veterinary Research</w:t>
      </w:r>
      <w:r>
        <w:rPr/>
        <w:t>, 21: 201-225.</w:t>
      </w:r>
    </w:p>
    <w:p>
      <w:pPr>
        <w:spacing w:after="0" w:line="278" w:lineRule="auto"/>
        <w:jc w:val="both"/>
        <w:sectPr>
          <w:pgSz w:w="12240" w:h="15840"/>
          <w:pgMar w:header="0" w:footer="1017" w:top="1400" w:bottom="1200" w:left="520" w:right="260"/>
        </w:sectPr>
      </w:pPr>
    </w:p>
    <w:p>
      <w:pPr>
        <w:spacing w:line="276" w:lineRule="auto" w:before="41"/>
        <w:ind w:left="1640" w:right="1177" w:hanging="720"/>
        <w:jc w:val="both"/>
        <w:rPr>
          <w:sz w:val="22"/>
        </w:rPr>
      </w:pPr>
      <w:r>
        <w:rPr>
          <w:sz w:val="22"/>
        </w:rPr>
        <w:t>Schwarz, S., Cloeckaert, A and Roberts, M.C. (2006).Mechanisms and spread of bacterial resistance to antimicrobial agents.In</w:t>
      </w:r>
      <w:r>
        <w:rPr>
          <w:i/>
          <w:sz w:val="22"/>
        </w:rPr>
        <w:t>: </w:t>
      </w:r>
      <w:r>
        <w:rPr>
          <w:sz w:val="22"/>
        </w:rPr>
        <w:t>Aarestrup, F. M. (Ed.) </w:t>
      </w:r>
      <w:r>
        <w:rPr>
          <w:i/>
          <w:sz w:val="22"/>
        </w:rPr>
        <w:t>Antimicrobial Resistance in Bacteria of Animal Origin </w:t>
      </w:r>
      <w:r>
        <w:rPr>
          <w:sz w:val="22"/>
        </w:rPr>
        <w:t>ASM press, Washington, D.C. PP. 73-98.</w:t>
      </w:r>
    </w:p>
    <w:p>
      <w:pPr>
        <w:pStyle w:val="BodyText"/>
        <w:spacing w:line="273" w:lineRule="auto" w:before="240"/>
        <w:ind w:left="1640" w:right="1181" w:hanging="720"/>
        <w:jc w:val="both"/>
      </w:pPr>
      <w:r>
        <w:rPr/>
        <w:t>Schwarz, S., Kehrenberg, C., Doublet, B and Cloeckaert, A. (2004).Molecular basis of bacterial resistance to choramphenicol and florfenicol.</w:t>
      </w:r>
      <w:r>
        <w:rPr>
          <w:i/>
        </w:rPr>
        <w:t>FEMS Microbiology Reviews</w:t>
      </w:r>
      <w:r>
        <w:rPr/>
        <w:t>, 28: 519-542.</w:t>
      </w:r>
    </w:p>
    <w:p>
      <w:pPr>
        <w:pStyle w:val="BodyText"/>
        <w:spacing w:line="276" w:lineRule="auto" w:before="242"/>
        <w:ind w:left="1640" w:right="1175" w:hanging="720"/>
        <w:jc w:val="both"/>
      </w:pPr>
      <w:r>
        <w:rPr/>
        <w:t>Scriver, S. R and Low, D.E. (1995). Comparative activity of several antimicrobial agents against nosocomial gram-negative rods isolated across Canada.</w:t>
      </w:r>
      <w:r>
        <w:rPr>
          <w:i/>
        </w:rPr>
        <w:t>Canadian Journal of Infectious Disease</w:t>
      </w:r>
      <w:r>
        <w:rPr/>
        <w:t>,</w:t>
      </w:r>
      <w:r>
        <w:rPr>
          <w:spacing w:val="40"/>
        </w:rPr>
        <w:t> </w:t>
      </w:r>
      <w:r>
        <w:rPr/>
        <w:t>6: 76–82.</w:t>
      </w:r>
    </w:p>
    <w:p>
      <w:pPr>
        <w:spacing w:before="240"/>
        <w:ind w:left="920" w:right="0" w:firstLine="0"/>
        <w:jc w:val="left"/>
        <w:rPr>
          <w:sz w:val="22"/>
        </w:rPr>
      </w:pPr>
      <w:r>
        <w:rPr>
          <w:sz w:val="22"/>
        </w:rPr>
        <w:t>Sean,</w:t>
      </w:r>
      <w:r>
        <w:rPr>
          <w:spacing w:val="1"/>
          <w:sz w:val="22"/>
        </w:rPr>
        <w:t> </w:t>
      </w:r>
      <w:r>
        <w:rPr>
          <w:sz w:val="22"/>
        </w:rPr>
        <w:t>C.S.</w:t>
      </w:r>
      <w:r>
        <w:rPr>
          <w:spacing w:val="5"/>
          <w:sz w:val="22"/>
        </w:rPr>
        <w:t> </w:t>
      </w:r>
      <w:r>
        <w:rPr>
          <w:sz w:val="22"/>
        </w:rPr>
        <w:t>(2011).</w:t>
      </w:r>
      <w:r>
        <w:rPr>
          <w:spacing w:val="6"/>
          <w:sz w:val="22"/>
        </w:rPr>
        <w:t> </w:t>
      </w:r>
      <w:r>
        <w:rPr>
          <w:i/>
          <w:sz w:val="22"/>
        </w:rPr>
        <w:t>Martindale:</w:t>
      </w:r>
      <w:r>
        <w:rPr>
          <w:i/>
          <w:spacing w:val="3"/>
          <w:sz w:val="22"/>
        </w:rPr>
        <w:t> </w:t>
      </w:r>
      <w:r>
        <w:rPr>
          <w:i/>
          <w:sz w:val="22"/>
        </w:rPr>
        <w:t>The</w:t>
      </w:r>
      <w:r>
        <w:rPr>
          <w:i/>
          <w:spacing w:val="-1"/>
          <w:sz w:val="22"/>
        </w:rPr>
        <w:t> </w:t>
      </w:r>
      <w:r>
        <w:rPr>
          <w:i/>
          <w:sz w:val="22"/>
        </w:rPr>
        <w:t>Complete</w:t>
      </w:r>
      <w:r>
        <w:rPr>
          <w:i/>
          <w:spacing w:val="5"/>
          <w:sz w:val="22"/>
        </w:rPr>
        <w:t> </w:t>
      </w:r>
      <w:r>
        <w:rPr>
          <w:i/>
          <w:sz w:val="22"/>
        </w:rPr>
        <w:t>Drug</w:t>
      </w:r>
      <w:r>
        <w:rPr>
          <w:i/>
          <w:spacing w:val="5"/>
          <w:sz w:val="22"/>
        </w:rPr>
        <w:t> </w:t>
      </w:r>
      <w:r>
        <w:rPr>
          <w:i/>
          <w:sz w:val="22"/>
        </w:rPr>
        <w:t>Reference</w:t>
      </w:r>
      <w:r>
        <w:rPr>
          <w:sz w:val="22"/>
        </w:rPr>
        <w:t>,</w:t>
      </w:r>
      <w:r>
        <w:rPr>
          <w:spacing w:val="2"/>
          <w:sz w:val="22"/>
        </w:rPr>
        <w:t> </w:t>
      </w:r>
      <w:r>
        <w:rPr>
          <w:sz w:val="22"/>
        </w:rPr>
        <w:t>37</w:t>
      </w:r>
      <w:r>
        <w:rPr>
          <w:sz w:val="22"/>
          <w:vertAlign w:val="superscript"/>
        </w:rPr>
        <w:t>th</w:t>
      </w:r>
      <w:r>
        <w:rPr>
          <w:spacing w:val="2"/>
          <w:sz w:val="22"/>
          <w:vertAlign w:val="baseline"/>
        </w:rPr>
        <w:t> </w:t>
      </w:r>
      <w:r>
        <w:rPr>
          <w:sz w:val="22"/>
          <w:vertAlign w:val="baseline"/>
        </w:rPr>
        <w:t>edition,</w:t>
      </w:r>
      <w:r>
        <w:rPr>
          <w:spacing w:val="1"/>
          <w:sz w:val="22"/>
          <w:vertAlign w:val="baseline"/>
        </w:rPr>
        <w:t> </w:t>
      </w:r>
      <w:r>
        <w:rPr>
          <w:sz w:val="22"/>
          <w:vertAlign w:val="baseline"/>
        </w:rPr>
        <w:t>London</w:t>
      </w:r>
      <w:r>
        <w:rPr>
          <w:spacing w:val="4"/>
          <w:sz w:val="22"/>
          <w:vertAlign w:val="baseline"/>
        </w:rPr>
        <w:t> </w:t>
      </w:r>
      <w:r>
        <w:rPr>
          <w:sz w:val="22"/>
          <w:vertAlign w:val="baseline"/>
        </w:rPr>
        <w:t>Pharmaceutical</w:t>
      </w:r>
      <w:r>
        <w:rPr>
          <w:spacing w:val="5"/>
          <w:sz w:val="22"/>
          <w:vertAlign w:val="baseline"/>
        </w:rPr>
        <w:t> </w:t>
      </w:r>
      <w:r>
        <w:rPr>
          <w:spacing w:val="-2"/>
          <w:sz w:val="22"/>
          <w:vertAlign w:val="baseline"/>
        </w:rPr>
        <w:t>Press.</w:t>
      </w:r>
    </w:p>
    <w:p>
      <w:pPr>
        <w:pStyle w:val="BodyText"/>
        <w:spacing w:before="44"/>
        <w:ind w:left="1640"/>
      </w:pPr>
      <w:r>
        <w:rPr/>
        <w:t>PP.</w:t>
      </w:r>
      <w:r>
        <w:rPr>
          <w:spacing w:val="-4"/>
        </w:rPr>
        <w:t> </w:t>
      </w:r>
      <w:r>
        <w:rPr/>
        <w:t>202-</w:t>
      </w:r>
      <w:r>
        <w:rPr>
          <w:spacing w:val="-3"/>
        </w:rPr>
        <w:t> </w:t>
      </w:r>
      <w:r>
        <w:rPr>
          <w:spacing w:val="-4"/>
        </w:rPr>
        <w:t>349.</w:t>
      </w:r>
    </w:p>
    <w:p>
      <w:pPr>
        <w:pStyle w:val="BodyText"/>
      </w:pPr>
    </w:p>
    <w:p>
      <w:pPr>
        <w:pStyle w:val="BodyText"/>
        <w:spacing w:before="211"/>
      </w:pPr>
    </w:p>
    <w:p>
      <w:pPr>
        <w:pStyle w:val="BodyText"/>
        <w:spacing w:line="276" w:lineRule="auto" w:before="1"/>
        <w:ind w:left="1640" w:right="1175" w:hanging="720"/>
        <w:jc w:val="both"/>
      </w:pPr>
      <w:r>
        <w:rPr/>
        <w:t>Shakil, S., Khan, R., Zarrilli, R and Khan, A.U. (2007)."Aminoglycosides versus bacteria – a description of the action, resistance mechanism, and nosocomial battleground".</w:t>
      </w:r>
      <w:r>
        <w:rPr>
          <w:i/>
        </w:rPr>
        <w:t>Journal of Biomedical Science</w:t>
      </w:r>
      <w:r>
        <w:rPr/>
        <w:t>,15 (1): 5–14.</w:t>
      </w:r>
    </w:p>
    <w:p>
      <w:pPr>
        <w:spacing w:line="276" w:lineRule="auto" w:before="240"/>
        <w:ind w:left="1640" w:right="1178" w:hanging="720"/>
        <w:jc w:val="both"/>
        <w:rPr>
          <w:sz w:val="22"/>
        </w:rPr>
      </w:pPr>
      <w:r>
        <w:rPr>
          <w:sz w:val="22"/>
        </w:rPr>
        <w:t>Sharm, D. K and Joshi, D.V. (1992). Bacteriological quality of milk and milk products with special reference to </w:t>
      </w:r>
      <w:r>
        <w:rPr>
          <w:i/>
          <w:sz w:val="22"/>
        </w:rPr>
        <w:t>Salmonella </w:t>
      </w:r>
      <w:r>
        <w:rPr>
          <w:sz w:val="22"/>
        </w:rPr>
        <w:t>and its health significance.</w:t>
      </w:r>
      <w:r>
        <w:rPr>
          <w:i/>
          <w:sz w:val="22"/>
        </w:rPr>
        <w:t>Journal of Science and Technology</w:t>
      </w:r>
      <w:r>
        <w:rPr>
          <w:sz w:val="22"/>
        </w:rPr>
        <w:t>, 22:100- </w:t>
      </w:r>
      <w:r>
        <w:rPr>
          <w:spacing w:val="-4"/>
          <w:sz w:val="22"/>
        </w:rPr>
        <w:t>103.</w:t>
      </w:r>
    </w:p>
    <w:p>
      <w:pPr>
        <w:pStyle w:val="BodyText"/>
        <w:spacing w:line="276" w:lineRule="auto" w:before="239"/>
        <w:ind w:left="1640" w:right="1175" w:hanging="720"/>
        <w:jc w:val="both"/>
      </w:pPr>
      <w:r>
        <w:rPr/>
        <w:t>Shaw, K.J., Rather, P.N., Hare, S.R and Miller, G.H. (1993). Molecular genetics of aminoglycoside resistance genes and familial relationships of aminoglycoside modifying enzymes.</w:t>
      </w:r>
      <w:r>
        <w:rPr>
          <w:i/>
        </w:rPr>
        <w:t>Microbiology Reviews</w:t>
      </w:r>
      <w:r>
        <w:rPr/>
        <w:t>, 57: 138-163.</w:t>
      </w:r>
    </w:p>
    <w:p>
      <w:pPr>
        <w:pStyle w:val="BodyText"/>
        <w:spacing w:line="273" w:lineRule="auto" w:before="240"/>
        <w:ind w:left="1640" w:right="1178" w:hanging="720"/>
        <w:jc w:val="both"/>
      </w:pPr>
      <w:r>
        <w:rPr/>
        <w:t>Sherley, M., Gordon, D.M and Collignon, P.J. (2004). Evolution of multi resistance plasmids in Australian clinical isolates of </w:t>
      </w:r>
      <w:r>
        <w:rPr>
          <w:i/>
        </w:rPr>
        <w:t>Escherichia coli</w:t>
      </w:r>
      <w:r>
        <w:rPr/>
        <w:t>. </w:t>
      </w:r>
      <w:r>
        <w:rPr>
          <w:i/>
        </w:rPr>
        <w:t>Microbiology </w:t>
      </w:r>
      <w:r>
        <w:rPr/>
        <w:t>150: 1539-1546.</w:t>
      </w:r>
    </w:p>
    <w:p>
      <w:pPr>
        <w:spacing w:line="276" w:lineRule="auto" w:before="247"/>
        <w:ind w:left="1640" w:right="1178" w:hanging="720"/>
        <w:jc w:val="both"/>
        <w:rPr>
          <w:sz w:val="22"/>
        </w:rPr>
      </w:pPr>
      <w:r>
        <w:rPr>
          <w:sz w:val="22"/>
        </w:rPr>
        <w:t>Shwimmer, A., Freed, M., Blum, S., Khatib, N., Weissblit, L., Friedman, S and Elad, D. (2007). Mastitis caused by </w:t>
      </w:r>
      <w:r>
        <w:rPr>
          <w:i/>
          <w:sz w:val="22"/>
        </w:rPr>
        <w:t>Yersinia pseudotuberculosis </w:t>
      </w:r>
      <w:r>
        <w:rPr>
          <w:sz w:val="22"/>
        </w:rPr>
        <w:t>in Israeli dairy cattle and public health implications. </w:t>
      </w:r>
      <w:r>
        <w:rPr>
          <w:i/>
          <w:sz w:val="22"/>
        </w:rPr>
        <w:t>Zoonoses and Public Health </w:t>
      </w:r>
      <w:r>
        <w:rPr>
          <w:sz w:val="22"/>
        </w:rPr>
        <w:t>54: 353-57.</w:t>
      </w:r>
    </w:p>
    <w:p>
      <w:pPr>
        <w:pStyle w:val="BodyText"/>
        <w:spacing w:line="273" w:lineRule="auto" w:before="240"/>
        <w:ind w:left="1640" w:right="1179" w:hanging="720"/>
        <w:jc w:val="both"/>
      </w:pPr>
      <w:r>
        <w:rPr/>
        <w:t>Silbergeld, E.K., Graham, J and Price, L.B. (2008).Industrial Food Animal Production, Antimicrobial Resistance, and Human Health.</w:t>
      </w:r>
      <w:r>
        <w:rPr>
          <w:i/>
        </w:rPr>
        <w:t>Annual Review of Public Health</w:t>
      </w:r>
      <w:r>
        <w:rPr/>
        <w:t>. 29:151-169.</w:t>
      </w:r>
    </w:p>
    <w:p>
      <w:pPr>
        <w:spacing w:line="552" w:lineRule="exact" w:before="10"/>
        <w:ind w:left="920" w:right="1181" w:firstLine="0"/>
        <w:jc w:val="left"/>
        <w:rPr>
          <w:sz w:val="22"/>
        </w:rPr>
      </w:pPr>
      <w:r>
        <w:rPr>
          <w:sz w:val="22"/>
        </w:rPr>
        <w:t>Sinave, C.P. (2003). Enterobacter infections.eMedicine</w:t>
      </w:r>
      <w:hyperlink r:id="rId22">
        <w:r>
          <w:rPr>
            <w:sz w:val="22"/>
          </w:rPr>
          <w:t>http://www.emedicine.com</w:t>
        </w:r>
      </w:hyperlink>
      <w:r>
        <w:rPr>
          <w:sz w:val="22"/>
        </w:rPr>
        <w:t> 21 Febuary, 2004. Siriken,</w:t>
      </w:r>
      <w:r>
        <w:rPr>
          <w:spacing w:val="13"/>
          <w:sz w:val="22"/>
        </w:rPr>
        <w:t> </w:t>
      </w:r>
      <w:r>
        <w:rPr>
          <w:sz w:val="22"/>
        </w:rPr>
        <w:t>B.</w:t>
      </w:r>
      <w:r>
        <w:rPr>
          <w:spacing w:val="17"/>
          <w:sz w:val="22"/>
        </w:rPr>
        <w:t> </w:t>
      </w:r>
      <w:r>
        <w:rPr>
          <w:sz w:val="22"/>
        </w:rPr>
        <w:t>(2002).</w:t>
      </w:r>
      <w:r>
        <w:rPr>
          <w:spacing w:val="17"/>
          <w:sz w:val="22"/>
        </w:rPr>
        <w:t> </w:t>
      </w:r>
      <w:r>
        <w:rPr>
          <w:sz w:val="22"/>
        </w:rPr>
        <w:t>The</w:t>
      </w:r>
      <w:r>
        <w:rPr>
          <w:spacing w:val="15"/>
          <w:sz w:val="22"/>
        </w:rPr>
        <w:t> </w:t>
      </w:r>
      <w:r>
        <w:rPr>
          <w:sz w:val="22"/>
        </w:rPr>
        <w:t>Presence</w:t>
      </w:r>
      <w:r>
        <w:rPr>
          <w:spacing w:val="15"/>
          <w:sz w:val="22"/>
        </w:rPr>
        <w:t> </w:t>
      </w:r>
      <w:r>
        <w:rPr>
          <w:sz w:val="22"/>
        </w:rPr>
        <w:t>of</w:t>
      </w:r>
      <w:r>
        <w:rPr>
          <w:spacing w:val="18"/>
          <w:sz w:val="22"/>
        </w:rPr>
        <w:t> </w:t>
      </w:r>
      <w:r>
        <w:rPr>
          <w:i/>
          <w:sz w:val="22"/>
        </w:rPr>
        <w:t>Yersinia</w:t>
      </w:r>
      <w:r>
        <w:rPr>
          <w:i/>
          <w:spacing w:val="16"/>
          <w:sz w:val="22"/>
        </w:rPr>
        <w:t> </w:t>
      </w:r>
      <w:r>
        <w:rPr>
          <w:i/>
          <w:sz w:val="22"/>
        </w:rPr>
        <w:t>enterocolitica</w:t>
      </w:r>
      <w:r>
        <w:rPr>
          <w:i/>
          <w:spacing w:val="18"/>
          <w:sz w:val="22"/>
        </w:rPr>
        <w:t> </w:t>
      </w:r>
      <w:r>
        <w:rPr>
          <w:sz w:val="22"/>
        </w:rPr>
        <w:t>and</w:t>
      </w:r>
      <w:r>
        <w:rPr>
          <w:spacing w:val="14"/>
          <w:sz w:val="22"/>
        </w:rPr>
        <w:t> </w:t>
      </w:r>
      <w:r>
        <w:rPr>
          <w:sz w:val="22"/>
        </w:rPr>
        <w:t>Other</w:t>
      </w:r>
      <w:r>
        <w:rPr>
          <w:spacing w:val="15"/>
          <w:sz w:val="22"/>
        </w:rPr>
        <w:t> </w:t>
      </w:r>
      <w:r>
        <w:rPr>
          <w:i/>
          <w:sz w:val="22"/>
        </w:rPr>
        <w:t>Yersinia</w:t>
      </w:r>
      <w:r>
        <w:rPr>
          <w:i/>
          <w:spacing w:val="17"/>
          <w:sz w:val="22"/>
        </w:rPr>
        <w:t> </w:t>
      </w:r>
      <w:r>
        <w:rPr>
          <w:i/>
          <w:sz w:val="22"/>
        </w:rPr>
        <w:t>species</w:t>
      </w:r>
      <w:r>
        <w:rPr>
          <w:i/>
          <w:spacing w:val="16"/>
          <w:sz w:val="22"/>
        </w:rPr>
        <w:t> </w:t>
      </w:r>
      <w:r>
        <w:rPr>
          <w:sz w:val="22"/>
        </w:rPr>
        <w:t>in</w:t>
      </w:r>
      <w:r>
        <w:rPr>
          <w:spacing w:val="14"/>
          <w:sz w:val="22"/>
        </w:rPr>
        <w:t> </w:t>
      </w:r>
      <w:r>
        <w:rPr>
          <w:sz w:val="22"/>
        </w:rPr>
        <w:t>Ground</w:t>
      </w:r>
      <w:r>
        <w:rPr>
          <w:spacing w:val="14"/>
          <w:sz w:val="22"/>
        </w:rPr>
        <w:t> </w:t>
      </w:r>
      <w:r>
        <w:rPr>
          <w:sz w:val="22"/>
        </w:rPr>
        <w:t>Beef</w:t>
      </w:r>
      <w:r>
        <w:rPr>
          <w:spacing w:val="15"/>
          <w:sz w:val="22"/>
        </w:rPr>
        <w:t> </w:t>
      </w:r>
      <w:r>
        <w:rPr>
          <w:sz w:val="22"/>
        </w:rPr>
        <w:t>in</w:t>
      </w:r>
    </w:p>
    <w:p>
      <w:pPr>
        <w:spacing w:line="256" w:lineRule="exact" w:before="0"/>
        <w:ind w:left="1640" w:right="0" w:firstLine="0"/>
        <w:jc w:val="left"/>
        <w:rPr>
          <w:sz w:val="22"/>
        </w:rPr>
      </w:pPr>
      <w:r>
        <w:rPr>
          <w:sz w:val="22"/>
        </w:rPr>
        <w:t>AydÝn,</w:t>
      </w:r>
      <w:r>
        <w:rPr>
          <w:spacing w:val="-8"/>
          <w:sz w:val="22"/>
        </w:rPr>
        <w:t> </w:t>
      </w:r>
      <w:r>
        <w:rPr>
          <w:sz w:val="22"/>
        </w:rPr>
        <w:t>Turkey.</w:t>
      </w:r>
      <w:r>
        <w:rPr>
          <w:i/>
          <w:sz w:val="22"/>
        </w:rPr>
        <w:t>Turkey</w:t>
      </w:r>
      <w:r>
        <w:rPr>
          <w:i/>
          <w:spacing w:val="-3"/>
          <w:sz w:val="22"/>
        </w:rPr>
        <w:t> </w:t>
      </w:r>
      <w:r>
        <w:rPr>
          <w:i/>
          <w:sz w:val="22"/>
        </w:rPr>
        <w:t>Journal</w:t>
      </w:r>
      <w:r>
        <w:rPr>
          <w:i/>
          <w:spacing w:val="-4"/>
          <w:sz w:val="22"/>
        </w:rPr>
        <w:t> </w:t>
      </w:r>
      <w:r>
        <w:rPr>
          <w:i/>
          <w:sz w:val="22"/>
        </w:rPr>
        <w:t>of</w:t>
      </w:r>
      <w:r>
        <w:rPr>
          <w:i/>
          <w:spacing w:val="-6"/>
          <w:sz w:val="22"/>
        </w:rPr>
        <w:t> </w:t>
      </w:r>
      <w:r>
        <w:rPr>
          <w:i/>
          <w:sz w:val="22"/>
        </w:rPr>
        <w:t>Veterinary</w:t>
      </w:r>
      <w:r>
        <w:rPr>
          <w:i/>
          <w:spacing w:val="-3"/>
          <w:sz w:val="22"/>
        </w:rPr>
        <w:t> </w:t>
      </w:r>
      <w:r>
        <w:rPr>
          <w:i/>
          <w:sz w:val="22"/>
        </w:rPr>
        <w:t>Animal</w:t>
      </w:r>
      <w:r>
        <w:rPr>
          <w:i/>
          <w:spacing w:val="-4"/>
          <w:sz w:val="22"/>
        </w:rPr>
        <w:t> </w:t>
      </w:r>
      <w:r>
        <w:rPr>
          <w:i/>
          <w:sz w:val="22"/>
        </w:rPr>
        <w:t>Sciences</w:t>
      </w:r>
      <w:r>
        <w:rPr>
          <w:sz w:val="22"/>
        </w:rPr>
        <w:t>,</w:t>
      </w:r>
      <w:r>
        <w:rPr>
          <w:spacing w:val="-7"/>
          <w:sz w:val="22"/>
        </w:rPr>
        <w:t> </w:t>
      </w:r>
      <w:r>
        <w:rPr>
          <w:sz w:val="22"/>
        </w:rPr>
        <w:t>28:</w:t>
      </w:r>
      <w:r>
        <w:rPr>
          <w:spacing w:val="-6"/>
          <w:sz w:val="22"/>
        </w:rPr>
        <w:t> </w:t>
      </w:r>
      <w:r>
        <w:rPr>
          <w:sz w:val="22"/>
        </w:rPr>
        <w:t>489-</w:t>
      </w:r>
      <w:r>
        <w:rPr>
          <w:spacing w:val="-4"/>
          <w:sz w:val="22"/>
        </w:rPr>
        <w:t>495.</w:t>
      </w:r>
    </w:p>
    <w:p>
      <w:pPr>
        <w:spacing w:after="0" w:line="256" w:lineRule="exact"/>
        <w:jc w:val="left"/>
        <w:rPr>
          <w:sz w:val="22"/>
        </w:rPr>
        <w:sectPr>
          <w:pgSz w:w="12240" w:h="15840"/>
          <w:pgMar w:header="0" w:footer="1017" w:top="1400" w:bottom="1200" w:left="520" w:right="260"/>
        </w:sectPr>
      </w:pPr>
    </w:p>
    <w:p>
      <w:pPr>
        <w:pStyle w:val="BodyText"/>
        <w:spacing w:line="276" w:lineRule="auto" w:before="41"/>
        <w:ind w:left="1640" w:right="1183" w:hanging="720"/>
        <w:jc w:val="both"/>
      </w:pPr>
      <w:r>
        <w:rPr/>
        <w:t>Sivapalasingams,</w:t>
      </w:r>
      <w:r>
        <w:rPr>
          <w:spacing w:val="-1"/>
        </w:rPr>
        <w:t> </w:t>
      </w:r>
      <w:r>
        <w:rPr/>
        <w:t>S.,</w:t>
      </w:r>
      <w:r>
        <w:rPr>
          <w:spacing w:val="-1"/>
        </w:rPr>
        <w:t> </w:t>
      </w:r>
      <w:r>
        <w:rPr/>
        <w:t>Friedman,</w:t>
      </w:r>
      <w:r>
        <w:rPr>
          <w:spacing w:val="-1"/>
        </w:rPr>
        <w:t> </w:t>
      </w:r>
      <w:r>
        <w:rPr/>
        <w:t>C. R.,</w:t>
      </w:r>
      <w:r>
        <w:rPr>
          <w:spacing w:val="-1"/>
        </w:rPr>
        <w:t> </w:t>
      </w:r>
      <w:r>
        <w:rPr/>
        <w:t>Cohen,</w:t>
      </w:r>
      <w:r>
        <w:rPr>
          <w:spacing w:val="-1"/>
        </w:rPr>
        <w:t> </w:t>
      </w:r>
      <w:r>
        <w:rPr/>
        <w:t>L and Tauxe,</w:t>
      </w:r>
      <w:r>
        <w:rPr>
          <w:spacing w:val="-1"/>
        </w:rPr>
        <w:t> </w:t>
      </w:r>
      <w:r>
        <w:rPr/>
        <w:t>R.V. (2004). Fresh produce: a growing cause of outbreaks of foodborne illness in the United States. </w:t>
      </w:r>
      <w:r>
        <w:rPr>
          <w:i/>
        </w:rPr>
        <w:t>Journal of Food Protection</w:t>
      </w:r>
      <w:r>
        <w:rPr/>
        <w:t>, 67(10):2342– </w:t>
      </w:r>
      <w:r>
        <w:rPr>
          <w:spacing w:val="-2"/>
        </w:rPr>
        <w:t>2353.</w:t>
      </w:r>
    </w:p>
    <w:p>
      <w:pPr>
        <w:pStyle w:val="BodyText"/>
        <w:spacing w:line="276" w:lineRule="auto" w:before="240"/>
        <w:ind w:left="1640" w:right="1175" w:hanging="720"/>
        <w:jc w:val="both"/>
      </w:pPr>
      <w:r>
        <w:rPr/>
        <w:t>Skov, M.N. Andersen, J.S., Aabo, S., Ethelberg, S., Aarestrup, F.M., Sorensen, A.H, Sorensen, G.,</w:t>
      </w:r>
      <w:r>
        <w:rPr>
          <w:spacing w:val="40"/>
        </w:rPr>
        <w:t> </w:t>
      </w:r>
      <w:r>
        <w:rPr/>
        <w:t>Pedersen, K., Nordentoft, S., Olsen, K.E.P., Gerner-Smidt, P and Baggesen, D.L. (2007). Antimicrobial</w:t>
      </w:r>
      <w:r>
        <w:rPr>
          <w:spacing w:val="-2"/>
        </w:rPr>
        <w:t> </w:t>
      </w:r>
      <w:r>
        <w:rPr/>
        <w:t>drug</w:t>
      </w:r>
      <w:r>
        <w:rPr>
          <w:spacing w:val="-2"/>
        </w:rPr>
        <w:t> </w:t>
      </w:r>
      <w:r>
        <w:rPr/>
        <w:t>resistance</w:t>
      </w:r>
      <w:r>
        <w:rPr>
          <w:spacing w:val="-4"/>
        </w:rPr>
        <w:t> </w:t>
      </w:r>
      <w:r>
        <w:rPr/>
        <w:t>of</w:t>
      </w:r>
      <w:r>
        <w:rPr>
          <w:spacing w:val="-4"/>
        </w:rPr>
        <w:t> </w:t>
      </w:r>
      <w:r>
        <w:rPr>
          <w:i/>
        </w:rPr>
        <w:t>Salmonella</w:t>
      </w:r>
      <w:r>
        <w:rPr>
          <w:i/>
          <w:spacing w:val="-2"/>
        </w:rPr>
        <w:t> </w:t>
      </w:r>
      <w:r>
        <w:rPr/>
        <w:t>isolates</w:t>
      </w:r>
      <w:r>
        <w:rPr>
          <w:spacing w:val="-4"/>
        </w:rPr>
        <w:t> </w:t>
      </w:r>
      <w:r>
        <w:rPr/>
        <w:t>from</w:t>
      </w:r>
      <w:r>
        <w:rPr>
          <w:spacing w:val="-2"/>
        </w:rPr>
        <w:t> </w:t>
      </w:r>
      <w:r>
        <w:rPr/>
        <w:t>meat</w:t>
      </w:r>
      <w:r>
        <w:rPr>
          <w:spacing w:val="-6"/>
        </w:rPr>
        <w:t> </w:t>
      </w:r>
      <w:r>
        <w:rPr/>
        <w:t>and</w:t>
      </w:r>
      <w:r>
        <w:rPr>
          <w:spacing w:val="-5"/>
        </w:rPr>
        <w:t> </w:t>
      </w:r>
      <w:r>
        <w:rPr/>
        <w:t>humans,</w:t>
      </w:r>
      <w:r>
        <w:rPr>
          <w:spacing w:val="-6"/>
        </w:rPr>
        <w:t> </w:t>
      </w:r>
      <w:r>
        <w:rPr/>
        <w:t>Denmark.</w:t>
      </w:r>
      <w:r>
        <w:rPr>
          <w:spacing w:val="-2"/>
        </w:rPr>
        <w:t> </w:t>
      </w:r>
      <w:r>
        <w:rPr>
          <w:i/>
        </w:rPr>
        <w:t>Emerging Infectious Diseases</w:t>
      </w:r>
      <w:r>
        <w:rPr/>
        <w:t>: 13(4): 638-641</w:t>
      </w:r>
    </w:p>
    <w:p>
      <w:pPr>
        <w:spacing w:line="276" w:lineRule="auto" w:before="239"/>
        <w:ind w:left="1640" w:right="1176" w:hanging="720"/>
        <w:jc w:val="both"/>
        <w:rPr>
          <w:sz w:val="22"/>
        </w:rPr>
      </w:pPr>
      <w:r>
        <w:rPr>
          <w:sz w:val="22"/>
        </w:rPr>
        <w:t>Slaghuis, B.A. (1996). Sources and Significance of Contaminants on Different Levels of Raw Milk Production. In: </w:t>
      </w:r>
      <w:r>
        <w:rPr>
          <w:i/>
          <w:sz w:val="22"/>
        </w:rPr>
        <w:t>Symposium on Bacteriological Quality of Raw Milk</w:t>
      </w:r>
      <w:r>
        <w:rPr>
          <w:sz w:val="22"/>
        </w:rPr>
        <w:t>, Wolfpassing, Austria, 13–15 March, PP. 19–27.</w:t>
      </w:r>
    </w:p>
    <w:p>
      <w:pPr>
        <w:pStyle w:val="BodyText"/>
      </w:pPr>
    </w:p>
    <w:p>
      <w:pPr>
        <w:pStyle w:val="BodyText"/>
        <w:spacing w:before="173"/>
      </w:pPr>
    </w:p>
    <w:p>
      <w:pPr>
        <w:pStyle w:val="BodyText"/>
        <w:spacing w:line="273" w:lineRule="auto"/>
        <w:ind w:left="1640" w:right="1180" w:hanging="720"/>
        <w:jc w:val="both"/>
      </w:pPr>
      <w:r>
        <w:rPr/>
        <w:t>Slotkin, R. K and Martienssen, R. (2007).Transposable elements and the epigenetic regulation of the genome.</w:t>
      </w:r>
      <w:r>
        <w:rPr>
          <w:i/>
        </w:rPr>
        <w:t>Nature Reviews Genetics</w:t>
      </w:r>
      <w:r>
        <w:rPr>
          <w:b/>
        </w:rPr>
        <w:t>8</w:t>
      </w:r>
      <w:r>
        <w:rPr/>
        <w:t>: 272–285.</w:t>
      </w:r>
    </w:p>
    <w:p>
      <w:pPr>
        <w:pStyle w:val="BodyText"/>
        <w:spacing w:line="278" w:lineRule="auto" w:before="242"/>
        <w:ind w:left="1640" w:right="1175" w:hanging="720"/>
        <w:jc w:val="both"/>
      </w:pPr>
      <w:r>
        <w:rPr/>
        <w:t>Smith, W.L., Lagunas-Solar, M. C and Cullor, J.S. (2002).Use of pulsed ultraviolet laser light for the cold pasteurization of bovine milk.</w:t>
      </w:r>
      <w:r>
        <w:rPr>
          <w:i/>
        </w:rPr>
        <w:t>Journal of Food Protection</w:t>
      </w:r>
      <w:r>
        <w:rPr/>
        <w:t>, 65 (9): I480-I482</w:t>
      </w:r>
    </w:p>
    <w:p>
      <w:pPr>
        <w:spacing w:line="278" w:lineRule="auto" w:before="236"/>
        <w:ind w:left="1640" w:right="1174" w:hanging="720"/>
        <w:jc w:val="both"/>
        <w:rPr>
          <w:sz w:val="22"/>
        </w:rPr>
      </w:pPr>
      <w:r>
        <w:rPr>
          <w:sz w:val="22"/>
        </w:rPr>
        <w:t>Soltan-Dallal,</w:t>
      </w:r>
      <w:r>
        <w:rPr>
          <w:spacing w:val="-1"/>
          <w:sz w:val="22"/>
        </w:rPr>
        <w:t> </w:t>
      </w:r>
      <w:r>
        <w:rPr>
          <w:sz w:val="22"/>
        </w:rPr>
        <w:t>M.M and Moezardalan,</w:t>
      </w:r>
      <w:r>
        <w:rPr>
          <w:spacing w:val="-1"/>
          <w:sz w:val="22"/>
        </w:rPr>
        <w:t> </w:t>
      </w:r>
      <w:r>
        <w:rPr>
          <w:sz w:val="22"/>
        </w:rPr>
        <w:t>K. (2004).</w:t>
      </w:r>
      <w:r>
        <w:rPr>
          <w:i/>
          <w:sz w:val="22"/>
        </w:rPr>
        <w:t>Aeromonas species </w:t>
      </w:r>
      <w:r>
        <w:rPr>
          <w:sz w:val="22"/>
        </w:rPr>
        <w:t>associated with children's diarrhea in Tehran: a case-control study. </w:t>
      </w:r>
      <w:r>
        <w:rPr>
          <w:i/>
          <w:sz w:val="22"/>
        </w:rPr>
        <w:t>Annals of Tropical Paediatrics</w:t>
      </w:r>
      <w:r>
        <w:rPr>
          <w:sz w:val="22"/>
        </w:rPr>
        <w:t>, 24(1): 45-51.</w:t>
      </w:r>
    </w:p>
    <w:p>
      <w:pPr>
        <w:pStyle w:val="BodyText"/>
        <w:spacing w:line="276" w:lineRule="auto" w:before="236"/>
        <w:ind w:left="1640" w:right="1179" w:hanging="720"/>
        <w:jc w:val="both"/>
      </w:pPr>
      <w:r>
        <w:rPr/>
        <w:t>Soomro, A.H., Arain, M. A., Khaskheli, M and Bhuto, B. (2002): Isolation of </w:t>
      </w:r>
      <w:r>
        <w:rPr>
          <w:i/>
        </w:rPr>
        <w:t>E. coli </w:t>
      </w:r>
      <w:r>
        <w:rPr/>
        <w:t>from raw milkand milk products in relation to public health sold under market conditions at Tandonjam. </w:t>
      </w:r>
      <w:r>
        <w:rPr>
          <w:i/>
        </w:rPr>
        <w:t>PakistanJournal of Nutrition, </w:t>
      </w:r>
      <w:r>
        <w:rPr/>
        <w:t>1 (3): 151-152.</w:t>
      </w:r>
    </w:p>
    <w:p>
      <w:pPr>
        <w:spacing w:line="276" w:lineRule="auto" w:before="240"/>
        <w:ind w:left="1640" w:right="1176" w:hanging="720"/>
        <w:jc w:val="both"/>
        <w:rPr>
          <w:sz w:val="22"/>
        </w:rPr>
      </w:pPr>
      <w:r>
        <w:rPr>
          <w:sz w:val="22"/>
        </w:rPr>
        <w:t>Stabel, J.R., Steadham, E. M and Bolin, C.A. (1997). Heat inactivation of </w:t>
      </w:r>
      <w:r>
        <w:rPr>
          <w:i/>
          <w:sz w:val="22"/>
        </w:rPr>
        <w:t>Mycobacterium paratuberculosis </w:t>
      </w:r>
      <w:r>
        <w:rPr>
          <w:sz w:val="22"/>
        </w:rPr>
        <w:t>in raw milk: are current pasteurization conditions effective? </w:t>
      </w:r>
      <w:r>
        <w:rPr>
          <w:i/>
          <w:sz w:val="22"/>
        </w:rPr>
        <w:t>Applied and Environmental Microbiology</w:t>
      </w:r>
      <w:r>
        <w:rPr>
          <w:sz w:val="22"/>
        </w:rPr>
        <w:t>, 63: 4975-4977.</w:t>
      </w:r>
    </w:p>
    <w:p>
      <w:pPr>
        <w:spacing w:before="240"/>
        <w:ind w:left="920" w:right="0" w:firstLine="0"/>
        <w:jc w:val="left"/>
        <w:rPr>
          <w:sz w:val="22"/>
        </w:rPr>
      </w:pPr>
      <w:r>
        <w:rPr>
          <w:sz w:val="22"/>
        </w:rPr>
        <w:t>Stewart,</w:t>
      </w:r>
      <w:r>
        <w:rPr>
          <w:spacing w:val="5"/>
          <w:sz w:val="22"/>
        </w:rPr>
        <w:t> </w:t>
      </w:r>
      <w:r>
        <w:rPr>
          <w:sz w:val="22"/>
        </w:rPr>
        <w:t>T.H</w:t>
      </w:r>
      <w:r>
        <w:rPr>
          <w:spacing w:val="11"/>
          <w:sz w:val="22"/>
        </w:rPr>
        <w:t> </w:t>
      </w:r>
      <w:r>
        <w:rPr>
          <w:sz w:val="22"/>
        </w:rPr>
        <w:t>(1978).</w:t>
      </w:r>
      <w:r>
        <w:rPr>
          <w:spacing w:val="11"/>
          <w:sz w:val="22"/>
        </w:rPr>
        <w:t> </w:t>
      </w:r>
      <w:r>
        <w:rPr>
          <w:sz w:val="22"/>
        </w:rPr>
        <w:t>In:</w:t>
      </w:r>
      <w:r>
        <w:rPr>
          <w:spacing w:val="9"/>
          <w:sz w:val="22"/>
        </w:rPr>
        <w:t> </w:t>
      </w:r>
      <w:r>
        <w:rPr>
          <w:sz w:val="22"/>
        </w:rPr>
        <w:t>Stewart,</w:t>
      </w:r>
      <w:r>
        <w:rPr>
          <w:spacing w:val="12"/>
          <w:sz w:val="22"/>
        </w:rPr>
        <w:t> </w:t>
      </w:r>
      <w:r>
        <w:rPr>
          <w:sz w:val="22"/>
        </w:rPr>
        <w:t>T.H.</w:t>
      </w:r>
      <w:r>
        <w:rPr>
          <w:spacing w:val="11"/>
          <w:sz w:val="22"/>
        </w:rPr>
        <w:t> </w:t>
      </w:r>
      <w:r>
        <w:rPr>
          <w:sz w:val="22"/>
        </w:rPr>
        <w:t>(Ed.).</w:t>
      </w:r>
      <w:r>
        <w:rPr>
          <w:spacing w:val="8"/>
          <w:sz w:val="22"/>
        </w:rPr>
        <w:t> </w:t>
      </w:r>
      <w:r>
        <w:rPr>
          <w:i/>
          <w:sz w:val="22"/>
        </w:rPr>
        <w:t>An</w:t>
      </w:r>
      <w:r>
        <w:rPr>
          <w:i/>
          <w:spacing w:val="11"/>
          <w:sz w:val="22"/>
        </w:rPr>
        <w:t> </w:t>
      </w:r>
      <w:r>
        <w:rPr>
          <w:i/>
          <w:sz w:val="22"/>
        </w:rPr>
        <w:t>introduction</w:t>
      </w:r>
      <w:r>
        <w:rPr>
          <w:i/>
          <w:spacing w:val="11"/>
          <w:sz w:val="22"/>
        </w:rPr>
        <w:t> </w:t>
      </w:r>
      <w:r>
        <w:rPr>
          <w:i/>
          <w:sz w:val="22"/>
        </w:rPr>
        <w:t>to</w:t>
      </w:r>
      <w:r>
        <w:rPr>
          <w:i/>
          <w:spacing w:val="11"/>
          <w:sz w:val="22"/>
        </w:rPr>
        <w:t> </w:t>
      </w:r>
      <w:r>
        <w:rPr>
          <w:i/>
          <w:sz w:val="22"/>
        </w:rPr>
        <w:t>public</w:t>
      </w:r>
      <w:r>
        <w:rPr>
          <w:i/>
          <w:spacing w:val="5"/>
          <w:sz w:val="22"/>
        </w:rPr>
        <w:t> </w:t>
      </w:r>
      <w:r>
        <w:rPr>
          <w:i/>
          <w:sz w:val="22"/>
        </w:rPr>
        <w:t>health</w:t>
      </w:r>
      <w:r>
        <w:rPr>
          <w:sz w:val="22"/>
        </w:rPr>
        <w:t>,</w:t>
      </w:r>
      <w:r>
        <w:rPr>
          <w:spacing w:val="7"/>
          <w:sz w:val="22"/>
        </w:rPr>
        <w:t> </w:t>
      </w:r>
      <w:r>
        <w:rPr>
          <w:sz w:val="22"/>
        </w:rPr>
        <w:t>Butterworths,</w:t>
      </w:r>
      <w:r>
        <w:rPr>
          <w:spacing w:val="67"/>
          <w:sz w:val="22"/>
        </w:rPr>
        <w:t> </w:t>
      </w:r>
      <w:r>
        <w:rPr>
          <w:sz w:val="22"/>
        </w:rPr>
        <w:t>Durban,</w:t>
      </w:r>
      <w:r>
        <w:rPr>
          <w:spacing w:val="8"/>
          <w:sz w:val="22"/>
        </w:rPr>
        <w:t> </w:t>
      </w:r>
      <w:r>
        <w:rPr>
          <w:spacing w:val="-5"/>
          <w:sz w:val="22"/>
        </w:rPr>
        <w:t>PP.</w:t>
      </w:r>
    </w:p>
    <w:p>
      <w:pPr>
        <w:pStyle w:val="BodyText"/>
        <w:spacing w:before="43"/>
        <w:ind w:left="1640"/>
      </w:pPr>
      <w:r>
        <w:rPr>
          <w:spacing w:val="-2"/>
        </w:rPr>
        <w:t>20-</w:t>
      </w:r>
      <w:r>
        <w:rPr>
          <w:spacing w:val="-5"/>
        </w:rPr>
        <w:t>21.</w:t>
      </w:r>
    </w:p>
    <w:p>
      <w:pPr>
        <w:pStyle w:val="BodyText"/>
        <w:spacing w:before="10"/>
      </w:pPr>
    </w:p>
    <w:p>
      <w:pPr>
        <w:spacing w:line="276" w:lineRule="auto" w:before="0"/>
        <w:ind w:left="1640" w:right="1179" w:hanging="720"/>
        <w:jc w:val="both"/>
        <w:rPr>
          <w:sz w:val="22"/>
        </w:rPr>
      </w:pPr>
      <w:r>
        <w:rPr>
          <w:sz w:val="22"/>
        </w:rPr>
        <w:t>Stock, I and Wiedemann, B. (1999). An in-vitro study of the antimicrobial susceptibilities of</w:t>
      </w:r>
      <w:r>
        <w:rPr>
          <w:spacing w:val="40"/>
          <w:sz w:val="22"/>
        </w:rPr>
        <w:t> </w:t>
      </w:r>
      <w:r>
        <w:rPr>
          <w:i/>
          <w:sz w:val="22"/>
        </w:rPr>
        <w:t>Yersinia enterocolitica </w:t>
      </w:r>
      <w:r>
        <w:rPr>
          <w:sz w:val="22"/>
        </w:rPr>
        <w:t>and the definition of a database. </w:t>
      </w:r>
      <w:r>
        <w:rPr>
          <w:i/>
          <w:sz w:val="22"/>
        </w:rPr>
        <w:t>Journal of Antimicrobial Chemotherapy </w:t>
      </w:r>
      <w:r>
        <w:rPr>
          <w:sz w:val="22"/>
        </w:rPr>
        <w:t>43: 37– </w:t>
      </w:r>
      <w:r>
        <w:rPr>
          <w:spacing w:val="-4"/>
          <w:sz w:val="22"/>
        </w:rPr>
        <w:t>45.</w:t>
      </w:r>
    </w:p>
    <w:p>
      <w:pPr>
        <w:spacing w:before="240"/>
        <w:ind w:left="920" w:right="0" w:firstLine="0"/>
        <w:jc w:val="left"/>
        <w:rPr>
          <w:i/>
          <w:sz w:val="22"/>
        </w:rPr>
      </w:pPr>
      <w:r>
        <w:rPr>
          <w:sz w:val="22"/>
        </w:rPr>
        <w:t>Stock,</w:t>
      </w:r>
      <w:r>
        <w:rPr>
          <w:spacing w:val="21"/>
          <w:sz w:val="22"/>
        </w:rPr>
        <w:t> </w:t>
      </w:r>
      <w:r>
        <w:rPr>
          <w:sz w:val="22"/>
        </w:rPr>
        <w:t>I.,</w:t>
      </w:r>
      <w:r>
        <w:rPr>
          <w:spacing w:val="19"/>
          <w:sz w:val="22"/>
        </w:rPr>
        <w:t> </w:t>
      </w:r>
      <w:r>
        <w:rPr>
          <w:sz w:val="22"/>
        </w:rPr>
        <w:t>Heisig,</w:t>
      </w:r>
      <w:r>
        <w:rPr>
          <w:spacing w:val="19"/>
          <w:sz w:val="22"/>
        </w:rPr>
        <w:t> </w:t>
      </w:r>
      <w:r>
        <w:rPr>
          <w:sz w:val="22"/>
        </w:rPr>
        <w:t>P</w:t>
      </w:r>
      <w:r>
        <w:rPr>
          <w:spacing w:val="22"/>
          <w:sz w:val="22"/>
        </w:rPr>
        <w:t> </w:t>
      </w:r>
      <w:r>
        <w:rPr>
          <w:sz w:val="22"/>
        </w:rPr>
        <w:t>and</w:t>
      </w:r>
      <w:r>
        <w:rPr>
          <w:spacing w:val="21"/>
          <w:sz w:val="22"/>
        </w:rPr>
        <w:t> </w:t>
      </w:r>
      <w:r>
        <w:rPr>
          <w:sz w:val="22"/>
        </w:rPr>
        <w:t>Wiedemann,</w:t>
      </w:r>
      <w:r>
        <w:rPr>
          <w:spacing w:val="19"/>
          <w:sz w:val="22"/>
        </w:rPr>
        <w:t> </w:t>
      </w:r>
      <w:r>
        <w:rPr>
          <w:sz w:val="22"/>
        </w:rPr>
        <w:t>B.</w:t>
      </w:r>
      <w:r>
        <w:rPr>
          <w:spacing w:val="24"/>
          <w:sz w:val="22"/>
        </w:rPr>
        <w:t> </w:t>
      </w:r>
      <w:r>
        <w:rPr>
          <w:sz w:val="22"/>
        </w:rPr>
        <w:t>(1999).</w:t>
      </w:r>
      <w:r>
        <w:rPr>
          <w:spacing w:val="23"/>
          <w:sz w:val="22"/>
        </w:rPr>
        <w:t> </w:t>
      </w:r>
      <w:r>
        <w:rPr>
          <w:sz w:val="22"/>
        </w:rPr>
        <w:t>Expression</w:t>
      </w:r>
      <w:r>
        <w:rPr>
          <w:spacing w:val="20"/>
          <w:sz w:val="22"/>
        </w:rPr>
        <w:t> </w:t>
      </w:r>
      <w:r>
        <w:rPr>
          <w:sz w:val="22"/>
        </w:rPr>
        <w:t>of</w:t>
      </w:r>
      <w:r>
        <w:rPr>
          <w:spacing w:val="21"/>
          <w:sz w:val="22"/>
        </w:rPr>
        <w:t> </w:t>
      </w:r>
      <w:r>
        <w:rPr>
          <w:sz w:val="22"/>
        </w:rPr>
        <w:t>beta</w:t>
      </w:r>
      <w:r>
        <w:rPr>
          <w:spacing w:val="21"/>
          <w:sz w:val="22"/>
        </w:rPr>
        <w:t> </w:t>
      </w:r>
      <w:r>
        <w:rPr>
          <w:sz w:val="22"/>
        </w:rPr>
        <w:t>lactamases</w:t>
      </w:r>
      <w:r>
        <w:rPr>
          <w:spacing w:val="21"/>
          <w:sz w:val="22"/>
        </w:rPr>
        <w:t> </w:t>
      </w:r>
      <w:r>
        <w:rPr>
          <w:sz w:val="22"/>
        </w:rPr>
        <w:t>in</w:t>
      </w:r>
      <w:r>
        <w:rPr>
          <w:spacing w:val="23"/>
          <w:sz w:val="22"/>
        </w:rPr>
        <w:t> </w:t>
      </w:r>
      <w:r>
        <w:rPr>
          <w:i/>
          <w:sz w:val="22"/>
        </w:rPr>
        <w:t>Yersinia</w:t>
      </w:r>
      <w:r>
        <w:rPr>
          <w:i/>
          <w:spacing w:val="23"/>
          <w:sz w:val="22"/>
        </w:rPr>
        <w:t> </w:t>
      </w:r>
      <w:r>
        <w:rPr>
          <w:i/>
          <w:spacing w:val="-2"/>
          <w:sz w:val="22"/>
        </w:rPr>
        <w:t>enterocolitica</w:t>
      </w:r>
    </w:p>
    <w:p>
      <w:pPr>
        <w:spacing w:before="39"/>
        <w:ind w:left="1640" w:right="0" w:firstLine="0"/>
        <w:jc w:val="left"/>
        <w:rPr>
          <w:sz w:val="22"/>
        </w:rPr>
      </w:pPr>
      <w:r>
        <w:rPr>
          <w:sz w:val="22"/>
        </w:rPr>
        <w:t>strains</w:t>
      </w:r>
      <w:r>
        <w:rPr>
          <w:spacing w:val="-4"/>
          <w:sz w:val="22"/>
        </w:rPr>
        <w:t> </w:t>
      </w:r>
      <w:r>
        <w:rPr>
          <w:sz w:val="22"/>
        </w:rPr>
        <w:t>of</w:t>
      </w:r>
      <w:r>
        <w:rPr>
          <w:spacing w:val="-4"/>
          <w:sz w:val="22"/>
        </w:rPr>
        <w:t> </w:t>
      </w:r>
      <w:r>
        <w:rPr>
          <w:sz w:val="22"/>
        </w:rPr>
        <w:t>biovars</w:t>
      </w:r>
      <w:r>
        <w:rPr>
          <w:spacing w:val="-4"/>
          <w:sz w:val="22"/>
        </w:rPr>
        <w:t> </w:t>
      </w:r>
      <w:r>
        <w:rPr>
          <w:sz w:val="22"/>
        </w:rPr>
        <w:t>2,</w:t>
      </w:r>
      <w:r>
        <w:rPr>
          <w:spacing w:val="-2"/>
          <w:sz w:val="22"/>
        </w:rPr>
        <w:t> </w:t>
      </w:r>
      <w:r>
        <w:rPr>
          <w:sz w:val="22"/>
        </w:rPr>
        <w:t>4</w:t>
      </w:r>
      <w:r>
        <w:rPr>
          <w:spacing w:val="-5"/>
          <w:sz w:val="22"/>
        </w:rPr>
        <w:t> </w:t>
      </w:r>
      <w:r>
        <w:rPr>
          <w:sz w:val="22"/>
        </w:rPr>
        <w:t>and 5.</w:t>
      </w:r>
      <w:r>
        <w:rPr>
          <w:spacing w:val="-2"/>
          <w:sz w:val="22"/>
        </w:rPr>
        <w:t> </w:t>
      </w:r>
      <w:r>
        <w:rPr>
          <w:i/>
          <w:sz w:val="22"/>
        </w:rPr>
        <w:t>Journal</w:t>
      </w:r>
      <w:r>
        <w:rPr>
          <w:i/>
          <w:spacing w:val="-7"/>
          <w:sz w:val="22"/>
        </w:rPr>
        <w:t> </w:t>
      </w:r>
      <w:r>
        <w:rPr>
          <w:i/>
          <w:sz w:val="22"/>
        </w:rPr>
        <w:t>of</w:t>
      </w:r>
      <w:r>
        <w:rPr>
          <w:i/>
          <w:spacing w:val="-4"/>
          <w:sz w:val="22"/>
        </w:rPr>
        <w:t> </w:t>
      </w:r>
      <w:r>
        <w:rPr>
          <w:i/>
          <w:sz w:val="22"/>
        </w:rPr>
        <w:t>Medical</w:t>
      </w:r>
      <w:r>
        <w:rPr>
          <w:i/>
          <w:spacing w:val="-2"/>
          <w:sz w:val="22"/>
        </w:rPr>
        <w:t> </w:t>
      </w:r>
      <w:r>
        <w:rPr>
          <w:i/>
          <w:sz w:val="22"/>
        </w:rPr>
        <w:t>Microbiology,</w:t>
      </w:r>
      <w:r>
        <w:rPr>
          <w:i/>
          <w:spacing w:val="-5"/>
          <w:sz w:val="22"/>
        </w:rPr>
        <w:t> </w:t>
      </w:r>
      <w:r>
        <w:rPr>
          <w:sz w:val="22"/>
        </w:rPr>
        <w:t>48:</w:t>
      </w:r>
      <w:r>
        <w:rPr>
          <w:spacing w:val="-4"/>
          <w:sz w:val="22"/>
        </w:rPr>
        <w:t> </w:t>
      </w:r>
      <w:r>
        <w:rPr>
          <w:spacing w:val="-2"/>
          <w:sz w:val="22"/>
        </w:rPr>
        <w:t>1023–1027.</w:t>
      </w:r>
    </w:p>
    <w:p>
      <w:pPr>
        <w:pStyle w:val="BodyText"/>
        <w:spacing w:before="10"/>
      </w:pPr>
    </w:p>
    <w:p>
      <w:pPr>
        <w:spacing w:before="0"/>
        <w:ind w:left="920" w:right="0" w:firstLine="0"/>
        <w:jc w:val="left"/>
        <w:rPr>
          <w:i/>
          <w:sz w:val="22"/>
        </w:rPr>
      </w:pPr>
      <w:r>
        <w:rPr>
          <w:sz w:val="22"/>
        </w:rPr>
        <w:t>Stock,</w:t>
      </w:r>
      <w:r>
        <w:rPr>
          <w:spacing w:val="53"/>
          <w:sz w:val="22"/>
        </w:rPr>
        <w:t> </w:t>
      </w:r>
      <w:r>
        <w:rPr>
          <w:sz w:val="22"/>
        </w:rPr>
        <w:t>I.,</w:t>
      </w:r>
      <w:r>
        <w:rPr>
          <w:spacing w:val="56"/>
          <w:sz w:val="22"/>
        </w:rPr>
        <w:t> </w:t>
      </w:r>
      <w:r>
        <w:rPr>
          <w:sz w:val="22"/>
        </w:rPr>
        <w:t>Heisig,</w:t>
      </w:r>
      <w:r>
        <w:rPr>
          <w:spacing w:val="56"/>
          <w:sz w:val="22"/>
        </w:rPr>
        <w:t> </w:t>
      </w:r>
      <w:r>
        <w:rPr>
          <w:sz w:val="22"/>
        </w:rPr>
        <w:t>P</w:t>
      </w:r>
      <w:r>
        <w:rPr>
          <w:spacing w:val="59"/>
          <w:sz w:val="22"/>
        </w:rPr>
        <w:t> </w:t>
      </w:r>
      <w:r>
        <w:rPr>
          <w:sz w:val="22"/>
        </w:rPr>
        <w:t>and</w:t>
      </w:r>
      <w:r>
        <w:rPr>
          <w:spacing w:val="59"/>
          <w:sz w:val="22"/>
        </w:rPr>
        <w:t> </w:t>
      </w:r>
      <w:r>
        <w:rPr>
          <w:sz w:val="22"/>
        </w:rPr>
        <w:t>Wiedemann,</w:t>
      </w:r>
      <w:r>
        <w:rPr>
          <w:spacing w:val="55"/>
          <w:sz w:val="22"/>
        </w:rPr>
        <w:t> </w:t>
      </w:r>
      <w:r>
        <w:rPr>
          <w:sz w:val="22"/>
        </w:rPr>
        <w:t>B.</w:t>
      </w:r>
      <w:r>
        <w:rPr>
          <w:spacing w:val="60"/>
          <w:sz w:val="22"/>
        </w:rPr>
        <w:t> </w:t>
      </w:r>
      <w:r>
        <w:rPr>
          <w:sz w:val="22"/>
        </w:rPr>
        <w:t>(2000).Beta-lactamase</w:t>
      </w:r>
      <w:r>
        <w:rPr>
          <w:spacing w:val="59"/>
          <w:sz w:val="22"/>
        </w:rPr>
        <w:t> </w:t>
      </w:r>
      <w:r>
        <w:rPr>
          <w:sz w:val="22"/>
        </w:rPr>
        <w:t>expression</w:t>
      </w:r>
      <w:r>
        <w:rPr>
          <w:spacing w:val="58"/>
          <w:sz w:val="22"/>
        </w:rPr>
        <w:t> </w:t>
      </w:r>
      <w:r>
        <w:rPr>
          <w:sz w:val="22"/>
        </w:rPr>
        <w:t>in</w:t>
      </w:r>
      <w:r>
        <w:rPr>
          <w:spacing w:val="59"/>
          <w:sz w:val="22"/>
        </w:rPr>
        <w:t> </w:t>
      </w:r>
      <w:r>
        <w:rPr>
          <w:i/>
          <w:sz w:val="22"/>
        </w:rPr>
        <w:t>Yersinia</w:t>
      </w:r>
      <w:r>
        <w:rPr>
          <w:i/>
          <w:spacing w:val="60"/>
          <w:sz w:val="22"/>
        </w:rPr>
        <w:t> </w:t>
      </w:r>
      <w:r>
        <w:rPr>
          <w:i/>
          <w:spacing w:val="-2"/>
          <w:sz w:val="22"/>
        </w:rPr>
        <w:t>enterocolitica</w:t>
      </w:r>
    </w:p>
    <w:p>
      <w:pPr>
        <w:spacing w:before="44"/>
        <w:ind w:left="1640" w:right="0" w:firstLine="0"/>
        <w:jc w:val="left"/>
        <w:rPr>
          <w:sz w:val="22"/>
        </w:rPr>
      </w:pPr>
      <w:r>
        <w:rPr>
          <w:sz w:val="22"/>
        </w:rPr>
        <w:t>biovars</w:t>
      </w:r>
      <w:r>
        <w:rPr>
          <w:spacing w:val="-7"/>
          <w:sz w:val="22"/>
        </w:rPr>
        <w:t> </w:t>
      </w:r>
      <w:r>
        <w:rPr>
          <w:sz w:val="22"/>
        </w:rPr>
        <w:t>1A,</w:t>
      </w:r>
      <w:r>
        <w:rPr>
          <w:spacing w:val="-6"/>
          <w:sz w:val="22"/>
        </w:rPr>
        <w:t> </w:t>
      </w:r>
      <w:r>
        <w:rPr>
          <w:sz w:val="22"/>
        </w:rPr>
        <w:t>1B,</w:t>
      </w:r>
      <w:r>
        <w:rPr>
          <w:spacing w:val="-7"/>
          <w:sz w:val="22"/>
        </w:rPr>
        <w:t> </w:t>
      </w:r>
      <w:r>
        <w:rPr>
          <w:sz w:val="22"/>
        </w:rPr>
        <w:t>and 3.</w:t>
      </w:r>
      <w:r>
        <w:rPr>
          <w:i/>
          <w:sz w:val="22"/>
        </w:rPr>
        <w:t>Journal</w:t>
      </w:r>
      <w:r>
        <w:rPr>
          <w:i/>
          <w:spacing w:val="-3"/>
          <w:sz w:val="22"/>
        </w:rPr>
        <w:t> </w:t>
      </w:r>
      <w:r>
        <w:rPr>
          <w:i/>
          <w:sz w:val="22"/>
        </w:rPr>
        <w:t>of</w:t>
      </w:r>
      <w:r>
        <w:rPr>
          <w:i/>
          <w:spacing w:val="-4"/>
          <w:sz w:val="22"/>
        </w:rPr>
        <w:t> </w:t>
      </w:r>
      <w:r>
        <w:rPr>
          <w:i/>
          <w:sz w:val="22"/>
        </w:rPr>
        <w:t>Medical</w:t>
      </w:r>
      <w:r>
        <w:rPr>
          <w:i/>
          <w:spacing w:val="-3"/>
          <w:sz w:val="22"/>
        </w:rPr>
        <w:t> </w:t>
      </w:r>
      <w:r>
        <w:rPr>
          <w:i/>
          <w:sz w:val="22"/>
        </w:rPr>
        <w:t>Microbiology,</w:t>
      </w:r>
      <w:r>
        <w:rPr>
          <w:i/>
          <w:spacing w:val="-5"/>
          <w:sz w:val="22"/>
        </w:rPr>
        <w:t> </w:t>
      </w:r>
      <w:r>
        <w:rPr>
          <w:sz w:val="22"/>
        </w:rPr>
        <w:t>49:</w:t>
      </w:r>
      <w:r>
        <w:rPr>
          <w:spacing w:val="-5"/>
          <w:sz w:val="22"/>
        </w:rPr>
        <w:t> </w:t>
      </w:r>
      <w:r>
        <w:rPr>
          <w:spacing w:val="-2"/>
          <w:sz w:val="22"/>
        </w:rPr>
        <w:t>403–408.</w:t>
      </w:r>
    </w:p>
    <w:p>
      <w:pPr>
        <w:spacing w:after="0"/>
        <w:jc w:val="left"/>
        <w:rPr>
          <w:sz w:val="22"/>
        </w:rPr>
        <w:sectPr>
          <w:pgSz w:w="12240" w:h="15840"/>
          <w:pgMar w:header="0" w:footer="1017" w:top="1400" w:bottom="1200" w:left="520" w:right="260"/>
        </w:sectPr>
      </w:pPr>
    </w:p>
    <w:p>
      <w:pPr>
        <w:spacing w:line="276" w:lineRule="auto" w:before="41"/>
        <w:ind w:left="1640" w:right="1173" w:hanging="720"/>
        <w:jc w:val="both"/>
        <w:rPr>
          <w:sz w:val="22"/>
        </w:rPr>
      </w:pPr>
      <w:r>
        <w:rPr>
          <w:sz w:val="22"/>
        </w:rPr>
        <w:t>Stock, I and Wiedemann, B. (2003). Natural antimicrobial susceptibilities and biochemical profiles of </w:t>
      </w:r>
      <w:r>
        <w:rPr>
          <w:i/>
          <w:sz w:val="22"/>
        </w:rPr>
        <w:t>Yersinia enterocolitica</w:t>
      </w:r>
      <w:r>
        <w:rPr>
          <w:sz w:val="22"/>
        </w:rPr>
        <w:t>-like strains: </w:t>
      </w:r>
      <w:r>
        <w:rPr>
          <w:i/>
          <w:sz w:val="22"/>
        </w:rPr>
        <w:t>Y. frederiksenii, Y. intermedia, Y. kristensenii </w:t>
      </w:r>
      <w:r>
        <w:rPr>
          <w:sz w:val="22"/>
        </w:rPr>
        <w:t>and </w:t>
      </w:r>
      <w:r>
        <w:rPr>
          <w:i/>
          <w:sz w:val="22"/>
        </w:rPr>
        <w:t>Y. rohdei</w:t>
      </w:r>
      <w:r>
        <w:rPr>
          <w:sz w:val="22"/>
        </w:rPr>
        <w:t>. </w:t>
      </w:r>
      <w:r>
        <w:rPr>
          <w:i/>
          <w:sz w:val="22"/>
        </w:rPr>
        <w:t>FEMS Immunology Medical Microbiology, </w:t>
      </w:r>
      <w:r>
        <w:rPr>
          <w:sz w:val="22"/>
        </w:rPr>
        <w:t>38: 139–152.</w:t>
      </w:r>
    </w:p>
    <w:p>
      <w:pPr>
        <w:pStyle w:val="BodyText"/>
        <w:spacing w:line="276" w:lineRule="auto" w:before="240"/>
        <w:ind w:left="1640" w:right="1179" w:hanging="720"/>
        <w:jc w:val="both"/>
      </w:pPr>
      <w:r>
        <w:rPr/>
        <w:t>Sundstrom, L., Radstrom, P., Swedberg, G and Skold, O. (1988). Site specific recombination promotes linkages between</w:t>
      </w:r>
      <w:r>
        <w:rPr>
          <w:spacing w:val="-1"/>
        </w:rPr>
        <w:t> </w:t>
      </w:r>
      <w:r>
        <w:rPr/>
        <w:t>trimethoprim and</w:t>
      </w:r>
      <w:r>
        <w:rPr>
          <w:spacing w:val="-1"/>
        </w:rPr>
        <w:t> </w:t>
      </w:r>
      <w:r>
        <w:rPr/>
        <w:t>sulfonamide resistance genes. Sequence characterization</w:t>
      </w:r>
      <w:r>
        <w:rPr>
          <w:spacing w:val="-1"/>
        </w:rPr>
        <w:t> </w:t>
      </w:r>
      <w:r>
        <w:rPr/>
        <w:t>of dhfrV and sulI and recombination active locus Tn21. </w:t>
      </w:r>
      <w:r>
        <w:rPr>
          <w:i/>
        </w:rPr>
        <w:t>Molecular Genetics and Genomics</w:t>
      </w:r>
      <w:r>
        <w:rPr/>
        <w:t>, 213:</w:t>
      </w:r>
      <w:r>
        <w:rPr>
          <w:spacing w:val="40"/>
        </w:rPr>
        <w:t> </w:t>
      </w:r>
      <w:r>
        <w:rPr>
          <w:spacing w:val="-2"/>
        </w:rPr>
        <w:t>191-201.</w:t>
      </w:r>
    </w:p>
    <w:p>
      <w:pPr>
        <w:pStyle w:val="BodyText"/>
        <w:spacing w:line="278" w:lineRule="auto" w:before="239"/>
        <w:ind w:left="1640" w:right="1179" w:hanging="720"/>
        <w:jc w:val="both"/>
      </w:pPr>
      <w:r>
        <w:rPr/>
        <w:t>Swedberg, G and Skold, O. (1980).Characterization of different plasmid borne dihydrpteroate synthases mediating bacterial resistance to sulfonamides.</w:t>
      </w:r>
      <w:r>
        <w:rPr>
          <w:i/>
        </w:rPr>
        <w:t>Journal of Bacteriology</w:t>
      </w:r>
      <w:r>
        <w:rPr/>
        <w:t>, 142: 1-7</w:t>
      </w:r>
    </w:p>
    <w:p>
      <w:pPr>
        <w:spacing w:line="273" w:lineRule="auto" w:before="236"/>
        <w:ind w:left="1640" w:right="1177" w:hanging="720"/>
        <w:jc w:val="both"/>
        <w:rPr>
          <w:sz w:val="22"/>
        </w:rPr>
      </w:pPr>
      <w:r>
        <w:rPr>
          <w:sz w:val="22"/>
        </w:rPr>
        <w:t>Talaro, K and Talaro, A. (2006).</w:t>
      </w:r>
      <w:r>
        <w:rPr>
          <w:i/>
          <w:sz w:val="22"/>
        </w:rPr>
        <w:t>Foundation in Microbiology</w:t>
      </w:r>
      <w:r>
        <w:rPr>
          <w:sz w:val="22"/>
        </w:rPr>
        <w:t>. W.M.C. Brown Publisher Dubuque, PP. 781- </w:t>
      </w:r>
      <w:r>
        <w:rPr>
          <w:spacing w:val="-4"/>
          <w:sz w:val="22"/>
        </w:rPr>
        <w:t>783.</w:t>
      </w:r>
    </w:p>
    <w:p>
      <w:pPr>
        <w:spacing w:line="278" w:lineRule="auto" w:before="242"/>
        <w:ind w:left="1640" w:right="1177" w:hanging="720"/>
        <w:jc w:val="both"/>
        <w:rPr>
          <w:sz w:val="22"/>
        </w:rPr>
      </w:pPr>
      <w:r>
        <w:rPr>
          <w:sz w:val="22"/>
        </w:rPr>
        <w:t>Tauxe, R.V. (2002). Emerging foodborne pathogens.</w:t>
      </w:r>
      <w:r>
        <w:rPr>
          <w:i/>
          <w:sz w:val="22"/>
        </w:rPr>
        <w:t>International Journal of Food Microbiology</w:t>
      </w:r>
      <w:r>
        <w:rPr>
          <w:sz w:val="22"/>
        </w:rPr>
        <w:t>, 78: 31- </w:t>
      </w:r>
      <w:r>
        <w:rPr>
          <w:spacing w:val="-4"/>
          <w:sz w:val="22"/>
        </w:rPr>
        <w:t>41.</w:t>
      </w:r>
    </w:p>
    <w:p>
      <w:pPr>
        <w:spacing w:line="278" w:lineRule="auto" w:before="236"/>
        <w:ind w:left="1640" w:right="1177" w:hanging="720"/>
        <w:jc w:val="both"/>
        <w:rPr>
          <w:sz w:val="22"/>
        </w:rPr>
      </w:pPr>
      <w:r>
        <w:rPr>
          <w:sz w:val="22"/>
        </w:rPr>
        <w:t>Teale, C.J. (2002). Antimicrobial resistance and the food chain.</w:t>
      </w:r>
      <w:r>
        <w:rPr>
          <w:i/>
          <w:sz w:val="22"/>
        </w:rPr>
        <w:t>Journal of Applied Microbiology</w:t>
      </w:r>
      <w:r>
        <w:rPr>
          <w:sz w:val="22"/>
        </w:rPr>
        <w:t>, 92: 855- </w:t>
      </w:r>
      <w:r>
        <w:rPr>
          <w:spacing w:val="-4"/>
          <w:sz w:val="22"/>
        </w:rPr>
        <w:t>895.</w:t>
      </w:r>
    </w:p>
    <w:p>
      <w:pPr>
        <w:spacing w:line="276" w:lineRule="auto" w:before="236"/>
        <w:ind w:left="1640" w:right="1179" w:hanging="720"/>
        <w:jc w:val="both"/>
        <w:rPr>
          <w:sz w:val="22"/>
        </w:rPr>
      </w:pPr>
      <w:r>
        <w:rPr>
          <w:sz w:val="22"/>
        </w:rPr>
        <w:t>Teka, G. (1997): </w:t>
      </w:r>
      <w:r>
        <w:rPr>
          <w:i/>
          <w:sz w:val="22"/>
        </w:rPr>
        <w:t>Food Hygiene Principles and Food Borne Disease Control with Special Reference to Ethiopia</w:t>
      </w:r>
      <w:r>
        <w:rPr>
          <w:sz w:val="22"/>
        </w:rPr>
        <w:t>. 1st Edition, Faculty of Medicine, Department of Community Health, Addis Ababa University. PP. 73-86.</w:t>
      </w:r>
    </w:p>
    <w:p>
      <w:pPr>
        <w:pStyle w:val="BodyText"/>
        <w:spacing w:line="273" w:lineRule="auto" w:before="240"/>
        <w:ind w:left="1640" w:right="1178" w:hanging="720"/>
        <w:jc w:val="both"/>
      </w:pPr>
      <w:r>
        <w:rPr/>
        <w:t>Tekinşen, K. K and Özdemir, Z. (2006).Prevalence of foodborne pathogens in Turkish Van otlu (Herb) cheese.</w:t>
      </w:r>
      <w:r>
        <w:rPr>
          <w:i/>
        </w:rPr>
        <w:t>Food Control</w:t>
      </w:r>
      <w:r>
        <w:rPr/>
        <w:t>, 17: 707-711.</w:t>
      </w:r>
    </w:p>
    <w:p>
      <w:pPr>
        <w:pStyle w:val="BodyText"/>
      </w:pPr>
    </w:p>
    <w:p>
      <w:pPr>
        <w:pStyle w:val="BodyText"/>
        <w:spacing w:before="175"/>
      </w:pPr>
    </w:p>
    <w:p>
      <w:pPr>
        <w:pStyle w:val="BodyText"/>
        <w:spacing w:line="276" w:lineRule="auto"/>
        <w:ind w:left="1640" w:right="1177" w:hanging="720"/>
        <w:jc w:val="both"/>
      </w:pPr>
      <w:r>
        <w:rPr/>
        <w:t>Tenson, T., Lovmar, M and Ehrenberg, M. (2003). "The Mechanism of Action of Macrolides,</w:t>
      </w:r>
      <w:r>
        <w:rPr>
          <w:spacing w:val="40"/>
        </w:rPr>
        <w:t> </w:t>
      </w:r>
      <w:r>
        <w:rPr/>
        <w:t>Lincosamides and Streptogramin B Reveals the Nascent Peptide Exit Path in the Ribosome". </w:t>
      </w:r>
      <w:r>
        <w:rPr>
          <w:i/>
        </w:rPr>
        <w:t>Journal of Molecular Biology,</w:t>
      </w:r>
      <w:r>
        <w:rPr/>
        <w:t>330 (5): 1005–1014.</w:t>
      </w:r>
    </w:p>
    <w:p>
      <w:pPr>
        <w:spacing w:line="276" w:lineRule="auto" w:before="240"/>
        <w:ind w:left="1640" w:right="1174" w:hanging="720"/>
        <w:jc w:val="both"/>
        <w:rPr>
          <w:sz w:val="22"/>
        </w:rPr>
      </w:pPr>
      <w:r>
        <w:rPr>
          <w:sz w:val="22"/>
        </w:rPr>
        <w:t>Ternström,</w:t>
      </w:r>
      <w:r>
        <w:rPr>
          <w:spacing w:val="-4"/>
          <w:sz w:val="22"/>
        </w:rPr>
        <w:t> </w:t>
      </w:r>
      <w:r>
        <w:rPr>
          <w:sz w:val="22"/>
        </w:rPr>
        <w:t>A.,</w:t>
      </w:r>
      <w:r>
        <w:rPr>
          <w:spacing w:val="-4"/>
          <w:sz w:val="22"/>
        </w:rPr>
        <w:t> </w:t>
      </w:r>
      <w:r>
        <w:rPr>
          <w:sz w:val="22"/>
        </w:rPr>
        <w:t>Lindberg,</w:t>
      </w:r>
      <w:r>
        <w:rPr>
          <w:spacing w:val="-4"/>
          <w:sz w:val="22"/>
        </w:rPr>
        <w:t> </w:t>
      </w:r>
      <w:r>
        <w:rPr>
          <w:sz w:val="22"/>
        </w:rPr>
        <w:t>A. M</w:t>
      </w:r>
      <w:r>
        <w:rPr>
          <w:spacing w:val="-3"/>
          <w:sz w:val="22"/>
        </w:rPr>
        <w:t> </w:t>
      </w:r>
      <w:r>
        <w:rPr>
          <w:sz w:val="22"/>
        </w:rPr>
        <w:t>and</w:t>
      </w:r>
      <w:r>
        <w:rPr>
          <w:spacing w:val="-3"/>
          <w:sz w:val="22"/>
        </w:rPr>
        <w:t> </w:t>
      </w:r>
      <w:r>
        <w:rPr>
          <w:sz w:val="22"/>
        </w:rPr>
        <w:t>Molin,</w:t>
      </w:r>
      <w:r>
        <w:rPr>
          <w:spacing w:val="-4"/>
          <w:sz w:val="22"/>
        </w:rPr>
        <w:t> </w:t>
      </w:r>
      <w:r>
        <w:rPr>
          <w:sz w:val="22"/>
        </w:rPr>
        <w:t>G. (1993).Classification</w:t>
      </w:r>
      <w:r>
        <w:rPr>
          <w:spacing w:val="-3"/>
          <w:sz w:val="22"/>
        </w:rPr>
        <w:t> </w:t>
      </w:r>
      <w:r>
        <w:rPr>
          <w:sz w:val="22"/>
        </w:rPr>
        <w:t>543</w:t>
      </w:r>
      <w:r>
        <w:rPr>
          <w:spacing w:val="-3"/>
          <w:sz w:val="22"/>
        </w:rPr>
        <w:t> </w:t>
      </w:r>
      <w:r>
        <w:rPr>
          <w:sz w:val="22"/>
        </w:rPr>
        <w:t>of the</w:t>
      </w:r>
      <w:r>
        <w:rPr>
          <w:spacing w:val="-2"/>
          <w:sz w:val="22"/>
        </w:rPr>
        <w:t> </w:t>
      </w:r>
      <w:r>
        <w:rPr>
          <w:sz w:val="22"/>
        </w:rPr>
        <w:t>spoilage</w:t>
      </w:r>
      <w:r>
        <w:rPr>
          <w:spacing w:val="-2"/>
          <w:sz w:val="22"/>
        </w:rPr>
        <w:t> </w:t>
      </w:r>
      <w:r>
        <w:rPr>
          <w:sz w:val="22"/>
        </w:rPr>
        <w:t>544</w:t>
      </w:r>
      <w:r>
        <w:rPr>
          <w:spacing w:val="-3"/>
          <w:sz w:val="22"/>
        </w:rPr>
        <w:t> </w:t>
      </w:r>
      <w:r>
        <w:rPr>
          <w:sz w:val="22"/>
        </w:rPr>
        <w:t>flora of</w:t>
      </w:r>
      <w:r>
        <w:rPr>
          <w:spacing w:val="-2"/>
          <w:sz w:val="22"/>
        </w:rPr>
        <w:t> </w:t>
      </w:r>
      <w:r>
        <w:rPr>
          <w:sz w:val="22"/>
        </w:rPr>
        <w:t>raw</w:t>
      </w:r>
      <w:r>
        <w:rPr>
          <w:spacing w:val="-1"/>
          <w:sz w:val="22"/>
        </w:rPr>
        <w:t> </w:t>
      </w:r>
      <w:r>
        <w:rPr>
          <w:sz w:val="22"/>
        </w:rPr>
        <w:t>and pasteurized bovine milk, with special reference to </w:t>
      </w:r>
      <w:r>
        <w:rPr>
          <w:i/>
          <w:sz w:val="22"/>
        </w:rPr>
        <w:t>Pseudomonas </w:t>
      </w:r>
      <w:r>
        <w:rPr>
          <w:sz w:val="22"/>
        </w:rPr>
        <w:t>and 545 </w:t>
      </w:r>
      <w:r>
        <w:rPr>
          <w:i/>
          <w:sz w:val="22"/>
        </w:rPr>
        <w:t>Bacillus</w:t>
      </w:r>
      <w:r>
        <w:rPr>
          <w:sz w:val="22"/>
        </w:rPr>
        <w:t>.</w:t>
      </w:r>
      <w:r>
        <w:rPr>
          <w:i/>
          <w:sz w:val="22"/>
        </w:rPr>
        <w:t>Journal of Applied Bacteriology</w:t>
      </w:r>
      <w:r>
        <w:rPr>
          <w:sz w:val="22"/>
        </w:rPr>
        <w:t>, 75:25-34.</w:t>
      </w:r>
    </w:p>
    <w:p>
      <w:pPr>
        <w:spacing w:before="240"/>
        <w:ind w:left="920" w:right="0" w:firstLine="0"/>
        <w:jc w:val="left"/>
        <w:rPr>
          <w:sz w:val="22"/>
        </w:rPr>
      </w:pPr>
      <w:r>
        <w:rPr>
          <w:sz w:val="22"/>
        </w:rPr>
        <w:t>Teuber,</w:t>
      </w:r>
      <w:r>
        <w:rPr>
          <w:spacing w:val="-7"/>
          <w:sz w:val="22"/>
        </w:rPr>
        <w:t> </w:t>
      </w:r>
      <w:r>
        <w:rPr>
          <w:sz w:val="22"/>
        </w:rPr>
        <w:t>M.</w:t>
      </w:r>
      <w:r>
        <w:rPr>
          <w:spacing w:val="-3"/>
          <w:sz w:val="22"/>
        </w:rPr>
        <w:t> </w:t>
      </w:r>
      <w:r>
        <w:rPr>
          <w:sz w:val="22"/>
        </w:rPr>
        <w:t>(2001).Veterinary</w:t>
      </w:r>
      <w:r>
        <w:rPr>
          <w:spacing w:val="-4"/>
          <w:sz w:val="22"/>
        </w:rPr>
        <w:t> </w:t>
      </w:r>
      <w:r>
        <w:rPr>
          <w:sz w:val="22"/>
        </w:rPr>
        <w:t>use</w:t>
      </w:r>
      <w:r>
        <w:rPr>
          <w:spacing w:val="-5"/>
          <w:sz w:val="22"/>
        </w:rPr>
        <w:t> </w:t>
      </w:r>
      <w:r>
        <w:rPr>
          <w:sz w:val="22"/>
        </w:rPr>
        <w:t>and</w:t>
      </w:r>
      <w:r>
        <w:rPr>
          <w:spacing w:val="-6"/>
          <w:sz w:val="22"/>
        </w:rPr>
        <w:t> </w:t>
      </w:r>
      <w:r>
        <w:rPr>
          <w:sz w:val="22"/>
        </w:rPr>
        <w:t>antibiotic</w:t>
      </w:r>
      <w:r>
        <w:rPr>
          <w:spacing w:val="-7"/>
          <w:sz w:val="22"/>
        </w:rPr>
        <w:t> </w:t>
      </w:r>
      <w:r>
        <w:rPr>
          <w:sz w:val="22"/>
        </w:rPr>
        <w:t>resistance.</w:t>
      </w:r>
      <w:r>
        <w:rPr>
          <w:i/>
          <w:sz w:val="22"/>
        </w:rPr>
        <w:t>Current</w:t>
      </w:r>
      <w:r>
        <w:rPr>
          <w:i/>
          <w:spacing w:val="-7"/>
          <w:sz w:val="22"/>
        </w:rPr>
        <w:t> </w:t>
      </w:r>
      <w:r>
        <w:rPr>
          <w:i/>
          <w:sz w:val="22"/>
        </w:rPr>
        <w:t>Opinions</w:t>
      </w:r>
      <w:r>
        <w:rPr>
          <w:i/>
          <w:spacing w:val="-5"/>
          <w:sz w:val="22"/>
        </w:rPr>
        <w:t> </w:t>
      </w:r>
      <w:r>
        <w:rPr>
          <w:i/>
          <w:sz w:val="22"/>
        </w:rPr>
        <w:t>in</w:t>
      </w:r>
      <w:r>
        <w:rPr>
          <w:i/>
          <w:spacing w:val="-3"/>
          <w:sz w:val="22"/>
        </w:rPr>
        <w:t> </w:t>
      </w:r>
      <w:r>
        <w:rPr>
          <w:i/>
          <w:sz w:val="22"/>
        </w:rPr>
        <w:t>Microbiology</w:t>
      </w:r>
      <w:r>
        <w:rPr>
          <w:sz w:val="22"/>
        </w:rPr>
        <w:t>,</w:t>
      </w:r>
      <w:r>
        <w:rPr>
          <w:spacing w:val="-7"/>
          <w:sz w:val="22"/>
        </w:rPr>
        <w:t> </w:t>
      </w:r>
      <w:r>
        <w:rPr>
          <w:sz w:val="22"/>
        </w:rPr>
        <w:t>4:</w:t>
      </w:r>
      <w:r>
        <w:rPr>
          <w:spacing w:val="-5"/>
          <w:sz w:val="22"/>
        </w:rPr>
        <w:t> </w:t>
      </w:r>
      <w:r>
        <w:rPr>
          <w:sz w:val="22"/>
        </w:rPr>
        <w:t>493-</w:t>
      </w:r>
      <w:r>
        <w:rPr>
          <w:spacing w:val="-4"/>
          <w:sz w:val="22"/>
        </w:rPr>
        <w:t>499.</w:t>
      </w:r>
    </w:p>
    <w:p>
      <w:pPr>
        <w:pStyle w:val="BodyText"/>
      </w:pPr>
    </w:p>
    <w:p>
      <w:pPr>
        <w:pStyle w:val="BodyText"/>
        <w:spacing w:before="217"/>
      </w:pPr>
    </w:p>
    <w:p>
      <w:pPr>
        <w:pStyle w:val="BodyText"/>
        <w:spacing w:line="273" w:lineRule="auto"/>
        <w:ind w:left="1640" w:right="1176" w:hanging="720"/>
        <w:jc w:val="both"/>
      </w:pPr>
      <w:r>
        <w:rPr/>
        <w:t>Thompson,</w:t>
      </w:r>
      <w:r>
        <w:rPr>
          <w:spacing w:val="-3"/>
        </w:rPr>
        <w:t> </w:t>
      </w:r>
      <w:r>
        <w:rPr/>
        <w:t>K. S</w:t>
      </w:r>
      <w:r>
        <w:rPr>
          <w:spacing w:val="-1"/>
        </w:rPr>
        <w:t> </w:t>
      </w:r>
      <w:r>
        <w:rPr/>
        <w:t>and</w:t>
      </w:r>
      <w:r>
        <w:rPr>
          <w:spacing w:val="-1"/>
        </w:rPr>
        <w:t> </w:t>
      </w:r>
      <w:r>
        <w:rPr/>
        <w:t>Smith,</w:t>
      </w:r>
      <w:r>
        <w:rPr>
          <w:spacing w:val="-3"/>
        </w:rPr>
        <w:t> </w:t>
      </w:r>
      <w:r>
        <w:rPr/>
        <w:t>M.E. (2000) Version</w:t>
      </w:r>
      <w:r>
        <w:rPr>
          <w:spacing w:val="-1"/>
        </w:rPr>
        <w:t> </w:t>
      </w:r>
      <w:r>
        <w:rPr/>
        <w:t>2000:</w:t>
      </w:r>
      <w:r>
        <w:rPr>
          <w:spacing w:val="-2"/>
        </w:rPr>
        <w:t> </w:t>
      </w:r>
      <w:r>
        <w:rPr/>
        <w:t>the new</w:t>
      </w:r>
      <w:r>
        <w:rPr>
          <w:spacing w:val="-4"/>
        </w:rPr>
        <w:t> </w:t>
      </w:r>
      <w:r>
        <w:rPr>
          <w:i/>
        </w:rPr>
        <w:t>b</w:t>
      </w:r>
      <w:r>
        <w:rPr/>
        <w:t>-lactamases</w:t>
      </w:r>
      <w:r>
        <w:rPr>
          <w:spacing w:val="-5"/>
        </w:rPr>
        <w:t> </w:t>
      </w:r>
      <w:r>
        <w:rPr/>
        <w:t>of</w:t>
      </w:r>
      <w:r>
        <w:rPr>
          <w:spacing w:val="-1"/>
        </w:rPr>
        <w:t> </w:t>
      </w:r>
      <w:r>
        <w:rPr/>
        <w:t>gram-negative bacteria</w:t>
      </w:r>
      <w:r>
        <w:rPr>
          <w:spacing w:val="-5"/>
        </w:rPr>
        <w:t> </w:t>
      </w:r>
      <w:r>
        <w:rPr/>
        <w:t>at the dawn of the new millennium. </w:t>
      </w:r>
      <w:r>
        <w:rPr>
          <w:i/>
        </w:rPr>
        <w:t>Microbes and Infections</w:t>
      </w:r>
      <w:r>
        <w:rPr/>
        <w:t>, 2</w:t>
      </w:r>
      <w:r>
        <w:rPr>
          <w:b/>
        </w:rPr>
        <w:t>: </w:t>
      </w:r>
      <w:r>
        <w:rPr/>
        <w:t>1225–1235.</w:t>
      </w:r>
    </w:p>
    <w:p>
      <w:pPr>
        <w:spacing w:after="0" w:line="273" w:lineRule="auto"/>
        <w:jc w:val="both"/>
        <w:sectPr>
          <w:pgSz w:w="12240" w:h="15840"/>
          <w:pgMar w:header="0" w:footer="1017" w:top="1400" w:bottom="1200" w:left="520" w:right="260"/>
        </w:sectPr>
      </w:pPr>
    </w:p>
    <w:p>
      <w:pPr>
        <w:spacing w:line="273" w:lineRule="auto" w:before="41"/>
        <w:ind w:left="1640" w:right="1176" w:hanging="720"/>
        <w:jc w:val="both"/>
        <w:rPr>
          <w:sz w:val="22"/>
        </w:rPr>
      </w:pPr>
      <w:r>
        <w:rPr>
          <w:sz w:val="22"/>
        </w:rPr>
        <w:t>Thomson, K.S., Sanders, W. E and Sanders, C.C. (1994). USA resistance patterns among Urinary Tract Infection pathogens. </w:t>
      </w:r>
      <w:r>
        <w:rPr>
          <w:i/>
          <w:sz w:val="22"/>
        </w:rPr>
        <w:t>Journal of Antimicrobial Chemotherapy</w:t>
      </w:r>
      <w:r>
        <w:rPr>
          <w:sz w:val="22"/>
        </w:rPr>
        <w:t>, 33(A): 9–15.</w:t>
      </w:r>
    </w:p>
    <w:p>
      <w:pPr>
        <w:spacing w:line="278" w:lineRule="auto" w:before="243"/>
        <w:ind w:left="1640" w:right="1178" w:hanging="720"/>
        <w:jc w:val="both"/>
        <w:rPr>
          <w:sz w:val="22"/>
        </w:rPr>
      </w:pPr>
      <w:r>
        <w:rPr>
          <w:sz w:val="22"/>
        </w:rPr>
        <w:t>Threfall, E.J., Ward, L.R., Frost, J.A and Willshaw, G.A. (2000).The emergence and spread of antibiotic resistance in foodborne bacteria.</w:t>
      </w:r>
      <w:r>
        <w:rPr>
          <w:i/>
          <w:sz w:val="22"/>
        </w:rPr>
        <w:t>International Journal of Food Microbiology</w:t>
      </w:r>
      <w:r>
        <w:rPr>
          <w:sz w:val="22"/>
        </w:rPr>
        <w:t>, 62: 1-5.</w:t>
      </w:r>
    </w:p>
    <w:p>
      <w:pPr>
        <w:spacing w:line="278" w:lineRule="auto" w:before="236"/>
        <w:ind w:left="1640" w:right="1174" w:hanging="720"/>
        <w:jc w:val="both"/>
        <w:rPr>
          <w:sz w:val="22"/>
        </w:rPr>
      </w:pPr>
      <w:r>
        <w:rPr>
          <w:sz w:val="22"/>
        </w:rPr>
        <w:t>Threlfall, J. (2002). Antimicrobial drug resistance in </w:t>
      </w:r>
      <w:r>
        <w:rPr>
          <w:i/>
          <w:sz w:val="22"/>
        </w:rPr>
        <w:t>Salmonella</w:t>
      </w:r>
      <w:r>
        <w:rPr>
          <w:sz w:val="22"/>
        </w:rPr>
        <w:t>: problems and perspectives in food and water borne infections. </w:t>
      </w:r>
      <w:r>
        <w:rPr>
          <w:i/>
          <w:sz w:val="22"/>
        </w:rPr>
        <w:t>FEMS Microbiology Reviews </w:t>
      </w:r>
      <w:r>
        <w:rPr>
          <w:sz w:val="22"/>
        </w:rPr>
        <w:t>26: 141-148</w:t>
      </w:r>
    </w:p>
    <w:p>
      <w:pPr>
        <w:pStyle w:val="BodyText"/>
        <w:spacing w:line="276" w:lineRule="auto" w:before="236"/>
        <w:ind w:left="1640" w:right="1176" w:hanging="720"/>
        <w:jc w:val="both"/>
      </w:pPr>
      <w:r>
        <w:rPr/>
        <w:t>Thurman, E.M and Hostetler, K.A. (1999).Analysis of tetracycline and sulfamethazine antibiotics in groundwater and animal-feedlot wasteland by high performance liquid chromatography / mass spectrometry using positive-ion electrosray.</w:t>
      </w:r>
      <w:r>
        <w:rPr>
          <w:i/>
        </w:rPr>
        <w:t>Effects of animal feeding operations on water resources and the environment</w:t>
      </w:r>
      <w:r>
        <w:rPr/>
        <w:t>. Proceedings of the Technical Meeting, Fort Collins, CO, 30 August-1 September 1999, Abstract, Pp.47.</w:t>
      </w:r>
    </w:p>
    <w:p>
      <w:pPr>
        <w:pStyle w:val="BodyText"/>
        <w:spacing w:line="278" w:lineRule="auto" w:before="236"/>
        <w:ind w:left="1640" w:right="1172" w:hanging="720"/>
        <w:jc w:val="both"/>
      </w:pPr>
      <w:r>
        <w:rPr/>
        <w:t>Todar, K. (2002): Bacteria resistance to antibiotics. University of Wisconsin–Madison </w:t>
      </w:r>
      <w:r>
        <w:rPr>
          <w:spacing w:val="-2"/>
        </w:rPr>
        <w:t>(</w:t>
      </w:r>
      <w:hyperlink r:id="rId23">
        <w:r>
          <w:rPr>
            <w:spacing w:val="-2"/>
          </w:rPr>
          <w:t>http://www.textbookofbacteriology.net/.</w:t>
        </w:r>
      </w:hyperlink>
    </w:p>
    <w:p>
      <w:pPr>
        <w:pStyle w:val="BodyText"/>
      </w:pPr>
    </w:p>
    <w:p>
      <w:pPr>
        <w:pStyle w:val="BodyText"/>
        <w:spacing w:before="170"/>
      </w:pPr>
    </w:p>
    <w:p>
      <w:pPr>
        <w:pStyle w:val="BodyText"/>
        <w:spacing w:line="273" w:lineRule="auto"/>
        <w:ind w:left="1640" w:right="1181" w:hanging="812"/>
        <w:jc w:val="both"/>
      </w:pPr>
      <w:r>
        <w:rPr/>
        <w:t>Torkar,</w:t>
      </w:r>
      <w:r>
        <w:rPr>
          <w:spacing w:val="-2"/>
        </w:rPr>
        <w:t> </w:t>
      </w:r>
      <w:r>
        <w:rPr/>
        <w:t>K. G and Teger,</w:t>
      </w:r>
      <w:r>
        <w:rPr>
          <w:spacing w:val="-2"/>
        </w:rPr>
        <w:t> </w:t>
      </w:r>
      <w:r>
        <w:rPr/>
        <w:t>S.G. (2008) The Microbiological</w:t>
      </w:r>
      <w:r>
        <w:rPr>
          <w:spacing w:val="-2"/>
        </w:rPr>
        <w:t> </w:t>
      </w:r>
      <w:r>
        <w:rPr/>
        <w:t>quality of raw milk after</w:t>
      </w:r>
      <w:r>
        <w:rPr>
          <w:spacing w:val="-4"/>
        </w:rPr>
        <w:t> </w:t>
      </w:r>
      <w:r>
        <w:rPr/>
        <w:t>introducing the two</w:t>
      </w:r>
      <w:r>
        <w:rPr>
          <w:spacing w:val="-1"/>
        </w:rPr>
        <w:t> </w:t>
      </w:r>
      <w:r>
        <w:rPr/>
        <w:t>day's milk collecting system. </w:t>
      </w:r>
      <w:r>
        <w:rPr>
          <w:i/>
        </w:rPr>
        <w:t>Acta Agriculturae Slovenica, </w:t>
      </w:r>
      <w:r>
        <w:rPr/>
        <w:t>92(1), 61–74.</w:t>
      </w:r>
    </w:p>
    <w:p>
      <w:pPr>
        <w:pStyle w:val="BodyText"/>
        <w:spacing w:line="276" w:lineRule="auto" w:before="242"/>
        <w:ind w:left="1640" w:right="1172" w:hanging="720"/>
        <w:jc w:val="both"/>
      </w:pPr>
      <w:r>
        <w:rPr/>
        <w:t>Tsegmed, U., Normanno, G., Pringle, M and Krovacek, K. (2007).Occurrence of enterotoxic </w:t>
      </w:r>
      <w:r>
        <w:rPr>
          <w:i/>
        </w:rPr>
        <w:t>S. aureus </w:t>
      </w:r>
      <w:r>
        <w:rPr/>
        <w:t>in raw milk from cattle in Mongolia using RPLA technique.</w:t>
      </w:r>
      <w:r>
        <w:rPr>
          <w:i/>
        </w:rPr>
        <w:t>Journal of Food Protection</w:t>
      </w:r>
      <w:r>
        <w:rPr/>
        <w:t>, 70 (7): 1726- </w:t>
      </w:r>
      <w:r>
        <w:rPr>
          <w:spacing w:val="-2"/>
        </w:rPr>
        <w:t>1729.</w:t>
      </w:r>
    </w:p>
    <w:p>
      <w:pPr>
        <w:spacing w:line="276" w:lineRule="auto" w:before="240"/>
        <w:ind w:left="1640" w:right="1176" w:hanging="720"/>
        <w:jc w:val="both"/>
        <w:rPr>
          <w:sz w:val="22"/>
        </w:rPr>
      </w:pPr>
      <w:r>
        <w:rPr>
          <w:sz w:val="22"/>
        </w:rPr>
        <w:t>Tzelepi, E., Arvanitidou, M., Mavroidi, A and Tsakris, A. (1999).Antibiotic susceptibilities of </w:t>
      </w:r>
      <w:r>
        <w:rPr>
          <w:i/>
          <w:sz w:val="22"/>
        </w:rPr>
        <w:t>Yersinia enterocolitica </w:t>
      </w:r>
      <w:r>
        <w:rPr>
          <w:sz w:val="22"/>
        </w:rPr>
        <w:t>and </w:t>
      </w:r>
      <w:r>
        <w:rPr>
          <w:i/>
          <w:sz w:val="22"/>
        </w:rPr>
        <w:t>Y. intermedia </w:t>
      </w:r>
      <w:r>
        <w:rPr>
          <w:sz w:val="22"/>
        </w:rPr>
        <w:t>isolates from aquatic environments.</w:t>
      </w:r>
      <w:r>
        <w:rPr>
          <w:i/>
          <w:sz w:val="22"/>
        </w:rPr>
        <w:t>Journal of Medical Microbiology</w:t>
      </w:r>
      <w:r>
        <w:rPr>
          <w:sz w:val="22"/>
        </w:rPr>
        <w:t>, 48: 157–160.</w:t>
      </w:r>
    </w:p>
    <w:p>
      <w:pPr>
        <w:pStyle w:val="BodyText"/>
        <w:spacing w:line="273" w:lineRule="auto" w:before="245"/>
        <w:ind w:left="1640" w:right="1177" w:hanging="720"/>
        <w:jc w:val="both"/>
      </w:pPr>
      <w:r>
        <w:rPr/>
        <w:t>Umoh, V.T., Adesiyun, A.A and Gomwalk, N.E. (1990). Antibiograms of staphylococcal strains isolated from milk and milk products. </w:t>
      </w:r>
      <w:r>
        <w:rPr>
          <w:i/>
        </w:rPr>
        <w:t>Journal of Veterinary Medicine, 37</w:t>
      </w:r>
      <w:r>
        <w:rPr/>
        <w:t>: 701–706.</w:t>
      </w:r>
    </w:p>
    <w:p>
      <w:pPr>
        <w:pStyle w:val="BodyText"/>
        <w:spacing w:line="276" w:lineRule="auto" w:before="242"/>
        <w:ind w:left="1640" w:right="1179" w:hanging="720"/>
        <w:jc w:val="both"/>
      </w:pPr>
      <w:r>
        <w:rPr/>
        <w:t>Ungemach, F. R., Mueller-Bahrdt, D and Abraham, G. (2006).Guidelines for prudent use antimicrobials and their implications on antimicrobial usage in veterinary medicine.</w:t>
      </w:r>
      <w:r>
        <w:rPr>
          <w:i/>
        </w:rPr>
        <w:t>International Journal of Medical Microbiology</w:t>
      </w:r>
      <w:r>
        <w:rPr/>
        <w:t>, 296(S2): 33-38.</w:t>
      </w:r>
    </w:p>
    <w:p>
      <w:pPr>
        <w:pStyle w:val="BodyText"/>
        <w:spacing w:before="240"/>
        <w:ind w:left="920"/>
      </w:pPr>
      <w:r>
        <w:rPr/>
        <w:t>Utermann,</w:t>
      </w:r>
      <w:r>
        <w:rPr>
          <w:spacing w:val="-7"/>
        </w:rPr>
        <w:t> </w:t>
      </w:r>
      <w:r>
        <w:rPr/>
        <w:t>F.</w:t>
      </w:r>
      <w:r>
        <w:rPr>
          <w:spacing w:val="-3"/>
        </w:rPr>
        <w:t> </w:t>
      </w:r>
      <w:r>
        <w:rPr/>
        <w:t>(1998).</w:t>
      </w:r>
      <w:r>
        <w:rPr>
          <w:spacing w:val="-3"/>
        </w:rPr>
        <w:t> </w:t>
      </w:r>
      <w:r>
        <w:rPr/>
        <w:t>Microbial</w:t>
      </w:r>
      <w:r>
        <w:rPr>
          <w:spacing w:val="-3"/>
        </w:rPr>
        <w:t> </w:t>
      </w:r>
      <w:r>
        <w:rPr/>
        <w:t>hazards</w:t>
      </w:r>
      <w:r>
        <w:rPr>
          <w:spacing w:val="-5"/>
        </w:rPr>
        <w:t> </w:t>
      </w:r>
      <w:r>
        <w:rPr/>
        <w:t>of</w:t>
      </w:r>
      <w:r>
        <w:rPr>
          <w:spacing w:val="-5"/>
        </w:rPr>
        <w:t> </w:t>
      </w:r>
      <w:r>
        <w:rPr/>
        <w:t>food.</w:t>
      </w:r>
      <w:r>
        <w:rPr>
          <w:spacing w:val="-3"/>
        </w:rPr>
        <w:t> </w:t>
      </w:r>
      <w:r>
        <w:rPr>
          <w:i/>
        </w:rPr>
        <w:t>Food</w:t>
      </w:r>
      <w:r>
        <w:rPr>
          <w:i/>
          <w:spacing w:val="-3"/>
        </w:rPr>
        <w:t> </w:t>
      </w:r>
      <w:r>
        <w:rPr>
          <w:i/>
        </w:rPr>
        <w:t>Control</w:t>
      </w:r>
      <w:r>
        <w:rPr/>
        <w:t>,</w:t>
      </w:r>
      <w:r>
        <w:rPr>
          <w:spacing w:val="-7"/>
        </w:rPr>
        <w:t> </w:t>
      </w:r>
      <w:r>
        <w:rPr/>
        <w:t>9:</w:t>
      </w:r>
      <w:r>
        <w:rPr>
          <w:spacing w:val="-5"/>
        </w:rPr>
        <w:t> </w:t>
      </w:r>
      <w:r>
        <w:rPr/>
        <w:t>119-</w:t>
      </w:r>
      <w:r>
        <w:rPr>
          <w:spacing w:val="-4"/>
        </w:rPr>
        <w:t>126.</w:t>
      </w:r>
    </w:p>
    <w:p>
      <w:pPr>
        <w:pStyle w:val="BodyText"/>
      </w:pPr>
    </w:p>
    <w:p>
      <w:pPr>
        <w:pStyle w:val="BodyText"/>
        <w:spacing w:before="216"/>
      </w:pPr>
    </w:p>
    <w:p>
      <w:pPr>
        <w:pStyle w:val="BodyText"/>
        <w:spacing w:line="273" w:lineRule="auto"/>
        <w:ind w:left="2974" w:right="1181" w:hanging="2093"/>
      </w:pPr>
      <w:r>
        <w:rPr/>
        <w:t>Uzeh,</w:t>
      </w:r>
      <w:r>
        <w:rPr>
          <w:spacing w:val="-6"/>
        </w:rPr>
        <w:t> </w:t>
      </w:r>
      <w:r>
        <w:rPr/>
        <w:t>R.E.,</w:t>
      </w:r>
      <w:r>
        <w:rPr>
          <w:spacing w:val="-6"/>
        </w:rPr>
        <w:t> </w:t>
      </w:r>
      <w:r>
        <w:rPr/>
        <w:t>Regina</w:t>
      </w:r>
      <w:r>
        <w:rPr>
          <w:spacing w:val="-4"/>
        </w:rPr>
        <w:t> </w:t>
      </w:r>
      <w:r>
        <w:rPr/>
        <w:t>E.</w:t>
      </w:r>
      <w:r>
        <w:rPr>
          <w:spacing w:val="-2"/>
        </w:rPr>
        <w:t> </w:t>
      </w:r>
      <w:r>
        <w:rPr/>
        <w:t>Ohenhen,R.</w:t>
      </w:r>
      <w:r>
        <w:rPr>
          <w:spacing w:val="-2"/>
        </w:rPr>
        <w:t> </w:t>
      </w:r>
      <w:r>
        <w:rPr/>
        <w:t>E</w:t>
      </w:r>
      <w:r>
        <w:rPr>
          <w:spacing w:val="-6"/>
        </w:rPr>
        <w:t> </w:t>
      </w:r>
      <w:r>
        <w:rPr/>
        <w:t>and Rojugbokan,</w:t>
      </w:r>
      <w:r>
        <w:rPr>
          <w:spacing w:val="-6"/>
        </w:rPr>
        <w:t> </w:t>
      </w:r>
      <w:r>
        <w:rPr/>
        <w:t>A.K.(2006).</w:t>
      </w:r>
      <w:r>
        <w:rPr>
          <w:spacing w:val="-2"/>
        </w:rPr>
        <w:t> </w:t>
      </w:r>
      <w:r>
        <w:rPr/>
        <w:t>Microbiological</w:t>
      </w:r>
      <w:r>
        <w:rPr>
          <w:spacing w:val="-2"/>
        </w:rPr>
        <w:t> </w:t>
      </w:r>
      <w:r>
        <w:rPr/>
        <w:t>and</w:t>
      </w:r>
      <w:r>
        <w:rPr>
          <w:spacing w:val="-5"/>
        </w:rPr>
        <w:t> </w:t>
      </w:r>
      <w:r>
        <w:rPr/>
        <w:t>Nutritional</w:t>
      </w:r>
      <w:r>
        <w:rPr>
          <w:spacing w:val="-2"/>
        </w:rPr>
        <w:t> </w:t>
      </w:r>
      <w:r>
        <w:rPr/>
        <w:t>Qualities of Dairy Products: Nono and Wara. </w:t>
      </w:r>
      <w:r>
        <w:rPr>
          <w:i/>
        </w:rPr>
        <w:t>Nature and Science</w:t>
      </w:r>
      <w:r>
        <w:rPr/>
        <w:t>, 4(3): 37-40</w:t>
      </w:r>
    </w:p>
    <w:p>
      <w:pPr>
        <w:spacing w:after="0" w:line="273" w:lineRule="auto"/>
        <w:sectPr>
          <w:pgSz w:w="12240" w:h="15840"/>
          <w:pgMar w:header="0" w:footer="1017" w:top="1400" w:bottom="1200" w:left="520" w:right="260"/>
        </w:sectPr>
      </w:pPr>
    </w:p>
    <w:p>
      <w:pPr>
        <w:spacing w:line="240" w:lineRule="auto" w:before="72"/>
        <w:ind w:left="1640" w:right="1176" w:hanging="720"/>
        <w:jc w:val="both"/>
        <w:rPr>
          <w:rFonts w:ascii="Times New Roman"/>
          <w:sz w:val="24"/>
        </w:rPr>
      </w:pPr>
      <w:r>
        <w:rPr>
          <w:rFonts w:ascii="Times New Roman"/>
          <w:sz w:val="24"/>
        </w:rPr>
        <w:t>Valbuena, E., Castro, G., Lima, K., Acosta,W., Brinez, W and Tovar, A. (2004). Bacteriological quality</w:t>
      </w:r>
      <w:r>
        <w:rPr>
          <w:rFonts w:ascii="Times New Roman"/>
          <w:spacing w:val="-7"/>
          <w:sz w:val="24"/>
        </w:rPr>
        <w:t> </w:t>
      </w:r>
      <w:r>
        <w:rPr>
          <w:rFonts w:ascii="Times New Roman"/>
          <w:sz w:val="24"/>
        </w:rPr>
        <w:t>of</w:t>
      </w:r>
      <w:r>
        <w:rPr>
          <w:rFonts w:ascii="Times New Roman"/>
          <w:spacing w:val="-6"/>
          <w:sz w:val="24"/>
        </w:rPr>
        <w:t> </w:t>
      </w:r>
      <w:r>
        <w:rPr>
          <w:rFonts w:ascii="Times New Roman"/>
          <w:sz w:val="24"/>
        </w:rPr>
        <w:t>main</w:t>
      </w:r>
      <w:r>
        <w:rPr>
          <w:rFonts w:ascii="Times New Roman"/>
          <w:spacing w:val="-3"/>
          <w:sz w:val="24"/>
        </w:rPr>
        <w:t> </w:t>
      </w:r>
      <w:r>
        <w:rPr>
          <w:rFonts w:ascii="Times New Roman"/>
          <w:sz w:val="24"/>
        </w:rPr>
        <w:t>pasteurized milk brands</w:t>
      </w:r>
      <w:r>
        <w:rPr>
          <w:rFonts w:ascii="Times New Roman"/>
          <w:spacing w:val="-5"/>
          <w:sz w:val="24"/>
        </w:rPr>
        <w:t> </w:t>
      </w:r>
      <w:r>
        <w:rPr>
          <w:rFonts w:ascii="Times New Roman"/>
          <w:sz w:val="24"/>
        </w:rPr>
        <w:t>distributed in</w:t>
      </w:r>
      <w:r>
        <w:rPr>
          <w:rFonts w:ascii="Times New Roman"/>
          <w:spacing w:val="-3"/>
          <w:sz w:val="24"/>
        </w:rPr>
        <w:t> </w:t>
      </w:r>
      <w:r>
        <w:rPr>
          <w:rFonts w:ascii="Times New Roman"/>
          <w:sz w:val="24"/>
        </w:rPr>
        <w:t>Maracaibo City,Venezuela. </w:t>
      </w:r>
      <w:r>
        <w:rPr>
          <w:rFonts w:ascii="Times New Roman"/>
          <w:i/>
          <w:sz w:val="24"/>
        </w:rPr>
        <w:t>Revista Cientifica, Facultad de CienciasVeterinarias Universidad del Zulia</w:t>
      </w:r>
      <w:r>
        <w:rPr>
          <w:rFonts w:ascii="Times New Roman"/>
          <w:sz w:val="24"/>
        </w:rPr>
        <w:t>, 14: 59 -67.</w:t>
      </w:r>
    </w:p>
    <w:p>
      <w:pPr>
        <w:spacing w:line="276" w:lineRule="auto" w:before="247"/>
        <w:ind w:left="1640" w:right="1176" w:hanging="720"/>
        <w:jc w:val="both"/>
        <w:rPr>
          <w:sz w:val="22"/>
        </w:rPr>
      </w:pPr>
      <w:r>
        <w:rPr>
          <w:sz w:val="22"/>
        </w:rPr>
        <w:t>Van Acker, J., De Smet, F., Muyldermans, G., Bougatef, A., Naessens, A and Lauwers, S. (2001). Outbreak of necrotizing entercolitis associated with </w:t>
      </w:r>
      <w:r>
        <w:rPr>
          <w:i/>
          <w:sz w:val="22"/>
        </w:rPr>
        <w:t>Enterobacter sakazakii </w:t>
      </w:r>
      <w:r>
        <w:rPr>
          <w:sz w:val="22"/>
        </w:rPr>
        <w:t>in powdered milk formula. </w:t>
      </w:r>
      <w:r>
        <w:rPr>
          <w:i/>
          <w:sz w:val="22"/>
        </w:rPr>
        <w:t>Journal of Clinical Microbiology, 39</w:t>
      </w:r>
      <w:r>
        <w:rPr>
          <w:sz w:val="22"/>
        </w:rPr>
        <w:t>: 293–297.</w:t>
      </w:r>
    </w:p>
    <w:p>
      <w:pPr>
        <w:spacing w:line="278" w:lineRule="auto" w:before="240"/>
        <w:ind w:left="1640" w:right="1179" w:hanging="720"/>
        <w:jc w:val="both"/>
        <w:rPr>
          <w:sz w:val="22"/>
        </w:rPr>
      </w:pPr>
      <w:r>
        <w:rPr>
          <w:sz w:val="22"/>
        </w:rPr>
        <w:t>Van den Bogaard, A. E and Stobberingh, E.E. (2000).Epidemiology of resistance to antibiotics.Links between animals and humans. </w:t>
      </w:r>
      <w:r>
        <w:rPr>
          <w:i/>
          <w:sz w:val="22"/>
        </w:rPr>
        <w:t>International Journal of Antimicrobial Agents</w:t>
      </w:r>
      <w:r>
        <w:rPr>
          <w:sz w:val="22"/>
        </w:rPr>
        <w:t>, 14: 327-335.</w:t>
      </w:r>
    </w:p>
    <w:p>
      <w:pPr>
        <w:spacing w:line="276" w:lineRule="auto" w:before="236"/>
        <w:ind w:left="1640" w:right="1175" w:hanging="720"/>
        <w:jc w:val="both"/>
        <w:rPr>
          <w:sz w:val="22"/>
        </w:rPr>
      </w:pPr>
      <w:r>
        <w:rPr>
          <w:sz w:val="22"/>
        </w:rPr>
        <w:t>Van Kessel, J.S., Karns, S., Gorski, L., McCluskey, B.J and Perduc, M.L (2003). Prevalence of </w:t>
      </w:r>
      <w:r>
        <w:rPr>
          <w:i/>
          <w:sz w:val="22"/>
        </w:rPr>
        <w:t>Salmonellae</w:t>
      </w:r>
      <w:r>
        <w:rPr>
          <w:sz w:val="22"/>
        </w:rPr>
        <w:t>, </w:t>
      </w:r>
      <w:r>
        <w:rPr>
          <w:i/>
          <w:sz w:val="22"/>
        </w:rPr>
        <w:t>Listeria monocyrogenes </w:t>
      </w:r>
      <w:r>
        <w:rPr>
          <w:sz w:val="22"/>
        </w:rPr>
        <w:t>and feacal coliforms in bulk tank milk on U.S. dairies. </w:t>
      </w:r>
      <w:r>
        <w:rPr>
          <w:i/>
          <w:sz w:val="22"/>
        </w:rPr>
        <w:t>Journal of Dairy Science</w:t>
      </w:r>
      <w:r>
        <w:rPr>
          <w:sz w:val="22"/>
        </w:rPr>
        <w:t>. 87: 2822-2830.</w:t>
      </w:r>
    </w:p>
    <w:p>
      <w:pPr>
        <w:spacing w:line="278" w:lineRule="auto" w:before="240"/>
        <w:ind w:left="1640" w:right="1172" w:hanging="720"/>
        <w:jc w:val="both"/>
        <w:rPr>
          <w:sz w:val="22"/>
        </w:rPr>
      </w:pPr>
      <w:r>
        <w:rPr>
          <w:sz w:val="22"/>
        </w:rPr>
        <w:t>Varnam, A. H and Sutherland, J.P. (1994).</w:t>
      </w:r>
      <w:r>
        <w:rPr>
          <w:i/>
          <w:sz w:val="22"/>
        </w:rPr>
        <w:t>Milk and milk products</w:t>
      </w:r>
      <w:r>
        <w:rPr>
          <w:sz w:val="22"/>
        </w:rPr>
        <w:t>.Technology, Chemistry, and Microbiology, </w:t>
      </w:r>
      <w:r>
        <w:rPr>
          <w:i/>
          <w:sz w:val="22"/>
        </w:rPr>
        <w:t>Chapman and Hall</w:t>
      </w:r>
      <w:r>
        <w:rPr>
          <w:sz w:val="22"/>
        </w:rPr>
        <w:t>, UK, PP. 78-83, 340-360.</w:t>
      </w:r>
    </w:p>
    <w:p>
      <w:pPr>
        <w:pStyle w:val="BodyText"/>
      </w:pPr>
    </w:p>
    <w:p>
      <w:pPr>
        <w:pStyle w:val="BodyText"/>
        <w:spacing w:before="169"/>
      </w:pPr>
    </w:p>
    <w:p>
      <w:pPr>
        <w:spacing w:line="273" w:lineRule="auto" w:before="0"/>
        <w:ind w:left="1640" w:right="1175" w:hanging="720"/>
        <w:jc w:val="both"/>
        <w:rPr>
          <w:sz w:val="22"/>
        </w:rPr>
      </w:pPr>
      <w:r>
        <w:rPr>
          <w:sz w:val="22"/>
        </w:rPr>
        <w:t>Vesa, T. H., Marteau, P and Korpela, R. (2000).Lactose intolerance.</w:t>
      </w:r>
      <w:r>
        <w:rPr>
          <w:i/>
          <w:sz w:val="22"/>
        </w:rPr>
        <w:t>Journal of the American College of Nutrition</w:t>
      </w:r>
      <w:r>
        <w:rPr>
          <w:sz w:val="22"/>
        </w:rPr>
        <w:t>, 19:165S–175S.</w:t>
      </w:r>
    </w:p>
    <w:p>
      <w:pPr>
        <w:spacing w:line="278" w:lineRule="auto" w:before="243"/>
        <w:ind w:left="1640" w:right="1182" w:hanging="720"/>
        <w:jc w:val="both"/>
        <w:rPr>
          <w:sz w:val="22"/>
        </w:rPr>
      </w:pPr>
      <w:r>
        <w:rPr>
          <w:sz w:val="22"/>
        </w:rPr>
        <w:t>Vogelstein, B and Gillespie, D. (1979).Preparation and analytical purification of DNA from agarose.</w:t>
      </w:r>
      <w:r>
        <w:rPr>
          <w:i/>
          <w:sz w:val="22"/>
        </w:rPr>
        <w:t>Proceedings of the National Academy Sciences </w:t>
      </w:r>
      <w:r>
        <w:rPr>
          <w:sz w:val="22"/>
        </w:rPr>
        <w:t>USA, 76: 615-619.</w:t>
      </w:r>
    </w:p>
    <w:p>
      <w:pPr>
        <w:pStyle w:val="BodyText"/>
        <w:spacing w:line="273" w:lineRule="auto" w:before="236"/>
        <w:ind w:left="1640" w:right="1176" w:hanging="720"/>
        <w:jc w:val="both"/>
      </w:pPr>
      <w:r>
        <w:rPr/>
        <w:t>Volk, W.A and Wheeler, M.F. (1980).</w:t>
      </w:r>
      <w:r>
        <w:rPr>
          <w:i/>
        </w:rPr>
        <w:t>Basic Microbiology</w:t>
      </w:r>
      <w:r>
        <w:rPr/>
        <w:t>, 4th edition. United States of America, Philadelphia. PP. 266-269.</w:t>
      </w:r>
    </w:p>
    <w:p>
      <w:pPr>
        <w:spacing w:line="278" w:lineRule="auto" w:before="242"/>
        <w:ind w:left="1640" w:right="1178" w:hanging="720"/>
        <w:jc w:val="both"/>
        <w:rPr>
          <w:sz w:val="22"/>
        </w:rPr>
      </w:pPr>
      <w:r>
        <w:rPr>
          <w:sz w:val="22"/>
        </w:rPr>
        <w:t>Von Baum, H and Marre, R. (2005). Antimicrobial resistance of Escherichia coli and therapeutic implications. </w:t>
      </w:r>
      <w:r>
        <w:rPr>
          <w:i/>
          <w:sz w:val="22"/>
        </w:rPr>
        <w:t>International journal of Medical Microbiology, </w:t>
      </w:r>
      <w:r>
        <w:rPr>
          <w:sz w:val="22"/>
        </w:rPr>
        <w:t>295: 503-511</w:t>
      </w:r>
    </w:p>
    <w:p>
      <w:pPr>
        <w:spacing w:line="276" w:lineRule="auto" w:before="236"/>
        <w:ind w:left="1640" w:right="1178" w:hanging="720"/>
        <w:jc w:val="both"/>
        <w:rPr>
          <w:sz w:val="22"/>
        </w:rPr>
      </w:pPr>
      <w:r>
        <w:rPr>
          <w:sz w:val="22"/>
        </w:rPr>
        <w:t>Walsh, C.G., Duffy, J.J., Sheridan, S., Fanning, I. S and Mcdowell, D.A. (2005).Thermal resistance of antibiotic-resistant and antibiotic-sensitive </w:t>
      </w:r>
      <w:r>
        <w:rPr>
          <w:i/>
          <w:sz w:val="22"/>
        </w:rPr>
        <w:t>Salmonella specie </w:t>
      </w:r>
      <w:r>
        <w:rPr>
          <w:sz w:val="22"/>
        </w:rPr>
        <w:t>on chicken meat</w:t>
      </w:r>
      <w:r>
        <w:rPr>
          <w:i/>
          <w:sz w:val="22"/>
        </w:rPr>
        <w:t>. Journal of Food Safety, </w:t>
      </w:r>
      <w:r>
        <w:rPr>
          <w:sz w:val="22"/>
        </w:rPr>
        <w:t>25: 288-302.</w:t>
      </w:r>
    </w:p>
    <w:p>
      <w:pPr>
        <w:pStyle w:val="BodyText"/>
        <w:spacing w:line="278" w:lineRule="auto" w:before="240"/>
        <w:ind w:left="1640" w:right="1180" w:hanging="720"/>
        <w:jc w:val="both"/>
      </w:pPr>
      <w:r>
        <w:rPr/>
        <w:t>Warner, J.N. (1975). Principles of Dairy Processing.Wiley Eastern Limited New Delhi Bang Lore Bombay Caculata, India. PP. 221-317.</w:t>
      </w:r>
    </w:p>
    <w:p>
      <w:pPr>
        <w:spacing w:line="273" w:lineRule="auto" w:before="236"/>
        <w:ind w:left="1640" w:right="1175" w:hanging="720"/>
        <w:jc w:val="both"/>
        <w:rPr>
          <w:sz w:val="22"/>
        </w:rPr>
      </w:pPr>
      <w:r>
        <w:rPr>
          <w:sz w:val="22"/>
        </w:rPr>
        <w:t>Wassenaar, T. (2005).Use of antimicrobial agents in veterinary medicine and implications for human health.</w:t>
      </w:r>
      <w:r>
        <w:rPr>
          <w:i/>
          <w:sz w:val="22"/>
        </w:rPr>
        <w:t>Critical Reviews in Microbiology</w:t>
      </w:r>
      <w:r>
        <w:rPr>
          <w:sz w:val="22"/>
        </w:rPr>
        <w:t>, 31: 1555-169.</w:t>
      </w:r>
    </w:p>
    <w:p>
      <w:pPr>
        <w:pStyle w:val="BodyText"/>
        <w:spacing w:line="278" w:lineRule="auto" w:before="242"/>
        <w:ind w:left="1640" w:right="1178" w:hanging="720"/>
        <w:jc w:val="both"/>
      </w:pPr>
      <w:r>
        <w:rPr/>
        <w:t>Waterspiel, J., Ashkenazi, S., Morrow, A and Cleary, T.G. (1992). Effect of sub-inhibitory concentrations</w:t>
      </w:r>
      <w:r>
        <w:rPr>
          <w:spacing w:val="40"/>
        </w:rPr>
        <w:t> </w:t>
      </w:r>
      <w:r>
        <w:rPr/>
        <w:t>of antibiotics on extracellular Shiga-like toxin 1 </w:t>
      </w:r>
      <w:r>
        <w:rPr>
          <w:i/>
        </w:rPr>
        <w:t>Infection</w:t>
      </w:r>
      <w:r>
        <w:rPr/>
        <w:t>, 20: 25-29.</w:t>
      </w:r>
    </w:p>
    <w:p>
      <w:pPr>
        <w:spacing w:after="0" w:line="278" w:lineRule="auto"/>
        <w:jc w:val="both"/>
        <w:sectPr>
          <w:pgSz w:w="12240" w:h="15840"/>
          <w:pgMar w:header="0" w:footer="1017" w:top="1360" w:bottom="1200" w:left="520" w:right="260"/>
        </w:sectPr>
      </w:pPr>
    </w:p>
    <w:p>
      <w:pPr>
        <w:spacing w:line="273" w:lineRule="auto" w:before="41"/>
        <w:ind w:left="1640" w:right="1181" w:hanging="720"/>
        <w:jc w:val="both"/>
        <w:rPr>
          <w:sz w:val="22"/>
        </w:rPr>
      </w:pPr>
      <w:r>
        <w:rPr>
          <w:sz w:val="22"/>
        </w:rPr>
        <w:t>Webber, M and Piddock, L.J.V. (2001).Quinolone resistance in </w:t>
      </w:r>
      <w:r>
        <w:rPr>
          <w:i/>
          <w:sz w:val="22"/>
        </w:rPr>
        <w:t>Escherichia coli.Veterinary Research</w:t>
      </w:r>
      <w:r>
        <w:rPr>
          <w:sz w:val="22"/>
        </w:rPr>
        <w:t>, 32: </w:t>
      </w:r>
      <w:r>
        <w:rPr>
          <w:spacing w:val="-2"/>
          <w:sz w:val="22"/>
        </w:rPr>
        <w:t>275-284.</w:t>
      </w:r>
    </w:p>
    <w:p>
      <w:pPr>
        <w:pStyle w:val="BodyText"/>
        <w:tabs>
          <w:tab w:pos="1874" w:val="left" w:leader="none"/>
          <w:tab w:pos="2320" w:val="left" w:leader="none"/>
          <w:tab w:pos="3202" w:val="left" w:leader="none"/>
          <w:tab w:pos="4028" w:val="left" w:leader="none"/>
          <w:tab w:pos="4819" w:val="left" w:leader="none"/>
          <w:tab w:pos="5299" w:val="left" w:leader="none"/>
          <w:tab w:pos="5856" w:val="left" w:leader="none"/>
          <w:tab w:pos="6288" w:val="left" w:leader="none"/>
          <w:tab w:pos="6878" w:val="left" w:leader="none"/>
          <w:tab w:pos="7502" w:val="left" w:leader="none"/>
          <w:tab w:pos="8978" w:val="left" w:leader="none"/>
          <w:tab w:pos="10043" w:val="left" w:leader="none"/>
        </w:tabs>
        <w:spacing w:before="243"/>
        <w:ind w:left="920"/>
      </w:pPr>
      <w:r>
        <w:rPr>
          <w:spacing w:val="-2"/>
        </w:rPr>
        <w:t>Wesley,</w:t>
      </w:r>
      <w:r>
        <w:rPr/>
        <w:tab/>
      </w:r>
      <w:r>
        <w:rPr>
          <w:spacing w:val="-5"/>
        </w:rPr>
        <w:t>N.</w:t>
      </w:r>
      <w:r>
        <w:rPr/>
        <w:tab/>
      </w:r>
      <w:r>
        <w:rPr>
          <w:spacing w:val="-2"/>
        </w:rPr>
        <w:t>(2012).</w:t>
      </w:r>
      <w:r>
        <w:rPr/>
        <w:tab/>
      </w:r>
      <w:r>
        <w:rPr>
          <w:spacing w:val="-2"/>
        </w:rPr>
        <w:t>Expert</w:t>
      </w:r>
      <w:r>
        <w:rPr/>
        <w:tab/>
      </w:r>
      <w:r>
        <w:rPr>
          <w:spacing w:val="-2"/>
        </w:rPr>
        <w:t>warns</w:t>
      </w:r>
      <w:r>
        <w:rPr/>
        <w:tab/>
      </w:r>
      <w:r>
        <w:rPr>
          <w:spacing w:val="-5"/>
        </w:rPr>
        <w:t>on</w:t>
      </w:r>
      <w:r>
        <w:rPr/>
        <w:tab/>
      </w:r>
      <w:r>
        <w:rPr>
          <w:spacing w:val="-4"/>
        </w:rPr>
        <w:t>risk</w:t>
      </w:r>
      <w:r>
        <w:rPr/>
        <w:tab/>
      </w:r>
      <w:r>
        <w:rPr>
          <w:spacing w:val="-5"/>
        </w:rPr>
        <w:t>of</w:t>
      </w:r>
      <w:r>
        <w:rPr/>
        <w:tab/>
      </w:r>
      <w:r>
        <w:rPr>
          <w:spacing w:val="-5"/>
        </w:rPr>
        <w:t>raw</w:t>
      </w:r>
      <w:r>
        <w:rPr/>
        <w:tab/>
      </w:r>
      <w:r>
        <w:rPr>
          <w:spacing w:val="-4"/>
        </w:rPr>
        <w:t>milk</w:t>
      </w:r>
      <w:r>
        <w:rPr/>
        <w:tab/>
      </w:r>
      <w:r>
        <w:rPr>
          <w:spacing w:val="-2"/>
        </w:rPr>
        <w:t>consumption.</w:t>
      </w:r>
      <w:r>
        <w:rPr/>
        <w:tab/>
      </w:r>
      <w:r>
        <w:rPr>
          <w:spacing w:val="-2"/>
        </w:rPr>
        <w:t>Available</w:t>
      </w:r>
      <w:r>
        <w:rPr/>
        <w:tab/>
      </w:r>
      <w:r>
        <w:rPr>
          <w:spacing w:val="-5"/>
        </w:rPr>
        <w:t>at:</w:t>
      </w:r>
    </w:p>
    <w:p>
      <w:pPr>
        <w:spacing w:before="43"/>
        <w:ind w:left="1640" w:right="0" w:firstLine="0"/>
        <w:jc w:val="left"/>
        <w:rPr>
          <w:i/>
          <w:sz w:val="22"/>
        </w:rPr>
      </w:pPr>
      <w:hyperlink r:id="rId24">
        <w:r>
          <w:rPr>
            <w:i/>
            <w:spacing w:val="-2"/>
            <w:sz w:val="22"/>
          </w:rPr>
          <w:t>http://www.ionigeria.com.</w:t>
        </w:r>
      </w:hyperlink>
    </w:p>
    <w:p>
      <w:pPr>
        <w:pStyle w:val="BodyText"/>
        <w:spacing w:before="10"/>
        <w:rPr>
          <w:i/>
        </w:rPr>
      </w:pPr>
    </w:p>
    <w:p>
      <w:pPr>
        <w:pStyle w:val="BodyText"/>
        <w:spacing w:line="278" w:lineRule="auto"/>
        <w:ind w:left="1640" w:right="1179" w:hanging="720"/>
        <w:jc w:val="both"/>
      </w:pPr>
      <w:r>
        <w:rPr/>
        <w:t>White, D.G., Zhao, S., Simjee, S., Wagner, D. D and McDermott, P.F. (2002). Antimicrobial resistance of food borne pathogens.</w:t>
      </w:r>
      <w:r>
        <w:rPr>
          <w:i/>
        </w:rPr>
        <w:t>Microbes and infection</w:t>
      </w:r>
      <w:r>
        <w:rPr/>
        <w:t>, 4: 405-412.</w:t>
      </w:r>
    </w:p>
    <w:p>
      <w:pPr>
        <w:pStyle w:val="BodyText"/>
        <w:spacing w:before="236"/>
        <w:ind w:left="920"/>
      </w:pPr>
      <w:r>
        <w:rPr/>
        <w:t>Wiegand,</w:t>
      </w:r>
      <w:r>
        <w:rPr>
          <w:spacing w:val="9"/>
        </w:rPr>
        <w:t> </w:t>
      </w:r>
      <w:r>
        <w:rPr/>
        <w:t>I.</w:t>
      </w:r>
      <w:r>
        <w:rPr>
          <w:spacing w:val="16"/>
        </w:rPr>
        <w:t> </w:t>
      </w:r>
      <w:r>
        <w:rPr/>
        <w:t>(2003).</w:t>
      </w:r>
      <w:r>
        <w:rPr>
          <w:spacing w:val="21"/>
        </w:rPr>
        <w:t> </w:t>
      </w:r>
      <w:r>
        <w:rPr/>
        <w:t>Molecular</w:t>
      </w:r>
      <w:r>
        <w:rPr>
          <w:spacing w:val="13"/>
        </w:rPr>
        <w:t> </w:t>
      </w:r>
      <w:r>
        <w:rPr/>
        <w:t>and</w:t>
      </w:r>
      <w:r>
        <w:rPr>
          <w:spacing w:val="18"/>
        </w:rPr>
        <w:t> </w:t>
      </w:r>
      <w:r>
        <w:rPr/>
        <w:t>biochemical</w:t>
      </w:r>
      <w:r>
        <w:rPr>
          <w:spacing w:val="18"/>
        </w:rPr>
        <w:t> </w:t>
      </w:r>
      <w:r>
        <w:rPr/>
        <w:t>elements</w:t>
      </w:r>
      <w:r>
        <w:rPr>
          <w:spacing w:val="18"/>
        </w:rPr>
        <w:t> </w:t>
      </w:r>
      <w:r>
        <w:rPr/>
        <w:t>of</w:t>
      </w:r>
      <w:r>
        <w:rPr>
          <w:spacing w:val="19"/>
        </w:rPr>
        <w:t> </w:t>
      </w:r>
      <w:r>
        <w:rPr/>
        <w:t>beta</w:t>
      </w:r>
      <w:r>
        <w:rPr>
          <w:spacing w:val="18"/>
        </w:rPr>
        <w:t> </w:t>
      </w:r>
      <w:r>
        <w:rPr/>
        <w:t>lactam</w:t>
      </w:r>
      <w:r>
        <w:rPr>
          <w:spacing w:val="20"/>
        </w:rPr>
        <w:t> </w:t>
      </w:r>
      <w:r>
        <w:rPr/>
        <w:t>resistance</w:t>
      </w:r>
      <w:r>
        <w:rPr>
          <w:spacing w:val="18"/>
        </w:rPr>
        <w:t> </w:t>
      </w:r>
      <w:r>
        <w:rPr/>
        <w:t>by</w:t>
      </w:r>
      <w:r>
        <w:rPr>
          <w:spacing w:val="15"/>
        </w:rPr>
        <w:t> </w:t>
      </w:r>
      <w:r>
        <w:rPr/>
        <w:t>beta</w:t>
      </w:r>
      <w:r>
        <w:rPr>
          <w:spacing w:val="19"/>
        </w:rPr>
        <w:t> </w:t>
      </w:r>
      <w:r>
        <w:rPr>
          <w:spacing w:val="-2"/>
        </w:rPr>
        <w:t>lactamases</w:t>
      </w:r>
    </w:p>
    <w:p>
      <w:pPr>
        <w:spacing w:before="39"/>
        <w:ind w:left="1640" w:right="0" w:firstLine="0"/>
        <w:jc w:val="left"/>
        <w:rPr>
          <w:sz w:val="22"/>
        </w:rPr>
      </w:pPr>
      <w:r>
        <w:rPr>
          <w:i/>
          <w:sz w:val="22"/>
        </w:rPr>
        <w:t>Chemotherapy</w:t>
      </w:r>
      <w:r>
        <w:rPr>
          <w:i/>
          <w:spacing w:val="-12"/>
          <w:sz w:val="22"/>
        </w:rPr>
        <w:t> </w:t>
      </w:r>
      <w:r>
        <w:rPr>
          <w:i/>
          <w:sz w:val="22"/>
        </w:rPr>
        <w:t>Journal</w:t>
      </w:r>
      <w:r>
        <w:rPr>
          <w:sz w:val="22"/>
        </w:rPr>
        <w:t>,</w:t>
      </w:r>
      <w:r>
        <w:rPr>
          <w:spacing w:val="-12"/>
          <w:sz w:val="22"/>
        </w:rPr>
        <w:t> </w:t>
      </w:r>
      <w:r>
        <w:rPr>
          <w:sz w:val="22"/>
        </w:rPr>
        <w:t>12:151-</w:t>
      </w:r>
      <w:r>
        <w:rPr>
          <w:spacing w:val="-4"/>
          <w:sz w:val="22"/>
        </w:rPr>
        <w:t>167.</w:t>
      </w:r>
    </w:p>
    <w:p>
      <w:pPr>
        <w:pStyle w:val="BodyText"/>
        <w:spacing w:before="10"/>
      </w:pPr>
    </w:p>
    <w:p>
      <w:pPr>
        <w:spacing w:before="0"/>
        <w:ind w:left="920" w:right="0" w:firstLine="0"/>
        <w:jc w:val="left"/>
        <w:rPr>
          <w:i/>
          <w:sz w:val="22"/>
        </w:rPr>
      </w:pPr>
      <w:r>
        <w:rPr>
          <w:sz w:val="22"/>
        </w:rPr>
        <w:t>Williams,</w:t>
      </w:r>
      <w:r>
        <w:rPr>
          <w:spacing w:val="-1"/>
          <w:sz w:val="22"/>
        </w:rPr>
        <w:t> </w:t>
      </w:r>
      <w:r>
        <w:rPr>
          <w:sz w:val="22"/>
        </w:rPr>
        <w:t>S.</w:t>
      </w:r>
      <w:r>
        <w:rPr>
          <w:spacing w:val="5"/>
          <w:sz w:val="22"/>
        </w:rPr>
        <w:t> </w:t>
      </w:r>
      <w:r>
        <w:rPr>
          <w:sz w:val="22"/>
        </w:rPr>
        <w:t>(2005). Antimicrobial</w:t>
      </w:r>
      <w:r>
        <w:rPr>
          <w:spacing w:val="6"/>
          <w:sz w:val="22"/>
        </w:rPr>
        <w:t> </w:t>
      </w:r>
      <w:r>
        <w:rPr>
          <w:sz w:val="22"/>
        </w:rPr>
        <w:t>resistance;</w:t>
      </w:r>
      <w:r>
        <w:rPr>
          <w:spacing w:val="2"/>
          <w:sz w:val="22"/>
        </w:rPr>
        <w:t> </w:t>
      </w:r>
      <w:r>
        <w:rPr>
          <w:sz w:val="22"/>
        </w:rPr>
        <w:t>not</w:t>
      </w:r>
      <w:r>
        <w:rPr>
          <w:spacing w:val="2"/>
          <w:sz w:val="22"/>
        </w:rPr>
        <w:t> </w:t>
      </w:r>
      <w:r>
        <w:rPr>
          <w:sz w:val="22"/>
        </w:rPr>
        <w:t>just</w:t>
      </w:r>
      <w:r>
        <w:rPr>
          <w:spacing w:val="2"/>
          <w:sz w:val="22"/>
        </w:rPr>
        <w:t> </w:t>
      </w:r>
      <w:r>
        <w:rPr>
          <w:sz w:val="22"/>
        </w:rPr>
        <w:t>for</w:t>
      </w:r>
      <w:r>
        <w:rPr>
          <w:spacing w:val="4"/>
          <w:sz w:val="22"/>
        </w:rPr>
        <w:t> </w:t>
      </w:r>
      <w:r>
        <w:rPr>
          <w:sz w:val="22"/>
        </w:rPr>
        <w:t>people</w:t>
      </w:r>
      <w:r>
        <w:rPr>
          <w:spacing w:val="4"/>
          <w:sz w:val="22"/>
        </w:rPr>
        <w:t> </w:t>
      </w:r>
      <w:r>
        <w:rPr>
          <w:sz w:val="22"/>
        </w:rPr>
        <w:t>anymore.</w:t>
      </w:r>
      <w:r>
        <w:rPr>
          <w:i/>
          <w:sz w:val="22"/>
        </w:rPr>
        <w:t>Journal</w:t>
      </w:r>
      <w:r>
        <w:rPr>
          <w:i/>
          <w:spacing w:val="1"/>
          <w:sz w:val="22"/>
        </w:rPr>
        <w:t> </w:t>
      </w:r>
      <w:r>
        <w:rPr>
          <w:i/>
          <w:sz w:val="22"/>
        </w:rPr>
        <w:t>of</w:t>
      </w:r>
      <w:r>
        <w:rPr>
          <w:i/>
          <w:spacing w:val="3"/>
          <w:sz w:val="22"/>
        </w:rPr>
        <w:t> </w:t>
      </w:r>
      <w:r>
        <w:rPr>
          <w:i/>
          <w:sz w:val="22"/>
        </w:rPr>
        <w:t>Young</w:t>
      </w:r>
      <w:r>
        <w:rPr>
          <w:i/>
          <w:spacing w:val="6"/>
          <w:sz w:val="22"/>
        </w:rPr>
        <w:t> </w:t>
      </w:r>
      <w:r>
        <w:rPr>
          <w:i/>
          <w:spacing w:val="-2"/>
          <w:sz w:val="22"/>
        </w:rPr>
        <w:t>Investigators</w:t>
      </w:r>
    </w:p>
    <w:p>
      <w:pPr>
        <w:pStyle w:val="BodyText"/>
        <w:spacing w:before="43"/>
        <w:ind w:left="1640"/>
      </w:pPr>
      <w:r>
        <w:rPr/>
        <w:t>6.</w:t>
      </w:r>
      <w:r>
        <w:rPr>
          <w:spacing w:val="-2"/>
        </w:rPr>
        <w:t> </w:t>
      </w:r>
      <w:r>
        <w:rPr/>
        <w:t>Available</w:t>
      </w:r>
      <w:r>
        <w:rPr>
          <w:spacing w:val="-3"/>
        </w:rPr>
        <w:t> </w:t>
      </w:r>
      <w:r>
        <w:rPr/>
        <w:t>at:</w:t>
      </w:r>
      <w:r>
        <w:rPr>
          <w:spacing w:val="-3"/>
        </w:rPr>
        <w:t> </w:t>
      </w:r>
      <w:hyperlink r:id="rId25">
        <w:r>
          <w:rPr>
            <w:spacing w:val="-2"/>
          </w:rPr>
          <w:t>http://www.jyi.org/features/ft.php?id=524.</w:t>
        </w:r>
      </w:hyperlink>
    </w:p>
    <w:p>
      <w:pPr>
        <w:pStyle w:val="BodyText"/>
        <w:spacing w:before="10"/>
      </w:pPr>
    </w:p>
    <w:p>
      <w:pPr>
        <w:pStyle w:val="BodyText"/>
        <w:spacing w:line="276" w:lineRule="auto"/>
        <w:ind w:left="1640" w:right="1182" w:hanging="720"/>
        <w:jc w:val="both"/>
      </w:pPr>
      <w:r>
        <w:rPr/>
        <w:t>Willshaw, G.A., Cheasty, T., Smith, H.R., O’Brien, S.J and Adak, G.K. (2001). Verocytotoxin producing </w:t>
      </w:r>
      <w:r>
        <w:rPr>
          <w:i/>
        </w:rPr>
        <w:t>Escherichia</w:t>
      </w:r>
      <w:r>
        <w:rPr>
          <w:i/>
          <w:spacing w:val="-4"/>
        </w:rPr>
        <w:t> </w:t>
      </w:r>
      <w:r>
        <w:rPr>
          <w:i/>
        </w:rPr>
        <w:t>coli</w:t>
      </w:r>
      <w:r>
        <w:rPr>
          <w:i/>
          <w:spacing w:val="-3"/>
        </w:rPr>
        <w:t> </w:t>
      </w:r>
      <w:r>
        <w:rPr/>
        <w:t>(VTEC)</w:t>
      </w:r>
      <w:r>
        <w:rPr>
          <w:spacing w:val="-1"/>
        </w:rPr>
        <w:t> </w:t>
      </w:r>
      <w:r>
        <w:rPr/>
        <w:t>O157</w:t>
      </w:r>
      <w:r>
        <w:rPr>
          <w:spacing w:val="-3"/>
        </w:rPr>
        <w:t> </w:t>
      </w:r>
      <w:r>
        <w:rPr/>
        <w:t>and</w:t>
      </w:r>
      <w:r>
        <w:rPr>
          <w:spacing w:val="-2"/>
        </w:rPr>
        <w:t> </w:t>
      </w:r>
      <w:r>
        <w:rPr/>
        <w:t>other</w:t>
      </w:r>
      <w:r>
        <w:rPr>
          <w:spacing w:val="-1"/>
        </w:rPr>
        <w:t> </w:t>
      </w:r>
      <w:r>
        <w:rPr/>
        <w:t>VTEC</w:t>
      </w:r>
      <w:r>
        <w:rPr>
          <w:spacing w:val="-4"/>
        </w:rPr>
        <w:t> </w:t>
      </w:r>
      <w:r>
        <w:rPr/>
        <w:t>from human</w:t>
      </w:r>
      <w:r>
        <w:rPr>
          <w:spacing w:val="-2"/>
        </w:rPr>
        <w:t> </w:t>
      </w:r>
      <w:r>
        <w:rPr/>
        <w:t>infections</w:t>
      </w:r>
      <w:r>
        <w:rPr>
          <w:spacing w:val="-5"/>
        </w:rPr>
        <w:t> </w:t>
      </w:r>
      <w:r>
        <w:rPr/>
        <w:t>in</w:t>
      </w:r>
      <w:r>
        <w:rPr>
          <w:spacing w:val="-2"/>
        </w:rPr>
        <w:t> </w:t>
      </w:r>
      <w:r>
        <w:rPr/>
        <w:t>England</w:t>
      </w:r>
      <w:r>
        <w:rPr>
          <w:spacing w:val="-2"/>
        </w:rPr>
        <w:t> </w:t>
      </w:r>
      <w:r>
        <w:rPr/>
        <w:t>and</w:t>
      </w:r>
      <w:r>
        <w:rPr>
          <w:spacing w:val="-6"/>
        </w:rPr>
        <w:t> </w:t>
      </w:r>
      <w:r>
        <w:rPr/>
        <w:t>Wales:</w:t>
      </w:r>
      <w:r>
        <w:rPr>
          <w:spacing w:val="-7"/>
        </w:rPr>
        <w:t> </w:t>
      </w:r>
      <w:r>
        <w:rPr/>
        <w:t>1995- 1998 </w:t>
      </w:r>
      <w:r>
        <w:rPr>
          <w:i/>
        </w:rPr>
        <w:t>Journal of Medical Microbiology</w:t>
      </w:r>
      <w:r>
        <w:rPr/>
        <w:t>, 50: 135- 142</w:t>
      </w:r>
    </w:p>
    <w:p>
      <w:pPr>
        <w:pStyle w:val="BodyText"/>
        <w:spacing w:line="276" w:lineRule="auto" w:before="240"/>
        <w:ind w:left="1640" w:right="1175" w:hanging="720"/>
        <w:jc w:val="both"/>
      </w:pPr>
      <w:r>
        <w:rPr/>
        <w:t>Winokur, P.L., Brueggemann, A., DeSalvo, D.L., Hoffmann, L., Apley, M.D., Uhlenhopp, E.K., Pfaller, M.A and Doern, G. V. (2000).Animal and Human Multidrug-Resistant, Cephalosporin-Resistant </w:t>
      </w:r>
      <w:r>
        <w:rPr>
          <w:i/>
        </w:rPr>
        <w:t>Salmonella </w:t>
      </w:r>
      <w:r>
        <w:rPr/>
        <w:t>Isolates Expressing a Plasmid-Mediated CMY-2 AmpC β-Lactamase.</w:t>
      </w:r>
      <w:r>
        <w:rPr>
          <w:i/>
        </w:rPr>
        <w:t>Antimicrobial Agents Chemotherapy</w:t>
      </w:r>
      <w:r>
        <w:rPr/>
        <w:t>, 44(10): 2777–2783.</w:t>
      </w:r>
    </w:p>
    <w:p>
      <w:pPr>
        <w:spacing w:line="276" w:lineRule="auto" w:before="239"/>
        <w:ind w:left="1640" w:right="1176" w:hanging="720"/>
        <w:jc w:val="both"/>
        <w:rPr>
          <w:sz w:val="22"/>
        </w:rPr>
      </w:pPr>
      <w:r>
        <w:rPr>
          <w:sz w:val="22"/>
        </w:rPr>
        <w:t>Wong, C.S., Jelacic, S., Habeeb, R.L., Watkins, S.L and Tarr, P.I. (2000). The risk of hemolyticuremic syndrome</w:t>
      </w:r>
      <w:r>
        <w:rPr>
          <w:spacing w:val="-1"/>
          <w:sz w:val="22"/>
        </w:rPr>
        <w:t> </w:t>
      </w:r>
      <w:r>
        <w:rPr>
          <w:sz w:val="22"/>
        </w:rPr>
        <w:t>after</w:t>
      </w:r>
      <w:r>
        <w:rPr>
          <w:spacing w:val="-1"/>
          <w:sz w:val="22"/>
        </w:rPr>
        <w:t> </w:t>
      </w:r>
      <w:r>
        <w:rPr>
          <w:sz w:val="22"/>
        </w:rPr>
        <w:t>antibiotic</w:t>
      </w:r>
      <w:r>
        <w:rPr>
          <w:spacing w:val="-3"/>
          <w:sz w:val="22"/>
        </w:rPr>
        <w:t> </w:t>
      </w:r>
      <w:r>
        <w:rPr>
          <w:sz w:val="22"/>
        </w:rPr>
        <w:t>treatment</w:t>
      </w:r>
      <w:r>
        <w:rPr>
          <w:spacing w:val="-3"/>
          <w:sz w:val="22"/>
        </w:rPr>
        <w:t> </w:t>
      </w:r>
      <w:r>
        <w:rPr>
          <w:sz w:val="22"/>
        </w:rPr>
        <w:t>of </w:t>
      </w:r>
      <w:r>
        <w:rPr>
          <w:i/>
          <w:sz w:val="22"/>
        </w:rPr>
        <w:t>Escherichia coli</w:t>
      </w:r>
      <w:r>
        <w:rPr>
          <w:i/>
          <w:spacing w:val="-3"/>
          <w:sz w:val="22"/>
        </w:rPr>
        <w:t> </w:t>
      </w:r>
      <w:r>
        <w:rPr>
          <w:sz w:val="22"/>
        </w:rPr>
        <w:t>O157:H7</w:t>
      </w:r>
      <w:r>
        <w:rPr>
          <w:spacing w:val="-3"/>
          <w:sz w:val="22"/>
        </w:rPr>
        <w:t> </w:t>
      </w:r>
      <w:r>
        <w:rPr>
          <w:sz w:val="22"/>
        </w:rPr>
        <w:t>infections. </w:t>
      </w:r>
      <w:r>
        <w:rPr>
          <w:i/>
          <w:sz w:val="22"/>
        </w:rPr>
        <w:t>New</w:t>
      </w:r>
      <w:r>
        <w:rPr>
          <w:i/>
          <w:spacing w:val="-1"/>
          <w:sz w:val="22"/>
        </w:rPr>
        <w:t> </w:t>
      </w:r>
      <w:r>
        <w:rPr>
          <w:i/>
          <w:sz w:val="22"/>
        </w:rPr>
        <w:t>England</w:t>
      </w:r>
      <w:r>
        <w:rPr>
          <w:i/>
          <w:spacing w:val="-3"/>
          <w:sz w:val="22"/>
        </w:rPr>
        <w:t> </w:t>
      </w:r>
      <w:r>
        <w:rPr>
          <w:i/>
          <w:sz w:val="22"/>
        </w:rPr>
        <w:t>Journal of Medicine</w:t>
      </w:r>
      <w:r>
        <w:rPr>
          <w:sz w:val="22"/>
        </w:rPr>
        <w:t>, 342: 1930-1936.</w:t>
      </w:r>
    </w:p>
    <w:p>
      <w:pPr>
        <w:pStyle w:val="BodyText"/>
        <w:spacing w:line="278" w:lineRule="auto" w:before="240"/>
        <w:ind w:left="1640" w:right="1179" w:hanging="720"/>
        <w:jc w:val="both"/>
      </w:pPr>
      <w:r>
        <w:rPr/>
        <w:t>Wood, G. H and Washington, J.A. (1995). Antimicrobial susceptibility test,dilution and disc suffusion methods. In: Murray, P. R. (Ed.) </w:t>
      </w:r>
      <w:r>
        <w:rPr>
          <w:i/>
        </w:rPr>
        <w:t>Manual of Clinical Microbiology</w:t>
      </w:r>
      <w:r>
        <w:rPr/>
        <w:t>. Sixth edition, American Society for Microbiology, Washington DC. PP. 1327-1341.</w:t>
      </w:r>
    </w:p>
    <w:p>
      <w:pPr>
        <w:pStyle w:val="BodyText"/>
        <w:spacing w:line="273" w:lineRule="auto" w:before="236"/>
        <w:ind w:left="1640" w:right="1180" w:hanging="720"/>
        <w:jc w:val="both"/>
      </w:pPr>
      <w:r>
        <w:rPr/>
        <w:t>World Health Organization. (2000). Drug resistance threatens to reverse medical progress. WHO Information</w:t>
      </w:r>
      <w:r>
        <w:rPr>
          <w:spacing w:val="80"/>
        </w:rPr>
        <w:t> </w:t>
      </w:r>
      <w:r>
        <w:rPr/>
        <w:t>Office-</w:t>
      </w:r>
      <w:r>
        <w:rPr>
          <w:spacing w:val="80"/>
        </w:rPr>
        <w:t> </w:t>
      </w:r>
      <w:r>
        <w:rPr/>
        <w:t>Press</w:t>
      </w:r>
      <w:r>
        <w:rPr>
          <w:spacing w:val="80"/>
        </w:rPr>
        <w:t> </w:t>
      </w:r>
      <w:r>
        <w:rPr/>
        <w:t>Release,</w:t>
      </w:r>
      <w:r>
        <w:rPr>
          <w:spacing w:val="80"/>
        </w:rPr>
        <w:t> </w:t>
      </w:r>
      <w:r>
        <w:rPr/>
        <w:t>WHO/14.</w:t>
      </w:r>
      <w:r>
        <w:rPr>
          <w:spacing w:val="80"/>
        </w:rPr>
        <w:t>  </w:t>
      </w:r>
      <w:hyperlink r:id="rId26">
        <w:r>
          <w:rPr/>
          <w:t>http://www.who.int/inf-pr-2000/en/pr2000-</w:t>
        </w:r>
      </w:hyperlink>
    </w:p>
    <w:p>
      <w:pPr>
        <w:pStyle w:val="BodyText"/>
        <w:spacing w:before="7"/>
        <w:ind w:left="1640"/>
      </w:pPr>
      <w:r>
        <w:rPr/>
        <w:t>41.html</w:t>
      </w:r>
      <w:r>
        <w:rPr>
          <w:spacing w:val="-5"/>
        </w:rPr>
        <w:t> </w:t>
      </w:r>
      <w:r>
        <w:rPr>
          <w:spacing w:val="-10"/>
        </w:rPr>
        <w:t>.</w:t>
      </w:r>
    </w:p>
    <w:p>
      <w:pPr>
        <w:pStyle w:val="BodyText"/>
      </w:pPr>
    </w:p>
    <w:p>
      <w:pPr>
        <w:pStyle w:val="BodyText"/>
        <w:spacing w:before="10"/>
      </w:pPr>
    </w:p>
    <w:p>
      <w:pPr>
        <w:tabs>
          <w:tab w:pos="3683" w:val="left" w:leader="none"/>
          <w:tab w:pos="5814" w:val="left" w:leader="none"/>
          <w:tab w:pos="7230" w:val="left" w:leader="none"/>
          <w:tab w:pos="8963" w:val="left" w:leader="none"/>
        </w:tabs>
        <w:spacing w:line="276" w:lineRule="auto" w:before="0"/>
        <w:ind w:left="1640" w:right="1172" w:hanging="720"/>
        <w:jc w:val="both"/>
        <w:rPr>
          <w:sz w:val="22"/>
        </w:rPr>
      </w:pPr>
      <w:r>
        <w:rPr>
          <w:sz w:val="22"/>
        </w:rPr>
        <w:t>World Health Organization. (2002). </w:t>
      </w:r>
      <w:r>
        <w:rPr>
          <w:i/>
          <w:sz w:val="22"/>
        </w:rPr>
        <w:t>Global principles for the containment of antimicrobial resistance in animals intended for food: report of a WHO Consultation with the participation of the Food &amp; Agriculture Organization of the United Nations and the Office International des Epizooties. </w:t>
      </w:r>
      <w:r>
        <w:rPr>
          <w:spacing w:val="-2"/>
          <w:sz w:val="22"/>
        </w:rPr>
        <w:t>Geneva.</w:t>
      </w:r>
      <w:r>
        <w:rPr>
          <w:sz w:val="22"/>
        </w:rPr>
        <w:tab/>
      </w:r>
      <w:r>
        <w:rPr>
          <w:spacing w:val="-2"/>
          <w:sz w:val="22"/>
        </w:rPr>
        <w:t>Accessed</w:t>
      </w:r>
      <w:r>
        <w:rPr>
          <w:sz w:val="22"/>
        </w:rPr>
        <w:tab/>
      </w:r>
      <w:r>
        <w:rPr>
          <w:spacing w:val="-10"/>
          <w:sz w:val="22"/>
        </w:rPr>
        <w:t>8</w:t>
      </w:r>
      <w:r>
        <w:rPr>
          <w:sz w:val="22"/>
        </w:rPr>
        <w:tab/>
      </w:r>
      <w:r>
        <w:rPr>
          <w:spacing w:val="-2"/>
          <w:sz w:val="22"/>
        </w:rPr>
        <w:t>April</w:t>
      </w:r>
      <w:r>
        <w:rPr>
          <w:sz w:val="22"/>
        </w:rPr>
        <w:tab/>
      </w:r>
      <w:r>
        <w:rPr>
          <w:spacing w:val="-2"/>
          <w:sz w:val="22"/>
        </w:rPr>
        <w:t>2011.Available from:</w:t>
      </w:r>
      <w:hyperlink r:id="rId27">
        <w:r>
          <w:rPr>
            <w:spacing w:val="-2"/>
            <w:sz w:val="22"/>
          </w:rPr>
          <w:t>http://whqlibdoc.who.int/hq/2000/WHO_CDS_CSR_APH_2000.4.pdf.</w:t>
        </w:r>
      </w:hyperlink>
    </w:p>
    <w:p>
      <w:pPr>
        <w:spacing w:after="0" w:line="276" w:lineRule="auto"/>
        <w:jc w:val="both"/>
        <w:rPr>
          <w:sz w:val="22"/>
        </w:rPr>
        <w:sectPr>
          <w:pgSz w:w="12240" w:h="15840"/>
          <w:pgMar w:header="0" w:footer="1017" w:top="1400" w:bottom="1200" w:left="520" w:right="260"/>
        </w:sectPr>
      </w:pPr>
    </w:p>
    <w:p>
      <w:pPr>
        <w:pStyle w:val="BodyText"/>
        <w:spacing w:line="453" w:lineRule="auto" w:before="41"/>
        <w:ind w:left="1640" w:right="2410" w:hanging="720"/>
      </w:pPr>
      <w:r>
        <w:rPr/>
        <w:t>World Health Organization.(2011). Antimicrobial Resistance.Frequently Asked Questions. Retrieved</w:t>
      </w:r>
      <w:r>
        <w:rPr>
          <w:spacing w:val="-8"/>
        </w:rPr>
        <w:t> </w:t>
      </w:r>
      <w:r>
        <w:rPr/>
        <w:t>May</w:t>
      </w:r>
      <w:r>
        <w:rPr>
          <w:spacing w:val="-7"/>
        </w:rPr>
        <w:t> </w:t>
      </w:r>
      <w:r>
        <w:rPr/>
        <w:t>14,</w:t>
      </w:r>
      <w:r>
        <w:rPr>
          <w:spacing w:val="-9"/>
        </w:rPr>
        <w:t> </w:t>
      </w:r>
      <w:r>
        <w:rPr/>
        <w:t>2011,</w:t>
      </w:r>
      <w:r>
        <w:rPr>
          <w:spacing w:val="-9"/>
        </w:rPr>
        <w:t> </w:t>
      </w:r>
      <w:r>
        <w:rPr/>
        <w:t>from</w:t>
      </w:r>
      <w:r>
        <w:rPr>
          <w:spacing w:val="-6"/>
        </w:rPr>
        <w:t> </w:t>
      </w:r>
      <w:hyperlink r:id="rId28">
        <w:r>
          <w:rPr/>
          <w:t>http://www.who.int/drugresistance/amr_q&amp;a.pdf.</w:t>
        </w:r>
      </w:hyperlink>
    </w:p>
    <w:p>
      <w:pPr>
        <w:pStyle w:val="BodyText"/>
        <w:spacing w:before="243"/>
      </w:pPr>
    </w:p>
    <w:p>
      <w:pPr>
        <w:spacing w:before="0"/>
        <w:ind w:left="920" w:right="0" w:firstLine="0"/>
        <w:jc w:val="left"/>
        <w:rPr>
          <w:sz w:val="22"/>
        </w:rPr>
      </w:pPr>
      <w:r>
        <w:rPr>
          <w:sz w:val="22"/>
        </w:rPr>
        <w:t>Wright,</w:t>
      </w:r>
      <w:r>
        <w:rPr>
          <w:spacing w:val="-8"/>
          <w:sz w:val="22"/>
        </w:rPr>
        <w:t> </w:t>
      </w:r>
      <w:r>
        <w:rPr>
          <w:sz w:val="22"/>
        </w:rPr>
        <w:t>A.J.</w:t>
      </w:r>
      <w:r>
        <w:rPr>
          <w:spacing w:val="-4"/>
          <w:sz w:val="22"/>
        </w:rPr>
        <w:t> </w:t>
      </w:r>
      <w:r>
        <w:rPr>
          <w:sz w:val="22"/>
        </w:rPr>
        <w:t>(1999).</w:t>
      </w:r>
      <w:r>
        <w:rPr>
          <w:spacing w:val="-4"/>
          <w:sz w:val="22"/>
        </w:rPr>
        <w:t> </w:t>
      </w:r>
      <w:r>
        <w:rPr>
          <w:sz w:val="22"/>
        </w:rPr>
        <w:t>The</w:t>
      </w:r>
      <w:r>
        <w:rPr>
          <w:spacing w:val="-6"/>
          <w:sz w:val="22"/>
        </w:rPr>
        <w:t> </w:t>
      </w:r>
      <w:r>
        <w:rPr>
          <w:sz w:val="22"/>
        </w:rPr>
        <w:t>penicillins.</w:t>
      </w:r>
      <w:r>
        <w:rPr>
          <w:i/>
          <w:sz w:val="22"/>
        </w:rPr>
        <w:t>Mayo</w:t>
      </w:r>
      <w:r>
        <w:rPr>
          <w:i/>
          <w:spacing w:val="-3"/>
          <w:sz w:val="22"/>
        </w:rPr>
        <w:t> </w:t>
      </w:r>
      <w:r>
        <w:rPr>
          <w:i/>
          <w:sz w:val="22"/>
        </w:rPr>
        <w:t>Clinic</w:t>
      </w:r>
      <w:r>
        <w:rPr>
          <w:i/>
          <w:spacing w:val="-7"/>
          <w:sz w:val="22"/>
        </w:rPr>
        <w:t> </w:t>
      </w:r>
      <w:r>
        <w:rPr>
          <w:i/>
          <w:sz w:val="22"/>
        </w:rPr>
        <w:t>Proceedings</w:t>
      </w:r>
      <w:r>
        <w:rPr>
          <w:i/>
          <w:spacing w:val="-5"/>
          <w:sz w:val="22"/>
        </w:rPr>
        <w:t> </w:t>
      </w:r>
      <w:r>
        <w:rPr>
          <w:sz w:val="22"/>
        </w:rPr>
        <w:t>74:</w:t>
      </w:r>
      <w:r>
        <w:rPr>
          <w:spacing w:val="-6"/>
          <w:sz w:val="22"/>
        </w:rPr>
        <w:t> </w:t>
      </w:r>
      <w:r>
        <w:rPr>
          <w:sz w:val="22"/>
        </w:rPr>
        <w:t>290-</w:t>
      </w:r>
      <w:r>
        <w:rPr>
          <w:spacing w:val="-4"/>
          <w:sz w:val="22"/>
        </w:rPr>
        <w:t>307.</w:t>
      </w:r>
    </w:p>
    <w:p>
      <w:pPr>
        <w:pStyle w:val="BodyText"/>
      </w:pPr>
    </w:p>
    <w:p>
      <w:pPr>
        <w:pStyle w:val="BodyText"/>
        <w:spacing w:before="207"/>
      </w:pPr>
    </w:p>
    <w:p>
      <w:pPr>
        <w:spacing w:line="276" w:lineRule="auto" w:before="0"/>
        <w:ind w:left="1640" w:right="1175" w:hanging="720"/>
        <w:jc w:val="both"/>
        <w:rPr>
          <w:sz w:val="22"/>
        </w:rPr>
      </w:pPr>
      <w:r>
        <w:rPr>
          <w:sz w:val="22"/>
        </w:rPr>
        <w:t>Yabaya, A., Manga, S.S., Lucy, M</w:t>
      </w:r>
      <w:r>
        <w:rPr>
          <w:spacing w:val="40"/>
          <w:sz w:val="22"/>
        </w:rPr>
        <w:t> </w:t>
      </w:r>
      <w:r>
        <w:rPr>
          <w:sz w:val="22"/>
        </w:rPr>
        <w:t>and</w:t>
      </w:r>
      <w:r>
        <w:rPr>
          <w:spacing w:val="40"/>
          <w:sz w:val="22"/>
        </w:rPr>
        <w:t> </w:t>
      </w:r>
      <w:r>
        <w:rPr>
          <w:sz w:val="22"/>
        </w:rPr>
        <w:t>Alhassan, H.M. (2012).</w:t>
      </w:r>
      <w:r>
        <w:rPr>
          <w:rFonts w:ascii="Times New Roman" w:hAnsi="Times New Roman"/>
          <w:sz w:val="24"/>
        </w:rPr>
        <w:t>Bacteriological</w:t>
      </w:r>
      <w:r>
        <w:rPr>
          <w:rFonts w:ascii="Times New Roman" w:hAnsi="Times New Roman"/>
          <w:spacing w:val="40"/>
          <w:sz w:val="24"/>
        </w:rPr>
        <w:t> </w:t>
      </w:r>
      <w:r>
        <w:rPr>
          <w:rFonts w:ascii="Times New Roman" w:hAnsi="Times New Roman"/>
          <w:sz w:val="24"/>
        </w:rPr>
        <w:t>quality</w:t>
      </w:r>
      <w:r>
        <w:rPr>
          <w:rFonts w:ascii="Times New Roman" w:hAnsi="Times New Roman"/>
          <w:spacing w:val="40"/>
          <w:sz w:val="24"/>
        </w:rPr>
        <w:t> </w:t>
      </w:r>
      <w:r>
        <w:rPr>
          <w:rFonts w:ascii="Times New Roman" w:hAnsi="Times New Roman"/>
          <w:sz w:val="24"/>
        </w:rPr>
        <w:t>of</w:t>
      </w:r>
      <w:r>
        <w:rPr>
          <w:rFonts w:ascii="Times New Roman" w:hAnsi="Times New Roman"/>
          <w:spacing w:val="40"/>
          <w:sz w:val="24"/>
        </w:rPr>
        <w:t> </w:t>
      </w:r>
      <w:r>
        <w:rPr>
          <w:rFonts w:ascii="Times New Roman" w:hAnsi="Times New Roman"/>
          <w:sz w:val="24"/>
        </w:rPr>
        <w:t>fermented milk</w:t>
      </w:r>
      <w:r>
        <w:rPr>
          <w:rFonts w:ascii="Times New Roman" w:hAnsi="Times New Roman"/>
          <w:spacing w:val="40"/>
          <w:sz w:val="24"/>
        </w:rPr>
        <w:t> </w:t>
      </w:r>
      <w:r>
        <w:rPr>
          <w:rFonts w:ascii="Times New Roman" w:hAnsi="Times New Roman"/>
          <w:sz w:val="24"/>
        </w:rPr>
        <w:t>sold</w:t>
      </w:r>
      <w:r>
        <w:rPr>
          <w:rFonts w:ascii="Times New Roman" w:hAnsi="Times New Roman"/>
          <w:spacing w:val="40"/>
          <w:sz w:val="24"/>
        </w:rPr>
        <w:t> </w:t>
      </w:r>
      <w:r>
        <w:rPr>
          <w:rFonts w:ascii="Times New Roman" w:hAnsi="Times New Roman"/>
          <w:sz w:val="24"/>
        </w:rPr>
        <w:t>locally</w:t>
      </w:r>
      <w:r>
        <w:rPr>
          <w:rFonts w:ascii="Times New Roman" w:hAnsi="Times New Roman"/>
          <w:spacing w:val="40"/>
          <w:sz w:val="24"/>
        </w:rPr>
        <w:t> </w:t>
      </w:r>
      <w:r>
        <w:rPr>
          <w:rFonts w:ascii="Times New Roman" w:hAnsi="Times New Roman"/>
          <w:sz w:val="24"/>
        </w:rPr>
        <w:t>in</w:t>
      </w:r>
      <w:r>
        <w:rPr>
          <w:rFonts w:ascii="Times New Roman" w:hAnsi="Times New Roman"/>
          <w:spacing w:val="40"/>
          <w:sz w:val="24"/>
        </w:rPr>
        <w:t> </w:t>
      </w:r>
      <w:r>
        <w:rPr>
          <w:rFonts w:ascii="Times New Roman" w:hAnsi="Times New Roman"/>
          <w:sz w:val="24"/>
        </w:rPr>
        <w:t>Samaru</w:t>
      </w:r>
      <w:r>
        <w:rPr>
          <w:rFonts w:ascii="Times New Roman" w:hAnsi="Times New Roman"/>
          <w:spacing w:val="40"/>
          <w:sz w:val="24"/>
        </w:rPr>
        <w:t> </w:t>
      </w:r>
      <w:r>
        <w:rPr>
          <w:rFonts w:ascii="Times New Roman" w:hAnsi="Times New Roman"/>
          <w:sz w:val="24"/>
        </w:rPr>
        <w:t>and</w:t>
      </w:r>
      <w:r>
        <w:rPr>
          <w:rFonts w:ascii="Times New Roman" w:hAnsi="Times New Roman"/>
          <w:spacing w:val="40"/>
          <w:sz w:val="24"/>
        </w:rPr>
        <w:t> </w:t>
      </w:r>
      <w:r>
        <w:rPr>
          <w:rFonts w:ascii="Times New Roman" w:hAnsi="Times New Roman"/>
          <w:sz w:val="24"/>
        </w:rPr>
        <w:t>Sabongari</w:t>
      </w:r>
      <w:r>
        <w:rPr>
          <w:rFonts w:ascii="Times New Roman" w:hAnsi="Times New Roman"/>
          <w:spacing w:val="40"/>
          <w:sz w:val="24"/>
        </w:rPr>
        <w:t> </w:t>
      </w:r>
      <w:r>
        <w:rPr>
          <w:rFonts w:ascii="Times New Roman" w:hAnsi="Times New Roman"/>
          <w:sz w:val="24"/>
        </w:rPr>
        <w:t>market,</w:t>
      </w:r>
      <w:r>
        <w:rPr>
          <w:rFonts w:ascii="Times New Roman" w:hAnsi="Times New Roman"/>
          <w:spacing w:val="40"/>
          <w:sz w:val="24"/>
        </w:rPr>
        <w:t> </w:t>
      </w:r>
      <w:r>
        <w:rPr>
          <w:rFonts w:ascii="Times New Roman" w:hAnsi="Times New Roman"/>
          <w:sz w:val="24"/>
        </w:rPr>
        <w:t>Zaria,</w:t>
      </w:r>
      <w:r>
        <w:rPr>
          <w:rFonts w:ascii="Times New Roman" w:hAnsi="Times New Roman"/>
          <w:spacing w:val="40"/>
          <w:sz w:val="24"/>
        </w:rPr>
        <w:t> </w:t>
      </w:r>
      <w:r>
        <w:rPr>
          <w:rFonts w:ascii="Times New Roman" w:hAnsi="Times New Roman"/>
          <w:sz w:val="24"/>
        </w:rPr>
        <w:t>Nigeria.</w:t>
      </w:r>
      <w:r>
        <w:rPr>
          <w:rFonts w:ascii="Times New Roman" w:hAnsi="Times New Roman"/>
          <w:spacing w:val="40"/>
          <w:sz w:val="24"/>
        </w:rPr>
        <w:t> </w:t>
      </w:r>
      <w:r>
        <w:rPr>
          <w:i/>
          <w:sz w:val="22"/>
        </w:rPr>
        <w:t>Continental</w:t>
      </w:r>
      <w:r>
        <w:rPr>
          <w:i/>
          <w:spacing w:val="32"/>
          <w:sz w:val="22"/>
        </w:rPr>
        <w:t> </w:t>
      </w:r>
      <w:r>
        <w:rPr>
          <w:i/>
          <w:sz w:val="22"/>
        </w:rPr>
        <w:t>Journal of Microbiology </w:t>
      </w:r>
      <w:r>
        <w:rPr>
          <w:sz w:val="22"/>
        </w:rPr>
        <w:t>6 (1): 14 – 18.</w:t>
      </w:r>
    </w:p>
    <w:p>
      <w:pPr>
        <w:pStyle w:val="BodyText"/>
      </w:pPr>
    </w:p>
    <w:p>
      <w:pPr>
        <w:pStyle w:val="BodyText"/>
        <w:spacing w:before="214"/>
      </w:pPr>
    </w:p>
    <w:p>
      <w:pPr>
        <w:pStyle w:val="BodyText"/>
        <w:spacing w:line="276" w:lineRule="auto"/>
        <w:ind w:left="1640" w:right="1174" w:hanging="720"/>
        <w:jc w:val="both"/>
      </w:pPr>
      <w:r>
        <w:rPr/>
        <w:t>Yagoub, S.O., Awadlla, N. E and El Zubeir, I.E.M. (2005).Incidence of some potential pathogens in raw milk in Khartoum North (Sudan) and their susceptibility to antimicrobial agents.</w:t>
      </w:r>
      <w:r>
        <w:rPr>
          <w:i/>
        </w:rPr>
        <w:t>Journal of</w:t>
      </w:r>
      <w:r>
        <w:rPr>
          <w:i/>
          <w:spacing w:val="40"/>
        </w:rPr>
        <w:t> </w:t>
      </w:r>
      <w:r>
        <w:rPr>
          <w:i/>
        </w:rPr>
        <w:t>Animal and Veterinary Advances</w:t>
      </w:r>
      <w:r>
        <w:rPr/>
        <w:t>, 4(3): 341-344.</w:t>
      </w:r>
    </w:p>
    <w:p>
      <w:pPr>
        <w:pStyle w:val="BodyText"/>
        <w:spacing w:line="276" w:lineRule="auto" w:before="240"/>
        <w:ind w:left="1640" w:right="1179" w:hanging="720"/>
        <w:jc w:val="both"/>
      </w:pPr>
      <w:r>
        <w:rPr/>
        <w:t>Yah, S.C., Eghafona, N.O., Oranusi, S and Abouo, A.M. (2007). Widespread plasmids resistance transfers genes among </w:t>
      </w:r>
      <w:r>
        <w:rPr>
          <w:i/>
        </w:rPr>
        <w:t>Proteus species </w:t>
      </w:r>
      <w:r>
        <w:rPr/>
        <w:t>in diabetic wounds of patients in the Ahmadu Bello University Teaching Hospital (ABUTH) Zaria. </w:t>
      </w:r>
      <w:r>
        <w:rPr>
          <w:i/>
        </w:rPr>
        <w:t>African Journal of Biotechnology</w:t>
      </w:r>
      <w:r>
        <w:rPr/>
        <w:t>, 6(15): 1757-1762.</w:t>
      </w:r>
    </w:p>
    <w:p>
      <w:pPr>
        <w:pStyle w:val="BodyText"/>
        <w:spacing w:line="276" w:lineRule="auto" w:before="240"/>
        <w:ind w:left="1640" w:right="1176" w:hanging="720"/>
        <w:jc w:val="both"/>
      </w:pPr>
      <w:r>
        <w:rPr/>
        <w:t>Zhang, X., McDaniel, A.D., Wolf, L.E., Keusch, G.T., Waldor, M.K and Acheson, D.W. (2000). Quinolone antibiotics induce Shiga toxin encoding bacteriophages, toxin production, and death in mice </w:t>
      </w:r>
      <w:r>
        <w:rPr>
          <w:i/>
        </w:rPr>
        <w:t>Journal of Infectious Disease</w:t>
      </w:r>
      <w:r>
        <w:rPr/>
        <w:t>, 181: 664-670</w:t>
      </w:r>
    </w:p>
    <w:p>
      <w:pPr>
        <w:spacing w:after="0" w:line="276" w:lineRule="auto"/>
        <w:jc w:val="both"/>
        <w:sectPr>
          <w:pgSz w:w="12240" w:h="15840"/>
          <w:pgMar w:header="0" w:footer="1017" w:top="1400" w:bottom="1200" w:left="520" w:right="260"/>
        </w:sectPr>
      </w:pPr>
    </w:p>
    <w:p>
      <w:pPr>
        <w:pStyle w:val="Heading6"/>
        <w:spacing w:before="37"/>
        <w:ind w:left="920" w:firstLine="0"/>
      </w:pPr>
      <w:r>
        <w:rPr/>
        <w:t>APPENDIX</w:t>
      </w:r>
      <w:r>
        <w:rPr>
          <w:spacing w:val="-4"/>
        </w:rPr>
        <w:t> </w:t>
      </w:r>
      <w:r>
        <w:rPr/>
        <w:t>I:</w:t>
      </w:r>
      <w:r>
        <w:rPr>
          <w:spacing w:val="-4"/>
        </w:rPr>
        <w:t> </w:t>
      </w:r>
      <w:r>
        <w:rPr/>
        <w:t>Total</w:t>
      </w:r>
      <w:r>
        <w:rPr>
          <w:spacing w:val="-6"/>
        </w:rPr>
        <w:t> </w:t>
      </w:r>
      <w:r>
        <w:rPr/>
        <w:t>Aerobic</w:t>
      </w:r>
      <w:r>
        <w:rPr>
          <w:spacing w:val="-6"/>
        </w:rPr>
        <w:t> </w:t>
      </w:r>
      <w:r>
        <w:rPr/>
        <w:t>Count</w:t>
      </w:r>
      <w:r>
        <w:rPr>
          <w:spacing w:val="-4"/>
        </w:rPr>
        <w:t> </w:t>
      </w:r>
      <w:r>
        <w:rPr/>
        <w:t>(CFU/ml)</w:t>
      </w:r>
      <w:r>
        <w:rPr>
          <w:spacing w:val="-7"/>
        </w:rPr>
        <w:t> </w:t>
      </w:r>
      <w:r>
        <w:rPr/>
        <w:t>of</w:t>
      </w:r>
      <w:r>
        <w:rPr>
          <w:spacing w:val="-3"/>
        </w:rPr>
        <w:t> </w:t>
      </w:r>
      <w:r>
        <w:rPr/>
        <w:t>Milk</w:t>
      </w:r>
      <w:r>
        <w:rPr>
          <w:spacing w:val="-1"/>
        </w:rPr>
        <w:t> </w:t>
      </w:r>
      <w:r>
        <w:rPr/>
        <w:t>Sample</w:t>
      </w:r>
      <w:r>
        <w:rPr>
          <w:spacing w:val="-6"/>
        </w:rPr>
        <w:t> </w:t>
      </w:r>
      <w:r>
        <w:rPr/>
        <w:t>in</w:t>
      </w:r>
      <w:r>
        <w:rPr>
          <w:spacing w:val="-3"/>
        </w:rPr>
        <w:t> </w:t>
      </w:r>
      <w:r>
        <w:rPr>
          <w:spacing w:val="-2"/>
        </w:rPr>
        <w:t>Zaria</w:t>
      </w:r>
    </w:p>
    <w:p>
      <w:pPr>
        <w:pStyle w:val="BodyText"/>
        <w:spacing w:before="205"/>
        <w:rPr>
          <w:b/>
          <w:sz w:val="20"/>
        </w:rPr>
      </w:pPr>
      <w:r>
        <w:rPr/>
        <mc:AlternateContent>
          <mc:Choice Requires="wps">
            <w:drawing>
              <wp:anchor distT="0" distB="0" distL="0" distR="0" allowOverlap="1" layoutInCell="1" locked="0" behindDoc="1" simplePos="0" relativeHeight="487614976">
                <wp:simplePos x="0" y="0"/>
                <wp:positionH relativeFrom="page">
                  <wp:posOffset>896111</wp:posOffset>
                </wp:positionH>
                <wp:positionV relativeFrom="paragraph">
                  <wp:posOffset>300764</wp:posOffset>
                </wp:positionV>
                <wp:extent cx="5980430" cy="635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3.682266pt;width:470.88pt;height:.48pt;mso-position-horizontal-relative:page;mso-position-vertical-relative:paragraph;z-index:-15701504;mso-wrap-distance-left:0;mso-wrap-distance-right:0" id="docshape72" filled="true" fillcolor="#000000" stroked="false">
                <v:fill type="solid"/>
                <w10:wrap type="topAndBottom"/>
              </v:rect>
            </w:pict>
          </mc:Fallback>
        </mc:AlternateContent>
      </w:r>
    </w:p>
    <w:p>
      <w:pPr>
        <w:tabs>
          <w:tab w:pos="2705" w:val="left" w:leader="none"/>
          <w:tab w:pos="3943" w:val="left" w:leader="none"/>
          <w:tab w:pos="5782" w:val="left" w:leader="none"/>
          <w:tab w:pos="7471" w:val="left" w:leader="none"/>
        </w:tabs>
        <w:spacing w:before="21"/>
        <w:ind w:left="920" w:right="0" w:firstLine="0"/>
        <w:jc w:val="left"/>
        <w:rPr>
          <w:b/>
          <w:sz w:val="22"/>
        </w:rPr>
      </w:pPr>
      <w:r>
        <w:rPr>
          <w:b/>
          <w:sz w:val="22"/>
        </w:rPr>
        <w:t>Location</w:t>
      </w:r>
      <w:r>
        <w:rPr>
          <w:b/>
          <w:spacing w:val="-3"/>
          <w:sz w:val="22"/>
        </w:rPr>
        <w:t> </w:t>
      </w:r>
      <w:r>
        <w:rPr>
          <w:b/>
          <w:spacing w:val="-10"/>
          <w:sz w:val="22"/>
        </w:rPr>
        <w:t>1</w:t>
      </w:r>
      <w:r>
        <w:rPr>
          <w:b/>
          <w:sz w:val="22"/>
        </w:rPr>
        <w:tab/>
        <w:t>Location</w:t>
      </w:r>
      <w:r>
        <w:rPr>
          <w:b/>
          <w:spacing w:val="-5"/>
          <w:sz w:val="22"/>
        </w:rPr>
        <w:t> </w:t>
      </w:r>
      <w:r>
        <w:rPr>
          <w:b/>
          <w:spacing w:val="-10"/>
          <w:sz w:val="22"/>
        </w:rPr>
        <w:t>2</w:t>
      </w:r>
      <w:r>
        <w:rPr>
          <w:b/>
          <w:sz w:val="22"/>
        </w:rPr>
        <w:tab/>
        <w:t>Location</w:t>
      </w:r>
      <w:r>
        <w:rPr>
          <w:b/>
          <w:spacing w:val="-3"/>
          <w:sz w:val="22"/>
        </w:rPr>
        <w:t> </w:t>
      </w:r>
      <w:r>
        <w:rPr>
          <w:b/>
          <w:spacing w:val="-10"/>
          <w:sz w:val="22"/>
        </w:rPr>
        <w:t>3</w:t>
      </w:r>
      <w:r>
        <w:rPr>
          <w:b/>
          <w:sz w:val="22"/>
        </w:rPr>
        <w:tab/>
        <w:t>Location</w:t>
      </w:r>
      <w:r>
        <w:rPr>
          <w:b/>
          <w:spacing w:val="-3"/>
          <w:sz w:val="22"/>
        </w:rPr>
        <w:t> </w:t>
      </w:r>
      <w:r>
        <w:rPr>
          <w:b/>
          <w:spacing w:val="-10"/>
          <w:sz w:val="22"/>
        </w:rPr>
        <w:t>4</w:t>
      </w:r>
      <w:r>
        <w:rPr>
          <w:b/>
          <w:sz w:val="22"/>
        </w:rPr>
        <w:tab/>
        <w:t>Location</w:t>
      </w:r>
      <w:r>
        <w:rPr>
          <w:b/>
          <w:spacing w:val="-5"/>
          <w:sz w:val="22"/>
        </w:rPr>
        <w:t> </w:t>
      </w:r>
      <w:r>
        <w:rPr>
          <w:b/>
          <w:spacing w:val="-10"/>
          <w:sz w:val="22"/>
        </w:rPr>
        <w:t>5</w:t>
      </w:r>
    </w:p>
    <w:p>
      <w:pPr>
        <w:pStyle w:val="BodyText"/>
        <w:spacing w:before="44"/>
        <w:rPr>
          <w:b/>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1"/>
        <w:gridCol w:w="990"/>
        <w:gridCol w:w="928"/>
        <w:gridCol w:w="987"/>
        <w:gridCol w:w="928"/>
        <w:gridCol w:w="987"/>
        <w:gridCol w:w="928"/>
        <w:gridCol w:w="985"/>
        <w:gridCol w:w="926"/>
        <w:gridCol w:w="1009"/>
      </w:tblGrid>
      <w:tr>
        <w:trPr>
          <w:trHeight w:val="535" w:hRule="atLeast"/>
        </w:trPr>
        <w:tc>
          <w:tcPr>
            <w:tcW w:w="921" w:type="dxa"/>
            <w:tcBorders>
              <w:bottom w:val="single" w:sz="4" w:space="0" w:color="000000"/>
            </w:tcBorders>
          </w:tcPr>
          <w:p>
            <w:pPr>
              <w:pStyle w:val="TableParagraph"/>
              <w:spacing w:line="244" w:lineRule="exact"/>
              <w:ind w:left="117"/>
              <w:jc w:val="left"/>
              <w:rPr>
                <w:b/>
                <w:sz w:val="24"/>
              </w:rPr>
            </w:pPr>
            <w:r>
              <w:rPr>
                <w:b/>
                <w:sz w:val="24"/>
              </w:rPr>
              <w:t>Lab</w:t>
            </w:r>
            <w:r>
              <w:rPr>
                <w:b/>
                <w:spacing w:val="-5"/>
                <w:sz w:val="24"/>
              </w:rPr>
              <w:t> No</w:t>
            </w:r>
          </w:p>
        </w:tc>
        <w:tc>
          <w:tcPr>
            <w:tcW w:w="990" w:type="dxa"/>
            <w:tcBorders>
              <w:bottom w:val="single" w:sz="4" w:space="0" w:color="000000"/>
            </w:tcBorders>
          </w:tcPr>
          <w:p>
            <w:pPr>
              <w:pStyle w:val="TableParagraph"/>
              <w:spacing w:line="244" w:lineRule="exact"/>
              <w:ind w:left="113"/>
              <w:jc w:val="left"/>
              <w:rPr>
                <w:b/>
                <w:sz w:val="24"/>
              </w:rPr>
            </w:pPr>
            <w:r>
              <w:rPr>
                <w:b/>
                <w:spacing w:val="-2"/>
                <w:sz w:val="24"/>
              </w:rPr>
              <w:t>CFU/ml</w:t>
            </w:r>
          </w:p>
          <w:p>
            <w:pPr>
              <w:pStyle w:val="TableParagraph"/>
              <w:spacing w:line="271" w:lineRule="exact"/>
              <w:ind w:left="271"/>
              <w:jc w:val="left"/>
              <w:rPr>
                <w:b/>
                <w:sz w:val="24"/>
              </w:rPr>
            </w:pPr>
            <w:r>
              <w:rPr>
                <w:b/>
                <w:spacing w:val="-5"/>
                <w:sz w:val="24"/>
              </w:rPr>
              <w:t>10</w:t>
            </w:r>
            <w:r>
              <w:rPr>
                <w:b/>
                <w:spacing w:val="-5"/>
                <w:sz w:val="24"/>
                <w:vertAlign w:val="superscript"/>
              </w:rPr>
              <w:t>6</w:t>
            </w:r>
          </w:p>
        </w:tc>
        <w:tc>
          <w:tcPr>
            <w:tcW w:w="928" w:type="dxa"/>
            <w:tcBorders>
              <w:bottom w:val="single" w:sz="4" w:space="0" w:color="000000"/>
            </w:tcBorders>
          </w:tcPr>
          <w:p>
            <w:pPr>
              <w:pStyle w:val="TableParagraph"/>
              <w:spacing w:line="244" w:lineRule="exact"/>
              <w:ind w:left="126"/>
              <w:jc w:val="left"/>
              <w:rPr>
                <w:b/>
                <w:sz w:val="24"/>
              </w:rPr>
            </w:pPr>
            <w:r>
              <w:rPr>
                <w:b/>
                <w:sz w:val="24"/>
              </w:rPr>
              <w:t>Lab</w:t>
            </w:r>
            <w:r>
              <w:rPr>
                <w:b/>
                <w:spacing w:val="-5"/>
                <w:sz w:val="24"/>
              </w:rPr>
              <w:t> No</w:t>
            </w:r>
          </w:p>
        </w:tc>
        <w:tc>
          <w:tcPr>
            <w:tcW w:w="987" w:type="dxa"/>
            <w:tcBorders>
              <w:bottom w:val="single" w:sz="4" w:space="0" w:color="000000"/>
            </w:tcBorders>
          </w:tcPr>
          <w:p>
            <w:pPr>
              <w:pStyle w:val="TableParagraph"/>
              <w:spacing w:line="244" w:lineRule="exact"/>
              <w:ind w:left="110"/>
              <w:jc w:val="left"/>
              <w:rPr>
                <w:b/>
                <w:sz w:val="24"/>
              </w:rPr>
            </w:pPr>
            <w:r>
              <w:rPr>
                <w:b/>
                <w:spacing w:val="-2"/>
                <w:sz w:val="24"/>
              </w:rPr>
              <w:t>CFU/ml</w:t>
            </w:r>
          </w:p>
          <w:p>
            <w:pPr>
              <w:pStyle w:val="TableParagraph"/>
              <w:spacing w:line="271" w:lineRule="exact"/>
              <w:ind w:left="216"/>
              <w:jc w:val="left"/>
              <w:rPr>
                <w:b/>
                <w:sz w:val="24"/>
              </w:rPr>
            </w:pPr>
            <w:r>
              <w:rPr>
                <w:b/>
                <w:spacing w:val="-5"/>
                <w:sz w:val="24"/>
              </w:rPr>
              <w:t>10</w:t>
            </w:r>
            <w:r>
              <w:rPr>
                <w:b/>
                <w:spacing w:val="-5"/>
                <w:sz w:val="24"/>
                <w:vertAlign w:val="superscript"/>
              </w:rPr>
              <w:t>6</w:t>
            </w:r>
          </w:p>
        </w:tc>
        <w:tc>
          <w:tcPr>
            <w:tcW w:w="928" w:type="dxa"/>
            <w:tcBorders>
              <w:bottom w:val="single" w:sz="4" w:space="0" w:color="000000"/>
            </w:tcBorders>
          </w:tcPr>
          <w:p>
            <w:pPr>
              <w:pStyle w:val="TableParagraph"/>
              <w:spacing w:line="244" w:lineRule="exact"/>
              <w:ind w:left="126"/>
              <w:jc w:val="left"/>
              <w:rPr>
                <w:b/>
                <w:sz w:val="24"/>
              </w:rPr>
            </w:pPr>
            <w:r>
              <w:rPr>
                <w:b/>
                <w:sz w:val="24"/>
              </w:rPr>
              <w:t>Lab</w:t>
            </w:r>
            <w:r>
              <w:rPr>
                <w:b/>
                <w:spacing w:val="-5"/>
                <w:sz w:val="24"/>
              </w:rPr>
              <w:t> No</w:t>
            </w:r>
          </w:p>
        </w:tc>
        <w:tc>
          <w:tcPr>
            <w:tcW w:w="987" w:type="dxa"/>
            <w:tcBorders>
              <w:bottom w:val="single" w:sz="4" w:space="0" w:color="000000"/>
            </w:tcBorders>
          </w:tcPr>
          <w:p>
            <w:pPr>
              <w:pStyle w:val="TableParagraph"/>
              <w:spacing w:line="244" w:lineRule="exact"/>
              <w:ind w:left="110"/>
              <w:jc w:val="left"/>
              <w:rPr>
                <w:b/>
                <w:sz w:val="24"/>
              </w:rPr>
            </w:pPr>
            <w:r>
              <w:rPr>
                <w:b/>
                <w:spacing w:val="-2"/>
                <w:sz w:val="24"/>
              </w:rPr>
              <w:t>CFU/ml</w:t>
            </w:r>
          </w:p>
          <w:p>
            <w:pPr>
              <w:pStyle w:val="TableParagraph"/>
              <w:spacing w:line="271" w:lineRule="exact"/>
              <w:ind w:left="216"/>
              <w:jc w:val="left"/>
              <w:rPr>
                <w:b/>
                <w:sz w:val="24"/>
              </w:rPr>
            </w:pPr>
            <w:r>
              <w:rPr>
                <w:b/>
                <w:spacing w:val="-5"/>
                <w:sz w:val="24"/>
              </w:rPr>
              <w:t>10</w:t>
            </w:r>
            <w:r>
              <w:rPr>
                <w:b/>
                <w:spacing w:val="-5"/>
                <w:sz w:val="24"/>
                <w:vertAlign w:val="superscript"/>
              </w:rPr>
              <w:t>6</w:t>
            </w:r>
          </w:p>
        </w:tc>
        <w:tc>
          <w:tcPr>
            <w:tcW w:w="928" w:type="dxa"/>
            <w:tcBorders>
              <w:bottom w:val="single" w:sz="4" w:space="0" w:color="000000"/>
            </w:tcBorders>
          </w:tcPr>
          <w:p>
            <w:pPr>
              <w:pStyle w:val="TableParagraph"/>
              <w:spacing w:line="244" w:lineRule="exact"/>
              <w:ind w:left="126"/>
              <w:jc w:val="left"/>
              <w:rPr>
                <w:b/>
                <w:sz w:val="24"/>
              </w:rPr>
            </w:pPr>
            <w:r>
              <w:rPr>
                <w:b/>
                <w:sz w:val="24"/>
              </w:rPr>
              <w:t>Lab</w:t>
            </w:r>
            <w:r>
              <w:rPr>
                <w:b/>
                <w:spacing w:val="-5"/>
                <w:sz w:val="24"/>
              </w:rPr>
              <w:t> No</w:t>
            </w:r>
          </w:p>
        </w:tc>
        <w:tc>
          <w:tcPr>
            <w:tcW w:w="985" w:type="dxa"/>
            <w:tcBorders>
              <w:bottom w:val="single" w:sz="4" w:space="0" w:color="000000"/>
            </w:tcBorders>
          </w:tcPr>
          <w:p>
            <w:pPr>
              <w:pStyle w:val="TableParagraph"/>
              <w:spacing w:line="244" w:lineRule="exact"/>
              <w:ind w:left="111"/>
              <w:jc w:val="left"/>
              <w:rPr>
                <w:b/>
                <w:sz w:val="24"/>
              </w:rPr>
            </w:pPr>
            <w:r>
              <w:rPr>
                <w:b/>
                <w:spacing w:val="-2"/>
                <w:sz w:val="24"/>
              </w:rPr>
              <w:t>CFU/ml</w:t>
            </w:r>
          </w:p>
          <w:p>
            <w:pPr>
              <w:pStyle w:val="TableParagraph"/>
              <w:spacing w:line="271" w:lineRule="exact"/>
              <w:ind w:left="269"/>
              <w:jc w:val="left"/>
              <w:rPr>
                <w:b/>
                <w:sz w:val="24"/>
              </w:rPr>
            </w:pPr>
            <w:r>
              <w:rPr>
                <w:b/>
                <w:spacing w:val="-5"/>
                <w:sz w:val="24"/>
              </w:rPr>
              <w:t>10</w:t>
            </w:r>
            <w:r>
              <w:rPr>
                <w:b/>
                <w:spacing w:val="-5"/>
                <w:sz w:val="24"/>
                <w:vertAlign w:val="superscript"/>
              </w:rPr>
              <w:t>6</w:t>
            </w:r>
          </w:p>
        </w:tc>
        <w:tc>
          <w:tcPr>
            <w:tcW w:w="926" w:type="dxa"/>
            <w:tcBorders>
              <w:bottom w:val="single" w:sz="4" w:space="0" w:color="000000"/>
            </w:tcBorders>
          </w:tcPr>
          <w:p>
            <w:pPr>
              <w:pStyle w:val="TableParagraph"/>
              <w:spacing w:line="244" w:lineRule="exact"/>
              <w:ind w:left="124"/>
              <w:jc w:val="left"/>
              <w:rPr>
                <w:b/>
                <w:sz w:val="24"/>
              </w:rPr>
            </w:pPr>
            <w:r>
              <w:rPr>
                <w:b/>
                <w:sz w:val="24"/>
              </w:rPr>
              <w:t>Lab</w:t>
            </w:r>
            <w:r>
              <w:rPr>
                <w:b/>
                <w:spacing w:val="-5"/>
                <w:sz w:val="24"/>
              </w:rPr>
              <w:t> No</w:t>
            </w:r>
          </w:p>
        </w:tc>
        <w:tc>
          <w:tcPr>
            <w:tcW w:w="1009" w:type="dxa"/>
            <w:tcBorders>
              <w:bottom w:val="single" w:sz="4" w:space="0" w:color="000000"/>
            </w:tcBorders>
          </w:tcPr>
          <w:p>
            <w:pPr>
              <w:pStyle w:val="TableParagraph"/>
              <w:spacing w:line="244" w:lineRule="exact"/>
              <w:ind w:left="110"/>
              <w:jc w:val="left"/>
              <w:rPr>
                <w:b/>
                <w:sz w:val="24"/>
              </w:rPr>
            </w:pPr>
            <w:r>
              <w:rPr>
                <w:b/>
                <w:spacing w:val="-2"/>
                <w:sz w:val="24"/>
              </w:rPr>
              <w:t>CFU/ml</w:t>
            </w:r>
          </w:p>
          <w:p>
            <w:pPr>
              <w:pStyle w:val="TableParagraph"/>
              <w:spacing w:line="271" w:lineRule="exact"/>
              <w:ind w:left="268"/>
              <w:jc w:val="left"/>
              <w:rPr>
                <w:b/>
                <w:sz w:val="24"/>
              </w:rPr>
            </w:pPr>
            <w:r>
              <w:rPr>
                <w:b/>
                <w:spacing w:val="-5"/>
                <w:sz w:val="24"/>
              </w:rPr>
              <w:t>10</w:t>
            </w:r>
            <w:r>
              <w:rPr>
                <w:b/>
                <w:spacing w:val="-5"/>
                <w:sz w:val="24"/>
                <w:vertAlign w:val="superscript"/>
              </w:rPr>
              <w:t>6</w:t>
            </w:r>
          </w:p>
        </w:tc>
      </w:tr>
      <w:tr>
        <w:trPr>
          <w:trHeight w:val="316" w:hRule="atLeast"/>
        </w:trPr>
        <w:tc>
          <w:tcPr>
            <w:tcW w:w="921" w:type="dxa"/>
            <w:tcBorders>
              <w:top w:val="single" w:sz="4" w:space="0" w:color="000000"/>
            </w:tcBorders>
          </w:tcPr>
          <w:p>
            <w:pPr>
              <w:pStyle w:val="TableParagraph"/>
              <w:spacing w:line="240" w:lineRule="auto" w:before="1"/>
              <w:ind w:left="117"/>
              <w:jc w:val="left"/>
              <w:rPr>
                <w:sz w:val="24"/>
              </w:rPr>
            </w:pPr>
            <w:r>
              <w:rPr>
                <w:spacing w:val="-5"/>
                <w:sz w:val="24"/>
              </w:rPr>
              <w:t>E1</w:t>
            </w:r>
          </w:p>
        </w:tc>
        <w:tc>
          <w:tcPr>
            <w:tcW w:w="990" w:type="dxa"/>
            <w:tcBorders>
              <w:top w:val="single" w:sz="4" w:space="0" w:color="000000"/>
            </w:tcBorders>
          </w:tcPr>
          <w:p>
            <w:pPr>
              <w:pStyle w:val="TableParagraph"/>
              <w:spacing w:line="240" w:lineRule="auto" w:before="1"/>
              <w:ind w:left="113"/>
              <w:jc w:val="left"/>
              <w:rPr>
                <w:sz w:val="24"/>
              </w:rPr>
            </w:pPr>
            <w:r>
              <w:rPr>
                <w:spacing w:val="-5"/>
                <w:sz w:val="24"/>
              </w:rPr>
              <w:t>3.2</w:t>
            </w:r>
          </w:p>
        </w:tc>
        <w:tc>
          <w:tcPr>
            <w:tcW w:w="928" w:type="dxa"/>
            <w:tcBorders>
              <w:top w:val="single" w:sz="4" w:space="0" w:color="000000"/>
            </w:tcBorders>
          </w:tcPr>
          <w:p>
            <w:pPr>
              <w:pStyle w:val="TableParagraph"/>
              <w:spacing w:line="240" w:lineRule="auto" w:before="1"/>
              <w:ind w:left="126"/>
              <w:jc w:val="left"/>
              <w:rPr>
                <w:sz w:val="24"/>
              </w:rPr>
            </w:pPr>
            <w:r>
              <w:rPr>
                <w:spacing w:val="-5"/>
                <w:sz w:val="24"/>
              </w:rPr>
              <w:t>E11</w:t>
            </w:r>
          </w:p>
        </w:tc>
        <w:tc>
          <w:tcPr>
            <w:tcW w:w="987" w:type="dxa"/>
            <w:tcBorders>
              <w:top w:val="single" w:sz="4" w:space="0" w:color="000000"/>
            </w:tcBorders>
          </w:tcPr>
          <w:p>
            <w:pPr>
              <w:pStyle w:val="TableParagraph"/>
              <w:spacing w:line="240" w:lineRule="auto" w:before="1"/>
              <w:ind w:left="110"/>
              <w:jc w:val="left"/>
              <w:rPr>
                <w:sz w:val="24"/>
              </w:rPr>
            </w:pPr>
            <w:r>
              <w:rPr>
                <w:spacing w:val="-5"/>
                <w:sz w:val="24"/>
              </w:rPr>
              <w:t>NG</w:t>
            </w:r>
          </w:p>
        </w:tc>
        <w:tc>
          <w:tcPr>
            <w:tcW w:w="928" w:type="dxa"/>
            <w:tcBorders>
              <w:top w:val="single" w:sz="4" w:space="0" w:color="000000"/>
            </w:tcBorders>
          </w:tcPr>
          <w:p>
            <w:pPr>
              <w:pStyle w:val="TableParagraph"/>
              <w:spacing w:line="240" w:lineRule="auto" w:before="1"/>
              <w:ind w:left="126"/>
              <w:jc w:val="left"/>
              <w:rPr>
                <w:sz w:val="24"/>
              </w:rPr>
            </w:pPr>
            <w:r>
              <w:rPr>
                <w:spacing w:val="-5"/>
                <w:sz w:val="24"/>
              </w:rPr>
              <w:t>E21</w:t>
            </w:r>
          </w:p>
        </w:tc>
        <w:tc>
          <w:tcPr>
            <w:tcW w:w="987" w:type="dxa"/>
            <w:tcBorders>
              <w:top w:val="single" w:sz="4" w:space="0" w:color="000000"/>
            </w:tcBorders>
          </w:tcPr>
          <w:p>
            <w:pPr>
              <w:pStyle w:val="TableParagraph"/>
              <w:spacing w:line="240" w:lineRule="auto" w:before="1"/>
              <w:ind w:left="110"/>
              <w:jc w:val="left"/>
              <w:rPr>
                <w:sz w:val="24"/>
              </w:rPr>
            </w:pPr>
            <w:r>
              <w:rPr>
                <w:spacing w:val="-5"/>
                <w:sz w:val="24"/>
              </w:rPr>
              <w:t>9.2</w:t>
            </w:r>
          </w:p>
        </w:tc>
        <w:tc>
          <w:tcPr>
            <w:tcW w:w="928" w:type="dxa"/>
            <w:tcBorders>
              <w:top w:val="single" w:sz="4" w:space="0" w:color="000000"/>
            </w:tcBorders>
          </w:tcPr>
          <w:p>
            <w:pPr>
              <w:pStyle w:val="TableParagraph"/>
              <w:spacing w:line="240" w:lineRule="auto" w:before="1"/>
              <w:ind w:left="126"/>
              <w:jc w:val="left"/>
              <w:rPr>
                <w:sz w:val="24"/>
              </w:rPr>
            </w:pPr>
            <w:r>
              <w:rPr>
                <w:spacing w:val="-5"/>
                <w:sz w:val="24"/>
              </w:rPr>
              <w:t>E31</w:t>
            </w:r>
          </w:p>
        </w:tc>
        <w:tc>
          <w:tcPr>
            <w:tcW w:w="985" w:type="dxa"/>
            <w:tcBorders>
              <w:top w:val="single" w:sz="4" w:space="0" w:color="000000"/>
            </w:tcBorders>
          </w:tcPr>
          <w:p>
            <w:pPr>
              <w:pStyle w:val="TableParagraph"/>
              <w:spacing w:line="240" w:lineRule="auto" w:before="1"/>
              <w:ind w:left="111"/>
              <w:jc w:val="left"/>
              <w:rPr>
                <w:sz w:val="24"/>
              </w:rPr>
            </w:pPr>
            <w:r>
              <w:rPr>
                <w:spacing w:val="-5"/>
                <w:sz w:val="24"/>
              </w:rPr>
              <w:t>1.2</w:t>
            </w:r>
          </w:p>
        </w:tc>
        <w:tc>
          <w:tcPr>
            <w:tcW w:w="926" w:type="dxa"/>
            <w:tcBorders>
              <w:top w:val="single" w:sz="4" w:space="0" w:color="000000"/>
            </w:tcBorders>
          </w:tcPr>
          <w:p>
            <w:pPr>
              <w:pStyle w:val="TableParagraph"/>
              <w:spacing w:line="240" w:lineRule="auto" w:before="1"/>
              <w:ind w:left="124"/>
              <w:jc w:val="left"/>
              <w:rPr>
                <w:sz w:val="24"/>
              </w:rPr>
            </w:pPr>
            <w:r>
              <w:rPr>
                <w:spacing w:val="-5"/>
                <w:sz w:val="24"/>
              </w:rPr>
              <w:t>E41</w:t>
            </w:r>
          </w:p>
        </w:tc>
        <w:tc>
          <w:tcPr>
            <w:tcW w:w="1009" w:type="dxa"/>
            <w:tcBorders>
              <w:top w:val="single" w:sz="4" w:space="0" w:color="000000"/>
            </w:tcBorders>
          </w:tcPr>
          <w:p>
            <w:pPr>
              <w:pStyle w:val="TableParagraph"/>
              <w:spacing w:line="240" w:lineRule="auto" w:before="1"/>
              <w:ind w:left="110"/>
              <w:jc w:val="left"/>
              <w:rPr>
                <w:sz w:val="24"/>
              </w:rPr>
            </w:pPr>
            <w:r>
              <w:rPr>
                <w:spacing w:val="-5"/>
                <w:sz w:val="24"/>
              </w:rPr>
              <w:t>5.5</w:t>
            </w:r>
          </w:p>
        </w:tc>
      </w:tr>
      <w:tr>
        <w:trPr>
          <w:trHeight w:val="292" w:hRule="atLeast"/>
        </w:trPr>
        <w:tc>
          <w:tcPr>
            <w:tcW w:w="921" w:type="dxa"/>
          </w:tcPr>
          <w:p>
            <w:pPr>
              <w:pStyle w:val="TableParagraph"/>
              <w:spacing w:line="271" w:lineRule="exact"/>
              <w:ind w:left="117"/>
              <w:jc w:val="left"/>
              <w:rPr>
                <w:sz w:val="24"/>
              </w:rPr>
            </w:pPr>
            <w:r>
              <w:rPr>
                <w:spacing w:val="-5"/>
                <w:sz w:val="24"/>
              </w:rPr>
              <w:t>E2</w:t>
            </w:r>
          </w:p>
        </w:tc>
        <w:tc>
          <w:tcPr>
            <w:tcW w:w="990" w:type="dxa"/>
          </w:tcPr>
          <w:p>
            <w:pPr>
              <w:pStyle w:val="TableParagraph"/>
              <w:spacing w:line="271" w:lineRule="exact"/>
              <w:ind w:left="113"/>
              <w:jc w:val="left"/>
              <w:rPr>
                <w:sz w:val="24"/>
              </w:rPr>
            </w:pPr>
            <w:r>
              <w:rPr>
                <w:spacing w:val="-5"/>
                <w:sz w:val="24"/>
              </w:rPr>
              <w:t>4.6</w:t>
            </w:r>
          </w:p>
        </w:tc>
        <w:tc>
          <w:tcPr>
            <w:tcW w:w="928" w:type="dxa"/>
          </w:tcPr>
          <w:p>
            <w:pPr>
              <w:pStyle w:val="TableParagraph"/>
              <w:spacing w:line="271" w:lineRule="exact"/>
              <w:ind w:left="126"/>
              <w:jc w:val="left"/>
              <w:rPr>
                <w:sz w:val="24"/>
              </w:rPr>
            </w:pPr>
            <w:r>
              <w:rPr>
                <w:spacing w:val="-5"/>
                <w:sz w:val="24"/>
              </w:rPr>
              <w:t>E12</w:t>
            </w:r>
          </w:p>
        </w:tc>
        <w:tc>
          <w:tcPr>
            <w:tcW w:w="987" w:type="dxa"/>
          </w:tcPr>
          <w:p>
            <w:pPr>
              <w:pStyle w:val="TableParagraph"/>
              <w:spacing w:line="271" w:lineRule="exact"/>
              <w:ind w:left="110"/>
              <w:jc w:val="left"/>
              <w:rPr>
                <w:sz w:val="24"/>
              </w:rPr>
            </w:pPr>
            <w:r>
              <w:rPr>
                <w:spacing w:val="-5"/>
                <w:sz w:val="24"/>
              </w:rPr>
              <w:t>8.6</w:t>
            </w:r>
          </w:p>
        </w:tc>
        <w:tc>
          <w:tcPr>
            <w:tcW w:w="928" w:type="dxa"/>
          </w:tcPr>
          <w:p>
            <w:pPr>
              <w:pStyle w:val="TableParagraph"/>
              <w:spacing w:line="271" w:lineRule="exact"/>
              <w:ind w:left="126"/>
              <w:jc w:val="left"/>
              <w:rPr>
                <w:sz w:val="24"/>
              </w:rPr>
            </w:pPr>
            <w:r>
              <w:rPr>
                <w:spacing w:val="-5"/>
                <w:sz w:val="24"/>
              </w:rPr>
              <w:t>E22</w:t>
            </w:r>
          </w:p>
        </w:tc>
        <w:tc>
          <w:tcPr>
            <w:tcW w:w="987" w:type="dxa"/>
          </w:tcPr>
          <w:p>
            <w:pPr>
              <w:pStyle w:val="TableParagraph"/>
              <w:spacing w:line="271" w:lineRule="exact"/>
              <w:ind w:left="110"/>
              <w:jc w:val="left"/>
              <w:rPr>
                <w:sz w:val="24"/>
              </w:rPr>
            </w:pPr>
            <w:r>
              <w:rPr>
                <w:spacing w:val="-5"/>
                <w:sz w:val="24"/>
              </w:rPr>
              <w:t>8.5</w:t>
            </w:r>
          </w:p>
        </w:tc>
        <w:tc>
          <w:tcPr>
            <w:tcW w:w="928" w:type="dxa"/>
          </w:tcPr>
          <w:p>
            <w:pPr>
              <w:pStyle w:val="TableParagraph"/>
              <w:spacing w:line="271" w:lineRule="exact"/>
              <w:ind w:left="126"/>
              <w:jc w:val="left"/>
              <w:rPr>
                <w:sz w:val="24"/>
              </w:rPr>
            </w:pPr>
            <w:r>
              <w:rPr>
                <w:spacing w:val="-5"/>
                <w:sz w:val="24"/>
              </w:rPr>
              <w:t>E32</w:t>
            </w:r>
          </w:p>
        </w:tc>
        <w:tc>
          <w:tcPr>
            <w:tcW w:w="985" w:type="dxa"/>
          </w:tcPr>
          <w:p>
            <w:pPr>
              <w:pStyle w:val="TableParagraph"/>
              <w:spacing w:line="271" w:lineRule="exact"/>
              <w:ind w:left="111"/>
              <w:jc w:val="left"/>
              <w:rPr>
                <w:sz w:val="24"/>
              </w:rPr>
            </w:pPr>
            <w:r>
              <w:rPr>
                <w:spacing w:val="-5"/>
                <w:sz w:val="24"/>
              </w:rPr>
              <w:t>8.4</w:t>
            </w:r>
          </w:p>
        </w:tc>
        <w:tc>
          <w:tcPr>
            <w:tcW w:w="926" w:type="dxa"/>
          </w:tcPr>
          <w:p>
            <w:pPr>
              <w:pStyle w:val="TableParagraph"/>
              <w:spacing w:line="271" w:lineRule="exact"/>
              <w:ind w:left="124"/>
              <w:jc w:val="left"/>
              <w:rPr>
                <w:sz w:val="24"/>
              </w:rPr>
            </w:pPr>
            <w:r>
              <w:rPr>
                <w:spacing w:val="-5"/>
                <w:sz w:val="24"/>
              </w:rPr>
              <w:t>E42</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E3</w:t>
            </w:r>
          </w:p>
        </w:tc>
        <w:tc>
          <w:tcPr>
            <w:tcW w:w="990" w:type="dxa"/>
          </w:tcPr>
          <w:p>
            <w:pPr>
              <w:pStyle w:val="TableParagraph"/>
              <w:spacing w:line="271" w:lineRule="exact"/>
              <w:ind w:left="113"/>
              <w:jc w:val="left"/>
              <w:rPr>
                <w:sz w:val="24"/>
              </w:rPr>
            </w:pPr>
            <w:r>
              <w:rPr>
                <w:spacing w:val="-5"/>
                <w:sz w:val="24"/>
              </w:rPr>
              <w:t>4.4</w:t>
            </w:r>
          </w:p>
        </w:tc>
        <w:tc>
          <w:tcPr>
            <w:tcW w:w="928" w:type="dxa"/>
          </w:tcPr>
          <w:p>
            <w:pPr>
              <w:pStyle w:val="TableParagraph"/>
              <w:spacing w:line="271" w:lineRule="exact"/>
              <w:ind w:left="126"/>
              <w:jc w:val="left"/>
              <w:rPr>
                <w:sz w:val="24"/>
              </w:rPr>
            </w:pPr>
            <w:r>
              <w:rPr>
                <w:spacing w:val="-5"/>
                <w:sz w:val="24"/>
              </w:rPr>
              <w:t>E13</w:t>
            </w:r>
          </w:p>
        </w:tc>
        <w:tc>
          <w:tcPr>
            <w:tcW w:w="987" w:type="dxa"/>
          </w:tcPr>
          <w:p>
            <w:pPr>
              <w:pStyle w:val="TableParagraph"/>
              <w:spacing w:line="271" w:lineRule="exact"/>
              <w:ind w:left="110"/>
              <w:jc w:val="left"/>
              <w:rPr>
                <w:sz w:val="24"/>
              </w:rPr>
            </w:pPr>
            <w:r>
              <w:rPr>
                <w:spacing w:val="-4"/>
                <w:sz w:val="24"/>
              </w:rPr>
              <w:t>14.2</w:t>
            </w:r>
          </w:p>
        </w:tc>
        <w:tc>
          <w:tcPr>
            <w:tcW w:w="928" w:type="dxa"/>
          </w:tcPr>
          <w:p>
            <w:pPr>
              <w:pStyle w:val="TableParagraph"/>
              <w:spacing w:line="271" w:lineRule="exact"/>
              <w:ind w:left="126"/>
              <w:jc w:val="left"/>
              <w:rPr>
                <w:sz w:val="24"/>
              </w:rPr>
            </w:pPr>
            <w:r>
              <w:rPr>
                <w:spacing w:val="-5"/>
                <w:sz w:val="24"/>
              </w:rPr>
              <w:t>E23</w:t>
            </w:r>
          </w:p>
        </w:tc>
        <w:tc>
          <w:tcPr>
            <w:tcW w:w="987" w:type="dxa"/>
          </w:tcPr>
          <w:p>
            <w:pPr>
              <w:pStyle w:val="TableParagraph"/>
              <w:spacing w:line="271" w:lineRule="exact"/>
              <w:ind w:left="110"/>
              <w:jc w:val="left"/>
              <w:rPr>
                <w:sz w:val="24"/>
              </w:rPr>
            </w:pPr>
            <w:r>
              <w:rPr>
                <w:spacing w:val="-5"/>
                <w:sz w:val="24"/>
              </w:rPr>
              <w:t>2.8</w:t>
            </w:r>
          </w:p>
        </w:tc>
        <w:tc>
          <w:tcPr>
            <w:tcW w:w="928" w:type="dxa"/>
          </w:tcPr>
          <w:p>
            <w:pPr>
              <w:pStyle w:val="TableParagraph"/>
              <w:spacing w:line="271" w:lineRule="exact"/>
              <w:ind w:left="126"/>
              <w:jc w:val="left"/>
              <w:rPr>
                <w:sz w:val="24"/>
              </w:rPr>
            </w:pPr>
            <w:r>
              <w:rPr>
                <w:spacing w:val="-5"/>
                <w:sz w:val="24"/>
              </w:rPr>
              <w:t>E33</w:t>
            </w:r>
          </w:p>
        </w:tc>
        <w:tc>
          <w:tcPr>
            <w:tcW w:w="985" w:type="dxa"/>
          </w:tcPr>
          <w:p>
            <w:pPr>
              <w:pStyle w:val="TableParagraph"/>
              <w:spacing w:line="271" w:lineRule="exact"/>
              <w:ind w:left="111"/>
              <w:jc w:val="left"/>
              <w:rPr>
                <w:sz w:val="24"/>
              </w:rPr>
            </w:pPr>
            <w:r>
              <w:rPr>
                <w:spacing w:val="-5"/>
                <w:sz w:val="24"/>
              </w:rPr>
              <w:t>2.5</w:t>
            </w:r>
          </w:p>
        </w:tc>
        <w:tc>
          <w:tcPr>
            <w:tcW w:w="926" w:type="dxa"/>
          </w:tcPr>
          <w:p>
            <w:pPr>
              <w:pStyle w:val="TableParagraph"/>
              <w:spacing w:line="271" w:lineRule="exact"/>
              <w:ind w:left="124"/>
              <w:jc w:val="left"/>
              <w:rPr>
                <w:sz w:val="24"/>
              </w:rPr>
            </w:pPr>
            <w:r>
              <w:rPr>
                <w:spacing w:val="-5"/>
                <w:sz w:val="24"/>
              </w:rPr>
              <w:t>E43</w:t>
            </w:r>
          </w:p>
        </w:tc>
        <w:tc>
          <w:tcPr>
            <w:tcW w:w="1009" w:type="dxa"/>
          </w:tcPr>
          <w:p>
            <w:pPr>
              <w:pStyle w:val="TableParagraph"/>
              <w:spacing w:line="271" w:lineRule="exact"/>
              <w:ind w:left="110"/>
              <w:jc w:val="left"/>
              <w:rPr>
                <w:sz w:val="24"/>
              </w:rPr>
            </w:pPr>
            <w:r>
              <w:rPr>
                <w:spacing w:val="-5"/>
                <w:sz w:val="24"/>
              </w:rPr>
              <w:t>2.2</w:t>
            </w:r>
          </w:p>
        </w:tc>
      </w:tr>
      <w:tr>
        <w:trPr>
          <w:trHeight w:val="292" w:hRule="atLeast"/>
        </w:trPr>
        <w:tc>
          <w:tcPr>
            <w:tcW w:w="921" w:type="dxa"/>
          </w:tcPr>
          <w:p>
            <w:pPr>
              <w:pStyle w:val="TableParagraph"/>
              <w:spacing w:line="271" w:lineRule="exact"/>
              <w:ind w:left="117"/>
              <w:jc w:val="left"/>
              <w:rPr>
                <w:sz w:val="24"/>
              </w:rPr>
            </w:pPr>
            <w:r>
              <w:rPr>
                <w:spacing w:val="-5"/>
                <w:sz w:val="24"/>
              </w:rPr>
              <w:t>E4</w:t>
            </w:r>
          </w:p>
        </w:tc>
        <w:tc>
          <w:tcPr>
            <w:tcW w:w="990" w:type="dxa"/>
          </w:tcPr>
          <w:p>
            <w:pPr>
              <w:pStyle w:val="TableParagraph"/>
              <w:spacing w:line="271" w:lineRule="exact"/>
              <w:ind w:left="113"/>
              <w:jc w:val="left"/>
              <w:rPr>
                <w:sz w:val="24"/>
              </w:rPr>
            </w:pPr>
            <w:r>
              <w:rPr>
                <w:spacing w:val="-5"/>
                <w:sz w:val="24"/>
              </w:rPr>
              <w:t>9.3</w:t>
            </w:r>
          </w:p>
        </w:tc>
        <w:tc>
          <w:tcPr>
            <w:tcW w:w="928" w:type="dxa"/>
          </w:tcPr>
          <w:p>
            <w:pPr>
              <w:pStyle w:val="TableParagraph"/>
              <w:spacing w:line="271" w:lineRule="exact"/>
              <w:ind w:left="126"/>
              <w:jc w:val="left"/>
              <w:rPr>
                <w:sz w:val="24"/>
              </w:rPr>
            </w:pPr>
            <w:r>
              <w:rPr>
                <w:spacing w:val="-5"/>
                <w:sz w:val="24"/>
              </w:rPr>
              <w:t>E14</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E24</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E34</w:t>
            </w:r>
          </w:p>
        </w:tc>
        <w:tc>
          <w:tcPr>
            <w:tcW w:w="985" w:type="dxa"/>
          </w:tcPr>
          <w:p>
            <w:pPr>
              <w:pStyle w:val="TableParagraph"/>
              <w:spacing w:line="271" w:lineRule="exact"/>
              <w:ind w:left="111"/>
              <w:jc w:val="left"/>
              <w:rPr>
                <w:sz w:val="24"/>
              </w:rPr>
            </w:pPr>
            <w:r>
              <w:rPr>
                <w:spacing w:val="-5"/>
                <w:sz w:val="24"/>
              </w:rPr>
              <w:t>4.6</w:t>
            </w:r>
          </w:p>
        </w:tc>
        <w:tc>
          <w:tcPr>
            <w:tcW w:w="926" w:type="dxa"/>
          </w:tcPr>
          <w:p>
            <w:pPr>
              <w:pStyle w:val="TableParagraph"/>
              <w:spacing w:line="271" w:lineRule="exact"/>
              <w:ind w:left="124"/>
              <w:jc w:val="left"/>
              <w:rPr>
                <w:sz w:val="24"/>
              </w:rPr>
            </w:pPr>
            <w:r>
              <w:rPr>
                <w:spacing w:val="-5"/>
                <w:sz w:val="24"/>
              </w:rPr>
              <w:t>E44</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E5</w:t>
            </w:r>
          </w:p>
        </w:tc>
        <w:tc>
          <w:tcPr>
            <w:tcW w:w="990" w:type="dxa"/>
          </w:tcPr>
          <w:p>
            <w:pPr>
              <w:pStyle w:val="TableParagraph"/>
              <w:spacing w:line="271" w:lineRule="exact"/>
              <w:ind w:left="113"/>
              <w:jc w:val="left"/>
              <w:rPr>
                <w:sz w:val="24"/>
              </w:rPr>
            </w:pPr>
            <w:r>
              <w:rPr>
                <w:spacing w:val="-5"/>
                <w:sz w:val="24"/>
              </w:rPr>
              <w:t>5.6</w:t>
            </w:r>
          </w:p>
        </w:tc>
        <w:tc>
          <w:tcPr>
            <w:tcW w:w="928" w:type="dxa"/>
          </w:tcPr>
          <w:p>
            <w:pPr>
              <w:pStyle w:val="TableParagraph"/>
              <w:spacing w:line="271" w:lineRule="exact"/>
              <w:ind w:left="126"/>
              <w:jc w:val="left"/>
              <w:rPr>
                <w:sz w:val="24"/>
              </w:rPr>
            </w:pPr>
            <w:r>
              <w:rPr>
                <w:spacing w:val="-5"/>
                <w:sz w:val="24"/>
              </w:rPr>
              <w:t>E15</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E25</w:t>
            </w:r>
          </w:p>
        </w:tc>
        <w:tc>
          <w:tcPr>
            <w:tcW w:w="987" w:type="dxa"/>
          </w:tcPr>
          <w:p>
            <w:pPr>
              <w:pStyle w:val="TableParagraph"/>
              <w:spacing w:line="271" w:lineRule="exact"/>
              <w:ind w:left="110"/>
              <w:jc w:val="left"/>
              <w:rPr>
                <w:sz w:val="24"/>
              </w:rPr>
            </w:pPr>
            <w:r>
              <w:rPr>
                <w:spacing w:val="-5"/>
                <w:sz w:val="24"/>
              </w:rPr>
              <w:t>4.3</w:t>
            </w:r>
          </w:p>
        </w:tc>
        <w:tc>
          <w:tcPr>
            <w:tcW w:w="928" w:type="dxa"/>
          </w:tcPr>
          <w:p>
            <w:pPr>
              <w:pStyle w:val="TableParagraph"/>
              <w:spacing w:line="271" w:lineRule="exact"/>
              <w:ind w:left="126"/>
              <w:jc w:val="left"/>
              <w:rPr>
                <w:sz w:val="24"/>
              </w:rPr>
            </w:pPr>
            <w:r>
              <w:rPr>
                <w:spacing w:val="-5"/>
                <w:sz w:val="24"/>
              </w:rPr>
              <w:t>E35</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E45</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E6</w:t>
            </w:r>
          </w:p>
        </w:tc>
        <w:tc>
          <w:tcPr>
            <w:tcW w:w="990" w:type="dxa"/>
          </w:tcPr>
          <w:p>
            <w:pPr>
              <w:pStyle w:val="TableParagraph"/>
              <w:spacing w:line="271" w:lineRule="exact"/>
              <w:ind w:left="113"/>
              <w:jc w:val="left"/>
              <w:rPr>
                <w:sz w:val="24"/>
              </w:rPr>
            </w:pPr>
            <w:r>
              <w:rPr>
                <w:spacing w:val="-5"/>
                <w:sz w:val="24"/>
              </w:rPr>
              <w:t>3.6</w:t>
            </w:r>
          </w:p>
        </w:tc>
        <w:tc>
          <w:tcPr>
            <w:tcW w:w="928" w:type="dxa"/>
          </w:tcPr>
          <w:p>
            <w:pPr>
              <w:pStyle w:val="TableParagraph"/>
              <w:spacing w:line="271" w:lineRule="exact"/>
              <w:ind w:left="126"/>
              <w:jc w:val="left"/>
              <w:rPr>
                <w:sz w:val="24"/>
              </w:rPr>
            </w:pPr>
            <w:r>
              <w:rPr>
                <w:spacing w:val="-5"/>
                <w:sz w:val="24"/>
              </w:rPr>
              <w:t>E16</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E26</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E36</w:t>
            </w:r>
          </w:p>
        </w:tc>
        <w:tc>
          <w:tcPr>
            <w:tcW w:w="985" w:type="dxa"/>
          </w:tcPr>
          <w:p>
            <w:pPr>
              <w:pStyle w:val="TableParagraph"/>
              <w:spacing w:line="271" w:lineRule="exact"/>
              <w:ind w:left="111"/>
              <w:jc w:val="left"/>
              <w:rPr>
                <w:sz w:val="24"/>
              </w:rPr>
            </w:pPr>
            <w:r>
              <w:rPr>
                <w:spacing w:val="-5"/>
                <w:sz w:val="24"/>
              </w:rPr>
              <w:t>5.7</w:t>
            </w:r>
          </w:p>
        </w:tc>
        <w:tc>
          <w:tcPr>
            <w:tcW w:w="926" w:type="dxa"/>
          </w:tcPr>
          <w:p>
            <w:pPr>
              <w:pStyle w:val="TableParagraph"/>
              <w:spacing w:line="271" w:lineRule="exact"/>
              <w:ind w:left="124"/>
              <w:jc w:val="left"/>
              <w:rPr>
                <w:sz w:val="24"/>
              </w:rPr>
            </w:pPr>
            <w:r>
              <w:rPr>
                <w:spacing w:val="-5"/>
                <w:sz w:val="24"/>
              </w:rPr>
              <w:t>E46</w:t>
            </w:r>
          </w:p>
        </w:tc>
        <w:tc>
          <w:tcPr>
            <w:tcW w:w="1009" w:type="dxa"/>
          </w:tcPr>
          <w:p>
            <w:pPr>
              <w:pStyle w:val="TableParagraph"/>
              <w:spacing w:line="271" w:lineRule="exact"/>
              <w:ind w:left="110"/>
              <w:jc w:val="left"/>
              <w:rPr>
                <w:sz w:val="24"/>
              </w:rPr>
            </w:pPr>
            <w:r>
              <w:rPr>
                <w:spacing w:val="-5"/>
                <w:sz w:val="24"/>
              </w:rPr>
              <w:t>4.3</w:t>
            </w:r>
          </w:p>
        </w:tc>
      </w:tr>
      <w:tr>
        <w:trPr>
          <w:trHeight w:val="292" w:hRule="atLeast"/>
        </w:trPr>
        <w:tc>
          <w:tcPr>
            <w:tcW w:w="921" w:type="dxa"/>
          </w:tcPr>
          <w:p>
            <w:pPr>
              <w:pStyle w:val="TableParagraph"/>
              <w:spacing w:line="271" w:lineRule="exact"/>
              <w:ind w:left="117"/>
              <w:jc w:val="left"/>
              <w:rPr>
                <w:sz w:val="24"/>
              </w:rPr>
            </w:pPr>
            <w:r>
              <w:rPr>
                <w:spacing w:val="-5"/>
                <w:sz w:val="24"/>
              </w:rPr>
              <w:t>E7</w:t>
            </w:r>
          </w:p>
        </w:tc>
        <w:tc>
          <w:tcPr>
            <w:tcW w:w="990" w:type="dxa"/>
          </w:tcPr>
          <w:p>
            <w:pPr>
              <w:pStyle w:val="TableParagraph"/>
              <w:spacing w:line="271" w:lineRule="exact"/>
              <w:ind w:left="113"/>
              <w:jc w:val="left"/>
              <w:rPr>
                <w:sz w:val="24"/>
              </w:rPr>
            </w:pPr>
            <w:r>
              <w:rPr>
                <w:spacing w:val="-5"/>
                <w:sz w:val="24"/>
              </w:rPr>
              <w:t>7.2</w:t>
            </w:r>
          </w:p>
        </w:tc>
        <w:tc>
          <w:tcPr>
            <w:tcW w:w="928" w:type="dxa"/>
          </w:tcPr>
          <w:p>
            <w:pPr>
              <w:pStyle w:val="TableParagraph"/>
              <w:spacing w:line="271" w:lineRule="exact"/>
              <w:ind w:left="126"/>
              <w:jc w:val="left"/>
              <w:rPr>
                <w:sz w:val="24"/>
              </w:rPr>
            </w:pPr>
            <w:r>
              <w:rPr>
                <w:spacing w:val="-5"/>
                <w:sz w:val="24"/>
              </w:rPr>
              <w:t>E17</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E27</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E37</w:t>
            </w:r>
          </w:p>
        </w:tc>
        <w:tc>
          <w:tcPr>
            <w:tcW w:w="985" w:type="dxa"/>
          </w:tcPr>
          <w:p>
            <w:pPr>
              <w:pStyle w:val="TableParagraph"/>
              <w:spacing w:line="271" w:lineRule="exact"/>
              <w:ind w:left="111"/>
              <w:jc w:val="left"/>
              <w:rPr>
                <w:sz w:val="24"/>
              </w:rPr>
            </w:pPr>
            <w:r>
              <w:rPr>
                <w:spacing w:val="-5"/>
                <w:sz w:val="24"/>
              </w:rPr>
              <w:t>3.2</w:t>
            </w:r>
          </w:p>
        </w:tc>
        <w:tc>
          <w:tcPr>
            <w:tcW w:w="926" w:type="dxa"/>
          </w:tcPr>
          <w:p>
            <w:pPr>
              <w:pStyle w:val="TableParagraph"/>
              <w:spacing w:line="271" w:lineRule="exact"/>
              <w:ind w:left="124"/>
              <w:jc w:val="left"/>
              <w:rPr>
                <w:sz w:val="24"/>
              </w:rPr>
            </w:pPr>
            <w:r>
              <w:rPr>
                <w:spacing w:val="-5"/>
                <w:sz w:val="24"/>
              </w:rPr>
              <w:t>E47</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E8</w:t>
            </w:r>
          </w:p>
        </w:tc>
        <w:tc>
          <w:tcPr>
            <w:tcW w:w="990" w:type="dxa"/>
          </w:tcPr>
          <w:p>
            <w:pPr>
              <w:pStyle w:val="TableParagraph"/>
              <w:spacing w:line="271" w:lineRule="exact"/>
              <w:ind w:left="113"/>
              <w:jc w:val="left"/>
              <w:rPr>
                <w:sz w:val="24"/>
              </w:rPr>
            </w:pPr>
            <w:r>
              <w:rPr>
                <w:spacing w:val="-5"/>
                <w:sz w:val="24"/>
              </w:rPr>
              <w:t>2.2</w:t>
            </w:r>
          </w:p>
        </w:tc>
        <w:tc>
          <w:tcPr>
            <w:tcW w:w="928" w:type="dxa"/>
          </w:tcPr>
          <w:p>
            <w:pPr>
              <w:pStyle w:val="TableParagraph"/>
              <w:spacing w:line="271" w:lineRule="exact"/>
              <w:ind w:left="126"/>
              <w:jc w:val="left"/>
              <w:rPr>
                <w:sz w:val="24"/>
              </w:rPr>
            </w:pPr>
            <w:r>
              <w:rPr>
                <w:spacing w:val="-5"/>
                <w:sz w:val="24"/>
              </w:rPr>
              <w:t>E18</w:t>
            </w:r>
          </w:p>
        </w:tc>
        <w:tc>
          <w:tcPr>
            <w:tcW w:w="987" w:type="dxa"/>
          </w:tcPr>
          <w:p>
            <w:pPr>
              <w:pStyle w:val="TableParagraph"/>
              <w:spacing w:line="271" w:lineRule="exact"/>
              <w:ind w:left="110"/>
              <w:jc w:val="left"/>
              <w:rPr>
                <w:sz w:val="24"/>
              </w:rPr>
            </w:pPr>
            <w:r>
              <w:rPr>
                <w:spacing w:val="-5"/>
                <w:sz w:val="24"/>
              </w:rPr>
              <w:t>5.8</w:t>
            </w:r>
          </w:p>
        </w:tc>
        <w:tc>
          <w:tcPr>
            <w:tcW w:w="928" w:type="dxa"/>
          </w:tcPr>
          <w:p>
            <w:pPr>
              <w:pStyle w:val="TableParagraph"/>
              <w:spacing w:line="271" w:lineRule="exact"/>
              <w:ind w:left="126"/>
              <w:jc w:val="left"/>
              <w:rPr>
                <w:sz w:val="24"/>
              </w:rPr>
            </w:pPr>
            <w:r>
              <w:rPr>
                <w:spacing w:val="-5"/>
                <w:sz w:val="24"/>
              </w:rPr>
              <w:t>E28</w:t>
            </w:r>
          </w:p>
        </w:tc>
        <w:tc>
          <w:tcPr>
            <w:tcW w:w="987" w:type="dxa"/>
          </w:tcPr>
          <w:p>
            <w:pPr>
              <w:pStyle w:val="TableParagraph"/>
              <w:spacing w:line="271" w:lineRule="exact"/>
              <w:ind w:left="110"/>
              <w:jc w:val="left"/>
              <w:rPr>
                <w:sz w:val="24"/>
              </w:rPr>
            </w:pPr>
            <w:r>
              <w:rPr>
                <w:spacing w:val="-5"/>
                <w:sz w:val="24"/>
              </w:rPr>
              <w:t>1.9</w:t>
            </w:r>
          </w:p>
        </w:tc>
        <w:tc>
          <w:tcPr>
            <w:tcW w:w="928" w:type="dxa"/>
          </w:tcPr>
          <w:p>
            <w:pPr>
              <w:pStyle w:val="TableParagraph"/>
              <w:spacing w:line="271" w:lineRule="exact"/>
              <w:ind w:left="126"/>
              <w:jc w:val="left"/>
              <w:rPr>
                <w:sz w:val="24"/>
              </w:rPr>
            </w:pPr>
            <w:r>
              <w:rPr>
                <w:spacing w:val="-5"/>
                <w:sz w:val="24"/>
              </w:rPr>
              <w:t>E38</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E48</w:t>
            </w:r>
          </w:p>
        </w:tc>
        <w:tc>
          <w:tcPr>
            <w:tcW w:w="1009" w:type="dxa"/>
          </w:tcPr>
          <w:p>
            <w:pPr>
              <w:pStyle w:val="TableParagraph"/>
              <w:spacing w:line="271" w:lineRule="exact"/>
              <w:ind w:left="110"/>
              <w:jc w:val="left"/>
              <w:rPr>
                <w:sz w:val="24"/>
              </w:rPr>
            </w:pPr>
            <w:r>
              <w:rPr>
                <w:spacing w:val="-5"/>
                <w:sz w:val="24"/>
              </w:rPr>
              <w:t>2.8</w:t>
            </w:r>
          </w:p>
        </w:tc>
      </w:tr>
      <w:tr>
        <w:trPr>
          <w:trHeight w:val="292" w:hRule="atLeast"/>
        </w:trPr>
        <w:tc>
          <w:tcPr>
            <w:tcW w:w="921" w:type="dxa"/>
          </w:tcPr>
          <w:p>
            <w:pPr>
              <w:pStyle w:val="TableParagraph"/>
              <w:spacing w:line="271" w:lineRule="exact"/>
              <w:ind w:left="117"/>
              <w:jc w:val="left"/>
              <w:rPr>
                <w:sz w:val="24"/>
              </w:rPr>
            </w:pPr>
            <w:r>
              <w:rPr>
                <w:spacing w:val="-5"/>
                <w:sz w:val="24"/>
              </w:rPr>
              <w:t>E9</w:t>
            </w:r>
          </w:p>
        </w:tc>
        <w:tc>
          <w:tcPr>
            <w:tcW w:w="990" w:type="dxa"/>
          </w:tcPr>
          <w:p>
            <w:pPr>
              <w:pStyle w:val="TableParagraph"/>
              <w:spacing w:line="271" w:lineRule="exact"/>
              <w:ind w:left="113"/>
              <w:jc w:val="left"/>
              <w:rPr>
                <w:sz w:val="24"/>
              </w:rPr>
            </w:pPr>
            <w:r>
              <w:rPr>
                <w:spacing w:val="-5"/>
                <w:sz w:val="24"/>
              </w:rPr>
              <w:t>6.6</w:t>
            </w:r>
          </w:p>
        </w:tc>
        <w:tc>
          <w:tcPr>
            <w:tcW w:w="928" w:type="dxa"/>
          </w:tcPr>
          <w:p>
            <w:pPr>
              <w:pStyle w:val="TableParagraph"/>
              <w:spacing w:line="271" w:lineRule="exact"/>
              <w:ind w:left="126"/>
              <w:jc w:val="left"/>
              <w:rPr>
                <w:sz w:val="24"/>
              </w:rPr>
            </w:pPr>
            <w:r>
              <w:rPr>
                <w:spacing w:val="-5"/>
                <w:sz w:val="24"/>
              </w:rPr>
              <w:t>E19</w:t>
            </w:r>
          </w:p>
        </w:tc>
        <w:tc>
          <w:tcPr>
            <w:tcW w:w="987" w:type="dxa"/>
          </w:tcPr>
          <w:p>
            <w:pPr>
              <w:pStyle w:val="TableParagraph"/>
              <w:spacing w:line="271" w:lineRule="exact"/>
              <w:ind w:left="110"/>
              <w:jc w:val="left"/>
              <w:rPr>
                <w:sz w:val="24"/>
              </w:rPr>
            </w:pPr>
            <w:r>
              <w:rPr>
                <w:spacing w:val="-4"/>
                <w:sz w:val="24"/>
              </w:rPr>
              <w:t>17.2</w:t>
            </w:r>
          </w:p>
        </w:tc>
        <w:tc>
          <w:tcPr>
            <w:tcW w:w="928" w:type="dxa"/>
          </w:tcPr>
          <w:p>
            <w:pPr>
              <w:pStyle w:val="TableParagraph"/>
              <w:spacing w:line="271" w:lineRule="exact"/>
              <w:ind w:left="126"/>
              <w:jc w:val="left"/>
              <w:rPr>
                <w:sz w:val="24"/>
              </w:rPr>
            </w:pPr>
            <w:r>
              <w:rPr>
                <w:spacing w:val="-5"/>
                <w:sz w:val="24"/>
              </w:rPr>
              <w:t>E29</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E39</w:t>
            </w:r>
          </w:p>
        </w:tc>
        <w:tc>
          <w:tcPr>
            <w:tcW w:w="985" w:type="dxa"/>
          </w:tcPr>
          <w:p>
            <w:pPr>
              <w:pStyle w:val="TableParagraph"/>
              <w:spacing w:line="271" w:lineRule="exact"/>
              <w:ind w:left="111"/>
              <w:jc w:val="left"/>
              <w:rPr>
                <w:sz w:val="24"/>
              </w:rPr>
            </w:pPr>
            <w:r>
              <w:rPr>
                <w:spacing w:val="-5"/>
                <w:sz w:val="24"/>
              </w:rPr>
              <w:t>1.1</w:t>
            </w:r>
          </w:p>
        </w:tc>
        <w:tc>
          <w:tcPr>
            <w:tcW w:w="926" w:type="dxa"/>
          </w:tcPr>
          <w:p>
            <w:pPr>
              <w:pStyle w:val="TableParagraph"/>
              <w:spacing w:line="271" w:lineRule="exact"/>
              <w:ind w:left="124"/>
              <w:jc w:val="left"/>
              <w:rPr>
                <w:sz w:val="24"/>
              </w:rPr>
            </w:pPr>
            <w:r>
              <w:rPr>
                <w:spacing w:val="-5"/>
                <w:sz w:val="24"/>
              </w:rPr>
              <w:t>E49</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E10</w:t>
            </w:r>
          </w:p>
        </w:tc>
        <w:tc>
          <w:tcPr>
            <w:tcW w:w="990" w:type="dxa"/>
          </w:tcPr>
          <w:p>
            <w:pPr>
              <w:pStyle w:val="TableParagraph"/>
              <w:spacing w:line="271" w:lineRule="exact"/>
              <w:ind w:left="113"/>
              <w:jc w:val="left"/>
              <w:rPr>
                <w:sz w:val="24"/>
              </w:rPr>
            </w:pPr>
            <w:r>
              <w:rPr>
                <w:spacing w:val="-5"/>
                <w:sz w:val="24"/>
              </w:rPr>
              <w:t>8.2</w:t>
            </w:r>
          </w:p>
        </w:tc>
        <w:tc>
          <w:tcPr>
            <w:tcW w:w="928" w:type="dxa"/>
          </w:tcPr>
          <w:p>
            <w:pPr>
              <w:pStyle w:val="TableParagraph"/>
              <w:spacing w:line="271" w:lineRule="exact"/>
              <w:ind w:left="126"/>
              <w:jc w:val="left"/>
              <w:rPr>
                <w:sz w:val="24"/>
              </w:rPr>
            </w:pPr>
            <w:r>
              <w:rPr>
                <w:spacing w:val="-5"/>
                <w:sz w:val="24"/>
              </w:rPr>
              <w:t>E20</w:t>
            </w:r>
          </w:p>
        </w:tc>
        <w:tc>
          <w:tcPr>
            <w:tcW w:w="987" w:type="dxa"/>
          </w:tcPr>
          <w:p>
            <w:pPr>
              <w:pStyle w:val="TableParagraph"/>
              <w:spacing w:line="271" w:lineRule="exact"/>
              <w:ind w:left="110"/>
              <w:jc w:val="left"/>
              <w:rPr>
                <w:sz w:val="24"/>
              </w:rPr>
            </w:pPr>
            <w:r>
              <w:rPr>
                <w:spacing w:val="-5"/>
                <w:sz w:val="24"/>
              </w:rPr>
              <w:t>9.8</w:t>
            </w:r>
          </w:p>
        </w:tc>
        <w:tc>
          <w:tcPr>
            <w:tcW w:w="928" w:type="dxa"/>
          </w:tcPr>
          <w:p>
            <w:pPr>
              <w:pStyle w:val="TableParagraph"/>
              <w:spacing w:line="271" w:lineRule="exact"/>
              <w:ind w:left="126"/>
              <w:jc w:val="left"/>
              <w:rPr>
                <w:sz w:val="24"/>
              </w:rPr>
            </w:pPr>
            <w:r>
              <w:rPr>
                <w:spacing w:val="-5"/>
                <w:sz w:val="24"/>
              </w:rPr>
              <w:t>E30</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E40</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E50</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B1</w:t>
            </w:r>
          </w:p>
        </w:tc>
        <w:tc>
          <w:tcPr>
            <w:tcW w:w="990" w:type="dxa"/>
          </w:tcPr>
          <w:p>
            <w:pPr>
              <w:pStyle w:val="TableParagraph"/>
              <w:spacing w:line="271" w:lineRule="exact"/>
              <w:ind w:left="113"/>
              <w:jc w:val="left"/>
              <w:rPr>
                <w:sz w:val="24"/>
              </w:rPr>
            </w:pPr>
            <w:r>
              <w:rPr>
                <w:spacing w:val="-5"/>
                <w:sz w:val="24"/>
              </w:rPr>
              <w:t>6.6</w:t>
            </w:r>
          </w:p>
        </w:tc>
        <w:tc>
          <w:tcPr>
            <w:tcW w:w="928" w:type="dxa"/>
          </w:tcPr>
          <w:p>
            <w:pPr>
              <w:pStyle w:val="TableParagraph"/>
              <w:spacing w:line="271" w:lineRule="exact"/>
              <w:ind w:left="126"/>
              <w:jc w:val="left"/>
              <w:rPr>
                <w:sz w:val="24"/>
              </w:rPr>
            </w:pPr>
            <w:r>
              <w:rPr>
                <w:spacing w:val="-5"/>
                <w:sz w:val="24"/>
              </w:rPr>
              <w:t>B11</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B21</w:t>
            </w:r>
          </w:p>
        </w:tc>
        <w:tc>
          <w:tcPr>
            <w:tcW w:w="987" w:type="dxa"/>
          </w:tcPr>
          <w:p>
            <w:pPr>
              <w:pStyle w:val="TableParagraph"/>
              <w:spacing w:line="271" w:lineRule="exact"/>
              <w:ind w:left="110"/>
              <w:jc w:val="left"/>
              <w:rPr>
                <w:sz w:val="24"/>
              </w:rPr>
            </w:pPr>
            <w:r>
              <w:rPr>
                <w:spacing w:val="-5"/>
                <w:sz w:val="24"/>
              </w:rPr>
              <w:t>7.8</w:t>
            </w:r>
          </w:p>
        </w:tc>
        <w:tc>
          <w:tcPr>
            <w:tcW w:w="928" w:type="dxa"/>
          </w:tcPr>
          <w:p>
            <w:pPr>
              <w:pStyle w:val="TableParagraph"/>
              <w:spacing w:line="271" w:lineRule="exact"/>
              <w:ind w:left="126"/>
              <w:jc w:val="left"/>
              <w:rPr>
                <w:sz w:val="24"/>
              </w:rPr>
            </w:pPr>
            <w:r>
              <w:rPr>
                <w:spacing w:val="-5"/>
                <w:sz w:val="24"/>
              </w:rPr>
              <w:t>B31</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B41</w:t>
            </w:r>
          </w:p>
        </w:tc>
        <w:tc>
          <w:tcPr>
            <w:tcW w:w="1009" w:type="dxa"/>
          </w:tcPr>
          <w:p>
            <w:pPr>
              <w:pStyle w:val="TableParagraph"/>
              <w:spacing w:line="271" w:lineRule="exact"/>
              <w:ind w:left="110"/>
              <w:jc w:val="left"/>
              <w:rPr>
                <w:sz w:val="24"/>
              </w:rPr>
            </w:pPr>
            <w:r>
              <w:rPr>
                <w:spacing w:val="-5"/>
                <w:sz w:val="24"/>
              </w:rPr>
              <w:t>1.6</w:t>
            </w:r>
          </w:p>
        </w:tc>
      </w:tr>
      <w:tr>
        <w:trPr>
          <w:trHeight w:val="292" w:hRule="atLeast"/>
        </w:trPr>
        <w:tc>
          <w:tcPr>
            <w:tcW w:w="921" w:type="dxa"/>
          </w:tcPr>
          <w:p>
            <w:pPr>
              <w:pStyle w:val="TableParagraph"/>
              <w:spacing w:line="271" w:lineRule="exact"/>
              <w:ind w:left="117"/>
              <w:jc w:val="left"/>
              <w:rPr>
                <w:sz w:val="24"/>
              </w:rPr>
            </w:pPr>
            <w:r>
              <w:rPr>
                <w:spacing w:val="-5"/>
                <w:sz w:val="24"/>
              </w:rPr>
              <w:t>B2</w:t>
            </w:r>
          </w:p>
        </w:tc>
        <w:tc>
          <w:tcPr>
            <w:tcW w:w="990" w:type="dxa"/>
          </w:tcPr>
          <w:p>
            <w:pPr>
              <w:pStyle w:val="TableParagraph"/>
              <w:spacing w:line="271" w:lineRule="exact"/>
              <w:ind w:left="113"/>
              <w:jc w:val="left"/>
              <w:rPr>
                <w:sz w:val="24"/>
              </w:rPr>
            </w:pPr>
            <w:r>
              <w:rPr>
                <w:spacing w:val="-5"/>
                <w:sz w:val="24"/>
              </w:rPr>
              <w:t>8.5</w:t>
            </w:r>
          </w:p>
        </w:tc>
        <w:tc>
          <w:tcPr>
            <w:tcW w:w="928" w:type="dxa"/>
          </w:tcPr>
          <w:p>
            <w:pPr>
              <w:pStyle w:val="TableParagraph"/>
              <w:spacing w:line="271" w:lineRule="exact"/>
              <w:ind w:left="126"/>
              <w:jc w:val="left"/>
              <w:rPr>
                <w:sz w:val="24"/>
              </w:rPr>
            </w:pPr>
            <w:r>
              <w:rPr>
                <w:spacing w:val="-5"/>
                <w:sz w:val="24"/>
              </w:rPr>
              <w:t>B12</w:t>
            </w:r>
          </w:p>
        </w:tc>
        <w:tc>
          <w:tcPr>
            <w:tcW w:w="987" w:type="dxa"/>
          </w:tcPr>
          <w:p>
            <w:pPr>
              <w:pStyle w:val="TableParagraph"/>
              <w:spacing w:line="271" w:lineRule="exact"/>
              <w:ind w:left="110"/>
              <w:jc w:val="left"/>
              <w:rPr>
                <w:sz w:val="24"/>
              </w:rPr>
            </w:pPr>
            <w:r>
              <w:rPr>
                <w:spacing w:val="-4"/>
                <w:sz w:val="24"/>
              </w:rPr>
              <w:t>16.2</w:t>
            </w:r>
          </w:p>
        </w:tc>
        <w:tc>
          <w:tcPr>
            <w:tcW w:w="928" w:type="dxa"/>
          </w:tcPr>
          <w:p>
            <w:pPr>
              <w:pStyle w:val="TableParagraph"/>
              <w:spacing w:line="271" w:lineRule="exact"/>
              <w:ind w:left="126"/>
              <w:jc w:val="left"/>
              <w:rPr>
                <w:sz w:val="24"/>
              </w:rPr>
            </w:pPr>
            <w:r>
              <w:rPr>
                <w:spacing w:val="-5"/>
                <w:sz w:val="24"/>
              </w:rPr>
              <w:t>B22</w:t>
            </w:r>
          </w:p>
        </w:tc>
        <w:tc>
          <w:tcPr>
            <w:tcW w:w="987" w:type="dxa"/>
          </w:tcPr>
          <w:p>
            <w:pPr>
              <w:pStyle w:val="TableParagraph"/>
              <w:spacing w:line="271" w:lineRule="exact"/>
              <w:ind w:left="110"/>
              <w:jc w:val="left"/>
              <w:rPr>
                <w:sz w:val="24"/>
              </w:rPr>
            </w:pPr>
            <w:r>
              <w:rPr>
                <w:spacing w:val="-5"/>
                <w:sz w:val="24"/>
              </w:rPr>
              <w:t>9.6</w:t>
            </w:r>
          </w:p>
        </w:tc>
        <w:tc>
          <w:tcPr>
            <w:tcW w:w="928" w:type="dxa"/>
          </w:tcPr>
          <w:p>
            <w:pPr>
              <w:pStyle w:val="TableParagraph"/>
              <w:spacing w:line="271" w:lineRule="exact"/>
              <w:ind w:left="126"/>
              <w:jc w:val="left"/>
              <w:rPr>
                <w:sz w:val="24"/>
              </w:rPr>
            </w:pPr>
            <w:r>
              <w:rPr>
                <w:spacing w:val="-5"/>
                <w:sz w:val="24"/>
              </w:rPr>
              <w:t>B32</w:t>
            </w:r>
          </w:p>
        </w:tc>
        <w:tc>
          <w:tcPr>
            <w:tcW w:w="985" w:type="dxa"/>
          </w:tcPr>
          <w:p>
            <w:pPr>
              <w:pStyle w:val="TableParagraph"/>
              <w:spacing w:line="271" w:lineRule="exact"/>
              <w:ind w:left="111"/>
              <w:jc w:val="left"/>
              <w:rPr>
                <w:sz w:val="24"/>
              </w:rPr>
            </w:pPr>
            <w:r>
              <w:rPr>
                <w:spacing w:val="-5"/>
                <w:sz w:val="24"/>
              </w:rPr>
              <w:t>9.0</w:t>
            </w:r>
          </w:p>
        </w:tc>
        <w:tc>
          <w:tcPr>
            <w:tcW w:w="926" w:type="dxa"/>
          </w:tcPr>
          <w:p>
            <w:pPr>
              <w:pStyle w:val="TableParagraph"/>
              <w:spacing w:line="271" w:lineRule="exact"/>
              <w:ind w:left="124"/>
              <w:jc w:val="left"/>
              <w:rPr>
                <w:sz w:val="24"/>
              </w:rPr>
            </w:pPr>
            <w:r>
              <w:rPr>
                <w:spacing w:val="-5"/>
                <w:sz w:val="24"/>
              </w:rPr>
              <w:t>B42</w:t>
            </w:r>
          </w:p>
        </w:tc>
        <w:tc>
          <w:tcPr>
            <w:tcW w:w="1009" w:type="dxa"/>
          </w:tcPr>
          <w:p>
            <w:pPr>
              <w:pStyle w:val="TableParagraph"/>
              <w:spacing w:line="271" w:lineRule="exact"/>
              <w:ind w:left="110"/>
              <w:jc w:val="left"/>
              <w:rPr>
                <w:sz w:val="24"/>
              </w:rPr>
            </w:pPr>
            <w:r>
              <w:rPr>
                <w:spacing w:val="-5"/>
                <w:sz w:val="24"/>
              </w:rPr>
              <w:t>1.4</w:t>
            </w:r>
          </w:p>
        </w:tc>
      </w:tr>
      <w:tr>
        <w:trPr>
          <w:trHeight w:val="292" w:hRule="atLeast"/>
        </w:trPr>
        <w:tc>
          <w:tcPr>
            <w:tcW w:w="921" w:type="dxa"/>
          </w:tcPr>
          <w:p>
            <w:pPr>
              <w:pStyle w:val="TableParagraph"/>
              <w:spacing w:line="271" w:lineRule="exact"/>
              <w:ind w:left="117"/>
              <w:jc w:val="left"/>
              <w:rPr>
                <w:sz w:val="24"/>
              </w:rPr>
            </w:pPr>
            <w:r>
              <w:rPr>
                <w:spacing w:val="-5"/>
                <w:sz w:val="24"/>
              </w:rPr>
              <w:t>B3</w:t>
            </w:r>
          </w:p>
        </w:tc>
        <w:tc>
          <w:tcPr>
            <w:tcW w:w="990" w:type="dxa"/>
          </w:tcPr>
          <w:p>
            <w:pPr>
              <w:pStyle w:val="TableParagraph"/>
              <w:spacing w:line="271" w:lineRule="exact"/>
              <w:ind w:left="113"/>
              <w:jc w:val="left"/>
              <w:rPr>
                <w:sz w:val="24"/>
              </w:rPr>
            </w:pPr>
            <w:r>
              <w:rPr>
                <w:spacing w:val="-5"/>
                <w:sz w:val="24"/>
              </w:rPr>
              <w:t>4.6</w:t>
            </w:r>
          </w:p>
        </w:tc>
        <w:tc>
          <w:tcPr>
            <w:tcW w:w="928" w:type="dxa"/>
          </w:tcPr>
          <w:p>
            <w:pPr>
              <w:pStyle w:val="TableParagraph"/>
              <w:spacing w:line="271" w:lineRule="exact"/>
              <w:ind w:left="126"/>
              <w:jc w:val="left"/>
              <w:rPr>
                <w:sz w:val="24"/>
              </w:rPr>
            </w:pPr>
            <w:r>
              <w:rPr>
                <w:spacing w:val="-5"/>
                <w:sz w:val="24"/>
              </w:rPr>
              <w:t>B13</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B23</w:t>
            </w:r>
          </w:p>
        </w:tc>
        <w:tc>
          <w:tcPr>
            <w:tcW w:w="987" w:type="dxa"/>
          </w:tcPr>
          <w:p>
            <w:pPr>
              <w:pStyle w:val="TableParagraph"/>
              <w:spacing w:line="271" w:lineRule="exact"/>
              <w:ind w:left="110"/>
              <w:jc w:val="left"/>
              <w:rPr>
                <w:sz w:val="24"/>
              </w:rPr>
            </w:pPr>
            <w:r>
              <w:rPr>
                <w:spacing w:val="-5"/>
                <w:sz w:val="24"/>
              </w:rPr>
              <w:t>5.9</w:t>
            </w:r>
          </w:p>
        </w:tc>
        <w:tc>
          <w:tcPr>
            <w:tcW w:w="928" w:type="dxa"/>
          </w:tcPr>
          <w:p>
            <w:pPr>
              <w:pStyle w:val="TableParagraph"/>
              <w:spacing w:line="271" w:lineRule="exact"/>
              <w:ind w:left="126"/>
              <w:jc w:val="left"/>
              <w:rPr>
                <w:sz w:val="24"/>
              </w:rPr>
            </w:pPr>
            <w:r>
              <w:rPr>
                <w:spacing w:val="-5"/>
                <w:sz w:val="24"/>
              </w:rPr>
              <w:t>B33</w:t>
            </w:r>
          </w:p>
        </w:tc>
        <w:tc>
          <w:tcPr>
            <w:tcW w:w="985" w:type="dxa"/>
          </w:tcPr>
          <w:p>
            <w:pPr>
              <w:pStyle w:val="TableParagraph"/>
              <w:spacing w:line="271" w:lineRule="exact"/>
              <w:ind w:left="111"/>
              <w:jc w:val="left"/>
              <w:rPr>
                <w:sz w:val="24"/>
              </w:rPr>
            </w:pPr>
            <w:r>
              <w:rPr>
                <w:spacing w:val="-5"/>
                <w:sz w:val="24"/>
              </w:rPr>
              <w:t>1.7</w:t>
            </w:r>
          </w:p>
        </w:tc>
        <w:tc>
          <w:tcPr>
            <w:tcW w:w="926" w:type="dxa"/>
          </w:tcPr>
          <w:p>
            <w:pPr>
              <w:pStyle w:val="TableParagraph"/>
              <w:spacing w:line="271" w:lineRule="exact"/>
              <w:ind w:left="124"/>
              <w:jc w:val="left"/>
              <w:rPr>
                <w:sz w:val="24"/>
              </w:rPr>
            </w:pPr>
            <w:r>
              <w:rPr>
                <w:spacing w:val="-5"/>
                <w:sz w:val="24"/>
              </w:rPr>
              <w:t>B43</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B4</w:t>
            </w:r>
          </w:p>
        </w:tc>
        <w:tc>
          <w:tcPr>
            <w:tcW w:w="990" w:type="dxa"/>
          </w:tcPr>
          <w:p>
            <w:pPr>
              <w:pStyle w:val="TableParagraph"/>
              <w:spacing w:line="271" w:lineRule="exact"/>
              <w:ind w:left="113"/>
              <w:jc w:val="left"/>
              <w:rPr>
                <w:sz w:val="24"/>
              </w:rPr>
            </w:pPr>
            <w:r>
              <w:rPr>
                <w:spacing w:val="-5"/>
                <w:sz w:val="24"/>
              </w:rPr>
              <w:t>2.2</w:t>
            </w:r>
          </w:p>
        </w:tc>
        <w:tc>
          <w:tcPr>
            <w:tcW w:w="928" w:type="dxa"/>
          </w:tcPr>
          <w:p>
            <w:pPr>
              <w:pStyle w:val="TableParagraph"/>
              <w:spacing w:line="271" w:lineRule="exact"/>
              <w:ind w:left="126"/>
              <w:jc w:val="left"/>
              <w:rPr>
                <w:sz w:val="24"/>
              </w:rPr>
            </w:pPr>
            <w:r>
              <w:rPr>
                <w:spacing w:val="-5"/>
                <w:sz w:val="24"/>
              </w:rPr>
              <w:t>B14</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B24</w:t>
            </w:r>
          </w:p>
        </w:tc>
        <w:tc>
          <w:tcPr>
            <w:tcW w:w="987" w:type="dxa"/>
          </w:tcPr>
          <w:p>
            <w:pPr>
              <w:pStyle w:val="TableParagraph"/>
              <w:spacing w:line="271" w:lineRule="exact"/>
              <w:ind w:left="110"/>
              <w:jc w:val="left"/>
              <w:rPr>
                <w:sz w:val="24"/>
              </w:rPr>
            </w:pPr>
            <w:r>
              <w:rPr>
                <w:spacing w:val="-5"/>
                <w:sz w:val="24"/>
              </w:rPr>
              <w:t>3.8</w:t>
            </w:r>
          </w:p>
        </w:tc>
        <w:tc>
          <w:tcPr>
            <w:tcW w:w="928" w:type="dxa"/>
          </w:tcPr>
          <w:p>
            <w:pPr>
              <w:pStyle w:val="TableParagraph"/>
              <w:spacing w:line="271" w:lineRule="exact"/>
              <w:ind w:left="126"/>
              <w:jc w:val="left"/>
              <w:rPr>
                <w:sz w:val="24"/>
              </w:rPr>
            </w:pPr>
            <w:r>
              <w:rPr>
                <w:spacing w:val="-5"/>
                <w:sz w:val="24"/>
              </w:rPr>
              <w:t>B34</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B44</w:t>
            </w:r>
          </w:p>
        </w:tc>
        <w:tc>
          <w:tcPr>
            <w:tcW w:w="1009" w:type="dxa"/>
          </w:tcPr>
          <w:p>
            <w:pPr>
              <w:pStyle w:val="TableParagraph"/>
              <w:spacing w:line="271" w:lineRule="exact"/>
              <w:ind w:left="110"/>
              <w:jc w:val="left"/>
              <w:rPr>
                <w:sz w:val="24"/>
              </w:rPr>
            </w:pPr>
            <w:r>
              <w:rPr>
                <w:spacing w:val="-5"/>
                <w:sz w:val="24"/>
              </w:rPr>
              <w:t>NG</w:t>
            </w:r>
          </w:p>
        </w:tc>
      </w:tr>
      <w:tr>
        <w:trPr>
          <w:trHeight w:val="295" w:hRule="atLeast"/>
        </w:trPr>
        <w:tc>
          <w:tcPr>
            <w:tcW w:w="921" w:type="dxa"/>
          </w:tcPr>
          <w:p>
            <w:pPr>
              <w:pStyle w:val="TableParagraph"/>
              <w:spacing w:line="271" w:lineRule="exact"/>
              <w:ind w:left="117"/>
              <w:jc w:val="left"/>
              <w:rPr>
                <w:sz w:val="24"/>
              </w:rPr>
            </w:pPr>
            <w:r>
              <w:rPr>
                <w:spacing w:val="-5"/>
                <w:sz w:val="24"/>
              </w:rPr>
              <w:t>B5</w:t>
            </w:r>
          </w:p>
        </w:tc>
        <w:tc>
          <w:tcPr>
            <w:tcW w:w="990" w:type="dxa"/>
          </w:tcPr>
          <w:p>
            <w:pPr>
              <w:pStyle w:val="TableParagraph"/>
              <w:spacing w:line="271" w:lineRule="exact"/>
              <w:ind w:left="113"/>
              <w:jc w:val="left"/>
              <w:rPr>
                <w:sz w:val="24"/>
              </w:rPr>
            </w:pPr>
            <w:r>
              <w:rPr>
                <w:spacing w:val="-5"/>
                <w:sz w:val="24"/>
              </w:rPr>
              <w:t>1.4</w:t>
            </w:r>
          </w:p>
        </w:tc>
        <w:tc>
          <w:tcPr>
            <w:tcW w:w="928" w:type="dxa"/>
          </w:tcPr>
          <w:p>
            <w:pPr>
              <w:pStyle w:val="TableParagraph"/>
              <w:spacing w:line="271" w:lineRule="exact"/>
              <w:ind w:left="126"/>
              <w:jc w:val="left"/>
              <w:rPr>
                <w:sz w:val="24"/>
              </w:rPr>
            </w:pPr>
            <w:r>
              <w:rPr>
                <w:spacing w:val="-5"/>
                <w:sz w:val="24"/>
              </w:rPr>
              <w:t>B15</w:t>
            </w:r>
          </w:p>
        </w:tc>
        <w:tc>
          <w:tcPr>
            <w:tcW w:w="987" w:type="dxa"/>
          </w:tcPr>
          <w:p>
            <w:pPr>
              <w:pStyle w:val="TableParagraph"/>
              <w:spacing w:line="271" w:lineRule="exact"/>
              <w:ind w:left="110"/>
              <w:jc w:val="left"/>
              <w:rPr>
                <w:sz w:val="24"/>
              </w:rPr>
            </w:pPr>
            <w:r>
              <w:rPr>
                <w:spacing w:val="-5"/>
                <w:sz w:val="24"/>
              </w:rPr>
              <w:t>9.2</w:t>
            </w:r>
          </w:p>
        </w:tc>
        <w:tc>
          <w:tcPr>
            <w:tcW w:w="928" w:type="dxa"/>
          </w:tcPr>
          <w:p>
            <w:pPr>
              <w:pStyle w:val="TableParagraph"/>
              <w:spacing w:line="271" w:lineRule="exact"/>
              <w:ind w:left="126"/>
              <w:jc w:val="left"/>
              <w:rPr>
                <w:sz w:val="24"/>
              </w:rPr>
            </w:pPr>
            <w:r>
              <w:rPr>
                <w:spacing w:val="-5"/>
                <w:sz w:val="24"/>
              </w:rPr>
              <w:t>B25</w:t>
            </w:r>
          </w:p>
        </w:tc>
        <w:tc>
          <w:tcPr>
            <w:tcW w:w="987" w:type="dxa"/>
          </w:tcPr>
          <w:p>
            <w:pPr>
              <w:pStyle w:val="TableParagraph"/>
              <w:spacing w:line="271" w:lineRule="exact"/>
              <w:ind w:left="110"/>
              <w:jc w:val="left"/>
              <w:rPr>
                <w:sz w:val="24"/>
              </w:rPr>
            </w:pPr>
            <w:r>
              <w:rPr>
                <w:spacing w:val="-4"/>
                <w:sz w:val="24"/>
              </w:rPr>
              <w:t>12.3</w:t>
            </w:r>
          </w:p>
        </w:tc>
        <w:tc>
          <w:tcPr>
            <w:tcW w:w="928" w:type="dxa"/>
          </w:tcPr>
          <w:p>
            <w:pPr>
              <w:pStyle w:val="TableParagraph"/>
              <w:spacing w:line="271" w:lineRule="exact"/>
              <w:ind w:left="126"/>
              <w:jc w:val="left"/>
              <w:rPr>
                <w:sz w:val="24"/>
              </w:rPr>
            </w:pPr>
            <w:r>
              <w:rPr>
                <w:spacing w:val="-5"/>
                <w:sz w:val="24"/>
              </w:rPr>
              <w:t>B35</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B45</w:t>
            </w:r>
          </w:p>
        </w:tc>
        <w:tc>
          <w:tcPr>
            <w:tcW w:w="1009" w:type="dxa"/>
          </w:tcPr>
          <w:p>
            <w:pPr>
              <w:pStyle w:val="TableParagraph"/>
              <w:spacing w:line="271" w:lineRule="exact"/>
              <w:ind w:left="110"/>
              <w:jc w:val="left"/>
              <w:rPr>
                <w:sz w:val="24"/>
              </w:rPr>
            </w:pPr>
            <w:r>
              <w:rPr>
                <w:spacing w:val="-5"/>
                <w:sz w:val="24"/>
              </w:rPr>
              <w:t>1.6</w:t>
            </w:r>
          </w:p>
        </w:tc>
      </w:tr>
      <w:tr>
        <w:trPr>
          <w:trHeight w:val="295" w:hRule="atLeast"/>
        </w:trPr>
        <w:tc>
          <w:tcPr>
            <w:tcW w:w="921" w:type="dxa"/>
          </w:tcPr>
          <w:p>
            <w:pPr>
              <w:pStyle w:val="TableParagraph"/>
              <w:spacing w:line="273" w:lineRule="exact"/>
              <w:ind w:left="117"/>
              <w:jc w:val="left"/>
              <w:rPr>
                <w:sz w:val="24"/>
              </w:rPr>
            </w:pPr>
            <w:r>
              <w:rPr>
                <w:spacing w:val="-5"/>
                <w:sz w:val="24"/>
              </w:rPr>
              <w:t>B6</w:t>
            </w:r>
          </w:p>
        </w:tc>
        <w:tc>
          <w:tcPr>
            <w:tcW w:w="990" w:type="dxa"/>
          </w:tcPr>
          <w:p>
            <w:pPr>
              <w:pStyle w:val="TableParagraph"/>
              <w:spacing w:line="273" w:lineRule="exact"/>
              <w:ind w:left="113"/>
              <w:jc w:val="left"/>
              <w:rPr>
                <w:sz w:val="24"/>
              </w:rPr>
            </w:pPr>
            <w:r>
              <w:rPr>
                <w:spacing w:val="-5"/>
                <w:sz w:val="24"/>
              </w:rPr>
              <w:t>7.8</w:t>
            </w:r>
          </w:p>
        </w:tc>
        <w:tc>
          <w:tcPr>
            <w:tcW w:w="928" w:type="dxa"/>
          </w:tcPr>
          <w:p>
            <w:pPr>
              <w:pStyle w:val="TableParagraph"/>
              <w:spacing w:line="273" w:lineRule="exact"/>
              <w:ind w:left="126"/>
              <w:jc w:val="left"/>
              <w:rPr>
                <w:sz w:val="24"/>
              </w:rPr>
            </w:pPr>
            <w:r>
              <w:rPr>
                <w:spacing w:val="-5"/>
                <w:sz w:val="24"/>
              </w:rPr>
              <w:t>B16</w:t>
            </w:r>
          </w:p>
        </w:tc>
        <w:tc>
          <w:tcPr>
            <w:tcW w:w="987" w:type="dxa"/>
          </w:tcPr>
          <w:p>
            <w:pPr>
              <w:pStyle w:val="TableParagraph"/>
              <w:spacing w:line="273" w:lineRule="exact"/>
              <w:ind w:left="110"/>
              <w:jc w:val="left"/>
              <w:rPr>
                <w:sz w:val="24"/>
              </w:rPr>
            </w:pPr>
            <w:r>
              <w:rPr>
                <w:spacing w:val="-5"/>
                <w:sz w:val="24"/>
              </w:rPr>
              <w:t>NG</w:t>
            </w:r>
          </w:p>
        </w:tc>
        <w:tc>
          <w:tcPr>
            <w:tcW w:w="928" w:type="dxa"/>
          </w:tcPr>
          <w:p>
            <w:pPr>
              <w:pStyle w:val="TableParagraph"/>
              <w:spacing w:line="273" w:lineRule="exact"/>
              <w:ind w:left="126"/>
              <w:jc w:val="left"/>
              <w:rPr>
                <w:sz w:val="24"/>
              </w:rPr>
            </w:pPr>
            <w:r>
              <w:rPr>
                <w:spacing w:val="-5"/>
                <w:sz w:val="24"/>
              </w:rPr>
              <w:t>B26</w:t>
            </w:r>
          </w:p>
        </w:tc>
        <w:tc>
          <w:tcPr>
            <w:tcW w:w="987" w:type="dxa"/>
          </w:tcPr>
          <w:p>
            <w:pPr>
              <w:pStyle w:val="TableParagraph"/>
              <w:spacing w:line="273" w:lineRule="exact"/>
              <w:ind w:left="110"/>
              <w:jc w:val="left"/>
              <w:rPr>
                <w:sz w:val="24"/>
              </w:rPr>
            </w:pPr>
            <w:r>
              <w:rPr>
                <w:spacing w:val="-5"/>
                <w:sz w:val="24"/>
              </w:rPr>
              <w:t>NG</w:t>
            </w:r>
          </w:p>
        </w:tc>
        <w:tc>
          <w:tcPr>
            <w:tcW w:w="928" w:type="dxa"/>
          </w:tcPr>
          <w:p>
            <w:pPr>
              <w:pStyle w:val="TableParagraph"/>
              <w:spacing w:line="273" w:lineRule="exact"/>
              <w:ind w:left="126"/>
              <w:jc w:val="left"/>
              <w:rPr>
                <w:sz w:val="24"/>
              </w:rPr>
            </w:pPr>
            <w:r>
              <w:rPr>
                <w:spacing w:val="-5"/>
                <w:sz w:val="24"/>
              </w:rPr>
              <w:t>B36</w:t>
            </w:r>
          </w:p>
        </w:tc>
        <w:tc>
          <w:tcPr>
            <w:tcW w:w="985" w:type="dxa"/>
          </w:tcPr>
          <w:p>
            <w:pPr>
              <w:pStyle w:val="TableParagraph"/>
              <w:spacing w:line="273" w:lineRule="exact"/>
              <w:ind w:left="111"/>
              <w:jc w:val="left"/>
              <w:rPr>
                <w:sz w:val="24"/>
              </w:rPr>
            </w:pPr>
            <w:r>
              <w:rPr>
                <w:spacing w:val="-5"/>
                <w:sz w:val="24"/>
              </w:rPr>
              <w:t>1.2</w:t>
            </w:r>
          </w:p>
        </w:tc>
        <w:tc>
          <w:tcPr>
            <w:tcW w:w="926" w:type="dxa"/>
          </w:tcPr>
          <w:p>
            <w:pPr>
              <w:pStyle w:val="TableParagraph"/>
              <w:spacing w:line="273" w:lineRule="exact"/>
              <w:ind w:left="124"/>
              <w:jc w:val="left"/>
              <w:rPr>
                <w:sz w:val="24"/>
              </w:rPr>
            </w:pPr>
            <w:r>
              <w:rPr>
                <w:spacing w:val="-5"/>
                <w:sz w:val="24"/>
              </w:rPr>
              <w:t>B46</w:t>
            </w:r>
          </w:p>
        </w:tc>
        <w:tc>
          <w:tcPr>
            <w:tcW w:w="1009" w:type="dxa"/>
          </w:tcPr>
          <w:p>
            <w:pPr>
              <w:pStyle w:val="TableParagraph"/>
              <w:spacing w:line="273"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B7</w:t>
            </w:r>
          </w:p>
        </w:tc>
        <w:tc>
          <w:tcPr>
            <w:tcW w:w="990" w:type="dxa"/>
          </w:tcPr>
          <w:p>
            <w:pPr>
              <w:pStyle w:val="TableParagraph"/>
              <w:spacing w:line="271" w:lineRule="exact"/>
              <w:ind w:left="113"/>
              <w:jc w:val="left"/>
              <w:rPr>
                <w:sz w:val="24"/>
              </w:rPr>
            </w:pPr>
            <w:r>
              <w:rPr>
                <w:spacing w:val="-5"/>
                <w:sz w:val="24"/>
              </w:rPr>
              <w:t>1.2</w:t>
            </w:r>
          </w:p>
        </w:tc>
        <w:tc>
          <w:tcPr>
            <w:tcW w:w="928" w:type="dxa"/>
          </w:tcPr>
          <w:p>
            <w:pPr>
              <w:pStyle w:val="TableParagraph"/>
              <w:spacing w:line="271" w:lineRule="exact"/>
              <w:ind w:left="126"/>
              <w:jc w:val="left"/>
              <w:rPr>
                <w:sz w:val="24"/>
              </w:rPr>
            </w:pPr>
            <w:r>
              <w:rPr>
                <w:spacing w:val="-5"/>
                <w:sz w:val="24"/>
              </w:rPr>
              <w:t>B17</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B27</w:t>
            </w:r>
          </w:p>
        </w:tc>
        <w:tc>
          <w:tcPr>
            <w:tcW w:w="987" w:type="dxa"/>
          </w:tcPr>
          <w:p>
            <w:pPr>
              <w:pStyle w:val="TableParagraph"/>
              <w:spacing w:line="271" w:lineRule="exact"/>
              <w:ind w:left="110"/>
              <w:jc w:val="left"/>
              <w:rPr>
                <w:sz w:val="24"/>
              </w:rPr>
            </w:pPr>
            <w:r>
              <w:rPr>
                <w:spacing w:val="-5"/>
                <w:sz w:val="24"/>
              </w:rPr>
              <w:t>4.5</w:t>
            </w:r>
          </w:p>
        </w:tc>
        <w:tc>
          <w:tcPr>
            <w:tcW w:w="928" w:type="dxa"/>
          </w:tcPr>
          <w:p>
            <w:pPr>
              <w:pStyle w:val="TableParagraph"/>
              <w:spacing w:line="271" w:lineRule="exact"/>
              <w:ind w:left="126"/>
              <w:jc w:val="left"/>
              <w:rPr>
                <w:sz w:val="24"/>
              </w:rPr>
            </w:pPr>
            <w:r>
              <w:rPr>
                <w:spacing w:val="-5"/>
                <w:sz w:val="24"/>
              </w:rPr>
              <w:t>B37</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B47</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B8</w:t>
            </w:r>
          </w:p>
        </w:tc>
        <w:tc>
          <w:tcPr>
            <w:tcW w:w="990" w:type="dxa"/>
          </w:tcPr>
          <w:p>
            <w:pPr>
              <w:pStyle w:val="TableParagraph"/>
              <w:spacing w:line="271" w:lineRule="exact"/>
              <w:ind w:left="113"/>
              <w:jc w:val="left"/>
              <w:rPr>
                <w:sz w:val="24"/>
              </w:rPr>
            </w:pPr>
            <w:r>
              <w:rPr>
                <w:spacing w:val="-5"/>
                <w:sz w:val="24"/>
              </w:rPr>
              <w:t>5.3</w:t>
            </w:r>
          </w:p>
        </w:tc>
        <w:tc>
          <w:tcPr>
            <w:tcW w:w="928" w:type="dxa"/>
          </w:tcPr>
          <w:p>
            <w:pPr>
              <w:pStyle w:val="TableParagraph"/>
              <w:spacing w:line="271" w:lineRule="exact"/>
              <w:ind w:left="126"/>
              <w:jc w:val="left"/>
              <w:rPr>
                <w:sz w:val="24"/>
              </w:rPr>
            </w:pPr>
            <w:r>
              <w:rPr>
                <w:spacing w:val="-5"/>
                <w:sz w:val="24"/>
              </w:rPr>
              <w:t>B18</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B28</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B38</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B48</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B9</w:t>
            </w:r>
          </w:p>
        </w:tc>
        <w:tc>
          <w:tcPr>
            <w:tcW w:w="990" w:type="dxa"/>
          </w:tcPr>
          <w:p>
            <w:pPr>
              <w:pStyle w:val="TableParagraph"/>
              <w:spacing w:line="271" w:lineRule="exact"/>
              <w:ind w:left="113"/>
              <w:jc w:val="left"/>
              <w:rPr>
                <w:sz w:val="24"/>
              </w:rPr>
            </w:pPr>
            <w:r>
              <w:rPr>
                <w:spacing w:val="-5"/>
                <w:sz w:val="24"/>
              </w:rPr>
              <w:t>2.2</w:t>
            </w:r>
          </w:p>
        </w:tc>
        <w:tc>
          <w:tcPr>
            <w:tcW w:w="928" w:type="dxa"/>
          </w:tcPr>
          <w:p>
            <w:pPr>
              <w:pStyle w:val="TableParagraph"/>
              <w:spacing w:line="271" w:lineRule="exact"/>
              <w:ind w:left="126"/>
              <w:jc w:val="left"/>
              <w:rPr>
                <w:sz w:val="24"/>
              </w:rPr>
            </w:pPr>
            <w:r>
              <w:rPr>
                <w:spacing w:val="-5"/>
                <w:sz w:val="24"/>
              </w:rPr>
              <w:t>B19</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B29</w:t>
            </w:r>
          </w:p>
        </w:tc>
        <w:tc>
          <w:tcPr>
            <w:tcW w:w="987" w:type="dxa"/>
          </w:tcPr>
          <w:p>
            <w:pPr>
              <w:pStyle w:val="TableParagraph"/>
              <w:spacing w:line="271" w:lineRule="exact"/>
              <w:ind w:left="110"/>
              <w:jc w:val="left"/>
              <w:rPr>
                <w:sz w:val="24"/>
              </w:rPr>
            </w:pPr>
            <w:r>
              <w:rPr>
                <w:spacing w:val="-4"/>
                <w:sz w:val="24"/>
              </w:rPr>
              <w:t>12.9</w:t>
            </w:r>
          </w:p>
        </w:tc>
        <w:tc>
          <w:tcPr>
            <w:tcW w:w="928" w:type="dxa"/>
          </w:tcPr>
          <w:p>
            <w:pPr>
              <w:pStyle w:val="TableParagraph"/>
              <w:spacing w:line="271" w:lineRule="exact"/>
              <w:ind w:left="126"/>
              <w:jc w:val="left"/>
              <w:rPr>
                <w:sz w:val="24"/>
              </w:rPr>
            </w:pPr>
            <w:r>
              <w:rPr>
                <w:spacing w:val="-5"/>
                <w:sz w:val="24"/>
              </w:rPr>
              <w:t>B39</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B49</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B10</w:t>
            </w:r>
          </w:p>
        </w:tc>
        <w:tc>
          <w:tcPr>
            <w:tcW w:w="990" w:type="dxa"/>
          </w:tcPr>
          <w:p>
            <w:pPr>
              <w:pStyle w:val="TableParagraph"/>
              <w:spacing w:line="271" w:lineRule="exact"/>
              <w:ind w:left="113"/>
              <w:jc w:val="left"/>
              <w:rPr>
                <w:sz w:val="24"/>
              </w:rPr>
            </w:pPr>
            <w:r>
              <w:rPr>
                <w:spacing w:val="-5"/>
                <w:sz w:val="24"/>
              </w:rPr>
              <w:t>4.5</w:t>
            </w:r>
          </w:p>
        </w:tc>
        <w:tc>
          <w:tcPr>
            <w:tcW w:w="928" w:type="dxa"/>
          </w:tcPr>
          <w:p>
            <w:pPr>
              <w:pStyle w:val="TableParagraph"/>
              <w:spacing w:line="271" w:lineRule="exact"/>
              <w:ind w:left="126"/>
              <w:jc w:val="left"/>
              <w:rPr>
                <w:sz w:val="24"/>
              </w:rPr>
            </w:pPr>
            <w:r>
              <w:rPr>
                <w:spacing w:val="-5"/>
                <w:sz w:val="24"/>
              </w:rPr>
              <w:t>B20</w:t>
            </w:r>
          </w:p>
        </w:tc>
        <w:tc>
          <w:tcPr>
            <w:tcW w:w="987" w:type="dxa"/>
          </w:tcPr>
          <w:p>
            <w:pPr>
              <w:pStyle w:val="TableParagraph"/>
              <w:spacing w:line="271" w:lineRule="exact"/>
              <w:ind w:left="110"/>
              <w:jc w:val="left"/>
              <w:rPr>
                <w:sz w:val="24"/>
              </w:rPr>
            </w:pPr>
            <w:r>
              <w:rPr>
                <w:spacing w:val="-5"/>
                <w:sz w:val="24"/>
              </w:rPr>
              <w:t>2.4</w:t>
            </w:r>
          </w:p>
        </w:tc>
        <w:tc>
          <w:tcPr>
            <w:tcW w:w="928" w:type="dxa"/>
          </w:tcPr>
          <w:p>
            <w:pPr>
              <w:pStyle w:val="TableParagraph"/>
              <w:spacing w:line="271" w:lineRule="exact"/>
              <w:ind w:left="126"/>
              <w:jc w:val="left"/>
              <w:rPr>
                <w:sz w:val="24"/>
              </w:rPr>
            </w:pPr>
            <w:r>
              <w:rPr>
                <w:spacing w:val="-5"/>
                <w:sz w:val="24"/>
              </w:rPr>
              <w:t>B30</w:t>
            </w:r>
          </w:p>
        </w:tc>
        <w:tc>
          <w:tcPr>
            <w:tcW w:w="987" w:type="dxa"/>
          </w:tcPr>
          <w:p>
            <w:pPr>
              <w:pStyle w:val="TableParagraph"/>
              <w:spacing w:line="271" w:lineRule="exact"/>
              <w:ind w:left="110"/>
              <w:jc w:val="left"/>
              <w:rPr>
                <w:sz w:val="24"/>
              </w:rPr>
            </w:pPr>
            <w:r>
              <w:rPr>
                <w:spacing w:val="-5"/>
                <w:sz w:val="24"/>
              </w:rPr>
              <w:t>7.2</w:t>
            </w:r>
          </w:p>
        </w:tc>
        <w:tc>
          <w:tcPr>
            <w:tcW w:w="928" w:type="dxa"/>
          </w:tcPr>
          <w:p>
            <w:pPr>
              <w:pStyle w:val="TableParagraph"/>
              <w:spacing w:line="271" w:lineRule="exact"/>
              <w:ind w:left="126"/>
              <w:jc w:val="left"/>
              <w:rPr>
                <w:sz w:val="24"/>
              </w:rPr>
            </w:pPr>
            <w:r>
              <w:rPr>
                <w:spacing w:val="-5"/>
                <w:sz w:val="24"/>
              </w:rPr>
              <w:t>B40</w:t>
            </w:r>
          </w:p>
        </w:tc>
        <w:tc>
          <w:tcPr>
            <w:tcW w:w="985" w:type="dxa"/>
          </w:tcPr>
          <w:p>
            <w:pPr>
              <w:pStyle w:val="TableParagraph"/>
              <w:spacing w:line="271" w:lineRule="exact"/>
              <w:ind w:left="111"/>
              <w:jc w:val="left"/>
              <w:rPr>
                <w:sz w:val="24"/>
              </w:rPr>
            </w:pPr>
            <w:r>
              <w:rPr>
                <w:spacing w:val="-5"/>
                <w:sz w:val="24"/>
              </w:rPr>
              <w:t>1.9</w:t>
            </w:r>
          </w:p>
        </w:tc>
        <w:tc>
          <w:tcPr>
            <w:tcW w:w="926" w:type="dxa"/>
          </w:tcPr>
          <w:p>
            <w:pPr>
              <w:pStyle w:val="TableParagraph"/>
              <w:spacing w:line="271" w:lineRule="exact"/>
              <w:ind w:left="124"/>
              <w:jc w:val="left"/>
              <w:rPr>
                <w:sz w:val="24"/>
              </w:rPr>
            </w:pPr>
            <w:r>
              <w:rPr>
                <w:spacing w:val="-5"/>
                <w:sz w:val="24"/>
              </w:rPr>
              <w:t>B50</w:t>
            </w:r>
          </w:p>
        </w:tc>
        <w:tc>
          <w:tcPr>
            <w:tcW w:w="1009" w:type="dxa"/>
          </w:tcPr>
          <w:p>
            <w:pPr>
              <w:pStyle w:val="TableParagraph"/>
              <w:spacing w:line="271" w:lineRule="exact"/>
              <w:ind w:left="110"/>
              <w:jc w:val="left"/>
              <w:rPr>
                <w:sz w:val="24"/>
              </w:rPr>
            </w:pPr>
            <w:r>
              <w:rPr>
                <w:spacing w:val="-5"/>
                <w:sz w:val="24"/>
              </w:rPr>
              <w:t>2.2</w:t>
            </w:r>
          </w:p>
        </w:tc>
      </w:tr>
      <w:tr>
        <w:trPr>
          <w:trHeight w:val="292" w:hRule="atLeast"/>
        </w:trPr>
        <w:tc>
          <w:tcPr>
            <w:tcW w:w="921" w:type="dxa"/>
          </w:tcPr>
          <w:p>
            <w:pPr>
              <w:pStyle w:val="TableParagraph"/>
              <w:spacing w:line="271" w:lineRule="exact"/>
              <w:ind w:left="117"/>
              <w:jc w:val="left"/>
              <w:rPr>
                <w:sz w:val="24"/>
              </w:rPr>
            </w:pPr>
            <w:r>
              <w:rPr>
                <w:spacing w:val="-5"/>
                <w:sz w:val="24"/>
              </w:rPr>
              <w:t>Z1</w:t>
            </w:r>
          </w:p>
        </w:tc>
        <w:tc>
          <w:tcPr>
            <w:tcW w:w="990" w:type="dxa"/>
          </w:tcPr>
          <w:p>
            <w:pPr>
              <w:pStyle w:val="TableParagraph"/>
              <w:spacing w:line="271" w:lineRule="exact"/>
              <w:ind w:left="113"/>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Z11</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Z21</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Z31</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Z41</w:t>
            </w:r>
          </w:p>
        </w:tc>
        <w:tc>
          <w:tcPr>
            <w:tcW w:w="1009" w:type="dxa"/>
          </w:tcPr>
          <w:p>
            <w:pPr>
              <w:pStyle w:val="TableParagraph"/>
              <w:spacing w:line="271" w:lineRule="exact"/>
              <w:ind w:left="110"/>
              <w:jc w:val="left"/>
              <w:rPr>
                <w:sz w:val="24"/>
              </w:rPr>
            </w:pPr>
            <w:r>
              <w:rPr>
                <w:spacing w:val="-5"/>
                <w:sz w:val="24"/>
              </w:rPr>
              <w:t>2.0</w:t>
            </w:r>
          </w:p>
        </w:tc>
      </w:tr>
      <w:tr>
        <w:trPr>
          <w:trHeight w:val="292" w:hRule="atLeast"/>
        </w:trPr>
        <w:tc>
          <w:tcPr>
            <w:tcW w:w="921" w:type="dxa"/>
          </w:tcPr>
          <w:p>
            <w:pPr>
              <w:pStyle w:val="TableParagraph"/>
              <w:spacing w:line="271" w:lineRule="exact"/>
              <w:ind w:left="117"/>
              <w:jc w:val="left"/>
              <w:rPr>
                <w:sz w:val="24"/>
              </w:rPr>
            </w:pPr>
            <w:r>
              <w:rPr>
                <w:spacing w:val="-5"/>
                <w:sz w:val="24"/>
              </w:rPr>
              <w:t>Z2</w:t>
            </w:r>
          </w:p>
        </w:tc>
        <w:tc>
          <w:tcPr>
            <w:tcW w:w="990" w:type="dxa"/>
          </w:tcPr>
          <w:p>
            <w:pPr>
              <w:pStyle w:val="TableParagraph"/>
              <w:spacing w:line="271" w:lineRule="exact"/>
              <w:ind w:left="113"/>
              <w:jc w:val="left"/>
              <w:rPr>
                <w:sz w:val="24"/>
              </w:rPr>
            </w:pPr>
            <w:r>
              <w:rPr>
                <w:spacing w:val="-5"/>
                <w:sz w:val="24"/>
              </w:rPr>
              <w:t>5.2</w:t>
            </w:r>
          </w:p>
        </w:tc>
        <w:tc>
          <w:tcPr>
            <w:tcW w:w="928" w:type="dxa"/>
          </w:tcPr>
          <w:p>
            <w:pPr>
              <w:pStyle w:val="TableParagraph"/>
              <w:spacing w:line="271" w:lineRule="exact"/>
              <w:ind w:left="126"/>
              <w:jc w:val="left"/>
              <w:rPr>
                <w:sz w:val="24"/>
              </w:rPr>
            </w:pPr>
            <w:r>
              <w:rPr>
                <w:spacing w:val="-5"/>
                <w:sz w:val="24"/>
              </w:rPr>
              <w:t>Z12</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Z22</w:t>
            </w:r>
          </w:p>
        </w:tc>
        <w:tc>
          <w:tcPr>
            <w:tcW w:w="987" w:type="dxa"/>
          </w:tcPr>
          <w:p>
            <w:pPr>
              <w:pStyle w:val="TableParagraph"/>
              <w:spacing w:line="271" w:lineRule="exact"/>
              <w:ind w:left="110"/>
              <w:jc w:val="left"/>
              <w:rPr>
                <w:sz w:val="24"/>
              </w:rPr>
            </w:pPr>
            <w:r>
              <w:rPr>
                <w:spacing w:val="-5"/>
                <w:sz w:val="24"/>
              </w:rPr>
              <w:t>1.8</w:t>
            </w:r>
          </w:p>
        </w:tc>
        <w:tc>
          <w:tcPr>
            <w:tcW w:w="928" w:type="dxa"/>
          </w:tcPr>
          <w:p>
            <w:pPr>
              <w:pStyle w:val="TableParagraph"/>
              <w:spacing w:line="271" w:lineRule="exact"/>
              <w:ind w:left="126"/>
              <w:jc w:val="left"/>
              <w:rPr>
                <w:sz w:val="24"/>
              </w:rPr>
            </w:pPr>
            <w:r>
              <w:rPr>
                <w:spacing w:val="-5"/>
                <w:sz w:val="24"/>
              </w:rPr>
              <w:t>Z32</w:t>
            </w:r>
          </w:p>
        </w:tc>
        <w:tc>
          <w:tcPr>
            <w:tcW w:w="985" w:type="dxa"/>
          </w:tcPr>
          <w:p>
            <w:pPr>
              <w:pStyle w:val="TableParagraph"/>
              <w:spacing w:line="271" w:lineRule="exact"/>
              <w:ind w:left="111"/>
              <w:jc w:val="left"/>
              <w:rPr>
                <w:sz w:val="24"/>
              </w:rPr>
            </w:pPr>
            <w:r>
              <w:rPr>
                <w:spacing w:val="-5"/>
                <w:sz w:val="24"/>
              </w:rPr>
              <w:t>2.1</w:t>
            </w:r>
          </w:p>
        </w:tc>
        <w:tc>
          <w:tcPr>
            <w:tcW w:w="926" w:type="dxa"/>
          </w:tcPr>
          <w:p>
            <w:pPr>
              <w:pStyle w:val="TableParagraph"/>
              <w:spacing w:line="271" w:lineRule="exact"/>
              <w:ind w:left="124"/>
              <w:jc w:val="left"/>
              <w:rPr>
                <w:sz w:val="24"/>
              </w:rPr>
            </w:pPr>
            <w:r>
              <w:rPr>
                <w:spacing w:val="-5"/>
                <w:sz w:val="24"/>
              </w:rPr>
              <w:t>Z42</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Z3</w:t>
            </w:r>
          </w:p>
        </w:tc>
        <w:tc>
          <w:tcPr>
            <w:tcW w:w="990" w:type="dxa"/>
          </w:tcPr>
          <w:p>
            <w:pPr>
              <w:pStyle w:val="TableParagraph"/>
              <w:spacing w:line="271" w:lineRule="exact"/>
              <w:ind w:left="113"/>
              <w:jc w:val="left"/>
              <w:rPr>
                <w:sz w:val="24"/>
              </w:rPr>
            </w:pPr>
            <w:r>
              <w:rPr>
                <w:spacing w:val="-5"/>
                <w:sz w:val="24"/>
              </w:rPr>
              <w:t>3.1</w:t>
            </w:r>
          </w:p>
        </w:tc>
        <w:tc>
          <w:tcPr>
            <w:tcW w:w="928" w:type="dxa"/>
          </w:tcPr>
          <w:p>
            <w:pPr>
              <w:pStyle w:val="TableParagraph"/>
              <w:spacing w:line="271" w:lineRule="exact"/>
              <w:ind w:left="126"/>
              <w:jc w:val="left"/>
              <w:rPr>
                <w:sz w:val="24"/>
              </w:rPr>
            </w:pPr>
            <w:r>
              <w:rPr>
                <w:spacing w:val="-5"/>
                <w:sz w:val="24"/>
              </w:rPr>
              <w:t>Z13</w:t>
            </w:r>
          </w:p>
        </w:tc>
        <w:tc>
          <w:tcPr>
            <w:tcW w:w="987" w:type="dxa"/>
          </w:tcPr>
          <w:p>
            <w:pPr>
              <w:pStyle w:val="TableParagraph"/>
              <w:spacing w:line="271" w:lineRule="exact"/>
              <w:ind w:left="110"/>
              <w:jc w:val="left"/>
              <w:rPr>
                <w:sz w:val="24"/>
              </w:rPr>
            </w:pPr>
            <w:r>
              <w:rPr>
                <w:spacing w:val="-5"/>
                <w:sz w:val="24"/>
              </w:rPr>
              <w:t>1.2</w:t>
            </w:r>
          </w:p>
        </w:tc>
        <w:tc>
          <w:tcPr>
            <w:tcW w:w="928" w:type="dxa"/>
          </w:tcPr>
          <w:p>
            <w:pPr>
              <w:pStyle w:val="TableParagraph"/>
              <w:spacing w:line="271" w:lineRule="exact"/>
              <w:ind w:left="126"/>
              <w:jc w:val="left"/>
              <w:rPr>
                <w:sz w:val="24"/>
              </w:rPr>
            </w:pPr>
            <w:r>
              <w:rPr>
                <w:spacing w:val="-5"/>
                <w:sz w:val="24"/>
              </w:rPr>
              <w:t>Z23</w:t>
            </w:r>
          </w:p>
        </w:tc>
        <w:tc>
          <w:tcPr>
            <w:tcW w:w="987" w:type="dxa"/>
          </w:tcPr>
          <w:p>
            <w:pPr>
              <w:pStyle w:val="TableParagraph"/>
              <w:spacing w:line="271" w:lineRule="exact"/>
              <w:ind w:left="110"/>
              <w:jc w:val="left"/>
              <w:rPr>
                <w:sz w:val="24"/>
              </w:rPr>
            </w:pPr>
            <w:r>
              <w:rPr>
                <w:spacing w:val="-5"/>
                <w:sz w:val="24"/>
              </w:rPr>
              <w:t>2.5</w:t>
            </w:r>
          </w:p>
        </w:tc>
        <w:tc>
          <w:tcPr>
            <w:tcW w:w="928" w:type="dxa"/>
          </w:tcPr>
          <w:p>
            <w:pPr>
              <w:pStyle w:val="TableParagraph"/>
              <w:spacing w:line="271" w:lineRule="exact"/>
              <w:ind w:left="126"/>
              <w:jc w:val="left"/>
              <w:rPr>
                <w:sz w:val="24"/>
              </w:rPr>
            </w:pPr>
            <w:r>
              <w:rPr>
                <w:spacing w:val="-5"/>
                <w:sz w:val="24"/>
              </w:rPr>
              <w:t>Z33</w:t>
            </w:r>
          </w:p>
        </w:tc>
        <w:tc>
          <w:tcPr>
            <w:tcW w:w="985" w:type="dxa"/>
          </w:tcPr>
          <w:p>
            <w:pPr>
              <w:pStyle w:val="TableParagraph"/>
              <w:spacing w:line="271" w:lineRule="exact"/>
              <w:ind w:left="111"/>
              <w:jc w:val="left"/>
              <w:rPr>
                <w:sz w:val="24"/>
              </w:rPr>
            </w:pPr>
            <w:r>
              <w:rPr>
                <w:spacing w:val="-5"/>
                <w:sz w:val="24"/>
              </w:rPr>
              <w:t>8.0</w:t>
            </w:r>
          </w:p>
        </w:tc>
        <w:tc>
          <w:tcPr>
            <w:tcW w:w="926" w:type="dxa"/>
          </w:tcPr>
          <w:p>
            <w:pPr>
              <w:pStyle w:val="TableParagraph"/>
              <w:spacing w:line="271" w:lineRule="exact"/>
              <w:ind w:left="124"/>
              <w:jc w:val="left"/>
              <w:rPr>
                <w:sz w:val="24"/>
              </w:rPr>
            </w:pPr>
            <w:r>
              <w:rPr>
                <w:spacing w:val="-5"/>
                <w:sz w:val="24"/>
              </w:rPr>
              <w:t>Z43</w:t>
            </w:r>
          </w:p>
        </w:tc>
        <w:tc>
          <w:tcPr>
            <w:tcW w:w="1009" w:type="dxa"/>
          </w:tcPr>
          <w:p>
            <w:pPr>
              <w:pStyle w:val="TableParagraph"/>
              <w:spacing w:line="271" w:lineRule="exact"/>
              <w:ind w:left="110"/>
              <w:jc w:val="left"/>
              <w:rPr>
                <w:sz w:val="24"/>
              </w:rPr>
            </w:pPr>
            <w:r>
              <w:rPr>
                <w:spacing w:val="-5"/>
                <w:sz w:val="24"/>
              </w:rPr>
              <w:t>3.0</w:t>
            </w:r>
          </w:p>
        </w:tc>
      </w:tr>
      <w:tr>
        <w:trPr>
          <w:trHeight w:val="292" w:hRule="atLeast"/>
        </w:trPr>
        <w:tc>
          <w:tcPr>
            <w:tcW w:w="921" w:type="dxa"/>
          </w:tcPr>
          <w:p>
            <w:pPr>
              <w:pStyle w:val="TableParagraph"/>
              <w:spacing w:line="271" w:lineRule="exact"/>
              <w:ind w:left="117"/>
              <w:jc w:val="left"/>
              <w:rPr>
                <w:sz w:val="24"/>
              </w:rPr>
            </w:pPr>
            <w:r>
              <w:rPr>
                <w:spacing w:val="-5"/>
                <w:sz w:val="24"/>
              </w:rPr>
              <w:t>Z4</w:t>
            </w:r>
          </w:p>
        </w:tc>
        <w:tc>
          <w:tcPr>
            <w:tcW w:w="990" w:type="dxa"/>
          </w:tcPr>
          <w:p>
            <w:pPr>
              <w:pStyle w:val="TableParagraph"/>
              <w:spacing w:line="271" w:lineRule="exact"/>
              <w:ind w:left="113"/>
              <w:jc w:val="left"/>
              <w:rPr>
                <w:sz w:val="24"/>
              </w:rPr>
            </w:pPr>
            <w:r>
              <w:rPr>
                <w:spacing w:val="-5"/>
                <w:sz w:val="24"/>
              </w:rPr>
              <w:t>7.0</w:t>
            </w:r>
          </w:p>
        </w:tc>
        <w:tc>
          <w:tcPr>
            <w:tcW w:w="928" w:type="dxa"/>
          </w:tcPr>
          <w:p>
            <w:pPr>
              <w:pStyle w:val="TableParagraph"/>
              <w:spacing w:line="271" w:lineRule="exact"/>
              <w:ind w:left="126"/>
              <w:jc w:val="left"/>
              <w:rPr>
                <w:sz w:val="24"/>
              </w:rPr>
            </w:pPr>
            <w:r>
              <w:rPr>
                <w:spacing w:val="-5"/>
                <w:sz w:val="24"/>
              </w:rPr>
              <w:t>Z14</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Z24</w:t>
            </w:r>
          </w:p>
        </w:tc>
        <w:tc>
          <w:tcPr>
            <w:tcW w:w="987" w:type="dxa"/>
          </w:tcPr>
          <w:p>
            <w:pPr>
              <w:pStyle w:val="TableParagraph"/>
              <w:spacing w:line="271" w:lineRule="exact"/>
              <w:ind w:left="110"/>
              <w:jc w:val="left"/>
              <w:rPr>
                <w:sz w:val="24"/>
              </w:rPr>
            </w:pPr>
            <w:r>
              <w:rPr>
                <w:spacing w:val="-5"/>
                <w:sz w:val="24"/>
              </w:rPr>
              <w:t>3.4</w:t>
            </w:r>
          </w:p>
        </w:tc>
        <w:tc>
          <w:tcPr>
            <w:tcW w:w="928" w:type="dxa"/>
          </w:tcPr>
          <w:p>
            <w:pPr>
              <w:pStyle w:val="TableParagraph"/>
              <w:spacing w:line="271" w:lineRule="exact"/>
              <w:ind w:left="126"/>
              <w:jc w:val="left"/>
              <w:rPr>
                <w:sz w:val="24"/>
              </w:rPr>
            </w:pPr>
            <w:r>
              <w:rPr>
                <w:spacing w:val="-5"/>
                <w:sz w:val="24"/>
              </w:rPr>
              <w:t>Z34</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Z44</w:t>
            </w:r>
          </w:p>
        </w:tc>
        <w:tc>
          <w:tcPr>
            <w:tcW w:w="1009" w:type="dxa"/>
          </w:tcPr>
          <w:p>
            <w:pPr>
              <w:pStyle w:val="TableParagraph"/>
              <w:spacing w:line="271" w:lineRule="exact"/>
              <w:ind w:left="110"/>
              <w:jc w:val="left"/>
              <w:rPr>
                <w:sz w:val="24"/>
              </w:rPr>
            </w:pPr>
            <w:r>
              <w:rPr>
                <w:spacing w:val="-5"/>
                <w:sz w:val="24"/>
              </w:rPr>
              <w:t>5.0</w:t>
            </w:r>
          </w:p>
        </w:tc>
      </w:tr>
      <w:tr>
        <w:trPr>
          <w:trHeight w:val="292" w:hRule="atLeast"/>
        </w:trPr>
        <w:tc>
          <w:tcPr>
            <w:tcW w:w="921" w:type="dxa"/>
          </w:tcPr>
          <w:p>
            <w:pPr>
              <w:pStyle w:val="TableParagraph"/>
              <w:spacing w:line="271" w:lineRule="exact"/>
              <w:ind w:left="117"/>
              <w:jc w:val="left"/>
              <w:rPr>
                <w:sz w:val="24"/>
              </w:rPr>
            </w:pPr>
            <w:r>
              <w:rPr>
                <w:spacing w:val="-5"/>
                <w:sz w:val="24"/>
              </w:rPr>
              <w:t>Z5</w:t>
            </w:r>
          </w:p>
        </w:tc>
        <w:tc>
          <w:tcPr>
            <w:tcW w:w="990" w:type="dxa"/>
          </w:tcPr>
          <w:p>
            <w:pPr>
              <w:pStyle w:val="TableParagraph"/>
              <w:spacing w:line="271" w:lineRule="exact"/>
              <w:ind w:left="113"/>
              <w:jc w:val="left"/>
              <w:rPr>
                <w:sz w:val="24"/>
              </w:rPr>
            </w:pPr>
            <w:r>
              <w:rPr>
                <w:spacing w:val="-5"/>
                <w:sz w:val="24"/>
              </w:rPr>
              <w:t>1.1</w:t>
            </w:r>
          </w:p>
        </w:tc>
        <w:tc>
          <w:tcPr>
            <w:tcW w:w="928" w:type="dxa"/>
          </w:tcPr>
          <w:p>
            <w:pPr>
              <w:pStyle w:val="TableParagraph"/>
              <w:spacing w:line="271" w:lineRule="exact"/>
              <w:ind w:left="126"/>
              <w:jc w:val="left"/>
              <w:rPr>
                <w:sz w:val="24"/>
              </w:rPr>
            </w:pPr>
            <w:r>
              <w:rPr>
                <w:spacing w:val="-5"/>
                <w:sz w:val="24"/>
              </w:rPr>
              <w:t>Z15</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Z25</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Z35</w:t>
            </w:r>
          </w:p>
        </w:tc>
        <w:tc>
          <w:tcPr>
            <w:tcW w:w="985" w:type="dxa"/>
          </w:tcPr>
          <w:p>
            <w:pPr>
              <w:pStyle w:val="TableParagraph"/>
              <w:spacing w:line="271" w:lineRule="exact"/>
              <w:ind w:left="111"/>
              <w:jc w:val="left"/>
              <w:rPr>
                <w:sz w:val="24"/>
              </w:rPr>
            </w:pPr>
            <w:r>
              <w:rPr>
                <w:spacing w:val="-5"/>
                <w:sz w:val="24"/>
              </w:rPr>
              <w:t>1.7</w:t>
            </w:r>
          </w:p>
        </w:tc>
        <w:tc>
          <w:tcPr>
            <w:tcW w:w="926" w:type="dxa"/>
          </w:tcPr>
          <w:p>
            <w:pPr>
              <w:pStyle w:val="TableParagraph"/>
              <w:spacing w:line="271" w:lineRule="exact"/>
              <w:ind w:left="124"/>
              <w:jc w:val="left"/>
              <w:rPr>
                <w:sz w:val="24"/>
              </w:rPr>
            </w:pPr>
            <w:r>
              <w:rPr>
                <w:spacing w:val="-5"/>
                <w:sz w:val="24"/>
              </w:rPr>
              <w:t>Z45</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Z6</w:t>
            </w:r>
          </w:p>
        </w:tc>
        <w:tc>
          <w:tcPr>
            <w:tcW w:w="990" w:type="dxa"/>
          </w:tcPr>
          <w:p>
            <w:pPr>
              <w:pStyle w:val="TableParagraph"/>
              <w:spacing w:line="271" w:lineRule="exact"/>
              <w:ind w:left="113"/>
              <w:jc w:val="left"/>
              <w:rPr>
                <w:sz w:val="24"/>
              </w:rPr>
            </w:pPr>
            <w:r>
              <w:rPr>
                <w:spacing w:val="-5"/>
                <w:sz w:val="24"/>
              </w:rPr>
              <w:t>2.5</w:t>
            </w:r>
          </w:p>
        </w:tc>
        <w:tc>
          <w:tcPr>
            <w:tcW w:w="928" w:type="dxa"/>
          </w:tcPr>
          <w:p>
            <w:pPr>
              <w:pStyle w:val="TableParagraph"/>
              <w:spacing w:line="271" w:lineRule="exact"/>
              <w:ind w:left="126"/>
              <w:jc w:val="left"/>
              <w:rPr>
                <w:sz w:val="24"/>
              </w:rPr>
            </w:pPr>
            <w:r>
              <w:rPr>
                <w:spacing w:val="-5"/>
                <w:sz w:val="24"/>
              </w:rPr>
              <w:t>Z16</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Z26</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Z36</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Z46</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Z7</w:t>
            </w:r>
          </w:p>
        </w:tc>
        <w:tc>
          <w:tcPr>
            <w:tcW w:w="990" w:type="dxa"/>
          </w:tcPr>
          <w:p>
            <w:pPr>
              <w:pStyle w:val="TableParagraph"/>
              <w:spacing w:line="271" w:lineRule="exact"/>
              <w:ind w:left="113"/>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Z17</w:t>
            </w:r>
          </w:p>
        </w:tc>
        <w:tc>
          <w:tcPr>
            <w:tcW w:w="987" w:type="dxa"/>
          </w:tcPr>
          <w:p>
            <w:pPr>
              <w:pStyle w:val="TableParagraph"/>
              <w:spacing w:line="271" w:lineRule="exact"/>
              <w:ind w:left="110"/>
              <w:jc w:val="left"/>
              <w:rPr>
                <w:sz w:val="24"/>
              </w:rPr>
            </w:pPr>
            <w:r>
              <w:rPr>
                <w:spacing w:val="-5"/>
                <w:sz w:val="24"/>
              </w:rPr>
              <w:t>7.0</w:t>
            </w:r>
          </w:p>
        </w:tc>
        <w:tc>
          <w:tcPr>
            <w:tcW w:w="928" w:type="dxa"/>
          </w:tcPr>
          <w:p>
            <w:pPr>
              <w:pStyle w:val="TableParagraph"/>
              <w:spacing w:line="271" w:lineRule="exact"/>
              <w:ind w:left="126"/>
              <w:jc w:val="left"/>
              <w:rPr>
                <w:sz w:val="24"/>
              </w:rPr>
            </w:pPr>
            <w:r>
              <w:rPr>
                <w:spacing w:val="-5"/>
                <w:sz w:val="24"/>
              </w:rPr>
              <w:t>Z27</w:t>
            </w:r>
          </w:p>
        </w:tc>
        <w:tc>
          <w:tcPr>
            <w:tcW w:w="987" w:type="dxa"/>
          </w:tcPr>
          <w:p>
            <w:pPr>
              <w:pStyle w:val="TableParagraph"/>
              <w:spacing w:line="271" w:lineRule="exact"/>
              <w:ind w:left="110"/>
              <w:jc w:val="left"/>
              <w:rPr>
                <w:sz w:val="24"/>
              </w:rPr>
            </w:pPr>
            <w:r>
              <w:rPr>
                <w:spacing w:val="-5"/>
                <w:sz w:val="24"/>
              </w:rPr>
              <w:t>2.6</w:t>
            </w:r>
          </w:p>
        </w:tc>
        <w:tc>
          <w:tcPr>
            <w:tcW w:w="928" w:type="dxa"/>
          </w:tcPr>
          <w:p>
            <w:pPr>
              <w:pStyle w:val="TableParagraph"/>
              <w:spacing w:line="271" w:lineRule="exact"/>
              <w:ind w:left="126"/>
              <w:jc w:val="left"/>
              <w:rPr>
                <w:sz w:val="24"/>
              </w:rPr>
            </w:pPr>
            <w:r>
              <w:rPr>
                <w:spacing w:val="-5"/>
                <w:sz w:val="24"/>
              </w:rPr>
              <w:t>Z37</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Z47</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Z8</w:t>
            </w:r>
          </w:p>
        </w:tc>
        <w:tc>
          <w:tcPr>
            <w:tcW w:w="990" w:type="dxa"/>
          </w:tcPr>
          <w:p>
            <w:pPr>
              <w:pStyle w:val="TableParagraph"/>
              <w:spacing w:line="271" w:lineRule="exact"/>
              <w:ind w:left="113"/>
              <w:jc w:val="left"/>
              <w:rPr>
                <w:sz w:val="24"/>
              </w:rPr>
            </w:pPr>
            <w:r>
              <w:rPr>
                <w:spacing w:val="-5"/>
                <w:sz w:val="24"/>
              </w:rPr>
              <w:t>2.3</w:t>
            </w:r>
          </w:p>
        </w:tc>
        <w:tc>
          <w:tcPr>
            <w:tcW w:w="928" w:type="dxa"/>
          </w:tcPr>
          <w:p>
            <w:pPr>
              <w:pStyle w:val="TableParagraph"/>
              <w:spacing w:line="271" w:lineRule="exact"/>
              <w:ind w:left="126"/>
              <w:jc w:val="left"/>
              <w:rPr>
                <w:sz w:val="24"/>
              </w:rPr>
            </w:pPr>
            <w:r>
              <w:rPr>
                <w:spacing w:val="-5"/>
                <w:sz w:val="24"/>
              </w:rPr>
              <w:t>Z18</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Z28</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Z38</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Z48</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Z9</w:t>
            </w:r>
          </w:p>
        </w:tc>
        <w:tc>
          <w:tcPr>
            <w:tcW w:w="990" w:type="dxa"/>
          </w:tcPr>
          <w:p>
            <w:pPr>
              <w:pStyle w:val="TableParagraph"/>
              <w:spacing w:line="271" w:lineRule="exact"/>
              <w:ind w:left="113"/>
              <w:jc w:val="left"/>
              <w:rPr>
                <w:sz w:val="24"/>
              </w:rPr>
            </w:pPr>
            <w:r>
              <w:rPr>
                <w:spacing w:val="-5"/>
                <w:sz w:val="24"/>
              </w:rPr>
              <w:t>1.6</w:t>
            </w:r>
          </w:p>
        </w:tc>
        <w:tc>
          <w:tcPr>
            <w:tcW w:w="928" w:type="dxa"/>
          </w:tcPr>
          <w:p>
            <w:pPr>
              <w:pStyle w:val="TableParagraph"/>
              <w:spacing w:line="271" w:lineRule="exact"/>
              <w:ind w:left="126"/>
              <w:jc w:val="left"/>
              <w:rPr>
                <w:sz w:val="24"/>
              </w:rPr>
            </w:pPr>
            <w:r>
              <w:rPr>
                <w:spacing w:val="-5"/>
                <w:sz w:val="24"/>
              </w:rPr>
              <w:t>Z19</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Z29</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Z39</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Z49</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Z10</w:t>
            </w:r>
          </w:p>
        </w:tc>
        <w:tc>
          <w:tcPr>
            <w:tcW w:w="990" w:type="dxa"/>
          </w:tcPr>
          <w:p>
            <w:pPr>
              <w:pStyle w:val="TableParagraph"/>
              <w:spacing w:line="271" w:lineRule="exact"/>
              <w:ind w:left="113"/>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Z20</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Z30</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Z40</w:t>
            </w:r>
          </w:p>
        </w:tc>
        <w:tc>
          <w:tcPr>
            <w:tcW w:w="985" w:type="dxa"/>
          </w:tcPr>
          <w:p>
            <w:pPr>
              <w:pStyle w:val="TableParagraph"/>
              <w:spacing w:line="271" w:lineRule="exact"/>
              <w:ind w:left="111"/>
              <w:jc w:val="left"/>
              <w:rPr>
                <w:sz w:val="24"/>
              </w:rPr>
            </w:pPr>
            <w:r>
              <w:rPr>
                <w:spacing w:val="-5"/>
                <w:sz w:val="24"/>
              </w:rPr>
              <w:t>NG</w:t>
            </w:r>
          </w:p>
        </w:tc>
        <w:tc>
          <w:tcPr>
            <w:tcW w:w="926" w:type="dxa"/>
          </w:tcPr>
          <w:p>
            <w:pPr>
              <w:pStyle w:val="TableParagraph"/>
              <w:spacing w:line="271" w:lineRule="exact"/>
              <w:ind w:left="124"/>
              <w:jc w:val="left"/>
              <w:rPr>
                <w:sz w:val="24"/>
              </w:rPr>
            </w:pPr>
            <w:r>
              <w:rPr>
                <w:spacing w:val="-5"/>
                <w:sz w:val="24"/>
              </w:rPr>
              <w:t>Z50</w:t>
            </w:r>
          </w:p>
        </w:tc>
        <w:tc>
          <w:tcPr>
            <w:tcW w:w="1009" w:type="dxa"/>
          </w:tcPr>
          <w:p>
            <w:pPr>
              <w:pStyle w:val="TableParagraph"/>
              <w:spacing w:line="271" w:lineRule="exact"/>
              <w:ind w:left="110"/>
              <w:jc w:val="left"/>
              <w:rPr>
                <w:sz w:val="24"/>
              </w:rPr>
            </w:pPr>
            <w:r>
              <w:rPr>
                <w:spacing w:val="-5"/>
                <w:sz w:val="24"/>
              </w:rPr>
              <w:t>NG</w:t>
            </w:r>
          </w:p>
        </w:tc>
      </w:tr>
      <w:tr>
        <w:trPr>
          <w:trHeight w:val="292" w:hRule="atLeast"/>
        </w:trPr>
        <w:tc>
          <w:tcPr>
            <w:tcW w:w="921" w:type="dxa"/>
          </w:tcPr>
          <w:p>
            <w:pPr>
              <w:pStyle w:val="TableParagraph"/>
              <w:spacing w:line="271" w:lineRule="exact"/>
              <w:ind w:left="117"/>
              <w:jc w:val="left"/>
              <w:rPr>
                <w:sz w:val="24"/>
              </w:rPr>
            </w:pPr>
            <w:r>
              <w:rPr>
                <w:spacing w:val="-5"/>
                <w:sz w:val="24"/>
              </w:rPr>
              <w:t>S1</w:t>
            </w:r>
          </w:p>
        </w:tc>
        <w:tc>
          <w:tcPr>
            <w:tcW w:w="990" w:type="dxa"/>
          </w:tcPr>
          <w:p>
            <w:pPr>
              <w:pStyle w:val="TableParagraph"/>
              <w:spacing w:line="271" w:lineRule="exact"/>
              <w:ind w:left="113"/>
              <w:jc w:val="left"/>
              <w:rPr>
                <w:sz w:val="24"/>
              </w:rPr>
            </w:pPr>
            <w:r>
              <w:rPr>
                <w:spacing w:val="-4"/>
                <w:sz w:val="24"/>
              </w:rPr>
              <w:t>19.2</w:t>
            </w:r>
          </w:p>
        </w:tc>
        <w:tc>
          <w:tcPr>
            <w:tcW w:w="928" w:type="dxa"/>
          </w:tcPr>
          <w:p>
            <w:pPr>
              <w:pStyle w:val="TableParagraph"/>
              <w:spacing w:line="271" w:lineRule="exact"/>
              <w:ind w:left="126"/>
              <w:jc w:val="left"/>
              <w:rPr>
                <w:sz w:val="24"/>
              </w:rPr>
            </w:pPr>
            <w:r>
              <w:rPr>
                <w:spacing w:val="-5"/>
                <w:sz w:val="24"/>
              </w:rPr>
              <w:t>S11</w:t>
            </w:r>
          </w:p>
        </w:tc>
        <w:tc>
          <w:tcPr>
            <w:tcW w:w="987" w:type="dxa"/>
          </w:tcPr>
          <w:p>
            <w:pPr>
              <w:pStyle w:val="TableParagraph"/>
              <w:spacing w:line="271" w:lineRule="exact"/>
              <w:ind w:left="110"/>
              <w:jc w:val="left"/>
              <w:rPr>
                <w:sz w:val="24"/>
              </w:rPr>
            </w:pPr>
            <w:r>
              <w:rPr>
                <w:spacing w:val="-5"/>
                <w:sz w:val="24"/>
              </w:rPr>
              <w:t>6.3</w:t>
            </w:r>
          </w:p>
        </w:tc>
        <w:tc>
          <w:tcPr>
            <w:tcW w:w="928" w:type="dxa"/>
          </w:tcPr>
          <w:p>
            <w:pPr>
              <w:pStyle w:val="TableParagraph"/>
              <w:spacing w:line="271" w:lineRule="exact"/>
              <w:ind w:left="126"/>
              <w:jc w:val="left"/>
              <w:rPr>
                <w:sz w:val="24"/>
              </w:rPr>
            </w:pPr>
            <w:r>
              <w:rPr>
                <w:spacing w:val="-5"/>
                <w:sz w:val="24"/>
              </w:rPr>
              <w:t>S21</w:t>
            </w:r>
          </w:p>
        </w:tc>
        <w:tc>
          <w:tcPr>
            <w:tcW w:w="987" w:type="dxa"/>
          </w:tcPr>
          <w:p>
            <w:pPr>
              <w:pStyle w:val="TableParagraph"/>
              <w:spacing w:line="271" w:lineRule="exact"/>
              <w:ind w:left="110"/>
              <w:jc w:val="left"/>
              <w:rPr>
                <w:sz w:val="24"/>
              </w:rPr>
            </w:pPr>
            <w:r>
              <w:rPr>
                <w:spacing w:val="-4"/>
                <w:sz w:val="24"/>
              </w:rPr>
              <w:t>12.2</w:t>
            </w:r>
          </w:p>
        </w:tc>
        <w:tc>
          <w:tcPr>
            <w:tcW w:w="928" w:type="dxa"/>
          </w:tcPr>
          <w:p>
            <w:pPr>
              <w:pStyle w:val="TableParagraph"/>
              <w:spacing w:line="271" w:lineRule="exact"/>
              <w:ind w:left="126"/>
              <w:jc w:val="left"/>
              <w:rPr>
                <w:sz w:val="24"/>
              </w:rPr>
            </w:pPr>
            <w:r>
              <w:rPr>
                <w:spacing w:val="-5"/>
                <w:sz w:val="24"/>
              </w:rPr>
              <w:t>S31</w:t>
            </w:r>
          </w:p>
        </w:tc>
        <w:tc>
          <w:tcPr>
            <w:tcW w:w="985" w:type="dxa"/>
          </w:tcPr>
          <w:p>
            <w:pPr>
              <w:pStyle w:val="TableParagraph"/>
              <w:spacing w:line="271" w:lineRule="exact"/>
              <w:ind w:left="111"/>
              <w:jc w:val="left"/>
              <w:rPr>
                <w:sz w:val="24"/>
              </w:rPr>
            </w:pPr>
            <w:r>
              <w:rPr>
                <w:spacing w:val="-5"/>
                <w:sz w:val="24"/>
              </w:rPr>
              <w:t>7.4</w:t>
            </w:r>
          </w:p>
        </w:tc>
        <w:tc>
          <w:tcPr>
            <w:tcW w:w="926" w:type="dxa"/>
          </w:tcPr>
          <w:p>
            <w:pPr>
              <w:pStyle w:val="TableParagraph"/>
              <w:spacing w:line="271" w:lineRule="exact"/>
              <w:ind w:left="124"/>
              <w:jc w:val="left"/>
              <w:rPr>
                <w:sz w:val="24"/>
              </w:rPr>
            </w:pPr>
            <w:r>
              <w:rPr>
                <w:spacing w:val="-5"/>
                <w:sz w:val="24"/>
              </w:rPr>
              <w:t>S41</w:t>
            </w:r>
          </w:p>
        </w:tc>
        <w:tc>
          <w:tcPr>
            <w:tcW w:w="1009" w:type="dxa"/>
          </w:tcPr>
          <w:p>
            <w:pPr>
              <w:pStyle w:val="TableParagraph"/>
              <w:spacing w:line="271" w:lineRule="exact"/>
              <w:ind w:left="110"/>
              <w:jc w:val="left"/>
              <w:rPr>
                <w:sz w:val="24"/>
              </w:rPr>
            </w:pPr>
            <w:r>
              <w:rPr>
                <w:spacing w:val="-4"/>
                <w:sz w:val="24"/>
              </w:rPr>
              <w:t>12.2</w:t>
            </w:r>
          </w:p>
        </w:tc>
      </w:tr>
      <w:tr>
        <w:trPr>
          <w:trHeight w:val="292" w:hRule="atLeast"/>
        </w:trPr>
        <w:tc>
          <w:tcPr>
            <w:tcW w:w="921" w:type="dxa"/>
          </w:tcPr>
          <w:p>
            <w:pPr>
              <w:pStyle w:val="TableParagraph"/>
              <w:spacing w:line="271" w:lineRule="exact"/>
              <w:ind w:left="117"/>
              <w:jc w:val="left"/>
              <w:rPr>
                <w:sz w:val="24"/>
              </w:rPr>
            </w:pPr>
            <w:r>
              <w:rPr>
                <w:spacing w:val="-5"/>
                <w:sz w:val="24"/>
              </w:rPr>
              <w:t>S2</w:t>
            </w:r>
          </w:p>
        </w:tc>
        <w:tc>
          <w:tcPr>
            <w:tcW w:w="990" w:type="dxa"/>
          </w:tcPr>
          <w:p>
            <w:pPr>
              <w:pStyle w:val="TableParagraph"/>
              <w:spacing w:line="271" w:lineRule="exact"/>
              <w:ind w:left="113"/>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S12</w:t>
            </w:r>
          </w:p>
        </w:tc>
        <w:tc>
          <w:tcPr>
            <w:tcW w:w="987" w:type="dxa"/>
          </w:tcPr>
          <w:p>
            <w:pPr>
              <w:pStyle w:val="TableParagraph"/>
              <w:spacing w:line="271" w:lineRule="exact"/>
              <w:ind w:left="110"/>
              <w:jc w:val="left"/>
              <w:rPr>
                <w:sz w:val="24"/>
              </w:rPr>
            </w:pPr>
            <w:r>
              <w:rPr>
                <w:spacing w:val="-4"/>
                <w:sz w:val="24"/>
              </w:rPr>
              <w:t>13.2</w:t>
            </w:r>
          </w:p>
        </w:tc>
        <w:tc>
          <w:tcPr>
            <w:tcW w:w="928" w:type="dxa"/>
          </w:tcPr>
          <w:p>
            <w:pPr>
              <w:pStyle w:val="TableParagraph"/>
              <w:spacing w:line="271" w:lineRule="exact"/>
              <w:ind w:left="126"/>
              <w:jc w:val="left"/>
              <w:rPr>
                <w:sz w:val="24"/>
              </w:rPr>
            </w:pPr>
            <w:r>
              <w:rPr>
                <w:spacing w:val="-5"/>
                <w:sz w:val="24"/>
              </w:rPr>
              <w:t>S22</w:t>
            </w:r>
          </w:p>
        </w:tc>
        <w:tc>
          <w:tcPr>
            <w:tcW w:w="987" w:type="dxa"/>
          </w:tcPr>
          <w:p>
            <w:pPr>
              <w:pStyle w:val="TableParagraph"/>
              <w:spacing w:line="271" w:lineRule="exact"/>
              <w:ind w:left="110"/>
              <w:jc w:val="left"/>
              <w:rPr>
                <w:sz w:val="24"/>
              </w:rPr>
            </w:pPr>
            <w:r>
              <w:rPr>
                <w:spacing w:val="-4"/>
                <w:sz w:val="24"/>
              </w:rPr>
              <w:t>14.8</w:t>
            </w:r>
          </w:p>
        </w:tc>
        <w:tc>
          <w:tcPr>
            <w:tcW w:w="928" w:type="dxa"/>
          </w:tcPr>
          <w:p>
            <w:pPr>
              <w:pStyle w:val="TableParagraph"/>
              <w:spacing w:line="271" w:lineRule="exact"/>
              <w:ind w:left="126"/>
              <w:jc w:val="left"/>
              <w:rPr>
                <w:sz w:val="24"/>
              </w:rPr>
            </w:pPr>
            <w:r>
              <w:rPr>
                <w:spacing w:val="-5"/>
                <w:sz w:val="24"/>
              </w:rPr>
              <w:t>S32</w:t>
            </w:r>
          </w:p>
        </w:tc>
        <w:tc>
          <w:tcPr>
            <w:tcW w:w="985" w:type="dxa"/>
          </w:tcPr>
          <w:p>
            <w:pPr>
              <w:pStyle w:val="TableParagraph"/>
              <w:spacing w:line="271" w:lineRule="exact"/>
              <w:ind w:left="111"/>
              <w:jc w:val="left"/>
              <w:rPr>
                <w:sz w:val="24"/>
              </w:rPr>
            </w:pPr>
            <w:r>
              <w:rPr>
                <w:spacing w:val="-4"/>
                <w:sz w:val="24"/>
              </w:rPr>
              <w:t>11.5</w:t>
            </w:r>
          </w:p>
        </w:tc>
        <w:tc>
          <w:tcPr>
            <w:tcW w:w="926" w:type="dxa"/>
          </w:tcPr>
          <w:p>
            <w:pPr>
              <w:pStyle w:val="TableParagraph"/>
              <w:spacing w:line="271" w:lineRule="exact"/>
              <w:ind w:left="124"/>
              <w:jc w:val="left"/>
              <w:rPr>
                <w:sz w:val="24"/>
              </w:rPr>
            </w:pPr>
            <w:r>
              <w:rPr>
                <w:spacing w:val="-5"/>
                <w:sz w:val="24"/>
              </w:rPr>
              <w:t>S42</w:t>
            </w:r>
          </w:p>
        </w:tc>
        <w:tc>
          <w:tcPr>
            <w:tcW w:w="1009" w:type="dxa"/>
          </w:tcPr>
          <w:p>
            <w:pPr>
              <w:pStyle w:val="TableParagraph"/>
              <w:spacing w:line="271" w:lineRule="exact"/>
              <w:ind w:left="110"/>
              <w:jc w:val="left"/>
              <w:rPr>
                <w:sz w:val="24"/>
              </w:rPr>
            </w:pPr>
            <w:r>
              <w:rPr>
                <w:spacing w:val="-4"/>
                <w:sz w:val="24"/>
              </w:rPr>
              <w:t>12.5</w:t>
            </w:r>
          </w:p>
        </w:tc>
      </w:tr>
      <w:tr>
        <w:trPr>
          <w:trHeight w:val="292" w:hRule="atLeast"/>
        </w:trPr>
        <w:tc>
          <w:tcPr>
            <w:tcW w:w="921" w:type="dxa"/>
          </w:tcPr>
          <w:p>
            <w:pPr>
              <w:pStyle w:val="TableParagraph"/>
              <w:spacing w:line="271" w:lineRule="exact"/>
              <w:ind w:left="117"/>
              <w:jc w:val="left"/>
              <w:rPr>
                <w:sz w:val="24"/>
              </w:rPr>
            </w:pPr>
            <w:r>
              <w:rPr>
                <w:spacing w:val="-5"/>
                <w:sz w:val="24"/>
              </w:rPr>
              <w:t>S3</w:t>
            </w:r>
          </w:p>
        </w:tc>
        <w:tc>
          <w:tcPr>
            <w:tcW w:w="990" w:type="dxa"/>
          </w:tcPr>
          <w:p>
            <w:pPr>
              <w:pStyle w:val="TableParagraph"/>
              <w:spacing w:line="271" w:lineRule="exact"/>
              <w:ind w:left="113"/>
              <w:jc w:val="left"/>
              <w:rPr>
                <w:sz w:val="24"/>
              </w:rPr>
            </w:pPr>
            <w:r>
              <w:rPr>
                <w:spacing w:val="-5"/>
                <w:sz w:val="24"/>
              </w:rPr>
              <w:t>8.0</w:t>
            </w:r>
          </w:p>
        </w:tc>
        <w:tc>
          <w:tcPr>
            <w:tcW w:w="928" w:type="dxa"/>
          </w:tcPr>
          <w:p>
            <w:pPr>
              <w:pStyle w:val="TableParagraph"/>
              <w:spacing w:line="271" w:lineRule="exact"/>
              <w:ind w:left="126"/>
              <w:jc w:val="left"/>
              <w:rPr>
                <w:sz w:val="24"/>
              </w:rPr>
            </w:pPr>
            <w:r>
              <w:rPr>
                <w:spacing w:val="-5"/>
                <w:sz w:val="24"/>
              </w:rPr>
              <w:t>S13</w:t>
            </w:r>
          </w:p>
        </w:tc>
        <w:tc>
          <w:tcPr>
            <w:tcW w:w="987" w:type="dxa"/>
          </w:tcPr>
          <w:p>
            <w:pPr>
              <w:pStyle w:val="TableParagraph"/>
              <w:spacing w:line="271" w:lineRule="exact"/>
              <w:ind w:left="110"/>
              <w:jc w:val="left"/>
              <w:rPr>
                <w:sz w:val="24"/>
              </w:rPr>
            </w:pPr>
            <w:r>
              <w:rPr>
                <w:spacing w:val="-5"/>
                <w:sz w:val="24"/>
              </w:rPr>
              <w:t>4.2</w:t>
            </w:r>
          </w:p>
        </w:tc>
        <w:tc>
          <w:tcPr>
            <w:tcW w:w="928" w:type="dxa"/>
          </w:tcPr>
          <w:p>
            <w:pPr>
              <w:pStyle w:val="TableParagraph"/>
              <w:spacing w:line="271" w:lineRule="exact"/>
              <w:ind w:left="126"/>
              <w:jc w:val="left"/>
              <w:rPr>
                <w:sz w:val="24"/>
              </w:rPr>
            </w:pPr>
            <w:r>
              <w:rPr>
                <w:spacing w:val="-5"/>
                <w:sz w:val="24"/>
              </w:rPr>
              <w:t>S23</w:t>
            </w:r>
          </w:p>
        </w:tc>
        <w:tc>
          <w:tcPr>
            <w:tcW w:w="987" w:type="dxa"/>
          </w:tcPr>
          <w:p>
            <w:pPr>
              <w:pStyle w:val="TableParagraph"/>
              <w:spacing w:line="271" w:lineRule="exact"/>
              <w:ind w:left="110"/>
              <w:jc w:val="left"/>
              <w:rPr>
                <w:sz w:val="24"/>
              </w:rPr>
            </w:pPr>
            <w:r>
              <w:rPr>
                <w:spacing w:val="-4"/>
                <w:sz w:val="24"/>
              </w:rPr>
              <w:t>13.6</w:t>
            </w:r>
          </w:p>
        </w:tc>
        <w:tc>
          <w:tcPr>
            <w:tcW w:w="928" w:type="dxa"/>
          </w:tcPr>
          <w:p>
            <w:pPr>
              <w:pStyle w:val="TableParagraph"/>
              <w:spacing w:line="271" w:lineRule="exact"/>
              <w:ind w:left="126"/>
              <w:jc w:val="left"/>
              <w:rPr>
                <w:sz w:val="24"/>
              </w:rPr>
            </w:pPr>
            <w:r>
              <w:rPr>
                <w:spacing w:val="-5"/>
                <w:sz w:val="24"/>
              </w:rPr>
              <w:t>S33</w:t>
            </w:r>
          </w:p>
        </w:tc>
        <w:tc>
          <w:tcPr>
            <w:tcW w:w="985" w:type="dxa"/>
          </w:tcPr>
          <w:p>
            <w:pPr>
              <w:pStyle w:val="TableParagraph"/>
              <w:spacing w:line="271" w:lineRule="exact"/>
              <w:ind w:left="111"/>
              <w:jc w:val="left"/>
              <w:rPr>
                <w:sz w:val="24"/>
              </w:rPr>
            </w:pPr>
            <w:r>
              <w:rPr>
                <w:spacing w:val="-5"/>
                <w:sz w:val="24"/>
              </w:rPr>
              <w:t>6.3</w:t>
            </w:r>
          </w:p>
        </w:tc>
        <w:tc>
          <w:tcPr>
            <w:tcW w:w="926" w:type="dxa"/>
          </w:tcPr>
          <w:p>
            <w:pPr>
              <w:pStyle w:val="TableParagraph"/>
              <w:spacing w:line="271" w:lineRule="exact"/>
              <w:ind w:left="124"/>
              <w:jc w:val="left"/>
              <w:rPr>
                <w:sz w:val="24"/>
              </w:rPr>
            </w:pPr>
            <w:r>
              <w:rPr>
                <w:spacing w:val="-5"/>
                <w:sz w:val="24"/>
              </w:rPr>
              <w:t>S43</w:t>
            </w:r>
          </w:p>
        </w:tc>
        <w:tc>
          <w:tcPr>
            <w:tcW w:w="1009" w:type="dxa"/>
          </w:tcPr>
          <w:p>
            <w:pPr>
              <w:pStyle w:val="TableParagraph"/>
              <w:spacing w:line="271" w:lineRule="exact"/>
              <w:ind w:left="110"/>
              <w:jc w:val="left"/>
              <w:rPr>
                <w:sz w:val="24"/>
              </w:rPr>
            </w:pPr>
            <w:r>
              <w:rPr>
                <w:spacing w:val="-4"/>
                <w:sz w:val="24"/>
              </w:rPr>
              <w:t>19.4</w:t>
            </w:r>
          </w:p>
        </w:tc>
      </w:tr>
      <w:tr>
        <w:trPr>
          <w:trHeight w:val="292" w:hRule="atLeast"/>
        </w:trPr>
        <w:tc>
          <w:tcPr>
            <w:tcW w:w="921" w:type="dxa"/>
          </w:tcPr>
          <w:p>
            <w:pPr>
              <w:pStyle w:val="TableParagraph"/>
              <w:spacing w:line="271" w:lineRule="exact"/>
              <w:ind w:left="117"/>
              <w:jc w:val="left"/>
              <w:rPr>
                <w:sz w:val="24"/>
              </w:rPr>
            </w:pPr>
            <w:r>
              <w:rPr>
                <w:spacing w:val="-5"/>
                <w:sz w:val="24"/>
              </w:rPr>
              <w:t>S4</w:t>
            </w:r>
          </w:p>
        </w:tc>
        <w:tc>
          <w:tcPr>
            <w:tcW w:w="990" w:type="dxa"/>
          </w:tcPr>
          <w:p>
            <w:pPr>
              <w:pStyle w:val="TableParagraph"/>
              <w:spacing w:line="271" w:lineRule="exact"/>
              <w:ind w:left="113"/>
              <w:jc w:val="left"/>
              <w:rPr>
                <w:sz w:val="24"/>
              </w:rPr>
            </w:pPr>
            <w:r>
              <w:rPr>
                <w:spacing w:val="-4"/>
                <w:sz w:val="24"/>
              </w:rPr>
              <w:t>11.5</w:t>
            </w:r>
          </w:p>
        </w:tc>
        <w:tc>
          <w:tcPr>
            <w:tcW w:w="928" w:type="dxa"/>
          </w:tcPr>
          <w:p>
            <w:pPr>
              <w:pStyle w:val="TableParagraph"/>
              <w:spacing w:line="271" w:lineRule="exact"/>
              <w:ind w:left="126"/>
              <w:jc w:val="left"/>
              <w:rPr>
                <w:sz w:val="24"/>
              </w:rPr>
            </w:pPr>
            <w:r>
              <w:rPr>
                <w:spacing w:val="-5"/>
                <w:sz w:val="24"/>
              </w:rPr>
              <w:t>S14</w:t>
            </w:r>
          </w:p>
        </w:tc>
        <w:tc>
          <w:tcPr>
            <w:tcW w:w="987" w:type="dxa"/>
          </w:tcPr>
          <w:p>
            <w:pPr>
              <w:pStyle w:val="TableParagraph"/>
              <w:spacing w:line="271" w:lineRule="exact"/>
              <w:ind w:left="110"/>
              <w:jc w:val="left"/>
              <w:rPr>
                <w:sz w:val="24"/>
              </w:rPr>
            </w:pPr>
            <w:r>
              <w:rPr>
                <w:spacing w:val="-5"/>
                <w:sz w:val="24"/>
              </w:rPr>
              <w:t>NG</w:t>
            </w:r>
          </w:p>
        </w:tc>
        <w:tc>
          <w:tcPr>
            <w:tcW w:w="928" w:type="dxa"/>
          </w:tcPr>
          <w:p>
            <w:pPr>
              <w:pStyle w:val="TableParagraph"/>
              <w:spacing w:line="271" w:lineRule="exact"/>
              <w:ind w:left="126"/>
              <w:jc w:val="left"/>
              <w:rPr>
                <w:sz w:val="24"/>
              </w:rPr>
            </w:pPr>
            <w:r>
              <w:rPr>
                <w:spacing w:val="-5"/>
                <w:sz w:val="24"/>
              </w:rPr>
              <w:t>S24</w:t>
            </w:r>
          </w:p>
        </w:tc>
        <w:tc>
          <w:tcPr>
            <w:tcW w:w="987" w:type="dxa"/>
          </w:tcPr>
          <w:p>
            <w:pPr>
              <w:pStyle w:val="TableParagraph"/>
              <w:spacing w:line="271" w:lineRule="exact"/>
              <w:ind w:left="110"/>
              <w:jc w:val="left"/>
              <w:rPr>
                <w:sz w:val="24"/>
              </w:rPr>
            </w:pPr>
            <w:r>
              <w:rPr>
                <w:spacing w:val="-5"/>
                <w:sz w:val="24"/>
              </w:rPr>
              <w:t>7.2</w:t>
            </w:r>
          </w:p>
        </w:tc>
        <w:tc>
          <w:tcPr>
            <w:tcW w:w="928" w:type="dxa"/>
          </w:tcPr>
          <w:p>
            <w:pPr>
              <w:pStyle w:val="TableParagraph"/>
              <w:spacing w:line="271" w:lineRule="exact"/>
              <w:ind w:left="126"/>
              <w:jc w:val="left"/>
              <w:rPr>
                <w:sz w:val="24"/>
              </w:rPr>
            </w:pPr>
            <w:r>
              <w:rPr>
                <w:spacing w:val="-5"/>
                <w:sz w:val="24"/>
              </w:rPr>
              <w:t>S34</w:t>
            </w:r>
          </w:p>
        </w:tc>
        <w:tc>
          <w:tcPr>
            <w:tcW w:w="985" w:type="dxa"/>
          </w:tcPr>
          <w:p>
            <w:pPr>
              <w:pStyle w:val="TableParagraph"/>
              <w:spacing w:line="271" w:lineRule="exact"/>
              <w:ind w:left="111"/>
              <w:jc w:val="left"/>
              <w:rPr>
                <w:sz w:val="24"/>
              </w:rPr>
            </w:pPr>
            <w:r>
              <w:rPr>
                <w:spacing w:val="-4"/>
                <w:sz w:val="24"/>
              </w:rPr>
              <w:t>12.3</w:t>
            </w:r>
          </w:p>
        </w:tc>
        <w:tc>
          <w:tcPr>
            <w:tcW w:w="926" w:type="dxa"/>
          </w:tcPr>
          <w:p>
            <w:pPr>
              <w:pStyle w:val="TableParagraph"/>
              <w:spacing w:line="271" w:lineRule="exact"/>
              <w:ind w:left="124"/>
              <w:jc w:val="left"/>
              <w:rPr>
                <w:sz w:val="24"/>
              </w:rPr>
            </w:pPr>
            <w:r>
              <w:rPr>
                <w:spacing w:val="-5"/>
                <w:sz w:val="24"/>
              </w:rPr>
              <w:t>S44</w:t>
            </w:r>
          </w:p>
        </w:tc>
        <w:tc>
          <w:tcPr>
            <w:tcW w:w="1009" w:type="dxa"/>
          </w:tcPr>
          <w:p>
            <w:pPr>
              <w:pStyle w:val="TableParagraph"/>
              <w:spacing w:line="271" w:lineRule="exact"/>
              <w:ind w:left="110"/>
              <w:jc w:val="left"/>
              <w:rPr>
                <w:sz w:val="24"/>
              </w:rPr>
            </w:pPr>
            <w:r>
              <w:rPr>
                <w:spacing w:val="-5"/>
                <w:sz w:val="24"/>
              </w:rPr>
              <w:t>8.9</w:t>
            </w:r>
          </w:p>
        </w:tc>
      </w:tr>
      <w:tr>
        <w:trPr>
          <w:trHeight w:val="292" w:hRule="atLeast"/>
        </w:trPr>
        <w:tc>
          <w:tcPr>
            <w:tcW w:w="921" w:type="dxa"/>
          </w:tcPr>
          <w:p>
            <w:pPr>
              <w:pStyle w:val="TableParagraph"/>
              <w:spacing w:line="271" w:lineRule="exact"/>
              <w:ind w:left="117"/>
              <w:jc w:val="left"/>
              <w:rPr>
                <w:sz w:val="24"/>
              </w:rPr>
            </w:pPr>
            <w:r>
              <w:rPr>
                <w:spacing w:val="-5"/>
                <w:sz w:val="24"/>
              </w:rPr>
              <w:t>S5</w:t>
            </w:r>
          </w:p>
        </w:tc>
        <w:tc>
          <w:tcPr>
            <w:tcW w:w="990" w:type="dxa"/>
          </w:tcPr>
          <w:p>
            <w:pPr>
              <w:pStyle w:val="TableParagraph"/>
              <w:spacing w:line="271" w:lineRule="exact"/>
              <w:ind w:left="113"/>
              <w:jc w:val="left"/>
              <w:rPr>
                <w:sz w:val="24"/>
              </w:rPr>
            </w:pPr>
            <w:r>
              <w:rPr>
                <w:spacing w:val="-4"/>
                <w:sz w:val="24"/>
              </w:rPr>
              <w:t>17.8</w:t>
            </w:r>
          </w:p>
        </w:tc>
        <w:tc>
          <w:tcPr>
            <w:tcW w:w="928" w:type="dxa"/>
          </w:tcPr>
          <w:p>
            <w:pPr>
              <w:pStyle w:val="TableParagraph"/>
              <w:spacing w:line="271" w:lineRule="exact"/>
              <w:ind w:left="126"/>
              <w:jc w:val="left"/>
              <w:rPr>
                <w:sz w:val="24"/>
              </w:rPr>
            </w:pPr>
            <w:r>
              <w:rPr>
                <w:spacing w:val="-5"/>
                <w:sz w:val="24"/>
              </w:rPr>
              <w:t>S15</w:t>
            </w:r>
          </w:p>
        </w:tc>
        <w:tc>
          <w:tcPr>
            <w:tcW w:w="987" w:type="dxa"/>
          </w:tcPr>
          <w:p>
            <w:pPr>
              <w:pStyle w:val="TableParagraph"/>
              <w:spacing w:line="271" w:lineRule="exact"/>
              <w:ind w:left="110"/>
              <w:jc w:val="left"/>
              <w:rPr>
                <w:sz w:val="24"/>
              </w:rPr>
            </w:pPr>
            <w:r>
              <w:rPr>
                <w:spacing w:val="-5"/>
                <w:sz w:val="24"/>
              </w:rPr>
              <w:t>3.1</w:t>
            </w:r>
          </w:p>
        </w:tc>
        <w:tc>
          <w:tcPr>
            <w:tcW w:w="928" w:type="dxa"/>
          </w:tcPr>
          <w:p>
            <w:pPr>
              <w:pStyle w:val="TableParagraph"/>
              <w:spacing w:line="271" w:lineRule="exact"/>
              <w:ind w:left="126"/>
              <w:jc w:val="left"/>
              <w:rPr>
                <w:sz w:val="24"/>
              </w:rPr>
            </w:pPr>
            <w:r>
              <w:rPr>
                <w:spacing w:val="-5"/>
                <w:sz w:val="24"/>
              </w:rPr>
              <w:t>S25</w:t>
            </w:r>
          </w:p>
        </w:tc>
        <w:tc>
          <w:tcPr>
            <w:tcW w:w="987" w:type="dxa"/>
          </w:tcPr>
          <w:p>
            <w:pPr>
              <w:pStyle w:val="TableParagraph"/>
              <w:spacing w:line="271" w:lineRule="exact"/>
              <w:ind w:left="110"/>
              <w:jc w:val="left"/>
              <w:rPr>
                <w:sz w:val="24"/>
              </w:rPr>
            </w:pPr>
            <w:r>
              <w:rPr>
                <w:spacing w:val="-4"/>
                <w:sz w:val="24"/>
              </w:rPr>
              <w:t>12.8</w:t>
            </w:r>
          </w:p>
        </w:tc>
        <w:tc>
          <w:tcPr>
            <w:tcW w:w="928" w:type="dxa"/>
          </w:tcPr>
          <w:p>
            <w:pPr>
              <w:pStyle w:val="TableParagraph"/>
              <w:spacing w:line="271" w:lineRule="exact"/>
              <w:ind w:left="126"/>
              <w:jc w:val="left"/>
              <w:rPr>
                <w:sz w:val="24"/>
              </w:rPr>
            </w:pPr>
            <w:r>
              <w:rPr>
                <w:spacing w:val="-5"/>
                <w:sz w:val="24"/>
              </w:rPr>
              <w:t>S35</w:t>
            </w:r>
          </w:p>
        </w:tc>
        <w:tc>
          <w:tcPr>
            <w:tcW w:w="985" w:type="dxa"/>
          </w:tcPr>
          <w:p>
            <w:pPr>
              <w:pStyle w:val="TableParagraph"/>
              <w:spacing w:line="271" w:lineRule="exact"/>
              <w:ind w:left="111"/>
              <w:jc w:val="left"/>
              <w:rPr>
                <w:sz w:val="24"/>
              </w:rPr>
            </w:pPr>
            <w:r>
              <w:rPr>
                <w:spacing w:val="-4"/>
                <w:sz w:val="24"/>
              </w:rPr>
              <w:t>13.4</w:t>
            </w:r>
          </w:p>
        </w:tc>
        <w:tc>
          <w:tcPr>
            <w:tcW w:w="926" w:type="dxa"/>
          </w:tcPr>
          <w:p>
            <w:pPr>
              <w:pStyle w:val="TableParagraph"/>
              <w:spacing w:line="271" w:lineRule="exact"/>
              <w:ind w:left="124"/>
              <w:jc w:val="left"/>
              <w:rPr>
                <w:sz w:val="24"/>
              </w:rPr>
            </w:pPr>
            <w:r>
              <w:rPr>
                <w:spacing w:val="-5"/>
                <w:sz w:val="24"/>
              </w:rPr>
              <w:t>S45</w:t>
            </w:r>
          </w:p>
        </w:tc>
        <w:tc>
          <w:tcPr>
            <w:tcW w:w="1009" w:type="dxa"/>
          </w:tcPr>
          <w:p>
            <w:pPr>
              <w:pStyle w:val="TableParagraph"/>
              <w:spacing w:line="271" w:lineRule="exact"/>
              <w:ind w:left="110"/>
              <w:jc w:val="left"/>
              <w:rPr>
                <w:sz w:val="24"/>
              </w:rPr>
            </w:pPr>
            <w:r>
              <w:rPr>
                <w:spacing w:val="-4"/>
                <w:sz w:val="24"/>
              </w:rPr>
              <w:t>12.7</w:t>
            </w:r>
          </w:p>
        </w:tc>
      </w:tr>
      <w:tr>
        <w:trPr>
          <w:trHeight w:val="292" w:hRule="atLeast"/>
        </w:trPr>
        <w:tc>
          <w:tcPr>
            <w:tcW w:w="921" w:type="dxa"/>
          </w:tcPr>
          <w:p>
            <w:pPr>
              <w:pStyle w:val="TableParagraph"/>
              <w:spacing w:line="271" w:lineRule="exact"/>
              <w:ind w:left="117"/>
              <w:jc w:val="left"/>
              <w:rPr>
                <w:sz w:val="24"/>
              </w:rPr>
            </w:pPr>
            <w:r>
              <w:rPr>
                <w:spacing w:val="-5"/>
                <w:sz w:val="24"/>
              </w:rPr>
              <w:t>S6</w:t>
            </w:r>
          </w:p>
        </w:tc>
        <w:tc>
          <w:tcPr>
            <w:tcW w:w="990" w:type="dxa"/>
          </w:tcPr>
          <w:p>
            <w:pPr>
              <w:pStyle w:val="TableParagraph"/>
              <w:spacing w:line="271" w:lineRule="exact"/>
              <w:ind w:left="113"/>
              <w:jc w:val="left"/>
              <w:rPr>
                <w:sz w:val="24"/>
              </w:rPr>
            </w:pPr>
            <w:r>
              <w:rPr>
                <w:spacing w:val="-5"/>
                <w:sz w:val="24"/>
              </w:rPr>
              <w:t>9.0</w:t>
            </w:r>
          </w:p>
        </w:tc>
        <w:tc>
          <w:tcPr>
            <w:tcW w:w="928" w:type="dxa"/>
          </w:tcPr>
          <w:p>
            <w:pPr>
              <w:pStyle w:val="TableParagraph"/>
              <w:spacing w:line="271" w:lineRule="exact"/>
              <w:ind w:left="126"/>
              <w:jc w:val="left"/>
              <w:rPr>
                <w:sz w:val="24"/>
              </w:rPr>
            </w:pPr>
            <w:r>
              <w:rPr>
                <w:spacing w:val="-5"/>
                <w:sz w:val="24"/>
              </w:rPr>
              <w:t>S16</w:t>
            </w:r>
          </w:p>
        </w:tc>
        <w:tc>
          <w:tcPr>
            <w:tcW w:w="987" w:type="dxa"/>
          </w:tcPr>
          <w:p>
            <w:pPr>
              <w:pStyle w:val="TableParagraph"/>
              <w:spacing w:line="271" w:lineRule="exact"/>
              <w:ind w:left="110"/>
              <w:jc w:val="left"/>
              <w:rPr>
                <w:sz w:val="24"/>
              </w:rPr>
            </w:pPr>
            <w:r>
              <w:rPr>
                <w:spacing w:val="-5"/>
                <w:sz w:val="24"/>
              </w:rPr>
              <w:t>3.2</w:t>
            </w:r>
          </w:p>
        </w:tc>
        <w:tc>
          <w:tcPr>
            <w:tcW w:w="928" w:type="dxa"/>
          </w:tcPr>
          <w:p>
            <w:pPr>
              <w:pStyle w:val="TableParagraph"/>
              <w:spacing w:line="271" w:lineRule="exact"/>
              <w:ind w:left="126"/>
              <w:jc w:val="left"/>
              <w:rPr>
                <w:sz w:val="24"/>
              </w:rPr>
            </w:pPr>
            <w:r>
              <w:rPr>
                <w:spacing w:val="-5"/>
                <w:sz w:val="24"/>
              </w:rPr>
              <w:t>S26</w:t>
            </w:r>
          </w:p>
        </w:tc>
        <w:tc>
          <w:tcPr>
            <w:tcW w:w="987" w:type="dxa"/>
          </w:tcPr>
          <w:p>
            <w:pPr>
              <w:pStyle w:val="TableParagraph"/>
              <w:spacing w:line="271" w:lineRule="exact"/>
              <w:ind w:left="110"/>
              <w:jc w:val="left"/>
              <w:rPr>
                <w:sz w:val="24"/>
              </w:rPr>
            </w:pPr>
            <w:r>
              <w:rPr>
                <w:spacing w:val="-5"/>
                <w:sz w:val="24"/>
              </w:rPr>
              <w:t>8.7</w:t>
            </w:r>
          </w:p>
        </w:tc>
        <w:tc>
          <w:tcPr>
            <w:tcW w:w="928" w:type="dxa"/>
          </w:tcPr>
          <w:p>
            <w:pPr>
              <w:pStyle w:val="TableParagraph"/>
              <w:spacing w:line="271" w:lineRule="exact"/>
              <w:ind w:left="126"/>
              <w:jc w:val="left"/>
              <w:rPr>
                <w:sz w:val="24"/>
              </w:rPr>
            </w:pPr>
            <w:r>
              <w:rPr>
                <w:spacing w:val="-5"/>
                <w:sz w:val="24"/>
              </w:rPr>
              <w:t>S36</w:t>
            </w:r>
          </w:p>
        </w:tc>
        <w:tc>
          <w:tcPr>
            <w:tcW w:w="985" w:type="dxa"/>
          </w:tcPr>
          <w:p>
            <w:pPr>
              <w:pStyle w:val="TableParagraph"/>
              <w:spacing w:line="271" w:lineRule="exact"/>
              <w:ind w:left="111"/>
              <w:jc w:val="left"/>
              <w:rPr>
                <w:sz w:val="24"/>
              </w:rPr>
            </w:pPr>
            <w:r>
              <w:rPr>
                <w:spacing w:val="-4"/>
                <w:sz w:val="24"/>
              </w:rPr>
              <w:t>16.8</w:t>
            </w:r>
          </w:p>
        </w:tc>
        <w:tc>
          <w:tcPr>
            <w:tcW w:w="926" w:type="dxa"/>
          </w:tcPr>
          <w:p>
            <w:pPr>
              <w:pStyle w:val="TableParagraph"/>
              <w:spacing w:line="271" w:lineRule="exact"/>
              <w:ind w:left="124"/>
              <w:jc w:val="left"/>
              <w:rPr>
                <w:sz w:val="24"/>
              </w:rPr>
            </w:pPr>
            <w:r>
              <w:rPr>
                <w:spacing w:val="-5"/>
                <w:sz w:val="24"/>
              </w:rPr>
              <w:t>S46</w:t>
            </w:r>
          </w:p>
        </w:tc>
        <w:tc>
          <w:tcPr>
            <w:tcW w:w="1009" w:type="dxa"/>
          </w:tcPr>
          <w:p>
            <w:pPr>
              <w:pStyle w:val="TableParagraph"/>
              <w:spacing w:line="271" w:lineRule="exact"/>
              <w:ind w:left="110"/>
              <w:jc w:val="left"/>
              <w:rPr>
                <w:sz w:val="24"/>
              </w:rPr>
            </w:pPr>
            <w:r>
              <w:rPr>
                <w:spacing w:val="-5"/>
                <w:sz w:val="24"/>
              </w:rPr>
              <w:t>9.2</w:t>
            </w:r>
          </w:p>
        </w:tc>
      </w:tr>
      <w:tr>
        <w:trPr>
          <w:trHeight w:val="268" w:hRule="atLeast"/>
        </w:trPr>
        <w:tc>
          <w:tcPr>
            <w:tcW w:w="921" w:type="dxa"/>
            <w:tcBorders>
              <w:bottom w:val="single" w:sz="4" w:space="0" w:color="000000"/>
            </w:tcBorders>
          </w:tcPr>
          <w:p>
            <w:pPr>
              <w:pStyle w:val="TableParagraph"/>
              <w:spacing w:line="249" w:lineRule="exact"/>
              <w:ind w:left="117"/>
              <w:jc w:val="left"/>
              <w:rPr>
                <w:sz w:val="24"/>
              </w:rPr>
            </w:pPr>
            <w:r>
              <w:rPr>
                <w:spacing w:val="-5"/>
                <w:sz w:val="24"/>
              </w:rPr>
              <w:t>S7</w:t>
            </w:r>
          </w:p>
        </w:tc>
        <w:tc>
          <w:tcPr>
            <w:tcW w:w="990" w:type="dxa"/>
            <w:tcBorders>
              <w:bottom w:val="single" w:sz="4" w:space="0" w:color="000000"/>
            </w:tcBorders>
          </w:tcPr>
          <w:p>
            <w:pPr>
              <w:pStyle w:val="TableParagraph"/>
              <w:spacing w:line="249" w:lineRule="exact"/>
              <w:ind w:left="113"/>
              <w:jc w:val="left"/>
              <w:rPr>
                <w:sz w:val="24"/>
              </w:rPr>
            </w:pPr>
            <w:r>
              <w:rPr>
                <w:spacing w:val="-4"/>
                <w:sz w:val="24"/>
              </w:rPr>
              <w:t>10.5</w:t>
            </w:r>
          </w:p>
        </w:tc>
        <w:tc>
          <w:tcPr>
            <w:tcW w:w="928" w:type="dxa"/>
            <w:tcBorders>
              <w:bottom w:val="single" w:sz="4" w:space="0" w:color="000000"/>
            </w:tcBorders>
          </w:tcPr>
          <w:p>
            <w:pPr>
              <w:pStyle w:val="TableParagraph"/>
              <w:spacing w:line="249" w:lineRule="exact"/>
              <w:ind w:left="126"/>
              <w:jc w:val="left"/>
              <w:rPr>
                <w:sz w:val="24"/>
              </w:rPr>
            </w:pPr>
            <w:r>
              <w:rPr>
                <w:spacing w:val="-5"/>
                <w:sz w:val="24"/>
              </w:rPr>
              <w:t>S17</w:t>
            </w:r>
          </w:p>
        </w:tc>
        <w:tc>
          <w:tcPr>
            <w:tcW w:w="987" w:type="dxa"/>
            <w:tcBorders>
              <w:bottom w:val="single" w:sz="4" w:space="0" w:color="000000"/>
            </w:tcBorders>
          </w:tcPr>
          <w:p>
            <w:pPr>
              <w:pStyle w:val="TableParagraph"/>
              <w:spacing w:line="249" w:lineRule="exact"/>
              <w:ind w:left="110"/>
              <w:jc w:val="left"/>
              <w:rPr>
                <w:sz w:val="24"/>
              </w:rPr>
            </w:pPr>
            <w:r>
              <w:rPr>
                <w:spacing w:val="-4"/>
                <w:sz w:val="24"/>
              </w:rPr>
              <w:t>14.6</w:t>
            </w:r>
          </w:p>
        </w:tc>
        <w:tc>
          <w:tcPr>
            <w:tcW w:w="928" w:type="dxa"/>
            <w:tcBorders>
              <w:bottom w:val="single" w:sz="4" w:space="0" w:color="000000"/>
            </w:tcBorders>
          </w:tcPr>
          <w:p>
            <w:pPr>
              <w:pStyle w:val="TableParagraph"/>
              <w:spacing w:line="249" w:lineRule="exact"/>
              <w:ind w:left="126"/>
              <w:jc w:val="left"/>
              <w:rPr>
                <w:sz w:val="24"/>
              </w:rPr>
            </w:pPr>
            <w:r>
              <w:rPr>
                <w:spacing w:val="-5"/>
                <w:sz w:val="24"/>
              </w:rPr>
              <w:t>S27</w:t>
            </w:r>
          </w:p>
        </w:tc>
        <w:tc>
          <w:tcPr>
            <w:tcW w:w="987" w:type="dxa"/>
            <w:tcBorders>
              <w:bottom w:val="single" w:sz="4" w:space="0" w:color="000000"/>
            </w:tcBorders>
          </w:tcPr>
          <w:p>
            <w:pPr>
              <w:pStyle w:val="TableParagraph"/>
              <w:spacing w:line="249" w:lineRule="exact"/>
              <w:ind w:left="110"/>
              <w:jc w:val="left"/>
              <w:rPr>
                <w:sz w:val="24"/>
              </w:rPr>
            </w:pPr>
            <w:r>
              <w:rPr>
                <w:spacing w:val="-5"/>
                <w:sz w:val="24"/>
              </w:rPr>
              <w:t>NG</w:t>
            </w:r>
          </w:p>
        </w:tc>
        <w:tc>
          <w:tcPr>
            <w:tcW w:w="928" w:type="dxa"/>
            <w:tcBorders>
              <w:bottom w:val="single" w:sz="4" w:space="0" w:color="000000"/>
            </w:tcBorders>
          </w:tcPr>
          <w:p>
            <w:pPr>
              <w:pStyle w:val="TableParagraph"/>
              <w:spacing w:line="249" w:lineRule="exact"/>
              <w:ind w:left="126"/>
              <w:jc w:val="left"/>
              <w:rPr>
                <w:sz w:val="24"/>
              </w:rPr>
            </w:pPr>
            <w:r>
              <w:rPr>
                <w:spacing w:val="-5"/>
                <w:sz w:val="24"/>
              </w:rPr>
              <w:t>S37</w:t>
            </w:r>
          </w:p>
        </w:tc>
        <w:tc>
          <w:tcPr>
            <w:tcW w:w="985" w:type="dxa"/>
            <w:tcBorders>
              <w:bottom w:val="single" w:sz="4" w:space="0" w:color="000000"/>
            </w:tcBorders>
          </w:tcPr>
          <w:p>
            <w:pPr>
              <w:pStyle w:val="TableParagraph"/>
              <w:spacing w:line="249" w:lineRule="exact"/>
              <w:ind w:left="111"/>
              <w:jc w:val="left"/>
              <w:rPr>
                <w:sz w:val="24"/>
              </w:rPr>
            </w:pPr>
            <w:r>
              <w:rPr>
                <w:spacing w:val="-5"/>
                <w:sz w:val="24"/>
              </w:rPr>
              <w:t>9.8</w:t>
            </w:r>
          </w:p>
        </w:tc>
        <w:tc>
          <w:tcPr>
            <w:tcW w:w="926" w:type="dxa"/>
            <w:tcBorders>
              <w:bottom w:val="single" w:sz="4" w:space="0" w:color="000000"/>
            </w:tcBorders>
          </w:tcPr>
          <w:p>
            <w:pPr>
              <w:pStyle w:val="TableParagraph"/>
              <w:spacing w:line="249" w:lineRule="exact"/>
              <w:ind w:left="124"/>
              <w:jc w:val="left"/>
              <w:rPr>
                <w:sz w:val="24"/>
              </w:rPr>
            </w:pPr>
            <w:r>
              <w:rPr>
                <w:spacing w:val="-5"/>
                <w:sz w:val="24"/>
              </w:rPr>
              <w:t>S47</w:t>
            </w:r>
          </w:p>
        </w:tc>
        <w:tc>
          <w:tcPr>
            <w:tcW w:w="1009" w:type="dxa"/>
            <w:tcBorders>
              <w:bottom w:val="single" w:sz="4" w:space="0" w:color="000000"/>
            </w:tcBorders>
          </w:tcPr>
          <w:p>
            <w:pPr>
              <w:pStyle w:val="TableParagraph"/>
              <w:spacing w:line="249" w:lineRule="exact"/>
              <w:ind w:left="110"/>
              <w:jc w:val="left"/>
              <w:rPr>
                <w:sz w:val="24"/>
              </w:rPr>
            </w:pPr>
            <w:r>
              <w:rPr>
                <w:spacing w:val="-4"/>
                <w:sz w:val="24"/>
              </w:rPr>
              <w:t>13.4</w:t>
            </w:r>
          </w:p>
        </w:tc>
      </w:tr>
    </w:tbl>
    <w:p>
      <w:pPr>
        <w:spacing w:after="0" w:line="249" w:lineRule="exact"/>
        <w:jc w:val="left"/>
        <w:rPr>
          <w:sz w:val="24"/>
        </w:rPr>
        <w:sectPr>
          <w:pgSz w:w="12240" w:h="15840"/>
          <w:pgMar w:header="0" w:footer="1017" w:top="1400" w:bottom="1200" w:left="520" w:right="260"/>
        </w:sectPr>
      </w:pPr>
    </w:p>
    <w:p>
      <w:pPr>
        <w:pStyle w:val="BodyText"/>
        <w:rPr>
          <w:b/>
          <w:sz w:val="2"/>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572"/>
        <w:gridCol w:w="402"/>
        <w:gridCol w:w="700"/>
        <w:gridCol w:w="893"/>
        <w:gridCol w:w="838"/>
        <w:gridCol w:w="932"/>
        <w:gridCol w:w="511"/>
        <w:gridCol w:w="330"/>
        <w:gridCol w:w="536"/>
        <w:gridCol w:w="731"/>
        <w:gridCol w:w="1208"/>
        <w:gridCol w:w="786"/>
        <w:gridCol w:w="1859"/>
      </w:tblGrid>
      <w:tr>
        <w:trPr>
          <w:trHeight w:val="311" w:hRule="atLeast"/>
        </w:trPr>
        <w:tc>
          <w:tcPr>
            <w:tcW w:w="694" w:type="dxa"/>
            <w:vMerge w:val="restart"/>
            <w:tcBorders>
              <w:bottom w:val="single" w:sz="4" w:space="0" w:color="000000"/>
            </w:tcBorders>
          </w:tcPr>
          <w:p>
            <w:pPr>
              <w:pStyle w:val="TableParagraph"/>
              <w:spacing w:line="240" w:lineRule="auto"/>
              <w:jc w:val="left"/>
              <w:rPr>
                <w:rFonts w:ascii="Times New Roman"/>
                <w:sz w:val="22"/>
              </w:rPr>
            </w:pPr>
          </w:p>
        </w:tc>
        <w:tc>
          <w:tcPr>
            <w:tcW w:w="572" w:type="dxa"/>
            <w:tcBorders>
              <w:top w:val="single" w:sz="4" w:space="0" w:color="000000"/>
            </w:tcBorders>
          </w:tcPr>
          <w:p>
            <w:pPr>
              <w:pStyle w:val="TableParagraph"/>
              <w:spacing w:line="290" w:lineRule="exact" w:before="1"/>
              <w:ind w:left="117"/>
              <w:jc w:val="left"/>
              <w:rPr>
                <w:sz w:val="24"/>
              </w:rPr>
            </w:pPr>
            <w:r>
              <w:rPr>
                <w:spacing w:val="-5"/>
                <w:sz w:val="24"/>
              </w:rPr>
              <w:t>S8</w:t>
            </w:r>
          </w:p>
        </w:tc>
        <w:tc>
          <w:tcPr>
            <w:tcW w:w="402" w:type="dxa"/>
            <w:tcBorders>
              <w:top w:val="single" w:sz="4" w:space="0" w:color="000000"/>
            </w:tcBorders>
          </w:tcPr>
          <w:p>
            <w:pPr>
              <w:pStyle w:val="TableParagraph"/>
              <w:spacing w:line="240" w:lineRule="auto"/>
              <w:jc w:val="left"/>
              <w:rPr>
                <w:rFonts w:ascii="Times New Roman"/>
                <w:sz w:val="22"/>
              </w:rPr>
            </w:pPr>
          </w:p>
        </w:tc>
        <w:tc>
          <w:tcPr>
            <w:tcW w:w="700" w:type="dxa"/>
            <w:tcBorders>
              <w:top w:val="single" w:sz="4" w:space="0" w:color="000000"/>
            </w:tcBorders>
          </w:tcPr>
          <w:p>
            <w:pPr>
              <w:pStyle w:val="TableParagraph"/>
              <w:spacing w:line="290" w:lineRule="exact" w:before="1"/>
              <w:ind w:right="214"/>
              <w:jc w:val="right"/>
              <w:rPr>
                <w:sz w:val="24"/>
              </w:rPr>
            </w:pPr>
            <w:r>
              <w:rPr>
                <w:spacing w:val="-4"/>
                <w:sz w:val="24"/>
              </w:rPr>
              <w:t>11.0</w:t>
            </w:r>
          </w:p>
        </w:tc>
        <w:tc>
          <w:tcPr>
            <w:tcW w:w="893" w:type="dxa"/>
            <w:tcBorders>
              <w:top w:val="single" w:sz="4" w:space="0" w:color="000000"/>
            </w:tcBorders>
          </w:tcPr>
          <w:p>
            <w:pPr>
              <w:pStyle w:val="TableParagraph"/>
              <w:spacing w:line="290" w:lineRule="exact" w:before="1"/>
              <w:ind w:right="176"/>
              <w:jc w:val="right"/>
              <w:rPr>
                <w:sz w:val="24"/>
              </w:rPr>
            </w:pPr>
            <w:r>
              <w:rPr>
                <w:spacing w:val="-5"/>
                <w:sz w:val="24"/>
              </w:rPr>
              <w:t>S18</w:t>
            </w:r>
          </w:p>
        </w:tc>
        <w:tc>
          <w:tcPr>
            <w:tcW w:w="838" w:type="dxa"/>
            <w:tcBorders>
              <w:top w:val="single" w:sz="4" w:space="0" w:color="000000"/>
            </w:tcBorders>
          </w:tcPr>
          <w:p>
            <w:pPr>
              <w:pStyle w:val="TableParagraph"/>
              <w:spacing w:line="290" w:lineRule="exact" w:before="1"/>
              <w:ind w:right="150"/>
              <w:jc w:val="right"/>
              <w:rPr>
                <w:sz w:val="24"/>
              </w:rPr>
            </w:pPr>
            <w:r>
              <w:rPr>
                <w:spacing w:val="-5"/>
                <w:sz w:val="24"/>
              </w:rPr>
              <w:t>7.6</w:t>
            </w:r>
          </w:p>
        </w:tc>
        <w:tc>
          <w:tcPr>
            <w:tcW w:w="932" w:type="dxa"/>
            <w:tcBorders>
              <w:top w:val="single" w:sz="4" w:space="0" w:color="000000"/>
            </w:tcBorders>
          </w:tcPr>
          <w:p>
            <w:pPr>
              <w:pStyle w:val="TableParagraph"/>
              <w:spacing w:line="290" w:lineRule="exact" w:before="1"/>
              <w:ind w:right="30"/>
              <w:jc w:val="right"/>
              <w:rPr>
                <w:sz w:val="24"/>
              </w:rPr>
            </w:pPr>
            <w:r>
              <w:rPr>
                <w:spacing w:val="-5"/>
                <w:sz w:val="24"/>
              </w:rPr>
              <w:t>S28</w:t>
            </w:r>
          </w:p>
        </w:tc>
        <w:tc>
          <w:tcPr>
            <w:tcW w:w="511" w:type="dxa"/>
            <w:tcBorders>
              <w:top w:val="single" w:sz="4" w:space="0" w:color="000000"/>
            </w:tcBorders>
          </w:tcPr>
          <w:p>
            <w:pPr>
              <w:pStyle w:val="TableParagraph"/>
              <w:spacing w:line="240" w:lineRule="auto"/>
              <w:jc w:val="left"/>
              <w:rPr>
                <w:rFonts w:ascii="Times New Roman"/>
                <w:sz w:val="22"/>
              </w:rPr>
            </w:pPr>
          </w:p>
        </w:tc>
        <w:tc>
          <w:tcPr>
            <w:tcW w:w="330" w:type="dxa"/>
            <w:tcBorders>
              <w:top w:val="single" w:sz="4" w:space="0" w:color="000000"/>
            </w:tcBorders>
          </w:tcPr>
          <w:p>
            <w:pPr>
              <w:pStyle w:val="TableParagraph"/>
              <w:spacing w:line="290" w:lineRule="exact" w:before="1"/>
              <w:ind w:left="6"/>
              <w:rPr>
                <w:sz w:val="24"/>
              </w:rPr>
            </w:pPr>
            <w:r>
              <w:rPr>
                <w:spacing w:val="-5"/>
                <w:sz w:val="24"/>
              </w:rPr>
              <w:t>7.8</w:t>
            </w:r>
          </w:p>
        </w:tc>
        <w:tc>
          <w:tcPr>
            <w:tcW w:w="536" w:type="dxa"/>
            <w:tcBorders>
              <w:top w:val="single" w:sz="4" w:space="0" w:color="000000"/>
            </w:tcBorders>
          </w:tcPr>
          <w:p>
            <w:pPr>
              <w:pStyle w:val="TableParagraph"/>
              <w:spacing w:line="240" w:lineRule="auto"/>
              <w:jc w:val="left"/>
              <w:rPr>
                <w:rFonts w:ascii="Times New Roman"/>
                <w:sz w:val="22"/>
              </w:rPr>
            </w:pPr>
          </w:p>
        </w:tc>
        <w:tc>
          <w:tcPr>
            <w:tcW w:w="731" w:type="dxa"/>
            <w:tcBorders>
              <w:top w:val="single" w:sz="4" w:space="0" w:color="000000"/>
            </w:tcBorders>
          </w:tcPr>
          <w:p>
            <w:pPr>
              <w:pStyle w:val="TableParagraph"/>
              <w:spacing w:line="290" w:lineRule="exact" w:before="1"/>
              <w:ind w:right="223"/>
              <w:jc w:val="right"/>
              <w:rPr>
                <w:sz w:val="24"/>
              </w:rPr>
            </w:pPr>
            <w:r>
              <w:rPr>
                <w:spacing w:val="-5"/>
                <w:sz w:val="24"/>
              </w:rPr>
              <w:t>S38</w:t>
            </w:r>
          </w:p>
        </w:tc>
        <w:tc>
          <w:tcPr>
            <w:tcW w:w="1208" w:type="dxa"/>
            <w:tcBorders>
              <w:top w:val="single" w:sz="4" w:space="0" w:color="000000"/>
            </w:tcBorders>
          </w:tcPr>
          <w:p>
            <w:pPr>
              <w:pStyle w:val="TableParagraph"/>
              <w:spacing w:line="290" w:lineRule="exact" w:before="1"/>
              <w:ind w:left="334"/>
              <w:jc w:val="left"/>
              <w:rPr>
                <w:sz w:val="24"/>
              </w:rPr>
            </w:pPr>
            <w:r>
              <w:rPr>
                <w:spacing w:val="-5"/>
                <w:sz w:val="24"/>
              </w:rPr>
              <w:t>7.4</w:t>
            </w:r>
          </w:p>
        </w:tc>
        <w:tc>
          <w:tcPr>
            <w:tcW w:w="786" w:type="dxa"/>
            <w:tcBorders>
              <w:top w:val="single" w:sz="4" w:space="0" w:color="000000"/>
            </w:tcBorders>
          </w:tcPr>
          <w:p>
            <w:pPr>
              <w:pStyle w:val="TableParagraph"/>
              <w:spacing w:line="290" w:lineRule="exact" w:before="1"/>
              <w:ind w:left="125"/>
              <w:jc w:val="left"/>
              <w:rPr>
                <w:sz w:val="24"/>
              </w:rPr>
            </w:pPr>
            <w:r>
              <w:rPr>
                <w:spacing w:val="-5"/>
                <w:sz w:val="24"/>
              </w:rPr>
              <w:t>S48</w:t>
            </w:r>
          </w:p>
        </w:tc>
        <w:tc>
          <w:tcPr>
            <w:tcW w:w="1859" w:type="dxa"/>
            <w:tcBorders>
              <w:top w:val="single" w:sz="4" w:space="0" w:color="000000"/>
            </w:tcBorders>
          </w:tcPr>
          <w:p>
            <w:pPr>
              <w:pStyle w:val="TableParagraph"/>
              <w:spacing w:line="290" w:lineRule="exact" w:before="1"/>
              <w:ind w:left="250"/>
              <w:jc w:val="left"/>
              <w:rPr>
                <w:sz w:val="24"/>
              </w:rPr>
            </w:pPr>
            <w:r>
              <w:rPr>
                <w:spacing w:val="-5"/>
                <w:sz w:val="24"/>
              </w:rPr>
              <w:t>4.4</w:t>
            </w:r>
          </w:p>
        </w:tc>
      </w:tr>
      <w:tr>
        <w:trPr>
          <w:trHeight w:val="282" w:hRule="atLeast"/>
        </w:trPr>
        <w:tc>
          <w:tcPr>
            <w:tcW w:w="694" w:type="dxa"/>
            <w:vMerge/>
            <w:tcBorders>
              <w:top w:val="nil"/>
              <w:bottom w:val="single" w:sz="4" w:space="0" w:color="000000"/>
            </w:tcBorders>
          </w:tcPr>
          <w:p>
            <w:pPr>
              <w:rPr>
                <w:sz w:val="2"/>
                <w:szCs w:val="2"/>
              </w:rPr>
            </w:pPr>
          </w:p>
        </w:tc>
        <w:tc>
          <w:tcPr>
            <w:tcW w:w="572" w:type="dxa"/>
          </w:tcPr>
          <w:p>
            <w:pPr>
              <w:pStyle w:val="TableParagraph"/>
              <w:spacing w:line="263" w:lineRule="exact"/>
              <w:ind w:left="117"/>
              <w:jc w:val="left"/>
              <w:rPr>
                <w:sz w:val="24"/>
              </w:rPr>
            </w:pPr>
            <w:r>
              <w:rPr>
                <w:spacing w:val="-5"/>
                <w:sz w:val="24"/>
              </w:rPr>
              <w:t>S9</w:t>
            </w:r>
          </w:p>
        </w:tc>
        <w:tc>
          <w:tcPr>
            <w:tcW w:w="402" w:type="dxa"/>
          </w:tcPr>
          <w:p>
            <w:pPr>
              <w:pStyle w:val="TableParagraph"/>
              <w:spacing w:line="240" w:lineRule="auto"/>
              <w:jc w:val="left"/>
              <w:rPr>
                <w:rFonts w:ascii="Times New Roman"/>
                <w:sz w:val="20"/>
              </w:rPr>
            </w:pPr>
          </w:p>
        </w:tc>
        <w:tc>
          <w:tcPr>
            <w:tcW w:w="700" w:type="dxa"/>
          </w:tcPr>
          <w:p>
            <w:pPr>
              <w:pStyle w:val="TableParagraph"/>
              <w:spacing w:line="263" w:lineRule="exact"/>
              <w:ind w:right="214"/>
              <w:jc w:val="right"/>
              <w:rPr>
                <w:sz w:val="24"/>
              </w:rPr>
            </w:pPr>
            <w:r>
              <w:rPr>
                <w:spacing w:val="-4"/>
                <w:sz w:val="24"/>
              </w:rPr>
              <w:t>17.2</w:t>
            </w:r>
          </w:p>
        </w:tc>
        <w:tc>
          <w:tcPr>
            <w:tcW w:w="893" w:type="dxa"/>
          </w:tcPr>
          <w:p>
            <w:pPr>
              <w:pStyle w:val="TableParagraph"/>
              <w:spacing w:line="263" w:lineRule="exact"/>
              <w:ind w:right="176"/>
              <w:jc w:val="right"/>
              <w:rPr>
                <w:sz w:val="24"/>
              </w:rPr>
            </w:pPr>
            <w:r>
              <w:rPr>
                <w:spacing w:val="-5"/>
                <w:sz w:val="24"/>
              </w:rPr>
              <w:t>S19</w:t>
            </w:r>
          </w:p>
        </w:tc>
        <w:tc>
          <w:tcPr>
            <w:tcW w:w="838" w:type="dxa"/>
          </w:tcPr>
          <w:p>
            <w:pPr>
              <w:pStyle w:val="TableParagraph"/>
              <w:spacing w:line="263" w:lineRule="exact"/>
              <w:ind w:right="150"/>
              <w:jc w:val="right"/>
              <w:rPr>
                <w:sz w:val="24"/>
              </w:rPr>
            </w:pPr>
            <w:r>
              <w:rPr>
                <w:spacing w:val="-5"/>
                <w:sz w:val="24"/>
              </w:rPr>
              <w:t>9.8</w:t>
            </w:r>
          </w:p>
        </w:tc>
        <w:tc>
          <w:tcPr>
            <w:tcW w:w="932" w:type="dxa"/>
          </w:tcPr>
          <w:p>
            <w:pPr>
              <w:pStyle w:val="TableParagraph"/>
              <w:spacing w:line="263" w:lineRule="exact"/>
              <w:ind w:right="30"/>
              <w:jc w:val="right"/>
              <w:rPr>
                <w:sz w:val="24"/>
              </w:rPr>
            </w:pPr>
            <w:r>
              <w:rPr>
                <w:spacing w:val="-5"/>
                <w:sz w:val="24"/>
              </w:rPr>
              <w:t>S29</w:t>
            </w:r>
          </w:p>
        </w:tc>
        <w:tc>
          <w:tcPr>
            <w:tcW w:w="511" w:type="dxa"/>
          </w:tcPr>
          <w:p>
            <w:pPr>
              <w:pStyle w:val="TableParagraph"/>
              <w:spacing w:line="240" w:lineRule="auto"/>
              <w:jc w:val="left"/>
              <w:rPr>
                <w:rFonts w:ascii="Times New Roman"/>
                <w:sz w:val="20"/>
              </w:rPr>
            </w:pPr>
          </w:p>
        </w:tc>
        <w:tc>
          <w:tcPr>
            <w:tcW w:w="330" w:type="dxa"/>
          </w:tcPr>
          <w:p>
            <w:pPr>
              <w:pStyle w:val="TableParagraph"/>
              <w:spacing w:line="263" w:lineRule="exact"/>
              <w:ind w:left="7"/>
              <w:rPr>
                <w:sz w:val="24"/>
              </w:rPr>
            </w:pPr>
            <w:r>
              <w:rPr>
                <w:spacing w:val="-5"/>
                <w:sz w:val="24"/>
              </w:rPr>
              <w:t>NG</w:t>
            </w:r>
          </w:p>
        </w:tc>
        <w:tc>
          <w:tcPr>
            <w:tcW w:w="536" w:type="dxa"/>
          </w:tcPr>
          <w:p>
            <w:pPr>
              <w:pStyle w:val="TableParagraph"/>
              <w:spacing w:line="240" w:lineRule="auto"/>
              <w:jc w:val="left"/>
              <w:rPr>
                <w:rFonts w:ascii="Times New Roman"/>
                <w:sz w:val="20"/>
              </w:rPr>
            </w:pPr>
          </w:p>
        </w:tc>
        <w:tc>
          <w:tcPr>
            <w:tcW w:w="731" w:type="dxa"/>
          </w:tcPr>
          <w:p>
            <w:pPr>
              <w:pStyle w:val="TableParagraph"/>
              <w:spacing w:line="263" w:lineRule="exact"/>
              <w:ind w:right="223"/>
              <w:jc w:val="right"/>
              <w:rPr>
                <w:sz w:val="24"/>
              </w:rPr>
            </w:pPr>
            <w:r>
              <w:rPr>
                <w:spacing w:val="-5"/>
                <w:sz w:val="24"/>
              </w:rPr>
              <w:t>S39</w:t>
            </w:r>
          </w:p>
        </w:tc>
        <w:tc>
          <w:tcPr>
            <w:tcW w:w="1208" w:type="dxa"/>
          </w:tcPr>
          <w:p>
            <w:pPr>
              <w:pStyle w:val="TableParagraph"/>
              <w:spacing w:line="263" w:lineRule="exact"/>
              <w:ind w:left="334"/>
              <w:jc w:val="left"/>
              <w:rPr>
                <w:sz w:val="24"/>
              </w:rPr>
            </w:pPr>
            <w:r>
              <w:rPr>
                <w:spacing w:val="-4"/>
                <w:sz w:val="24"/>
              </w:rPr>
              <w:t>11.8</w:t>
            </w:r>
          </w:p>
        </w:tc>
        <w:tc>
          <w:tcPr>
            <w:tcW w:w="786" w:type="dxa"/>
          </w:tcPr>
          <w:p>
            <w:pPr>
              <w:pStyle w:val="TableParagraph"/>
              <w:spacing w:line="263" w:lineRule="exact"/>
              <w:ind w:left="125"/>
              <w:jc w:val="left"/>
              <w:rPr>
                <w:sz w:val="24"/>
              </w:rPr>
            </w:pPr>
            <w:r>
              <w:rPr>
                <w:spacing w:val="-5"/>
                <w:sz w:val="24"/>
              </w:rPr>
              <w:t>S49</w:t>
            </w:r>
          </w:p>
        </w:tc>
        <w:tc>
          <w:tcPr>
            <w:tcW w:w="1859" w:type="dxa"/>
          </w:tcPr>
          <w:p>
            <w:pPr>
              <w:pStyle w:val="TableParagraph"/>
              <w:spacing w:line="263" w:lineRule="exact"/>
              <w:ind w:left="250"/>
              <w:jc w:val="left"/>
              <w:rPr>
                <w:sz w:val="24"/>
              </w:rPr>
            </w:pPr>
            <w:r>
              <w:rPr>
                <w:spacing w:val="-5"/>
                <w:sz w:val="24"/>
              </w:rPr>
              <w:t>7.8</w:t>
            </w:r>
          </w:p>
        </w:tc>
      </w:tr>
      <w:tr>
        <w:trPr>
          <w:trHeight w:val="263" w:hRule="atLeast"/>
        </w:trPr>
        <w:tc>
          <w:tcPr>
            <w:tcW w:w="694" w:type="dxa"/>
            <w:vMerge/>
            <w:tcBorders>
              <w:top w:val="nil"/>
              <w:bottom w:val="single" w:sz="4" w:space="0" w:color="000000"/>
            </w:tcBorders>
          </w:tcPr>
          <w:p>
            <w:pPr>
              <w:rPr>
                <w:sz w:val="2"/>
                <w:szCs w:val="2"/>
              </w:rPr>
            </w:pPr>
          </w:p>
        </w:tc>
        <w:tc>
          <w:tcPr>
            <w:tcW w:w="572" w:type="dxa"/>
            <w:tcBorders>
              <w:bottom w:val="single" w:sz="4" w:space="0" w:color="000000"/>
            </w:tcBorders>
          </w:tcPr>
          <w:p>
            <w:pPr>
              <w:pStyle w:val="TableParagraph"/>
              <w:spacing w:line="266" w:lineRule="exact"/>
              <w:ind w:left="117"/>
              <w:jc w:val="left"/>
              <w:rPr>
                <w:sz w:val="24"/>
              </w:rPr>
            </w:pPr>
            <w:r>
              <w:rPr>
                <w:spacing w:val="-5"/>
                <w:sz w:val="24"/>
              </w:rPr>
              <w:t>S10</w:t>
            </w:r>
          </w:p>
        </w:tc>
        <w:tc>
          <w:tcPr>
            <w:tcW w:w="402" w:type="dxa"/>
            <w:tcBorders>
              <w:bottom w:val="single" w:sz="4" w:space="0" w:color="000000"/>
            </w:tcBorders>
          </w:tcPr>
          <w:p>
            <w:pPr>
              <w:pStyle w:val="TableParagraph"/>
              <w:spacing w:line="240" w:lineRule="auto"/>
              <w:jc w:val="left"/>
              <w:rPr>
                <w:rFonts w:ascii="Times New Roman"/>
                <w:sz w:val="20"/>
              </w:rPr>
            </w:pPr>
          </w:p>
        </w:tc>
        <w:tc>
          <w:tcPr>
            <w:tcW w:w="700" w:type="dxa"/>
            <w:tcBorders>
              <w:bottom w:val="single" w:sz="4" w:space="0" w:color="000000"/>
            </w:tcBorders>
          </w:tcPr>
          <w:p>
            <w:pPr>
              <w:pStyle w:val="TableParagraph"/>
              <w:spacing w:line="266" w:lineRule="exact"/>
              <w:ind w:right="214"/>
              <w:jc w:val="right"/>
              <w:rPr>
                <w:sz w:val="24"/>
              </w:rPr>
            </w:pPr>
            <w:r>
              <w:rPr>
                <w:spacing w:val="-4"/>
                <w:sz w:val="24"/>
              </w:rPr>
              <w:t>12.6</w:t>
            </w:r>
          </w:p>
        </w:tc>
        <w:tc>
          <w:tcPr>
            <w:tcW w:w="893" w:type="dxa"/>
            <w:tcBorders>
              <w:bottom w:val="single" w:sz="4" w:space="0" w:color="000000"/>
            </w:tcBorders>
          </w:tcPr>
          <w:p>
            <w:pPr>
              <w:pStyle w:val="TableParagraph"/>
              <w:spacing w:line="266" w:lineRule="exact"/>
              <w:ind w:right="176"/>
              <w:jc w:val="right"/>
              <w:rPr>
                <w:sz w:val="24"/>
              </w:rPr>
            </w:pPr>
            <w:r>
              <w:rPr>
                <w:spacing w:val="-5"/>
                <w:sz w:val="24"/>
              </w:rPr>
              <w:t>S20</w:t>
            </w:r>
          </w:p>
        </w:tc>
        <w:tc>
          <w:tcPr>
            <w:tcW w:w="838" w:type="dxa"/>
            <w:tcBorders>
              <w:bottom w:val="single" w:sz="4" w:space="0" w:color="000000"/>
            </w:tcBorders>
          </w:tcPr>
          <w:p>
            <w:pPr>
              <w:pStyle w:val="TableParagraph"/>
              <w:spacing w:line="266" w:lineRule="exact"/>
              <w:ind w:right="150"/>
              <w:jc w:val="right"/>
              <w:rPr>
                <w:sz w:val="24"/>
              </w:rPr>
            </w:pPr>
            <w:r>
              <w:rPr>
                <w:spacing w:val="-5"/>
                <w:sz w:val="24"/>
              </w:rPr>
              <w:t>5.7</w:t>
            </w:r>
          </w:p>
        </w:tc>
        <w:tc>
          <w:tcPr>
            <w:tcW w:w="932" w:type="dxa"/>
            <w:tcBorders>
              <w:bottom w:val="single" w:sz="4" w:space="0" w:color="000000"/>
            </w:tcBorders>
          </w:tcPr>
          <w:p>
            <w:pPr>
              <w:pStyle w:val="TableParagraph"/>
              <w:spacing w:line="266" w:lineRule="exact"/>
              <w:ind w:right="30"/>
              <w:jc w:val="right"/>
              <w:rPr>
                <w:sz w:val="24"/>
              </w:rPr>
            </w:pPr>
            <w:r>
              <w:rPr>
                <w:spacing w:val="-5"/>
                <w:sz w:val="24"/>
              </w:rPr>
              <w:t>S30</w:t>
            </w:r>
          </w:p>
        </w:tc>
        <w:tc>
          <w:tcPr>
            <w:tcW w:w="511" w:type="dxa"/>
            <w:tcBorders>
              <w:bottom w:val="single" w:sz="4" w:space="0" w:color="000000"/>
            </w:tcBorders>
          </w:tcPr>
          <w:p>
            <w:pPr>
              <w:pStyle w:val="TableParagraph"/>
              <w:spacing w:line="240" w:lineRule="auto"/>
              <w:jc w:val="left"/>
              <w:rPr>
                <w:rFonts w:ascii="Times New Roman"/>
                <w:sz w:val="20"/>
              </w:rPr>
            </w:pPr>
          </w:p>
        </w:tc>
        <w:tc>
          <w:tcPr>
            <w:tcW w:w="330" w:type="dxa"/>
            <w:tcBorders>
              <w:bottom w:val="single" w:sz="4" w:space="0" w:color="000000"/>
            </w:tcBorders>
          </w:tcPr>
          <w:p>
            <w:pPr>
              <w:pStyle w:val="TableParagraph"/>
              <w:spacing w:line="266" w:lineRule="exact"/>
              <w:ind w:left="7"/>
              <w:rPr>
                <w:sz w:val="24"/>
              </w:rPr>
            </w:pPr>
            <w:r>
              <w:rPr>
                <w:spacing w:val="-5"/>
                <w:sz w:val="24"/>
              </w:rPr>
              <w:t>NG</w:t>
            </w:r>
          </w:p>
        </w:tc>
        <w:tc>
          <w:tcPr>
            <w:tcW w:w="536" w:type="dxa"/>
            <w:tcBorders>
              <w:bottom w:val="single" w:sz="4" w:space="0" w:color="000000"/>
            </w:tcBorders>
          </w:tcPr>
          <w:p>
            <w:pPr>
              <w:pStyle w:val="TableParagraph"/>
              <w:spacing w:line="240" w:lineRule="auto"/>
              <w:jc w:val="left"/>
              <w:rPr>
                <w:rFonts w:ascii="Times New Roman"/>
                <w:sz w:val="20"/>
              </w:rPr>
            </w:pPr>
          </w:p>
        </w:tc>
        <w:tc>
          <w:tcPr>
            <w:tcW w:w="731" w:type="dxa"/>
            <w:tcBorders>
              <w:bottom w:val="single" w:sz="4" w:space="0" w:color="000000"/>
            </w:tcBorders>
          </w:tcPr>
          <w:p>
            <w:pPr>
              <w:pStyle w:val="TableParagraph"/>
              <w:spacing w:line="266" w:lineRule="exact"/>
              <w:ind w:right="223"/>
              <w:jc w:val="right"/>
              <w:rPr>
                <w:sz w:val="24"/>
              </w:rPr>
            </w:pPr>
            <w:r>
              <w:rPr>
                <w:spacing w:val="-5"/>
                <w:sz w:val="24"/>
              </w:rPr>
              <w:t>S40</w:t>
            </w:r>
          </w:p>
        </w:tc>
        <w:tc>
          <w:tcPr>
            <w:tcW w:w="1208" w:type="dxa"/>
            <w:tcBorders>
              <w:bottom w:val="single" w:sz="4" w:space="0" w:color="000000"/>
            </w:tcBorders>
          </w:tcPr>
          <w:p>
            <w:pPr>
              <w:pStyle w:val="TableParagraph"/>
              <w:spacing w:line="266" w:lineRule="exact"/>
              <w:ind w:left="334"/>
              <w:jc w:val="left"/>
              <w:rPr>
                <w:sz w:val="24"/>
              </w:rPr>
            </w:pPr>
            <w:r>
              <w:rPr>
                <w:spacing w:val="-4"/>
                <w:sz w:val="24"/>
              </w:rPr>
              <w:t>12.8</w:t>
            </w:r>
          </w:p>
        </w:tc>
        <w:tc>
          <w:tcPr>
            <w:tcW w:w="786" w:type="dxa"/>
            <w:tcBorders>
              <w:bottom w:val="single" w:sz="4" w:space="0" w:color="000000"/>
            </w:tcBorders>
          </w:tcPr>
          <w:p>
            <w:pPr>
              <w:pStyle w:val="TableParagraph"/>
              <w:spacing w:line="266" w:lineRule="exact"/>
              <w:ind w:left="125"/>
              <w:jc w:val="left"/>
              <w:rPr>
                <w:sz w:val="24"/>
              </w:rPr>
            </w:pPr>
            <w:r>
              <w:rPr>
                <w:spacing w:val="-5"/>
                <w:sz w:val="24"/>
              </w:rPr>
              <w:t>S50</w:t>
            </w:r>
          </w:p>
        </w:tc>
        <w:tc>
          <w:tcPr>
            <w:tcW w:w="1859" w:type="dxa"/>
            <w:tcBorders>
              <w:bottom w:val="single" w:sz="4" w:space="0" w:color="000000"/>
            </w:tcBorders>
          </w:tcPr>
          <w:p>
            <w:pPr>
              <w:pStyle w:val="TableParagraph"/>
              <w:spacing w:line="266" w:lineRule="exact"/>
              <w:ind w:left="250"/>
              <w:jc w:val="left"/>
              <w:rPr>
                <w:sz w:val="24"/>
              </w:rPr>
            </w:pPr>
            <w:r>
              <w:rPr>
                <w:spacing w:val="-5"/>
                <w:sz w:val="24"/>
              </w:rPr>
              <w:t>9.4</w:t>
            </w:r>
          </w:p>
        </w:tc>
      </w:tr>
      <w:tr>
        <w:trPr>
          <w:trHeight w:val="561" w:hRule="atLeast"/>
        </w:trPr>
        <w:tc>
          <w:tcPr>
            <w:tcW w:w="694" w:type="dxa"/>
            <w:tcBorders>
              <w:top w:val="single" w:sz="4" w:space="0" w:color="000000"/>
              <w:bottom w:val="single" w:sz="4" w:space="0" w:color="000000"/>
            </w:tcBorders>
          </w:tcPr>
          <w:p>
            <w:pPr>
              <w:pStyle w:val="TableParagraph"/>
              <w:spacing w:line="265" w:lineRule="exact"/>
              <w:ind w:right="134"/>
              <w:rPr>
                <w:sz w:val="22"/>
              </w:rPr>
            </w:pPr>
            <w:r>
              <w:rPr>
                <w:spacing w:val="-5"/>
                <w:sz w:val="22"/>
              </w:rPr>
              <w:t>IND</w:t>
            </w:r>
          </w:p>
        </w:tc>
        <w:tc>
          <w:tcPr>
            <w:tcW w:w="572" w:type="dxa"/>
            <w:tcBorders>
              <w:top w:val="single" w:sz="4" w:space="0" w:color="000000"/>
              <w:bottom w:val="single" w:sz="4" w:space="0" w:color="000000"/>
            </w:tcBorders>
          </w:tcPr>
          <w:p>
            <w:pPr>
              <w:pStyle w:val="TableParagraph"/>
              <w:spacing w:line="265" w:lineRule="exact"/>
              <w:ind w:left="45"/>
              <w:jc w:val="left"/>
              <w:rPr>
                <w:sz w:val="22"/>
              </w:rPr>
            </w:pPr>
            <w:r>
              <w:rPr/>
              <mc:AlternateContent>
                <mc:Choice Requires="wps">
                  <w:drawing>
                    <wp:anchor distT="0" distB="0" distL="0" distR="0" allowOverlap="1" layoutInCell="1" locked="0" behindDoc="1" simplePos="0" relativeHeight="476922880">
                      <wp:simplePos x="0" y="0"/>
                      <wp:positionH relativeFrom="column">
                        <wp:posOffset>-4572</wp:posOffset>
                      </wp:positionH>
                      <wp:positionV relativeFrom="paragraph">
                        <wp:posOffset>-21463</wp:posOffset>
                      </wp:positionV>
                      <wp:extent cx="6093460" cy="635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6093460" cy="6350"/>
                                <a:chExt cx="6093460" cy="6350"/>
                              </a:xfrm>
                            </wpg:grpSpPr>
                            <wps:wsp>
                              <wps:cNvPr id="77" name="Graphic 77"/>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1.69pt;width:479.8pt;height:.5pt;mso-position-horizontal-relative:column;mso-position-vertical-relative:paragraph;z-index:-26393600" id="docshapegroup73" coordorigin="-7,-34" coordsize="9596,10">
                      <v:rect style="position:absolute;left:-8;top:-34;width:9596;height:10" id="docshape74" filled="true" fillcolor="#000000" stroked="false">
                        <v:fill type="solid"/>
                      </v:rect>
                      <w10:wrap type="none"/>
                    </v:group>
                  </w:pict>
                </mc:Fallback>
              </mc:AlternateContent>
            </w:r>
            <w:r>
              <w:rPr>
                <w:spacing w:val="-5"/>
                <w:sz w:val="22"/>
              </w:rPr>
              <w:t>MR</w:t>
            </w:r>
          </w:p>
        </w:tc>
        <w:tc>
          <w:tcPr>
            <w:tcW w:w="402" w:type="dxa"/>
            <w:tcBorders>
              <w:top w:val="single" w:sz="4" w:space="0" w:color="000000"/>
              <w:bottom w:val="single" w:sz="4" w:space="0" w:color="000000"/>
            </w:tcBorders>
          </w:tcPr>
          <w:p>
            <w:pPr>
              <w:pStyle w:val="TableParagraph"/>
              <w:spacing w:line="265" w:lineRule="exact"/>
              <w:ind w:left="41"/>
              <w:rPr>
                <w:sz w:val="22"/>
              </w:rPr>
            </w:pPr>
            <w:r>
              <w:rPr>
                <w:spacing w:val="-5"/>
                <w:sz w:val="22"/>
              </w:rPr>
              <w:t>VP</w:t>
            </w:r>
          </w:p>
        </w:tc>
        <w:tc>
          <w:tcPr>
            <w:tcW w:w="700" w:type="dxa"/>
            <w:tcBorders>
              <w:top w:val="single" w:sz="4" w:space="0" w:color="000000"/>
              <w:bottom w:val="single" w:sz="4" w:space="0" w:color="000000"/>
            </w:tcBorders>
          </w:tcPr>
          <w:p>
            <w:pPr>
              <w:pStyle w:val="TableParagraph"/>
              <w:spacing w:line="265" w:lineRule="exact"/>
              <w:ind w:right="170"/>
              <w:jc w:val="right"/>
              <w:rPr>
                <w:sz w:val="22"/>
              </w:rPr>
            </w:pPr>
            <w:r>
              <w:rPr>
                <w:spacing w:val="-5"/>
                <w:sz w:val="22"/>
              </w:rPr>
              <w:t>CIT</w:t>
            </w:r>
          </w:p>
        </w:tc>
        <w:tc>
          <w:tcPr>
            <w:tcW w:w="893" w:type="dxa"/>
            <w:tcBorders>
              <w:top w:val="single" w:sz="4" w:space="0" w:color="000000"/>
              <w:bottom w:val="single" w:sz="4" w:space="0" w:color="000000"/>
            </w:tcBorders>
          </w:tcPr>
          <w:p>
            <w:pPr>
              <w:pStyle w:val="TableParagraph"/>
              <w:spacing w:line="265" w:lineRule="exact"/>
              <w:ind w:right="222"/>
              <w:jc w:val="right"/>
              <w:rPr>
                <w:sz w:val="22"/>
              </w:rPr>
            </w:pPr>
            <w:r>
              <w:rPr>
                <w:spacing w:val="-4"/>
                <w:sz w:val="22"/>
              </w:rPr>
              <w:t>UREA</w:t>
            </w:r>
          </w:p>
        </w:tc>
        <w:tc>
          <w:tcPr>
            <w:tcW w:w="838" w:type="dxa"/>
            <w:tcBorders>
              <w:top w:val="single" w:sz="4" w:space="0" w:color="000000"/>
              <w:bottom w:val="single" w:sz="4" w:space="0" w:color="000000"/>
            </w:tcBorders>
          </w:tcPr>
          <w:p>
            <w:pPr>
              <w:pStyle w:val="TableParagraph"/>
              <w:spacing w:line="265" w:lineRule="exact"/>
              <w:ind w:left="175"/>
              <w:jc w:val="left"/>
              <w:rPr>
                <w:sz w:val="22"/>
              </w:rPr>
            </w:pPr>
            <w:r>
              <w:rPr>
                <w:spacing w:val="-5"/>
                <w:sz w:val="22"/>
              </w:rPr>
              <w:t>TSI</w:t>
            </w:r>
          </w:p>
        </w:tc>
        <w:tc>
          <w:tcPr>
            <w:tcW w:w="932" w:type="dxa"/>
            <w:tcBorders>
              <w:top w:val="single" w:sz="4" w:space="0" w:color="000000"/>
              <w:bottom w:val="single" w:sz="4" w:space="0" w:color="000000"/>
            </w:tcBorders>
          </w:tcPr>
          <w:p>
            <w:pPr>
              <w:pStyle w:val="TableParagraph"/>
              <w:spacing w:line="265" w:lineRule="exact"/>
              <w:ind w:left="148"/>
              <w:jc w:val="left"/>
              <w:rPr>
                <w:sz w:val="22"/>
              </w:rPr>
            </w:pPr>
            <w:r>
              <w:rPr>
                <w:spacing w:val="-4"/>
                <w:sz w:val="22"/>
              </w:rPr>
              <w:t>LACT</w:t>
            </w:r>
          </w:p>
        </w:tc>
        <w:tc>
          <w:tcPr>
            <w:tcW w:w="511" w:type="dxa"/>
            <w:tcBorders>
              <w:top w:val="single" w:sz="4" w:space="0" w:color="000000"/>
              <w:bottom w:val="single" w:sz="4" w:space="0" w:color="000000"/>
            </w:tcBorders>
          </w:tcPr>
          <w:p>
            <w:pPr>
              <w:pStyle w:val="TableParagraph"/>
              <w:spacing w:line="265" w:lineRule="exact"/>
              <w:ind w:left="28"/>
              <w:jc w:val="left"/>
              <w:rPr>
                <w:sz w:val="22"/>
              </w:rPr>
            </w:pPr>
            <w:r>
              <w:rPr>
                <w:spacing w:val="-5"/>
                <w:sz w:val="22"/>
              </w:rPr>
              <w:t>MAN</w:t>
            </w:r>
          </w:p>
        </w:tc>
        <w:tc>
          <w:tcPr>
            <w:tcW w:w="330" w:type="dxa"/>
            <w:tcBorders>
              <w:top w:val="single" w:sz="4" w:space="0" w:color="000000"/>
              <w:bottom w:val="single" w:sz="4" w:space="0" w:color="000000"/>
            </w:tcBorders>
          </w:tcPr>
          <w:p>
            <w:pPr>
              <w:pStyle w:val="TableParagraph"/>
              <w:spacing w:line="240" w:lineRule="auto"/>
              <w:jc w:val="left"/>
              <w:rPr>
                <w:rFonts w:ascii="Times New Roman"/>
                <w:sz w:val="22"/>
              </w:rPr>
            </w:pPr>
          </w:p>
        </w:tc>
        <w:tc>
          <w:tcPr>
            <w:tcW w:w="536" w:type="dxa"/>
            <w:tcBorders>
              <w:top w:val="single" w:sz="4" w:space="0" w:color="000000"/>
              <w:bottom w:val="single" w:sz="4" w:space="0" w:color="000000"/>
            </w:tcBorders>
          </w:tcPr>
          <w:p>
            <w:pPr>
              <w:pStyle w:val="TableParagraph"/>
              <w:spacing w:line="265" w:lineRule="exact"/>
              <w:ind w:left="-2" w:right="164"/>
              <w:jc w:val="right"/>
              <w:rPr>
                <w:sz w:val="22"/>
              </w:rPr>
            </w:pPr>
            <w:r>
              <w:rPr>
                <w:spacing w:val="-5"/>
                <w:sz w:val="22"/>
              </w:rPr>
              <w:t>GLU</w:t>
            </w:r>
          </w:p>
        </w:tc>
        <w:tc>
          <w:tcPr>
            <w:tcW w:w="731" w:type="dxa"/>
            <w:tcBorders>
              <w:top w:val="single" w:sz="4" w:space="0" w:color="000000"/>
              <w:bottom w:val="single" w:sz="4" w:space="0" w:color="000000"/>
            </w:tcBorders>
          </w:tcPr>
          <w:p>
            <w:pPr>
              <w:pStyle w:val="TableParagraph"/>
              <w:spacing w:line="265" w:lineRule="exact"/>
              <w:ind w:right="184"/>
              <w:jc w:val="right"/>
              <w:rPr>
                <w:sz w:val="22"/>
              </w:rPr>
            </w:pPr>
            <w:r>
              <w:rPr>
                <w:spacing w:val="-5"/>
                <w:sz w:val="22"/>
              </w:rPr>
              <w:t>SUC</w:t>
            </w:r>
          </w:p>
        </w:tc>
        <w:tc>
          <w:tcPr>
            <w:tcW w:w="1208" w:type="dxa"/>
            <w:tcBorders>
              <w:top w:val="single" w:sz="4" w:space="0" w:color="000000"/>
              <w:bottom w:val="single" w:sz="4" w:space="0" w:color="000000"/>
            </w:tcBorders>
          </w:tcPr>
          <w:p>
            <w:pPr>
              <w:pStyle w:val="TableParagraph"/>
              <w:tabs>
                <w:tab w:pos="708" w:val="left" w:leader="none"/>
              </w:tabs>
              <w:spacing w:line="265" w:lineRule="exact"/>
              <w:ind w:left="171"/>
              <w:jc w:val="left"/>
              <w:rPr>
                <w:sz w:val="22"/>
              </w:rPr>
            </w:pPr>
            <w:r>
              <w:rPr>
                <w:spacing w:val="-5"/>
                <w:sz w:val="22"/>
              </w:rPr>
              <w:t>OX</w:t>
            </w:r>
            <w:r>
              <w:rPr>
                <w:sz w:val="22"/>
              </w:rPr>
              <w:tab/>
            </w:r>
            <w:r>
              <w:rPr>
                <w:spacing w:val="-5"/>
                <w:sz w:val="22"/>
              </w:rPr>
              <w:t>CAT</w:t>
            </w:r>
          </w:p>
        </w:tc>
        <w:tc>
          <w:tcPr>
            <w:tcW w:w="786" w:type="dxa"/>
            <w:tcBorders>
              <w:top w:val="single" w:sz="4" w:space="0" w:color="000000"/>
              <w:bottom w:val="single" w:sz="4" w:space="0" w:color="000000"/>
            </w:tcBorders>
          </w:tcPr>
          <w:p>
            <w:pPr>
              <w:pStyle w:val="TableParagraph"/>
              <w:spacing w:line="265" w:lineRule="exact"/>
              <w:ind w:left="220"/>
              <w:jc w:val="left"/>
              <w:rPr>
                <w:sz w:val="22"/>
              </w:rPr>
            </w:pPr>
            <w:r>
              <w:rPr>
                <w:spacing w:val="-5"/>
                <w:sz w:val="22"/>
              </w:rPr>
              <w:t>COA</w:t>
            </w:r>
          </w:p>
        </w:tc>
        <w:tc>
          <w:tcPr>
            <w:tcW w:w="1859" w:type="dxa"/>
            <w:tcBorders>
              <w:top w:val="single" w:sz="4" w:space="0" w:color="000000"/>
              <w:bottom w:val="single" w:sz="4" w:space="0" w:color="000000"/>
            </w:tcBorders>
          </w:tcPr>
          <w:p>
            <w:pPr>
              <w:pStyle w:val="TableParagraph"/>
              <w:spacing w:line="265" w:lineRule="exact"/>
              <w:ind w:left="154"/>
              <w:jc w:val="left"/>
              <w:rPr>
                <w:sz w:val="22"/>
              </w:rPr>
            </w:pPr>
            <w:r>
              <w:rPr>
                <w:spacing w:val="-2"/>
                <w:sz w:val="22"/>
              </w:rPr>
              <w:t>ISOLATES</w:t>
            </w:r>
          </w:p>
        </w:tc>
      </w:tr>
      <w:tr>
        <w:trPr>
          <w:trHeight w:val="419" w:hRule="atLeast"/>
        </w:trPr>
        <w:tc>
          <w:tcPr>
            <w:tcW w:w="694" w:type="dxa"/>
            <w:tcBorders>
              <w:top w:val="single" w:sz="4" w:space="0" w:color="000000"/>
            </w:tcBorders>
          </w:tcPr>
          <w:p>
            <w:pPr>
              <w:pStyle w:val="TableParagraph"/>
              <w:spacing w:line="265" w:lineRule="exact"/>
              <w:ind w:left="71" w:right="134"/>
              <w:rPr>
                <w:sz w:val="22"/>
              </w:rPr>
            </w:pPr>
            <w:r>
              <w:rPr>
                <w:spacing w:val="-10"/>
                <w:sz w:val="22"/>
              </w:rPr>
              <w:t>+</w:t>
            </w:r>
          </w:p>
        </w:tc>
        <w:tc>
          <w:tcPr>
            <w:tcW w:w="572" w:type="dxa"/>
            <w:tcBorders>
              <w:top w:val="single" w:sz="4" w:space="0" w:color="000000"/>
            </w:tcBorders>
          </w:tcPr>
          <w:p>
            <w:pPr>
              <w:pStyle w:val="TableParagraph"/>
              <w:spacing w:line="265" w:lineRule="exact"/>
              <w:ind w:right="72"/>
              <w:rPr>
                <w:sz w:val="22"/>
              </w:rPr>
            </w:pPr>
            <w:r>
              <w:rPr>
                <w:spacing w:val="-10"/>
                <w:sz w:val="22"/>
              </w:rPr>
              <w:t>+</w:t>
            </w:r>
          </w:p>
        </w:tc>
        <w:tc>
          <w:tcPr>
            <w:tcW w:w="402" w:type="dxa"/>
            <w:tcBorders>
              <w:top w:val="single" w:sz="4" w:space="0" w:color="000000"/>
            </w:tcBorders>
          </w:tcPr>
          <w:p>
            <w:pPr>
              <w:pStyle w:val="TableParagraph"/>
              <w:spacing w:line="265" w:lineRule="exact"/>
              <w:ind w:left="122"/>
              <w:rPr>
                <w:sz w:val="22"/>
              </w:rPr>
            </w:pPr>
            <w:r>
              <w:rPr>
                <w:spacing w:val="-10"/>
                <w:sz w:val="22"/>
              </w:rPr>
              <w:t>_</w:t>
            </w:r>
          </w:p>
        </w:tc>
        <w:tc>
          <w:tcPr>
            <w:tcW w:w="700" w:type="dxa"/>
            <w:tcBorders>
              <w:top w:val="single" w:sz="4" w:space="0" w:color="000000"/>
            </w:tcBorders>
          </w:tcPr>
          <w:p>
            <w:pPr>
              <w:pStyle w:val="TableParagraph"/>
              <w:spacing w:line="265" w:lineRule="exact"/>
              <w:ind w:right="197"/>
              <w:jc w:val="right"/>
              <w:rPr>
                <w:sz w:val="22"/>
              </w:rPr>
            </w:pPr>
            <w:r>
              <w:rPr>
                <w:spacing w:val="-10"/>
                <w:sz w:val="22"/>
              </w:rPr>
              <w:t>_</w:t>
            </w:r>
          </w:p>
        </w:tc>
        <w:tc>
          <w:tcPr>
            <w:tcW w:w="893" w:type="dxa"/>
            <w:tcBorders>
              <w:top w:val="single" w:sz="4" w:space="0" w:color="000000"/>
            </w:tcBorders>
          </w:tcPr>
          <w:p>
            <w:pPr>
              <w:pStyle w:val="TableParagraph"/>
              <w:spacing w:line="265" w:lineRule="exact"/>
              <w:ind w:left="125"/>
              <w:rPr>
                <w:sz w:val="22"/>
              </w:rPr>
            </w:pPr>
            <w:r>
              <w:rPr>
                <w:spacing w:val="-10"/>
                <w:sz w:val="22"/>
              </w:rPr>
              <w:t>_</w:t>
            </w:r>
          </w:p>
        </w:tc>
        <w:tc>
          <w:tcPr>
            <w:tcW w:w="838" w:type="dxa"/>
            <w:tcBorders>
              <w:top w:val="single" w:sz="4" w:space="0" w:color="000000"/>
            </w:tcBorders>
          </w:tcPr>
          <w:p>
            <w:pPr>
              <w:pStyle w:val="TableParagraph"/>
              <w:spacing w:line="265" w:lineRule="exact"/>
              <w:ind w:left="175"/>
              <w:jc w:val="left"/>
              <w:rPr>
                <w:sz w:val="22"/>
              </w:rPr>
            </w:pPr>
            <w:r>
              <w:rPr>
                <w:spacing w:val="-4"/>
                <w:sz w:val="22"/>
              </w:rPr>
              <w:t>A/AG</w:t>
            </w:r>
          </w:p>
        </w:tc>
        <w:tc>
          <w:tcPr>
            <w:tcW w:w="932" w:type="dxa"/>
            <w:tcBorders>
              <w:top w:val="single" w:sz="4" w:space="0" w:color="000000"/>
            </w:tcBorders>
          </w:tcPr>
          <w:p>
            <w:pPr>
              <w:pStyle w:val="TableParagraph"/>
              <w:spacing w:line="265" w:lineRule="exact"/>
              <w:ind w:left="4" w:right="46"/>
              <w:rPr>
                <w:sz w:val="22"/>
              </w:rPr>
            </w:pPr>
            <w:r>
              <w:rPr>
                <w:spacing w:val="-10"/>
                <w:sz w:val="22"/>
              </w:rPr>
              <w:t>+</w:t>
            </w:r>
          </w:p>
        </w:tc>
        <w:tc>
          <w:tcPr>
            <w:tcW w:w="511" w:type="dxa"/>
            <w:tcBorders>
              <w:top w:val="single" w:sz="4" w:space="0" w:color="000000"/>
            </w:tcBorders>
          </w:tcPr>
          <w:p>
            <w:pPr>
              <w:pStyle w:val="TableParagraph"/>
              <w:spacing w:line="265" w:lineRule="exact"/>
              <w:ind w:left="268"/>
              <w:jc w:val="left"/>
              <w:rPr>
                <w:sz w:val="22"/>
              </w:rPr>
            </w:pPr>
            <w:r>
              <w:rPr>
                <w:spacing w:val="-10"/>
                <w:sz w:val="22"/>
              </w:rPr>
              <w:t>+</w:t>
            </w:r>
          </w:p>
        </w:tc>
        <w:tc>
          <w:tcPr>
            <w:tcW w:w="330" w:type="dxa"/>
            <w:tcBorders>
              <w:top w:val="single" w:sz="4" w:space="0" w:color="000000"/>
            </w:tcBorders>
          </w:tcPr>
          <w:p>
            <w:pPr>
              <w:pStyle w:val="TableParagraph"/>
              <w:spacing w:line="240" w:lineRule="auto"/>
              <w:jc w:val="left"/>
              <w:rPr>
                <w:rFonts w:ascii="Times New Roman"/>
                <w:sz w:val="22"/>
              </w:rPr>
            </w:pPr>
          </w:p>
        </w:tc>
        <w:tc>
          <w:tcPr>
            <w:tcW w:w="536" w:type="dxa"/>
            <w:tcBorders>
              <w:top w:val="single" w:sz="4" w:space="0" w:color="000000"/>
            </w:tcBorders>
          </w:tcPr>
          <w:p>
            <w:pPr>
              <w:pStyle w:val="TableParagraph"/>
              <w:spacing w:line="265" w:lineRule="exact"/>
              <w:ind w:left="-2" w:right="229"/>
              <w:jc w:val="right"/>
              <w:rPr>
                <w:sz w:val="22"/>
              </w:rPr>
            </w:pPr>
            <w:r>
              <w:rPr>
                <w:spacing w:val="-10"/>
                <w:sz w:val="22"/>
              </w:rPr>
              <w:t>+</w:t>
            </w:r>
          </w:p>
        </w:tc>
        <w:tc>
          <w:tcPr>
            <w:tcW w:w="731" w:type="dxa"/>
            <w:tcBorders>
              <w:top w:val="single" w:sz="4" w:space="0" w:color="000000"/>
            </w:tcBorders>
          </w:tcPr>
          <w:p>
            <w:pPr>
              <w:pStyle w:val="TableParagraph"/>
              <w:spacing w:line="265" w:lineRule="exact"/>
              <w:ind w:right="240"/>
              <w:jc w:val="right"/>
              <w:rPr>
                <w:sz w:val="22"/>
              </w:rPr>
            </w:pPr>
            <w:r>
              <w:rPr>
                <w:spacing w:val="-10"/>
                <w:sz w:val="22"/>
              </w:rPr>
              <w:t>+</w:t>
            </w:r>
          </w:p>
        </w:tc>
        <w:tc>
          <w:tcPr>
            <w:tcW w:w="1208" w:type="dxa"/>
            <w:tcBorders>
              <w:top w:val="single" w:sz="4" w:space="0" w:color="000000"/>
            </w:tcBorders>
          </w:tcPr>
          <w:p>
            <w:pPr>
              <w:pStyle w:val="TableParagraph"/>
              <w:tabs>
                <w:tab w:pos="708" w:val="left" w:leader="none"/>
              </w:tabs>
              <w:spacing w:line="265" w:lineRule="exact"/>
              <w:ind w:left="171"/>
              <w:jc w:val="left"/>
              <w:rPr>
                <w:sz w:val="22"/>
              </w:rPr>
            </w:pPr>
            <w:r>
              <w:rPr>
                <w:spacing w:val="-5"/>
                <w:sz w:val="22"/>
              </w:rPr>
              <w:t>NT</w:t>
            </w:r>
            <w:r>
              <w:rPr>
                <w:sz w:val="22"/>
              </w:rPr>
              <w:tab/>
            </w:r>
            <w:r>
              <w:rPr>
                <w:spacing w:val="-5"/>
                <w:sz w:val="22"/>
              </w:rPr>
              <w:t>NT</w:t>
            </w:r>
          </w:p>
        </w:tc>
        <w:tc>
          <w:tcPr>
            <w:tcW w:w="786" w:type="dxa"/>
            <w:tcBorders>
              <w:top w:val="single" w:sz="4" w:space="0" w:color="000000"/>
            </w:tcBorders>
          </w:tcPr>
          <w:p>
            <w:pPr>
              <w:pStyle w:val="TableParagraph"/>
              <w:spacing w:line="265" w:lineRule="exact"/>
              <w:ind w:left="220"/>
              <w:jc w:val="left"/>
              <w:rPr>
                <w:sz w:val="22"/>
              </w:rPr>
            </w:pPr>
            <w:r>
              <w:rPr>
                <w:spacing w:val="-5"/>
                <w:sz w:val="22"/>
              </w:rPr>
              <w:t>NT</w:t>
            </w:r>
          </w:p>
        </w:tc>
        <w:tc>
          <w:tcPr>
            <w:tcW w:w="1859" w:type="dxa"/>
            <w:tcBorders>
              <w:top w:val="single" w:sz="4" w:space="0" w:color="000000"/>
            </w:tcBorders>
          </w:tcPr>
          <w:p>
            <w:pPr>
              <w:pStyle w:val="TableParagraph"/>
              <w:spacing w:line="265" w:lineRule="exact"/>
              <w:ind w:left="154"/>
              <w:jc w:val="left"/>
              <w:rPr>
                <w:i/>
                <w:sz w:val="22"/>
              </w:rPr>
            </w:pPr>
            <w:r>
              <w:rPr>
                <w:i/>
                <w:sz w:val="22"/>
              </w:rPr>
              <w:t>E.</w:t>
            </w:r>
            <w:r>
              <w:rPr>
                <w:i/>
                <w:spacing w:val="-2"/>
                <w:sz w:val="22"/>
              </w:rPr>
              <w:t> </w:t>
            </w:r>
            <w:r>
              <w:rPr>
                <w:i/>
                <w:spacing w:val="-4"/>
                <w:sz w:val="22"/>
              </w:rPr>
              <w:t>coli</w:t>
            </w:r>
          </w:p>
        </w:tc>
      </w:tr>
      <w:tr>
        <w:trPr>
          <w:trHeight w:val="535" w:hRule="atLeast"/>
        </w:trPr>
        <w:tc>
          <w:tcPr>
            <w:tcW w:w="694" w:type="dxa"/>
          </w:tcPr>
          <w:p>
            <w:pPr>
              <w:pStyle w:val="TableParagraph"/>
              <w:spacing w:line="240" w:lineRule="auto" w:before="114"/>
              <w:ind w:left="71" w:right="134"/>
              <w:rPr>
                <w:sz w:val="22"/>
              </w:rPr>
            </w:pPr>
            <w:r>
              <w:rPr>
                <w:spacing w:val="-10"/>
                <w:sz w:val="22"/>
              </w:rPr>
              <w:t>+</w:t>
            </w:r>
          </w:p>
        </w:tc>
        <w:tc>
          <w:tcPr>
            <w:tcW w:w="572" w:type="dxa"/>
          </w:tcPr>
          <w:p>
            <w:pPr>
              <w:pStyle w:val="TableParagraph"/>
              <w:spacing w:line="240" w:lineRule="auto" w:before="114"/>
              <w:ind w:right="72"/>
              <w:rPr>
                <w:sz w:val="22"/>
              </w:rPr>
            </w:pPr>
            <w:r>
              <w:rPr>
                <w:spacing w:val="-10"/>
                <w:sz w:val="22"/>
              </w:rPr>
              <w:t>+</w:t>
            </w:r>
          </w:p>
        </w:tc>
        <w:tc>
          <w:tcPr>
            <w:tcW w:w="402" w:type="dxa"/>
          </w:tcPr>
          <w:p>
            <w:pPr>
              <w:pStyle w:val="TableParagraph"/>
              <w:spacing w:line="240" w:lineRule="auto" w:before="114"/>
              <w:ind w:left="122"/>
              <w:rPr>
                <w:sz w:val="22"/>
              </w:rPr>
            </w:pPr>
            <w:r>
              <w:rPr>
                <w:spacing w:val="-10"/>
                <w:sz w:val="22"/>
              </w:rPr>
              <w:t>_</w:t>
            </w:r>
          </w:p>
        </w:tc>
        <w:tc>
          <w:tcPr>
            <w:tcW w:w="700" w:type="dxa"/>
          </w:tcPr>
          <w:p>
            <w:pPr>
              <w:pStyle w:val="TableParagraph"/>
              <w:spacing w:line="240" w:lineRule="auto" w:before="114"/>
              <w:ind w:right="197"/>
              <w:jc w:val="right"/>
              <w:rPr>
                <w:sz w:val="22"/>
              </w:rPr>
            </w:pPr>
            <w:r>
              <w:rPr>
                <w:spacing w:val="-10"/>
                <w:sz w:val="22"/>
              </w:rPr>
              <w:t>_</w:t>
            </w:r>
          </w:p>
        </w:tc>
        <w:tc>
          <w:tcPr>
            <w:tcW w:w="893" w:type="dxa"/>
          </w:tcPr>
          <w:p>
            <w:pPr>
              <w:pStyle w:val="TableParagraph"/>
              <w:spacing w:line="240" w:lineRule="auto" w:before="114"/>
              <w:ind w:left="125"/>
              <w:rPr>
                <w:sz w:val="22"/>
              </w:rPr>
            </w:pPr>
            <w:r>
              <w:rPr>
                <w:spacing w:val="-10"/>
                <w:sz w:val="22"/>
              </w:rPr>
              <w:t>+</w:t>
            </w:r>
          </w:p>
        </w:tc>
        <w:tc>
          <w:tcPr>
            <w:tcW w:w="838" w:type="dxa"/>
          </w:tcPr>
          <w:p>
            <w:pPr>
              <w:pStyle w:val="TableParagraph"/>
              <w:spacing w:line="240" w:lineRule="auto" w:before="114"/>
              <w:ind w:left="175"/>
              <w:jc w:val="left"/>
              <w:rPr>
                <w:sz w:val="22"/>
              </w:rPr>
            </w:pPr>
            <w:r>
              <w:rPr>
                <w:spacing w:val="-4"/>
                <w:sz w:val="22"/>
              </w:rPr>
              <w:t>A/AG</w:t>
            </w:r>
          </w:p>
        </w:tc>
        <w:tc>
          <w:tcPr>
            <w:tcW w:w="932" w:type="dxa"/>
          </w:tcPr>
          <w:p>
            <w:pPr>
              <w:pStyle w:val="TableParagraph"/>
              <w:spacing w:line="240" w:lineRule="auto" w:before="114"/>
              <w:ind w:left="4" w:right="46"/>
              <w:rPr>
                <w:sz w:val="22"/>
              </w:rPr>
            </w:pPr>
            <w:r>
              <w:rPr>
                <w:spacing w:val="-10"/>
                <w:sz w:val="22"/>
              </w:rPr>
              <w:t>_</w:t>
            </w:r>
          </w:p>
        </w:tc>
        <w:tc>
          <w:tcPr>
            <w:tcW w:w="511" w:type="dxa"/>
          </w:tcPr>
          <w:p>
            <w:pPr>
              <w:pStyle w:val="TableParagraph"/>
              <w:spacing w:line="240" w:lineRule="auto" w:before="114"/>
              <w:ind w:left="268"/>
              <w:jc w:val="left"/>
              <w:rPr>
                <w:sz w:val="22"/>
              </w:rPr>
            </w:pPr>
            <w:r>
              <w:rPr>
                <w:spacing w:val="-10"/>
                <w:sz w:val="22"/>
              </w:rPr>
              <w:t>_</w:t>
            </w:r>
          </w:p>
        </w:tc>
        <w:tc>
          <w:tcPr>
            <w:tcW w:w="330" w:type="dxa"/>
          </w:tcPr>
          <w:p>
            <w:pPr>
              <w:pStyle w:val="TableParagraph"/>
              <w:spacing w:line="240" w:lineRule="auto"/>
              <w:jc w:val="left"/>
              <w:rPr>
                <w:rFonts w:ascii="Times New Roman"/>
                <w:sz w:val="22"/>
              </w:rPr>
            </w:pPr>
          </w:p>
        </w:tc>
        <w:tc>
          <w:tcPr>
            <w:tcW w:w="536" w:type="dxa"/>
          </w:tcPr>
          <w:p>
            <w:pPr>
              <w:pStyle w:val="TableParagraph"/>
              <w:spacing w:line="240" w:lineRule="auto" w:before="114"/>
              <w:ind w:left="-2" w:right="229"/>
              <w:jc w:val="right"/>
              <w:rPr>
                <w:sz w:val="22"/>
              </w:rPr>
            </w:pPr>
            <w:r>
              <w:rPr>
                <w:spacing w:val="-10"/>
                <w:sz w:val="22"/>
              </w:rPr>
              <w:t>+</w:t>
            </w:r>
          </w:p>
        </w:tc>
        <w:tc>
          <w:tcPr>
            <w:tcW w:w="731" w:type="dxa"/>
          </w:tcPr>
          <w:p>
            <w:pPr>
              <w:pStyle w:val="TableParagraph"/>
              <w:spacing w:line="240" w:lineRule="auto" w:before="114"/>
              <w:ind w:right="240"/>
              <w:jc w:val="right"/>
              <w:rPr>
                <w:sz w:val="22"/>
              </w:rPr>
            </w:pPr>
            <w:r>
              <w:rPr>
                <w:spacing w:val="-10"/>
                <w:sz w:val="22"/>
              </w:rPr>
              <w:t>+</w:t>
            </w:r>
          </w:p>
        </w:tc>
        <w:tc>
          <w:tcPr>
            <w:tcW w:w="1208" w:type="dxa"/>
          </w:tcPr>
          <w:p>
            <w:pPr>
              <w:pStyle w:val="TableParagraph"/>
              <w:tabs>
                <w:tab w:pos="708" w:val="left" w:leader="none"/>
              </w:tabs>
              <w:spacing w:line="240" w:lineRule="auto" w:before="114"/>
              <w:ind w:left="171"/>
              <w:jc w:val="left"/>
              <w:rPr>
                <w:sz w:val="22"/>
              </w:rPr>
            </w:pPr>
            <w:r>
              <w:rPr>
                <w:spacing w:val="-5"/>
                <w:sz w:val="22"/>
              </w:rPr>
              <w:t>NT</w:t>
            </w:r>
            <w:r>
              <w:rPr>
                <w:sz w:val="22"/>
              </w:rPr>
              <w:tab/>
            </w:r>
            <w:r>
              <w:rPr>
                <w:spacing w:val="-5"/>
                <w:sz w:val="22"/>
              </w:rPr>
              <w:t>NT</w:t>
            </w:r>
          </w:p>
        </w:tc>
        <w:tc>
          <w:tcPr>
            <w:tcW w:w="786" w:type="dxa"/>
          </w:tcPr>
          <w:p>
            <w:pPr>
              <w:pStyle w:val="TableParagraph"/>
              <w:spacing w:line="240" w:lineRule="auto" w:before="114"/>
              <w:ind w:left="220"/>
              <w:jc w:val="left"/>
              <w:rPr>
                <w:sz w:val="22"/>
              </w:rPr>
            </w:pPr>
            <w:r>
              <w:rPr>
                <w:spacing w:val="-5"/>
                <w:sz w:val="22"/>
              </w:rPr>
              <w:t>NT</w:t>
            </w:r>
          </w:p>
        </w:tc>
        <w:tc>
          <w:tcPr>
            <w:tcW w:w="1859" w:type="dxa"/>
          </w:tcPr>
          <w:p>
            <w:pPr>
              <w:pStyle w:val="TableParagraph"/>
              <w:spacing w:line="240" w:lineRule="auto" w:before="114"/>
              <w:ind w:left="154"/>
              <w:jc w:val="left"/>
              <w:rPr>
                <w:i/>
                <w:sz w:val="22"/>
              </w:rPr>
            </w:pPr>
            <w:r>
              <w:rPr>
                <w:i/>
                <w:sz w:val="22"/>
              </w:rPr>
              <w:t>Proteus</w:t>
            </w:r>
            <w:r>
              <w:rPr>
                <w:i/>
                <w:spacing w:val="-2"/>
                <w:sz w:val="22"/>
              </w:rPr>
              <w:t> </w:t>
            </w:r>
            <w:r>
              <w:rPr>
                <w:i/>
                <w:spacing w:val="-4"/>
                <w:sz w:val="22"/>
              </w:rPr>
              <w:t>spp.</w:t>
            </w:r>
          </w:p>
        </w:tc>
      </w:tr>
      <w:tr>
        <w:trPr>
          <w:trHeight w:val="535" w:hRule="atLeast"/>
        </w:trPr>
        <w:tc>
          <w:tcPr>
            <w:tcW w:w="694" w:type="dxa"/>
          </w:tcPr>
          <w:p>
            <w:pPr>
              <w:pStyle w:val="TableParagraph"/>
              <w:spacing w:line="240" w:lineRule="auto" w:before="112"/>
              <w:ind w:left="71" w:right="134"/>
              <w:rPr>
                <w:sz w:val="22"/>
              </w:rPr>
            </w:pPr>
            <w:r>
              <w:rPr>
                <w:spacing w:val="-10"/>
                <w:sz w:val="22"/>
              </w:rPr>
              <w:t>_</w:t>
            </w:r>
          </w:p>
        </w:tc>
        <w:tc>
          <w:tcPr>
            <w:tcW w:w="572" w:type="dxa"/>
          </w:tcPr>
          <w:p>
            <w:pPr>
              <w:pStyle w:val="TableParagraph"/>
              <w:spacing w:line="240" w:lineRule="auto" w:before="112"/>
              <w:ind w:right="72"/>
              <w:rPr>
                <w:sz w:val="22"/>
              </w:rPr>
            </w:pPr>
            <w:r>
              <w:rPr>
                <w:spacing w:val="-10"/>
                <w:sz w:val="22"/>
              </w:rPr>
              <w:t>+</w:t>
            </w:r>
          </w:p>
        </w:tc>
        <w:tc>
          <w:tcPr>
            <w:tcW w:w="402" w:type="dxa"/>
          </w:tcPr>
          <w:p>
            <w:pPr>
              <w:pStyle w:val="TableParagraph"/>
              <w:spacing w:line="240" w:lineRule="auto" w:before="112"/>
              <w:ind w:left="122"/>
              <w:rPr>
                <w:sz w:val="22"/>
              </w:rPr>
            </w:pPr>
            <w:r>
              <w:rPr>
                <w:spacing w:val="-10"/>
                <w:sz w:val="22"/>
              </w:rPr>
              <w:t>_</w:t>
            </w:r>
          </w:p>
        </w:tc>
        <w:tc>
          <w:tcPr>
            <w:tcW w:w="700" w:type="dxa"/>
          </w:tcPr>
          <w:p>
            <w:pPr>
              <w:pStyle w:val="TableParagraph"/>
              <w:spacing w:line="240" w:lineRule="auto" w:before="112"/>
              <w:ind w:right="197"/>
              <w:jc w:val="right"/>
              <w:rPr>
                <w:sz w:val="22"/>
              </w:rPr>
            </w:pPr>
            <w:r>
              <w:rPr>
                <w:spacing w:val="-10"/>
                <w:sz w:val="22"/>
              </w:rPr>
              <w:t>_</w:t>
            </w:r>
          </w:p>
        </w:tc>
        <w:tc>
          <w:tcPr>
            <w:tcW w:w="893" w:type="dxa"/>
          </w:tcPr>
          <w:p>
            <w:pPr>
              <w:pStyle w:val="TableParagraph"/>
              <w:spacing w:line="240" w:lineRule="auto" w:before="112"/>
              <w:ind w:left="125"/>
              <w:rPr>
                <w:sz w:val="22"/>
              </w:rPr>
            </w:pPr>
            <w:r>
              <w:rPr>
                <w:spacing w:val="-10"/>
                <w:sz w:val="22"/>
              </w:rPr>
              <w:t>_</w:t>
            </w:r>
          </w:p>
        </w:tc>
        <w:tc>
          <w:tcPr>
            <w:tcW w:w="838" w:type="dxa"/>
          </w:tcPr>
          <w:p>
            <w:pPr>
              <w:pStyle w:val="TableParagraph"/>
              <w:spacing w:line="240" w:lineRule="auto" w:before="112"/>
              <w:ind w:left="175"/>
              <w:jc w:val="left"/>
              <w:rPr>
                <w:sz w:val="22"/>
              </w:rPr>
            </w:pPr>
            <w:r>
              <w:rPr>
                <w:spacing w:val="-5"/>
                <w:sz w:val="22"/>
              </w:rPr>
              <w:t>K/A</w:t>
            </w:r>
          </w:p>
        </w:tc>
        <w:tc>
          <w:tcPr>
            <w:tcW w:w="932" w:type="dxa"/>
          </w:tcPr>
          <w:p>
            <w:pPr>
              <w:pStyle w:val="TableParagraph"/>
              <w:spacing w:line="240" w:lineRule="auto" w:before="112"/>
              <w:ind w:left="4" w:right="46"/>
              <w:rPr>
                <w:sz w:val="22"/>
              </w:rPr>
            </w:pPr>
            <w:r>
              <w:rPr>
                <w:spacing w:val="-10"/>
                <w:sz w:val="22"/>
              </w:rPr>
              <w:t>_</w:t>
            </w:r>
          </w:p>
        </w:tc>
        <w:tc>
          <w:tcPr>
            <w:tcW w:w="511" w:type="dxa"/>
          </w:tcPr>
          <w:p>
            <w:pPr>
              <w:pStyle w:val="TableParagraph"/>
              <w:spacing w:line="240" w:lineRule="auto" w:before="112"/>
              <w:ind w:left="268"/>
              <w:jc w:val="left"/>
              <w:rPr>
                <w:sz w:val="22"/>
              </w:rPr>
            </w:pPr>
            <w:r>
              <w:rPr>
                <w:spacing w:val="-10"/>
                <w:sz w:val="22"/>
              </w:rPr>
              <w:t>+</w:t>
            </w:r>
          </w:p>
        </w:tc>
        <w:tc>
          <w:tcPr>
            <w:tcW w:w="330" w:type="dxa"/>
          </w:tcPr>
          <w:p>
            <w:pPr>
              <w:pStyle w:val="TableParagraph"/>
              <w:spacing w:line="240" w:lineRule="auto"/>
              <w:jc w:val="left"/>
              <w:rPr>
                <w:rFonts w:ascii="Times New Roman"/>
                <w:sz w:val="22"/>
              </w:rPr>
            </w:pPr>
          </w:p>
        </w:tc>
        <w:tc>
          <w:tcPr>
            <w:tcW w:w="536" w:type="dxa"/>
          </w:tcPr>
          <w:p>
            <w:pPr>
              <w:pStyle w:val="TableParagraph"/>
              <w:spacing w:line="240" w:lineRule="auto" w:before="112"/>
              <w:ind w:left="-2" w:right="229"/>
              <w:jc w:val="right"/>
              <w:rPr>
                <w:sz w:val="22"/>
              </w:rPr>
            </w:pPr>
            <w:r>
              <w:rPr>
                <w:spacing w:val="-10"/>
                <w:sz w:val="22"/>
              </w:rPr>
              <w:t>_</w:t>
            </w:r>
          </w:p>
        </w:tc>
        <w:tc>
          <w:tcPr>
            <w:tcW w:w="731" w:type="dxa"/>
          </w:tcPr>
          <w:p>
            <w:pPr>
              <w:pStyle w:val="TableParagraph"/>
              <w:spacing w:line="240" w:lineRule="auto" w:before="112"/>
              <w:ind w:right="240"/>
              <w:jc w:val="right"/>
              <w:rPr>
                <w:sz w:val="22"/>
              </w:rPr>
            </w:pPr>
            <w:r>
              <w:rPr>
                <w:spacing w:val="-10"/>
                <w:sz w:val="22"/>
              </w:rPr>
              <w:t>_</w:t>
            </w:r>
          </w:p>
        </w:tc>
        <w:tc>
          <w:tcPr>
            <w:tcW w:w="1208" w:type="dxa"/>
          </w:tcPr>
          <w:p>
            <w:pPr>
              <w:pStyle w:val="TableParagraph"/>
              <w:tabs>
                <w:tab w:pos="708" w:val="left" w:leader="none"/>
              </w:tabs>
              <w:spacing w:line="240" w:lineRule="auto" w:before="112"/>
              <w:ind w:left="171"/>
              <w:jc w:val="left"/>
              <w:rPr>
                <w:sz w:val="22"/>
              </w:rPr>
            </w:pPr>
            <w:r>
              <w:rPr>
                <w:spacing w:val="-5"/>
                <w:sz w:val="22"/>
              </w:rPr>
              <w:t>NT</w:t>
            </w:r>
            <w:r>
              <w:rPr>
                <w:sz w:val="22"/>
              </w:rPr>
              <w:tab/>
            </w:r>
            <w:r>
              <w:rPr>
                <w:spacing w:val="-5"/>
                <w:sz w:val="22"/>
              </w:rPr>
              <w:t>NT</w:t>
            </w:r>
          </w:p>
        </w:tc>
        <w:tc>
          <w:tcPr>
            <w:tcW w:w="786" w:type="dxa"/>
          </w:tcPr>
          <w:p>
            <w:pPr>
              <w:pStyle w:val="TableParagraph"/>
              <w:spacing w:line="240" w:lineRule="auto" w:before="112"/>
              <w:ind w:left="220"/>
              <w:jc w:val="left"/>
              <w:rPr>
                <w:sz w:val="22"/>
              </w:rPr>
            </w:pPr>
            <w:r>
              <w:rPr>
                <w:spacing w:val="-5"/>
                <w:sz w:val="22"/>
              </w:rPr>
              <w:t>NT</w:t>
            </w:r>
          </w:p>
        </w:tc>
        <w:tc>
          <w:tcPr>
            <w:tcW w:w="1859" w:type="dxa"/>
          </w:tcPr>
          <w:p>
            <w:pPr>
              <w:pStyle w:val="TableParagraph"/>
              <w:spacing w:line="240" w:lineRule="auto" w:before="112"/>
              <w:ind w:left="154"/>
              <w:jc w:val="left"/>
              <w:rPr>
                <w:i/>
                <w:sz w:val="22"/>
              </w:rPr>
            </w:pPr>
            <w:r>
              <w:rPr>
                <w:i/>
                <w:sz w:val="22"/>
              </w:rPr>
              <w:t>Salmonella</w:t>
            </w:r>
            <w:r>
              <w:rPr>
                <w:i/>
                <w:spacing w:val="-3"/>
                <w:sz w:val="22"/>
              </w:rPr>
              <w:t> </w:t>
            </w:r>
            <w:r>
              <w:rPr>
                <w:i/>
                <w:spacing w:val="-4"/>
                <w:sz w:val="22"/>
              </w:rPr>
              <w:t>spp.</w:t>
            </w:r>
          </w:p>
        </w:tc>
      </w:tr>
      <w:tr>
        <w:trPr>
          <w:trHeight w:val="379" w:hRule="atLeast"/>
        </w:trPr>
        <w:tc>
          <w:tcPr>
            <w:tcW w:w="694" w:type="dxa"/>
          </w:tcPr>
          <w:p>
            <w:pPr>
              <w:pStyle w:val="TableParagraph"/>
              <w:spacing w:line="245" w:lineRule="exact" w:before="114"/>
              <w:ind w:left="71" w:right="134"/>
              <w:rPr>
                <w:sz w:val="22"/>
              </w:rPr>
            </w:pPr>
            <w:r>
              <w:rPr>
                <w:spacing w:val="-10"/>
                <w:sz w:val="22"/>
              </w:rPr>
              <w:t>+</w:t>
            </w:r>
          </w:p>
        </w:tc>
        <w:tc>
          <w:tcPr>
            <w:tcW w:w="572" w:type="dxa"/>
          </w:tcPr>
          <w:p>
            <w:pPr>
              <w:pStyle w:val="TableParagraph"/>
              <w:spacing w:line="245" w:lineRule="exact" w:before="114"/>
              <w:ind w:right="72"/>
              <w:rPr>
                <w:sz w:val="22"/>
              </w:rPr>
            </w:pPr>
            <w:r>
              <w:rPr>
                <w:spacing w:val="-10"/>
                <w:sz w:val="22"/>
              </w:rPr>
              <w:t>+</w:t>
            </w:r>
          </w:p>
        </w:tc>
        <w:tc>
          <w:tcPr>
            <w:tcW w:w="402" w:type="dxa"/>
          </w:tcPr>
          <w:p>
            <w:pPr>
              <w:pStyle w:val="TableParagraph"/>
              <w:spacing w:line="245" w:lineRule="exact" w:before="114"/>
              <w:ind w:left="122"/>
              <w:rPr>
                <w:sz w:val="22"/>
              </w:rPr>
            </w:pPr>
            <w:r>
              <w:rPr>
                <w:spacing w:val="-10"/>
                <w:sz w:val="22"/>
              </w:rPr>
              <w:t>_</w:t>
            </w:r>
          </w:p>
        </w:tc>
        <w:tc>
          <w:tcPr>
            <w:tcW w:w="700" w:type="dxa"/>
          </w:tcPr>
          <w:p>
            <w:pPr>
              <w:pStyle w:val="TableParagraph"/>
              <w:spacing w:line="245" w:lineRule="exact" w:before="114"/>
              <w:ind w:right="103"/>
              <w:rPr>
                <w:sz w:val="22"/>
              </w:rPr>
            </w:pPr>
            <w:r>
              <w:rPr>
                <w:spacing w:val="-10"/>
                <w:sz w:val="22"/>
              </w:rPr>
              <w:t>+</w:t>
            </w:r>
          </w:p>
        </w:tc>
        <w:tc>
          <w:tcPr>
            <w:tcW w:w="893" w:type="dxa"/>
          </w:tcPr>
          <w:p>
            <w:pPr>
              <w:pStyle w:val="TableParagraph"/>
              <w:spacing w:line="245" w:lineRule="exact" w:before="114"/>
              <w:ind w:left="125"/>
              <w:rPr>
                <w:sz w:val="22"/>
              </w:rPr>
            </w:pPr>
            <w:r>
              <w:rPr>
                <w:spacing w:val="-10"/>
                <w:sz w:val="22"/>
              </w:rPr>
              <w:t>_</w:t>
            </w:r>
          </w:p>
        </w:tc>
        <w:tc>
          <w:tcPr>
            <w:tcW w:w="838" w:type="dxa"/>
          </w:tcPr>
          <w:p>
            <w:pPr>
              <w:pStyle w:val="TableParagraph"/>
              <w:spacing w:line="245" w:lineRule="exact" w:before="114"/>
              <w:ind w:left="175"/>
              <w:jc w:val="left"/>
              <w:rPr>
                <w:sz w:val="22"/>
              </w:rPr>
            </w:pPr>
            <w:r>
              <w:rPr>
                <w:spacing w:val="-4"/>
                <w:sz w:val="22"/>
              </w:rPr>
              <w:t>K/AG</w:t>
            </w:r>
          </w:p>
        </w:tc>
        <w:tc>
          <w:tcPr>
            <w:tcW w:w="932" w:type="dxa"/>
          </w:tcPr>
          <w:p>
            <w:pPr>
              <w:pStyle w:val="TableParagraph"/>
              <w:spacing w:line="245" w:lineRule="exact" w:before="114"/>
              <w:ind w:left="4" w:right="46"/>
              <w:rPr>
                <w:sz w:val="22"/>
              </w:rPr>
            </w:pPr>
            <w:r>
              <w:rPr>
                <w:spacing w:val="-10"/>
                <w:sz w:val="22"/>
              </w:rPr>
              <w:t>_</w:t>
            </w:r>
          </w:p>
        </w:tc>
        <w:tc>
          <w:tcPr>
            <w:tcW w:w="511" w:type="dxa"/>
          </w:tcPr>
          <w:p>
            <w:pPr>
              <w:pStyle w:val="TableParagraph"/>
              <w:spacing w:line="245" w:lineRule="exact" w:before="114"/>
              <w:ind w:left="268"/>
              <w:jc w:val="left"/>
              <w:rPr>
                <w:sz w:val="22"/>
              </w:rPr>
            </w:pPr>
            <w:r>
              <w:rPr>
                <w:spacing w:val="-10"/>
                <w:sz w:val="22"/>
              </w:rPr>
              <w:t>_</w:t>
            </w:r>
          </w:p>
        </w:tc>
        <w:tc>
          <w:tcPr>
            <w:tcW w:w="330" w:type="dxa"/>
          </w:tcPr>
          <w:p>
            <w:pPr>
              <w:pStyle w:val="TableParagraph"/>
              <w:spacing w:line="240" w:lineRule="auto"/>
              <w:jc w:val="left"/>
              <w:rPr>
                <w:rFonts w:ascii="Times New Roman"/>
                <w:sz w:val="22"/>
              </w:rPr>
            </w:pPr>
          </w:p>
        </w:tc>
        <w:tc>
          <w:tcPr>
            <w:tcW w:w="536" w:type="dxa"/>
          </w:tcPr>
          <w:p>
            <w:pPr>
              <w:pStyle w:val="TableParagraph"/>
              <w:spacing w:line="245" w:lineRule="exact" w:before="114"/>
              <w:ind w:left="-2" w:right="229"/>
              <w:jc w:val="right"/>
              <w:rPr>
                <w:sz w:val="22"/>
              </w:rPr>
            </w:pPr>
            <w:r>
              <w:rPr>
                <w:spacing w:val="-10"/>
                <w:sz w:val="22"/>
              </w:rPr>
              <w:t>+</w:t>
            </w:r>
          </w:p>
        </w:tc>
        <w:tc>
          <w:tcPr>
            <w:tcW w:w="731" w:type="dxa"/>
          </w:tcPr>
          <w:p>
            <w:pPr>
              <w:pStyle w:val="TableParagraph"/>
              <w:spacing w:line="245" w:lineRule="exact" w:before="114"/>
              <w:ind w:right="240"/>
              <w:jc w:val="right"/>
              <w:rPr>
                <w:sz w:val="22"/>
              </w:rPr>
            </w:pPr>
            <w:r>
              <w:rPr>
                <w:spacing w:val="-10"/>
                <w:sz w:val="22"/>
              </w:rPr>
              <w:t>_</w:t>
            </w:r>
          </w:p>
        </w:tc>
        <w:tc>
          <w:tcPr>
            <w:tcW w:w="1208" w:type="dxa"/>
          </w:tcPr>
          <w:p>
            <w:pPr>
              <w:pStyle w:val="TableParagraph"/>
              <w:tabs>
                <w:tab w:pos="708" w:val="left" w:leader="none"/>
              </w:tabs>
              <w:spacing w:line="245" w:lineRule="exact" w:before="114"/>
              <w:ind w:left="171"/>
              <w:jc w:val="left"/>
              <w:rPr>
                <w:sz w:val="22"/>
              </w:rPr>
            </w:pPr>
            <w:r>
              <w:rPr>
                <w:spacing w:val="-5"/>
                <w:sz w:val="22"/>
              </w:rPr>
              <w:t>NT</w:t>
            </w:r>
            <w:r>
              <w:rPr>
                <w:sz w:val="22"/>
              </w:rPr>
              <w:tab/>
            </w:r>
            <w:r>
              <w:rPr>
                <w:spacing w:val="-5"/>
                <w:sz w:val="22"/>
              </w:rPr>
              <w:t>NT</w:t>
            </w:r>
          </w:p>
        </w:tc>
        <w:tc>
          <w:tcPr>
            <w:tcW w:w="786" w:type="dxa"/>
          </w:tcPr>
          <w:p>
            <w:pPr>
              <w:pStyle w:val="TableParagraph"/>
              <w:spacing w:line="245" w:lineRule="exact" w:before="114"/>
              <w:ind w:left="220"/>
              <w:jc w:val="left"/>
              <w:rPr>
                <w:sz w:val="22"/>
              </w:rPr>
            </w:pPr>
            <w:r>
              <w:rPr>
                <w:spacing w:val="-5"/>
                <w:sz w:val="22"/>
              </w:rPr>
              <w:t>NT</w:t>
            </w:r>
          </w:p>
        </w:tc>
        <w:tc>
          <w:tcPr>
            <w:tcW w:w="1859" w:type="dxa"/>
          </w:tcPr>
          <w:p>
            <w:pPr>
              <w:pStyle w:val="TableParagraph"/>
              <w:spacing w:line="245" w:lineRule="exact" w:before="114"/>
              <w:ind w:left="154"/>
              <w:jc w:val="left"/>
              <w:rPr>
                <w:i/>
                <w:sz w:val="22"/>
              </w:rPr>
            </w:pPr>
            <w:r>
              <w:rPr>
                <w:i/>
                <w:sz w:val="22"/>
              </w:rPr>
              <w:t>Providencia</w:t>
            </w:r>
            <w:r>
              <w:rPr>
                <w:i/>
                <w:spacing w:val="-4"/>
                <w:sz w:val="22"/>
              </w:rPr>
              <w:t> </w:t>
            </w:r>
            <w:r>
              <w:rPr>
                <w:i/>
                <w:spacing w:val="-5"/>
                <w:sz w:val="22"/>
              </w:rPr>
              <w:t>spp</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
        <w:rPr>
          <w:b/>
        </w:rPr>
      </w:pPr>
    </w:p>
    <w:p>
      <w:pPr>
        <w:pStyle w:val="BodyText"/>
        <w:ind w:left="920"/>
      </w:pPr>
      <w:r>
        <w:rPr/>
        <w:t>NG</w:t>
      </w:r>
      <w:r>
        <w:rPr>
          <w:spacing w:val="-3"/>
        </w:rPr>
        <w:t> </w:t>
      </w:r>
      <w:r>
        <w:rPr/>
        <w:t>=</w:t>
      </w:r>
      <w:r>
        <w:rPr>
          <w:spacing w:val="-2"/>
        </w:rPr>
        <w:t> </w:t>
      </w:r>
      <w:r>
        <w:rPr/>
        <w:t>No</w:t>
      </w:r>
      <w:r>
        <w:rPr>
          <w:spacing w:val="-3"/>
        </w:rPr>
        <w:t> </w:t>
      </w:r>
      <w:r>
        <w:rPr/>
        <w:t>Growth,</w:t>
      </w:r>
      <w:r>
        <w:rPr>
          <w:spacing w:val="-4"/>
        </w:rPr>
        <w:t> </w:t>
      </w:r>
      <w:r>
        <w:rPr/>
        <w:t>CFU</w:t>
      </w:r>
      <w:r>
        <w:rPr>
          <w:spacing w:val="-1"/>
        </w:rPr>
        <w:t> </w:t>
      </w:r>
      <w:r>
        <w:rPr/>
        <w:t>=</w:t>
      </w:r>
      <w:r>
        <w:rPr>
          <w:spacing w:val="-2"/>
        </w:rPr>
        <w:t> </w:t>
      </w:r>
      <w:r>
        <w:rPr/>
        <w:t>Colony</w:t>
      </w:r>
      <w:r>
        <w:rPr>
          <w:spacing w:val="-1"/>
        </w:rPr>
        <w:t> </w:t>
      </w:r>
      <w:r>
        <w:rPr/>
        <w:t>Forming </w:t>
      </w:r>
      <w:r>
        <w:rPr>
          <w:spacing w:val="-4"/>
        </w:rPr>
        <w:t>Unit</w:t>
      </w:r>
    </w:p>
    <w:p>
      <w:pPr>
        <w:pStyle w:val="BodyText"/>
        <w:spacing w:before="202"/>
      </w:pPr>
    </w:p>
    <w:p>
      <w:pPr>
        <w:pStyle w:val="Heading6"/>
        <w:ind w:left="920" w:firstLine="0"/>
      </w:pPr>
      <w:r>
        <w:rPr/>
        <w:t>Appendix</w:t>
      </w:r>
      <w:r>
        <w:rPr>
          <w:spacing w:val="-8"/>
        </w:rPr>
        <w:t> </w:t>
      </w:r>
      <w:r>
        <w:rPr/>
        <w:t>II:</w:t>
      </w:r>
      <w:r>
        <w:rPr>
          <w:spacing w:val="-3"/>
        </w:rPr>
        <w:t> </w:t>
      </w:r>
      <w:r>
        <w:rPr/>
        <w:t>Typical</w:t>
      </w:r>
      <w:r>
        <w:rPr>
          <w:spacing w:val="-6"/>
        </w:rPr>
        <w:t> </w:t>
      </w:r>
      <w:r>
        <w:rPr/>
        <w:t>Biochemical</w:t>
      </w:r>
      <w:r>
        <w:rPr>
          <w:spacing w:val="-5"/>
        </w:rPr>
        <w:t> </w:t>
      </w:r>
      <w:r>
        <w:rPr/>
        <w:t>Reactions</w:t>
      </w:r>
      <w:r>
        <w:rPr>
          <w:spacing w:val="-5"/>
        </w:rPr>
        <w:t> </w:t>
      </w:r>
      <w:r>
        <w:rPr/>
        <w:t>of</w:t>
      </w:r>
      <w:r>
        <w:rPr>
          <w:spacing w:val="-3"/>
        </w:rPr>
        <w:t> </w:t>
      </w:r>
      <w:r>
        <w:rPr/>
        <w:t>Bacterial</w:t>
      </w:r>
      <w:r>
        <w:rPr>
          <w:spacing w:val="-5"/>
        </w:rPr>
        <w:t> </w:t>
      </w:r>
      <w:r>
        <w:rPr/>
        <w:t>Species</w:t>
      </w:r>
      <w:r>
        <w:rPr>
          <w:spacing w:val="-6"/>
        </w:rPr>
        <w:t> </w:t>
      </w:r>
      <w:r>
        <w:rPr/>
        <w:t>from</w:t>
      </w:r>
      <w:r>
        <w:rPr>
          <w:spacing w:val="-6"/>
        </w:rPr>
        <w:t> </w:t>
      </w:r>
      <w:r>
        <w:rPr/>
        <w:t>Packaged</w:t>
      </w:r>
      <w:r>
        <w:rPr>
          <w:spacing w:val="-3"/>
        </w:rPr>
        <w:t> </w:t>
      </w:r>
      <w:r>
        <w:rPr/>
        <w:t>Milk</w:t>
      </w:r>
      <w:r>
        <w:rPr>
          <w:spacing w:val="-5"/>
        </w:rPr>
        <w:t> </w:t>
      </w:r>
      <w:r>
        <w:rPr/>
        <w:t>Sample</w:t>
      </w:r>
      <w:r>
        <w:rPr>
          <w:spacing w:val="-5"/>
        </w:rPr>
        <w:t> </w:t>
      </w:r>
      <w:r>
        <w:rPr/>
        <w:t>in</w:t>
      </w:r>
      <w:r>
        <w:rPr>
          <w:spacing w:val="-3"/>
        </w:rPr>
        <w:t> </w:t>
      </w:r>
      <w:r>
        <w:rPr>
          <w:spacing w:val="-2"/>
        </w:rPr>
        <w:t>Zaria</w:t>
      </w:r>
    </w:p>
    <w:p>
      <w:pPr>
        <w:spacing w:after="0"/>
        <w:sectPr>
          <w:pgSz w:w="12240" w:h="15840"/>
          <w:pgMar w:header="0" w:footer="1017" w:top="1420" w:bottom="1200" w:left="520" w:right="260"/>
        </w:sectPr>
      </w:pPr>
    </w:p>
    <w:tbl>
      <w:tblPr>
        <w:tblW w:w="0" w:type="auto"/>
        <w:jc w:val="left"/>
        <w:tblInd w:w="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607"/>
        <w:gridCol w:w="585"/>
        <w:gridCol w:w="674"/>
        <w:gridCol w:w="688"/>
        <w:gridCol w:w="1019"/>
        <w:gridCol w:w="743"/>
        <w:gridCol w:w="789"/>
        <w:gridCol w:w="743"/>
        <w:gridCol w:w="621"/>
        <w:gridCol w:w="601"/>
        <w:gridCol w:w="656"/>
        <w:gridCol w:w="720"/>
        <w:gridCol w:w="1833"/>
      </w:tblGrid>
      <w:tr>
        <w:trPr>
          <w:trHeight w:val="379" w:hRule="atLeast"/>
        </w:trPr>
        <w:tc>
          <w:tcPr>
            <w:tcW w:w="419" w:type="dxa"/>
          </w:tcPr>
          <w:p>
            <w:pPr>
              <w:pStyle w:val="TableParagraph"/>
              <w:ind w:left="50"/>
              <w:jc w:val="left"/>
              <w:rPr>
                <w:sz w:val="22"/>
              </w:rPr>
            </w:pPr>
            <w:r>
              <w:rPr>
                <w:spacing w:val="-10"/>
                <w:sz w:val="22"/>
              </w:rPr>
              <w:t>_</w:t>
            </w:r>
          </w:p>
        </w:tc>
        <w:tc>
          <w:tcPr>
            <w:tcW w:w="607" w:type="dxa"/>
          </w:tcPr>
          <w:p>
            <w:pPr>
              <w:pStyle w:val="TableParagraph"/>
              <w:ind w:left="22"/>
              <w:rPr>
                <w:sz w:val="22"/>
              </w:rPr>
            </w:pPr>
            <w:r>
              <w:rPr>
                <w:spacing w:val="-10"/>
                <w:sz w:val="22"/>
              </w:rPr>
              <w:t>_</w:t>
            </w:r>
          </w:p>
        </w:tc>
        <w:tc>
          <w:tcPr>
            <w:tcW w:w="585" w:type="dxa"/>
          </w:tcPr>
          <w:p>
            <w:pPr>
              <w:pStyle w:val="TableParagraph"/>
              <w:ind w:left="1"/>
              <w:rPr>
                <w:sz w:val="22"/>
              </w:rPr>
            </w:pPr>
            <w:r>
              <w:rPr>
                <w:spacing w:val="-10"/>
                <w:sz w:val="22"/>
              </w:rPr>
              <w:t>+</w:t>
            </w:r>
          </w:p>
        </w:tc>
        <w:tc>
          <w:tcPr>
            <w:tcW w:w="674" w:type="dxa"/>
          </w:tcPr>
          <w:p>
            <w:pPr>
              <w:pStyle w:val="TableParagraph"/>
              <w:ind w:left="47" w:right="131"/>
              <w:rPr>
                <w:sz w:val="22"/>
              </w:rPr>
            </w:pPr>
            <w:r>
              <w:rPr>
                <w:spacing w:val="-10"/>
                <w:sz w:val="22"/>
              </w:rPr>
              <w:t>+</w:t>
            </w:r>
          </w:p>
        </w:tc>
        <w:tc>
          <w:tcPr>
            <w:tcW w:w="688" w:type="dxa"/>
          </w:tcPr>
          <w:p>
            <w:pPr>
              <w:pStyle w:val="TableParagraph"/>
              <w:ind w:left="78"/>
              <w:rPr>
                <w:sz w:val="22"/>
              </w:rPr>
            </w:pPr>
            <w:r>
              <w:rPr>
                <w:spacing w:val="-10"/>
                <w:sz w:val="22"/>
              </w:rPr>
              <w:t>_</w:t>
            </w:r>
          </w:p>
        </w:tc>
        <w:tc>
          <w:tcPr>
            <w:tcW w:w="1019" w:type="dxa"/>
          </w:tcPr>
          <w:p>
            <w:pPr>
              <w:pStyle w:val="TableParagraph"/>
              <w:ind w:left="254"/>
              <w:jc w:val="left"/>
              <w:rPr>
                <w:sz w:val="22"/>
              </w:rPr>
            </w:pPr>
            <w:r>
              <w:rPr>
                <w:spacing w:val="-4"/>
                <w:sz w:val="22"/>
              </w:rPr>
              <w:t>K/AG</w:t>
            </w:r>
          </w:p>
        </w:tc>
        <w:tc>
          <w:tcPr>
            <w:tcW w:w="743" w:type="dxa"/>
          </w:tcPr>
          <w:p>
            <w:pPr>
              <w:pStyle w:val="TableParagraph"/>
              <w:ind w:left="34" w:right="91"/>
              <w:rPr>
                <w:sz w:val="22"/>
              </w:rPr>
            </w:pPr>
            <w:r>
              <w:rPr>
                <w:spacing w:val="-10"/>
                <w:sz w:val="22"/>
              </w:rPr>
              <w:t>+</w:t>
            </w:r>
          </w:p>
        </w:tc>
        <w:tc>
          <w:tcPr>
            <w:tcW w:w="789" w:type="dxa"/>
          </w:tcPr>
          <w:p>
            <w:pPr>
              <w:pStyle w:val="TableParagraph"/>
              <w:ind w:left="30"/>
              <w:rPr>
                <w:sz w:val="22"/>
              </w:rPr>
            </w:pPr>
            <w:r>
              <w:rPr>
                <w:spacing w:val="-10"/>
                <w:sz w:val="22"/>
              </w:rPr>
              <w:t>+</w:t>
            </w:r>
          </w:p>
        </w:tc>
        <w:tc>
          <w:tcPr>
            <w:tcW w:w="743" w:type="dxa"/>
          </w:tcPr>
          <w:p>
            <w:pPr>
              <w:pStyle w:val="TableParagraph"/>
              <w:ind w:left="91" w:right="57"/>
              <w:rPr>
                <w:sz w:val="22"/>
              </w:rPr>
            </w:pPr>
            <w:r>
              <w:rPr>
                <w:spacing w:val="-10"/>
                <w:sz w:val="22"/>
              </w:rPr>
              <w:t>+</w:t>
            </w:r>
          </w:p>
        </w:tc>
        <w:tc>
          <w:tcPr>
            <w:tcW w:w="621" w:type="dxa"/>
          </w:tcPr>
          <w:p>
            <w:pPr>
              <w:pStyle w:val="TableParagraph"/>
              <w:ind w:left="110"/>
              <w:rPr>
                <w:sz w:val="22"/>
              </w:rPr>
            </w:pPr>
            <w:r>
              <w:rPr>
                <w:spacing w:val="-10"/>
                <w:sz w:val="22"/>
              </w:rPr>
              <w:t>+</w:t>
            </w:r>
          </w:p>
        </w:tc>
        <w:tc>
          <w:tcPr>
            <w:tcW w:w="601" w:type="dxa"/>
          </w:tcPr>
          <w:p>
            <w:pPr>
              <w:pStyle w:val="TableParagraph"/>
              <w:ind w:left="146" w:right="70"/>
              <w:rPr>
                <w:sz w:val="22"/>
              </w:rPr>
            </w:pPr>
            <w:r>
              <w:rPr>
                <w:spacing w:val="-5"/>
                <w:sz w:val="22"/>
              </w:rPr>
              <w:t>NT</w:t>
            </w:r>
          </w:p>
        </w:tc>
        <w:tc>
          <w:tcPr>
            <w:tcW w:w="656" w:type="dxa"/>
          </w:tcPr>
          <w:p>
            <w:pPr>
              <w:pStyle w:val="TableParagraph"/>
              <w:ind w:right="252"/>
              <w:jc w:val="right"/>
              <w:rPr>
                <w:sz w:val="22"/>
              </w:rPr>
            </w:pPr>
            <w:r>
              <w:rPr>
                <w:spacing w:val="-5"/>
                <w:sz w:val="22"/>
              </w:rPr>
              <w:t>NT</w:t>
            </w:r>
          </w:p>
        </w:tc>
        <w:tc>
          <w:tcPr>
            <w:tcW w:w="720" w:type="dxa"/>
          </w:tcPr>
          <w:p>
            <w:pPr>
              <w:pStyle w:val="TableParagraph"/>
              <w:ind w:right="252"/>
              <w:jc w:val="right"/>
              <w:rPr>
                <w:sz w:val="22"/>
              </w:rPr>
            </w:pPr>
            <w:r>
              <w:rPr>
                <w:spacing w:val="-5"/>
                <w:sz w:val="22"/>
              </w:rPr>
              <w:t>NT</w:t>
            </w:r>
          </w:p>
        </w:tc>
        <w:tc>
          <w:tcPr>
            <w:tcW w:w="1833" w:type="dxa"/>
          </w:tcPr>
          <w:p>
            <w:pPr>
              <w:pStyle w:val="TableParagraph"/>
              <w:ind w:left="213"/>
              <w:jc w:val="left"/>
              <w:rPr>
                <w:i/>
                <w:sz w:val="22"/>
              </w:rPr>
            </w:pPr>
            <w:r>
              <w:rPr>
                <w:i/>
                <w:sz w:val="22"/>
              </w:rPr>
              <w:t>Enterobacter</w:t>
            </w:r>
            <w:r>
              <w:rPr>
                <w:i/>
                <w:spacing w:val="-5"/>
                <w:sz w:val="22"/>
              </w:rPr>
              <w:t> </w:t>
            </w:r>
            <w:r>
              <w:rPr>
                <w:i/>
                <w:spacing w:val="-4"/>
                <w:sz w:val="22"/>
              </w:rPr>
              <w:t>spp.</w:t>
            </w:r>
          </w:p>
        </w:tc>
      </w:tr>
      <w:tr>
        <w:trPr>
          <w:trHeight w:val="537" w:hRule="atLeast"/>
        </w:trPr>
        <w:tc>
          <w:tcPr>
            <w:tcW w:w="419" w:type="dxa"/>
          </w:tcPr>
          <w:p>
            <w:pPr>
              <w:pStyle w:val="TableParagraph"/>
              <w:spacing w:line="240" w:lineRule="auto" w:before="114"/>
              <w:ind w:left="50"/>
              <w:jc w:val="left"/>
              <w:rPr>
                <w:sz w:val="22"/>
              </w:rPr>
            </w:pPr>
            <w:r>
              <w:rPr>
                <w:spacing w:val="-10"/>
                <w:sz w:val="22"/>
              </w:rPr>
              <w:t>_</w:t>
            </w:r>
          </w:p>
        </w:tc>
        <w:tc>
          <w:tcPr>
            <w:tcW w:w="607" w:type="dxa"/>
          </w:tcPr>
          <w:p>
            <w:pPr>
              <w:pStyle w:val="TableParagraph"/>
              <w:spacing w:line="240" w:lineRule="auto" w:before="114"/>
              <w:ind w:left="22"/>
              <w:rPr>
                <w:sz w:val="22"/>
              </w:rPr>
            </w:pPr>
            <w:r>
              <w:rPr>
                <w:spacing w:val="-10"/>
                <w:sz w:val="22"/>
              </w:rPr>
              <w:t>+</w:t>
            </w:r>
          </w:p>
        </w:tc>
        <w:tc>
          <w:tcPr>
            <w:tcW w:w="585" w:type="dxa"/>
          </w:tcPr>
          <w:p>
            <w:pPr>
              <w:pStyle w:val="TableParagraph"/>
              <w:spacing w:line="240" w:lineRule="auto" w:before="114"/>
              <w:ind w:left="1"/>
              <w:rPr>
                <w:sz w:val="22"/>
              </w:rPr>
            </w:pPr>
            <w:r>
              <w:rPr>
                <w:spacing w:val="-10"/>
                <w:sz w:val="22"/>
              </w:rPr>
              <w:t>_</w:t>
            </w:r>
          </w:p>
        </w:tc>
        <w:tc>
          <w:tcPr>
            <w:tcW w:w="674" w:type="dxa"/>
          </w:tcPr>
          <w:p>
            <w:pPr>
              <w:pStyle w:val="TableParagraph"/>
              <w:spacing w:line="240" w:lineRule="auto" w:before="114"/>
              <w:ind w:left="47" w:right="131"/>
              <w:rPr>
                <w:sz w:val="22"/>
              </w:rPr>
            </w:pPr>
            <w:r>
              <w:rPr>
                <w:spacing w:val="-10"/>
                <w:sz w:val="22"/>
              </w:rPr>
              <w:t>+</w:t>
            </w:r>
          </w:p>
        </w:tc>
        <w:tc>
          <w:tcPr>
            <w:tcW w:w="688" w:type="dxa"/>
          </w:tcPr>
          <w:p>
            <w:pPr>
              <w:pStyle w:val="TableParagraph"/>
              <w:spacing w:line="240" w:lineRule="auto" w:before="114"/>
              <w:ind w:left="78"/>
              <w:rPr>
                <w:sz w:val="22"/>
              </w:rPr>
            </w:pPr>
            <w:r>
              <w:rPr>
                <w:spacing w:val="-10"/>
                <w:sz w:val="22"/>
              </w:rPr>
              <w:t>+</w:t>
            </w:r>
          </w:p>
        </w:tc>
        <w:tc>
          <w:tcPr>
            <w:tcW w:w="1019" w:type="dxa"/>
          </w:tcPr>
          <w:p>
            <w:pPr>
              <w:pStyle w:val="TableParagraph"/>
              <w:spacing w:line="240" w:lineRule="auto" w:before="114"/>
              <w:ind w:left="254"/>
              <w:jc w:val="left"/>
              <w:rPr>
                <w:sz w:val="22"/>
              </w:rPr>
            </w:pPr>
            <w:r>
              <w:rPr>
                <w:spacing w:val="-4"/>
                <w:sz w:val="22"/>
              </w:rPr>
              <w:t>K/AG</w:t>
            </w:r>
          </w:p>
        </w:tc>
        <w:tc>
          <w:tcPr>
            <w:tcW w:w="743" w:type="dxa"/>
          </w:tcPr>
          <w:p>
            <w:pPr>
              <w:pStyle w:val="TableParagraph"/>
              <w:spacing w:line="240" w:lineRule="auto" w:before="114"/>
              <w:ind w:left="34" w:right="91"/>
              <w:rPr>
                <w:sz w:val="22"/>
              </w:rPr>
            </w:pPr>
            <w:r>
              <w:rPr>
                <w:spacing w:val="-10"/>
                <w:sz w:val="22"/>
              </w:rPr>
              <w:t>_</w:t>
            </w:r>
          </w:p>
        </w:tc>
        <w:tc>
          <w:tcPr>
            <w:tcW w:w="789" w:type="dxa"/>
          </w:tcPr>
          <w:p>
            <w:pPr>
              <w:pStyle w:val="TableParagraph"/>
              <w:spacing w:line="240" w:lineRule="auto" w:before="114"/>
              <w:ind w:left="30"/>
              <w:rPr>
                <w:sz w:val="22"/>
              </w:rPr>
            </w:pPr>
            <w:r>
              <w:rPr>
                <w:spacing w:val="-10"/>
                <w:sz w:val="22"/>
              </w:rPr>
              <w:t>+</w:t>
            </w:r>
          </w:p>
        </w:tc>
        <w:tc>
          <w:tcPr>
            <w:tcW w:w="743" w:type="dxa"/>
          </w:tcPr>
          <w:p>
            <w:pPr>
              <w:pStyle w:val="TableParagraph"/>
              <w:spacing w:line="240" w:lineRule="auto" w:before="114"/>
              <w:ind w:left="91" w:right="57"/>
              <w:rPr>
                <w:sz w:val="22"/>
              </w:rPr>
            </w:pPr>
            <w:r>
              <w:rPr>
                <w:spacing w:val="-10"/>
                <w:sz w:val="22"/>
              </w:rPr>
              <w:t>+</w:t>
            </w:r>
          </w:p>
        </w:tc>
        <w:tc>
          <w:tcPr>
            <w:tcW w:w="621" w:type="dxa"/>
          </w:tcPr>
          <w:p>
            <w:pPr>
              <w:pStyle w:val="TableParagraph"/>
              <w:spacing w:line="240" w:lineRule="auto" w:before="114"/>
              <w:ind w:left="110"/>
              <w:rPr>
                <w:sz w:val="22"/>
              </w:rPr>
            </w:pPr>
            <w:r>
              <w:rPr>
                <w:spacing w:val="-10"/>
                <w:sz w:val="22"/>
              </w:rPr>
              <w:t>_</w:t>
            </w:r>
          </w:p>
        </w:tc>
        <w:tc>
          <w:tcPr>
            <w:tcW w:w="601" w:type="dxa"/>
          </w:tcPr>
          <w:p>
            <w:pPr>
              <w:pStyle w:val="TableParagraph"/>
              <w:spacing w:line="240" w:lineRule="auto" w:before="114"/>
              <w:ind w:left="146" w:right="70"/>
              <w:rPr>
                <w:sz w:val="22"/>
              </w:rPr>
            </w:pPr>
            <w:r>
              <w:rPr>
                <w:spacing w:val="-5"/>
                <w:sz w:val="22"/>
              </w:rPr>
              <w:t>NT</w:t>
            </w:r>
          </w:p>
        </w:tc>
        <w:tc>
          <w:tcPr>
            <w:tcW w:w="656" w:type="dxa"/>
          </w:tcPr>
          <w:p>
            <w:pPr>
              <w:pStyle w:val="TableParagraph"/>
              <w:spacing w:line="240" w:lineRule="auto" w:before="114"/>
              <w:ind w:right="252"/>
              <w:jc w:val="right"/>
              <w:rPr>
                <w:sz w:val="22"/>
              </w:rPr>
            </w:pPr>
            <w:r>
              <w:rPr>
                <w:spacing w:val="-5"/>
                <w:sz w:val="22"/>
              </w:rPr>
              <w:t>NT</w:t>
            </w:r>
          </w:p>
        </w:tc>
        <w:tc>
          <w:tcPr>
            <w:tcW w:w="720" w:type="dxa"/>
          </w:tcPr>
          <w:p>
            <w:pPr>
              <w:pStyle w:val="TableParagraph"/>
              <w:spacing w:line="240" w:lineRule="auto" w:before="114"/>
              <w:ind w:right="252"/>
              <w:jc w:val="right"/>
              <w:rPr>
                <w:sz w:val="22"/>
              </w:rPr>
            </w:pPr>
            <w:r>
              <w:rPr>
                <w:spacing w:val="-5"/>
                <w:sz w:val="22"/>
              </w:rPr>
              <w:t>NT</w:t>
            </w:r>
          </w:p>
        </w:tc>
        <w:tc>
          <w:tcPr>
            <w:tcW w:w="1833" w:type="dxa"/>
          </w:tcPr>
          <w:p>
            <w:pPr>
              <w:pStyle w:val="TableParagraph"/>
              <w:spacing w:line="240" w:lineRule="auto" w:before="114"/>
              <w:ind w:left="213"/>
              <w:jc w:val="left"/>
              <w:rPr>
                <w:sz w:val="22"/>
              </w:rPr>
            </w:pPr>
            <w:r>
              <w:rPr>
                <w:i/>
                <w:sz w:val="22"/>
              </w:rPr>
              <w:t>Citrobacter</w:t>
            </w:r>
            <w:r>
              <w:rPr>
                <w:i/>
                <w:spacing w:val="-7"/>
                <w:sz w:val="22"/>
              </w:rPr>
              <w:t> </w:t>
            </w:r>
            <w:r>
              <w:rPr>
                <w:i/>
                <w:spacing w:val="-4"/>
                <w:sz w:val="22"/>
              </w:rPr>
              <w:t>spp</w:t>
            </w:r>
            <w:r>
              <w:rPr>
                <w:spacing w:val="-4"/>
                <w:sz w:val="22"/>
              </w:rPr>
              <w:t>.</w:t>
            </w:r>
          </w:p>
        </w:tc>
      </w:tr>
      <w:tr>
        <w:trPr>
          <w:trHeight w:val="537" w:hRule="atLeast"/>
        </w:trPr>
        <w:tc>
          <w:tcPr>
            <w:tcW w:w="419" w:type="dxa"/>
          </w:tcPr>
          <w:p>
            <w:pPr>
              <w:pStyle w:val="TableParagraph"/>
              <w:spacing w:line="240" w:lineRule="auto" w:before="114"/>
              <w:ind w:left="50"/>
              <w:jc w:val="left"/>
              <w:rPr>
                <w:sz w:val="22"/>
              </w:rPr>
            </w:pPr>
            <w:r>
              <w:rPr>
                <w:spacing w:val="-10"/>
                <w:sz w:val="22"/>
              </w:rPr>
              <w:t>_</w:t>
            </w:r>
          </w:p>
        </w:tc>
        <w:tc>
          <w:tcPr>
            <w:tcW w:w="607" w:type="dxa"/>
          </w:tcPr>
          <w:p>
            <w:pPr>
              <w:pStyle w:val="TableParagraph"/>
              <w:spacing w:line="240" w:lineRule="auto" w:before="114"/>
              <w:ind w:left="22"/>
              <w:rPr>
                <w:sz w:val="22"/>
              </w:rPr>
            </w:pPr>
            <w:r>
              <w:rPr>
                <w:spacing w:val="-10"/>
                <w:sz w:val="22"/>
              </w:rPr>
              <w:t>_</w:t>
            </w:r>
          </w:p>
        </w:tc>
        <w:tc>
          <w:tcPr>
            <w:tcW w:w="585" w:type="dxa"/>
          </w:tcPr>
          <w:p>
            <w:pPr>
              <w:pStyle w:val="TableParagraph"/>
              <w:spacing w:line="240" w:lineRule="auto" w:before="114"/>
              <w:ind w:left="1"/>
              <w:rPr>
                <w:sz w:val="22"/>
              </w:rPr>
            </w:pPr>
            <w:r>
              <w:rPr>
                <w:spacing w:val="-10"/>
                <w:sz w:val="22"/>
              </w:rPr>
              <w:t>+</w:t>
            </w:r>
          </w:p>
        </w:tc>
        <w:tc>
          <w:tcPr>
            <w:tcW w:w="674" w:type="dxa"/>
          </w:tcPr>
          <w:p>
            <w:pPr>
              <w:pStyle w:val="TableParagraph"/>
              <w:spacing w:line="240" w:lineRule="auto" w:before="114"/>
              <w:ind w:left="47" w:right="131"/>
              <w:rPr>
                <w:sz w:val="22"/>
              </w:rPr>
            </w:pPr>
            <w:r>
              <w:rPr>
                <w:spacing w:val="-10"/>
                <w:sz w:val="22"/>
              </w:rPr>
              <w:t>+</w:t>
            </w:r>
          </w:p>
        </w:tc>
        <w:tc>
          <w:tcPr>
            <w:tcW w:w="688" w:type="dxa"/>
          </w:tcPr>
          <w:p>
            <w:pPr>
              <w:pStyle w:val="TableParagraph"/>
              <w:spacing w:line="240" w:lineRule="auto" w:before="114"/>
              <w:ind w:left="78"/>
              <w:rPr>
                <w:sz w:val="22"/>
              </w:rPr>
            </w:pPr>
            <w:r>
              <w:rPr>
                <w:spacing w:val="-10"/>
                <w:sz w:val="22"/>
              </w:rPr>
              <w:t>+</w:t>
            </w:r>
          </w:p>
        </w:tc>
        <w:tc>
          <w:tcPr>
            <w:tcW w:w="1019" w:type="dxa"/>
          </w:tcPr>
          <w:p>
            <w:pPr>
              <w:pStyle w:val="TableParagraph"/>
              <w:spacing w:line="240" w:lineRule="auto" w:before="114"/>
              <w:ind w:left="254"/>
              <w:jc w:val="left"/>
              <w:rPr>
                <w:sz w:val="22"/>
              </w:rPr>
            </w:pPr>
            <w:r>
              <w:rPr>
                <w:spacing w:val="-4"/>
                <w:sz w:val="22"/>
              </w:rPr>
              <w:t>A/AG</w:t>
            </w:r>
          </w:p>
        </w:tc>
        <w:tc>
          <w:tcPr>
            <w:tcW w:w="743" w:type="dxa"/>
          </w:tcPr>
          <w:p>
            <w:pPr>
              <w:pStyle w:val="TableParagraph"/>
              <w:spacing w:line="240" w:lineRule="auto" w:before="114"/>
              <w:ind w:left="34" w:right="91"/>
              <w:rPr>
                <w:sz w:val="22"/>
              </w:rPr>
            </w:pPr>
            <w:r>
              <w:rPr>
                <w:spacing w:val="-10"/>
                <w:sz w:val="22"/>
              </w:rPr>
              <w:t>+</w:t>
            </w:r>
          </w:p>
        </w:tc>
        <w:tc>
          <w:tcPr>
            <w:tcW w:w="789" w:type="dxa"/>
          </w:tcPr>
          <w:p>
            <w:pPr>
              <w:pStyle w:val="TableParagraph"/>
              <w:spacing w:line="240" w:lineRule="auto" w:before="114"/>
              <w:ind w:left="30"/>
              <w:rPr>
                <w:sz w:val="22"/>
              </w:rPr>
            </w:pPr>
            <w:r>
              <w:rPr>
                <w:spacing w:val="-10"/>
                <w:sz w:val="22"/>
              </w:rPr>
              <w:t>+</w:t>
            </w:r>
          </w:p>
        </w:tc>
        <w:tc>
          <w:tcPr>
            <w:tcW w:w="743" w:type="dxa"/>
          </w:tcPr>
          <w:p>
            <w:pPr>
              <w:pStyle w:val="TableParagraph"/>
              <w:spacing w:line="240" w:lineRule="auto" w:before="114"/>
              <w:ind w:left="91" w:right="57"/>
              <w:rPr>
                <w:sz w:val="22"/>
              </w:rPr>
            </w:pPr>
            <w:r>
              <w:rPr>
                <w:spacing w:val="-10"/>
                <w:sz w:val="22"/>
              </w:rPr>
              <w:t>+</w:t>
            </w:r>
          </w:p>
        </w:tc>
        <w:tc>
          <w:tcPr>
            <w:tcW w:w="621" w:type="dxa"/>
          </w:tcPr>
          <w:p>
            <w:pPr>
              <w:pStyle w:val="TableParagraph"/>
              <w:spacing w:line="240" w:lineRule="auto" w:before="114"/>
              <w:ind w:left="110"/>
              <w:rPr>
                <w:sz w:val="22"/>
              </w:rPr>
            </w:pPr>
            <w:r>
              <w:rPr>
                <w:spacing w:val="-10"/>
                <w:sz w:val="22"/>
              </w:rPr>
              <w:t>+</w:t>
            </w:r>
          </w:p>
        </w:tc>
        <w:tc>
          <w:tcPr>
            <w:tcW w:w="601" w:type="dxa"/>
          </w:tcPr>
          <w:p>
            <w:pPr>
              <w:pStyle w:val="TableParagraph"/>
              <w:spacing w:line="240" w:lineRule="auto" w:before="114"/>
              <w:ind w:left="146" w:right="70"/>
              <w:rPr>
                <w:sz w:val="22"/>
              </w:rPr>
            </w:pPr>
            <w:r>
              <w:rPr>
                <w:spacing w:val="-5"/>
                <w:sz w:val="22"/>
              </w:rPr>
              <w:t>NT</w:t>
            </w:r>
          </w:p>
        </w:tc>
        <w:tc>
          <w:tcPr>
            <w:tcW w:w="656" w:type="dxa"/>
          </w:tcPr>
          <w:p>
            <w:pPr>
              <w:pStyle w:val="TableParagraph"/>
              <w:spacing w:line="240" w:lineRule="auto" w:before="114"/>
              <w:ind w:right="252"/>
              <w:jc w:val="right"/>
              <w:rPr>
                <w:sz w:val="22"/>
              </w:rPr>
            </w:pPr>
            <w:r>
              <w:rPr>
                <w:spacing w:val="-5"/>
                <w:sz w:val="22"/>
              </w:rPr>
              <w:t>NT</w:t>
            </w:r>
          </w:p>
        </w:tc>
        <w:tc>
          <w:tcPr>
            <w:tcW w:w="720" w:type="dxa"/>
          </w:tcPr>
          <w:p>
            <w:pPr>
              <w:pStyle w:val="TableParagraph"/>
              <w:spacing w:line="240" w:lineRule="auto" w:before="114"/>
              <w:ind w:right="252"/>
              <w:jc w:val="right"/>
              <w:rPr>
                <w:sz w:val="22"/>
              </w:rPr>
            </w:pPr>
            <w:r>
              <w:rPr>
                <w:spacing w:val="-5"/>
                <w:sz w:val="22"/>
              </w:rPr>
              <w:t>NT</w:t>
            </w:r>
          </w:p>
        </w:tc>
        <w:tc>
          <w:tcPr>
            <w:tcW w:w="1833" w:type="dxa"/>
          </w:tcPr>
          <w:p>
            <w:pPr>
              <w:pStyle w:val="TableParagraph"/>
              <w:spacing w:line="240" w:lineRule="auto" w:before="114"/>
              <w:ind w:left="213"/>
              <w:jc w:val="left"/>
              <w:rPr>
                <w:i/>
                <w:sz w:val="22"/>
              </w:rPr>
            </w:pPr>
            <w:r>
              <w:rPr>
                <w:i/>
                <w:sz w:val="22"/>
              </w:rPr>
              <w:t>Klebsiella</w:t>
            </w:r>
            <w:r>
              <w:rPr>
                <w:i/>
                <w:spacing w:val="-2"/>
                <w:sz w:val="22"/>
              </w:rPr>
              <w:t> </w:t>
            </w:r>
            <w:r>
              <w:rPr>
                <w:i/>
                <w:spacing w:val="-4"/>
                <w:sz w:val="22"/>
              </w:rPr>
              <w:t>spp.</w:t>
            </w:r>
          </w:p>
        </w:tc>
      </w:tr>
      <w:tr>
        <w:trPr>
          <w:trHeight w:val="537" w:hRule="atLeast"/>
        </w:trPr>
        <w:tc>
          <w:tcPr>
            <w:tcW w:w="419" w:type="dxa"/>
          </w:tcPr>
          <w:p>
            <w:pPr>
              <w:pStyle w:val="TableParagraph"/>
              <w:spacing w:line="240" w:lineRule="auto" w:before="114"/>
              <w:ind w:left="50"/>
              <w:jc w:val="left"/>
              <w:rPr>
                <w:sz w:val="22"/>
              </w:rPr>
            </w:pPr>
            <w:r>
              <w:rPr>
                <w:spacing w:val="-10"/>
                <w:sz w:val="22"/>
              </w:rPr>
              <w:t>_</w:t>
            </w:r>
          </w:p>
        </w:tc>
        <w:tc>
          <w:tcPr>
            <w:tcW w:w="607" w:type="dxa"/>
          </w:tcPr>
          <w:p>
            <w:pPr>
              <w:pStyle w:val="TableParagraph"/>
              <w:spacing w:line="240" w:lineRule="auto" w:before="114"/>
              <w:ind w:left="22"/>
              <w:rPr>
                <w:sz w:val="22"/>
              </w:rPr>
            </w:pPr>
            <w:r>
              <w:rPr>
                <w:spacing w:val="-10"/>
                <w:sz w:val="22"/>
              </w:rPr>
              <w:t>+</w:t>
            </w:r>
          </w:p>
        </w:tc>
        <w:tc>
          <w:tcPr>
            <w:tcW w:w="585" w:type="dxa"/>
          </w:tcPr>
          <w:p>
            <w:pPr>
              <w:pStyle w:val="TableParagraph"/>
              <w:spacing w:line="240" w:lineRule="auto" w:before="114"/>
              <w:ind w:left="1"/>
              <w:rPr>
                <w:sz w:val="22"/>
              </w:rPr>
            </w:pPr>
            <w:r>
              <w:rPr>
                <w:spacing w:val="-10"/>
                <w:sz w:val="22"/>
              </w:rPr>
              <w:t>_</w:t>
            </w:r>
          </w:p>
        </w:tc>
        <w:tc>
          <w:tcPr>
            <w:tcW w:w="674" w:type="dxa"/>
          </w:tcPr>
          <w:p>
            <w:pPr>
              <w:pStyle w:val="TableParagraph"/>
              <w:spacing w:line="240" w:lineRule="auto" w:before="114"/>
              <w:ind w:left="47" w:right="131"/>
              <w:rPr>
                <w:sz w:val="22"/>
              </w:rPr>
            </w:pPr>
            <w:r>
              <w:rPr>
                <w:spacing w:val="-10"/>
                <w:sz w:val="22"/>
              </w:rPr>
              <w:t>_</w:t>
            </w:r>
          </w:p>
        </w:tc>
        <w:tc>
          <w:tcPr>
            <w:tcW w:w="688" w:type="dxa"/>
          </w:tcPr>
          <w:p>
            <w:pPr>
              <w:pStyle w:val="TableParagraph"/>
              <w:spacing w:line="240" w:lineRule="auto" w:before="114"/>
              <w:ind w:left="78"/>
              <w:rPr>
                <w:sz w:val="22"/>
              </w:rPr>
            </w:pPr>
            <w:r>
              <w:rPr>
                <w:spacing w:val="-10"/>
                <w:sz w:val="22"/>
              </w:rPr>
              <w:t>+</w:t>
            </w:r>
          </w:p>
        </w:tc>
        <w:tc>
          <w:tcPr>
            <w:tcW w:w="1019" w:type="dxa"/>
          </w:tcPr>
          <w:p>
            <w:pPr>
              <w:pStyle w:val="TableParagraph"/>
              <w:spacing w:line="240" w:lineRule="auto" w:before="114"/>
              <w:ind w:left="254"/>
              <w:jc w:val="left"/>
              <w:rPr>
                <w:sz w:val="22"/>
              </w:rPr>
            </w:pPr>
            <w:r>
              <w:rPr>
                <w:spacing w:val="-5"/>
                <w:sz w:val="22"/>
              </w:rPr>
              <w:t>A/A</w:t>
            </w:r>
          </w:p>
        </w:tc>
        <w:tc>
          <w:tcPr>
            <w:tcW w:w="743" w:type="dxa"/>
          </w:tcPr>
          <w:p>
            <w:pPr>
              <w:pStyle w:val="TableParagraph"/>
              <w:spacing w:line="240" w:lineRule="auto" w:before="114"/>
              <w:ind w:left="34" w:right="91"/>
              <w:rPr>
                <w:sz w:val="22"/>
              </w:rPr>
            </w:pPr>
            <w:r>
              <w:rPr>
                <w:spacing w:val="-10"/>
                <w:sz w:val="22"/>
              </w:rPr>
              <w:t>_</w:t>
            </w:r>
          </w:p>
        </w:tc>
        <w:tc>
          <w:tcPr>
            <w:tcW w:w="789" w:type="dxa"/>
          </w:tcPr>
          <w:p>
            <w:pPr>
              <w:pStyle w:val="TableParagraph"/>
              <w:spacing w:line="240" w:lineRule="auto" w:before="114"/>
              <w:ind w:left="30"/>
              <w:rPr>
                <w:sz w:val="22"/>
              </w:rPr>
            </w:pPr>
            <w:r>
              <w:rPr>
                <w:spacing w:val="-10"/>
                <w:sz w:val="22"/>
              </w:rPr>
              <w:t>+</w:t>
            </w:r>
          </w:p>
        </w:tc>
        <w:tc>
          <w:tcPr>
            <w:tcW w:w="743" w:type="dxa"/>
          </w:tcPr>
          <w:p>
            <w:pPr>
              <w:pStyle w:val="TableParagraph"/>
              <w:spacing w:line="240" w:lineRule="auto" w:before="114"/>
              <w:ind w:left="91" w:right="57"/>
              <w:rPr>
                <w:sz w:val="22"/>
              </w:rPr>
            </w:pPr>
            <w:r>
              <w:rPr>
                <w:spacing w:val="-10"/>
                <w:sz w:val="22"/>
              </w:rPr>
              <w:t>+</w:t>
            </w:r>
          </w:p>
        </w:tc>
        <w:tc>
          <w:tcPr>
            <w:tcW w:w="621" w:type="dxa"/>
          </w:tcPr>
          <w:p>
            <w:pPr>
              <w:pStyle w:val="TableParagraph"/>
              <w:spacing w:line="240" w:lineRule="auto" w:before="114"/>
              <w:ind w:left="110"/>
              <w:rPr>
                <w:sz w:val="22"/>
              </w:rPr>
            </w:pPr>
            <w:r>
              <w:rPr>
                <w:spacing w:val="-10"/>
                <w:sz w:val="22"/>
              </w:rPr>
              <w:t>+</w:t>
            </w:r>
          </w:p>
        </w:tc>
        <w:tc>
          <w:tcPr>
            <w:tcW w:w="601" w:type="dxa"/>
          </w:tcPr>
          <w:p>
            <w:pPr>
              <w:pStyle w:val="TableParagraph"/>
              <w:spacing w:line="240" w:lineRule="auto" w:before="114"/>
              <w:ind w:left="146" w:right="70"/>
              <w:rPr>
                <w:sz w:val="22"/>
              </w:rPr>
            </w:pPr>
            <w:r>
              <w:rPr>
                <w:spacing w:val="-5"/>
                <w:sz w:val="22"/>
              </w:rPr>
              <w:t>NT</w:t>
            </w:r>
          </w:p>
        </w:tc>
        <w:tc>
          <w:tcPr>
            <w:tcW w:w="656" w:type="dxa"/>
          </w:tcPr>
          <w:p>
            <w:pPr>
              <w:pStyle w:val="TableParagraph"/>
              <w:spacing w:line="240" w:lineRule="auto" w:before="114"/>
              <w:ind w:right="252"/>
              <w:jc w:val="right"/>
              <w:rPr>
                <w:sz w:val="22"/>
              </w:rPr>
            </w:pPr>
            <w:r>
              <w:rPr>
                <w:spacing w:val="-5"/>
                <w:sz w:val="22"/>
              </w:rPr>
              <w:t>NT</w:t>
            </w:r>
          </w:p>
        </w:tc>
        <w:tc>
          <w:tcPr>
            <w:tcW w:w="720" w:type="dxa"/>
          </w:tcPr>
          <w:p>
            <w:pPr>
              <w:pStyle w:val="TableParagraph"/>
              <w:spacing w:line="240" w:lineRule="auto" w:before="114"/>
              <w:ind w:right="252"/>
              <w:jc w:val="right"/>
              <w:rPr>
                <w:sz w:val="22"/>
              </w:rPr>
            </w:pPr>
            <w:r>
              <w:rPr>
                <w:spacing w:val="-5"/>
                <w:sz w:val="22"/>
              </w:rPr>
              <w:t>NT</w:t>
            </w:r>
          </w:p>
        </w:tc>
        <w:tc>
          <w:tcPr>
            <w:tcW w:w="1833" w:type="dxa"/>
          </w:tcPr>
          <w:p>
            <w:pPr>
              <w:pStyle w:val="TableParagraph"/>
              <w:spacing w:line="240" w:lineRule="auto" w:before="114"/>
              <w:ind w:left="213"/>
              <w:jc w:val="left"/>
              <w:rPr>
                <w:sz w:val="22"/>
              </w:rPr>
            </w:pPr>
            <w:r>
              <w:rPr>
                <w:i/>
                <w:sz w:val="22"/>
              </w:rPr>
              <w:t>Yersinia</w:t>
            </w:r>
            <w:r>
              <w:rPr>
                <w:i/>
                <w:spacing w:val="-2"/>
                <w:sz w:val="22"/>
              </w:rPr>
              <w:t> </w:t>
            </w:r>
            <w:r>
              <w:rPr>
                <w:i/>
                <w:spacing w:val="-4"/>
                <w:sz w:val="22"/>
              </w:rPr>
              <w:t>spp</w:t>
            </w:r>
            <w:r>
              <w:rPr>
                <w:spacing w:val="-4"/>
                <w:sz w:val="22"/>
              </w:rPr>
              <w:t>.</w:t>
            </w:r>
          </w:p>
        </w:tc>
      </w:tr>
      <w:tr>
        <w:trPr>
          <w:trHeight w:val="1070" w:hRule="atLeast"/>
        </w:trPr>
        <w:tc>
          <w:tcPr>
            <w:tcW w:w="419" w:type="dxa"/>
          </w:tcPr>
          <w:p>
            <w:pPr>
              <w:pStyle w:val="TableParagraph"/>
              <w:spacing w:line="240" w:lineRule="auto" w:before="114"/>
              <w:ind w:left="50"/>
              <w:jc w:val="left"/>
              <w:rPr>
                <w:sz w:val="22"/>
              </w:rPr>
            </w:pPr>
            <w:r>
              <w:rPr>
                <w:spacing w:val="-10"/>
                <w:sz w:val="22"/>
              </w:rPr>
              <w:t>_</w:t>
            </w:r>
          </w:p>
        </w:tc>
        <w:tc>
          <w:tcPr>
            <w:tcW w:w="607" w:type="dxa"/>
          </w:tcPr>
          <w:p>
            <w:pPr>
              <w:pStyle w:val="TableParagraph"/>
              <w:spacing w:line="240" w:lineRule="auto" w:before="114"/>
              <w:ind w:left="22"/>
              <w:rPr>
                <w:sz w:val="22"/>
              </w:rPr>
            </w:pPr>
            <w:r>
              <w:rPr>
                <w:spacing w:val="-10"/>
                <w:sz w:val="22"/>
              </w:rPr>
              <w:t>_</w:t>
            </w:r>
          </w:p>
        </w:tc>
        <w:tc>
          <w:tcPr>
            <w:tcW w:w="585" w:type="dxa"/>
          </w:tcPr>
          <w:p>
            <w:pPr>
              <w:pStyle w:val="TableParagraph"/>
              <w:spacing w:line="240" w:lineRule="auto" w:before="114"/>
              <w:ind w:left="1"/>
              <w:rPr>
                <w:sz w:val="22"/>
              </w:rPr>
            </w:pPr>
            <w:r>
              <w:rPr>
                <w:spacing w:val="-10"/>
                <w:sz w:val="22"/>
              </w:rPr>
              <w:t>_</w:t>
            </w:r>
          </w:p>
        </w:tc>
        <w:tc>
          <w:tcPr>
            <w:tcW w:w="674" w:type="dxa"/>
          </w:tcPr>
          <w:p>
            <w:pPr>
              <w:pStyle w:val="TableParagraph"/>
              <w:spacing w:line="240" w:lineRule="auto" w:before="114"/>
              <w:ind w:left="47" w:right="131"/>
              <w:rPr>
                <w:sz w:val="22"/>
              </w:rPr>
            </w:pPr>
            <w:r>
              <w:rPr>
                <w:spacing w:val="-10"/>
                <w:sz w:val="22"/>
              </w:rPr>
              <w:t>+</w:t>
            </w:r>
          </w:p>
        </w:tc>
        <w:tc>
          <w:tcPr>
            <w:tcW w:w="688" w:type="dxa"/>
          </w:tcPr>
          <w:p>
            <w:pPr>
              <w:pStyle w:val="TableParagraph"/>
              <w:spacing w:line="240" w:lineRule="auto" w:before="114"/>
              <w:ind w:left="78"/>
              <w:rPr>
                <w:sz w:val="22"/>
              </w:rPr>
            </w:pPr>
            <w:r>
              <w:rPr>
                <w:spacing w:val="-10"/>
                <w:sz w:val="22"/>
              </w:rPr>
              <w:t>+</w:t>
            </w:r>
          </w:p>
        </w:tc>
        <w:tc>
          <w:tcPr>
            <w:tcW w:w="1019" w:type="dxa"/>
          </w:tcPr>
          <w:p>
            <w:pPr>
              <w:pStyle w:val="TableParagraph"/>
              <w:spacing w:line="240" w:lineRule="auto" w:before="114"/>
              <w:ind w:left="254"/>
              <w:jc w:val="left"/>
              <w:rPr>
                <w:sz w:val="22"/>
              </w:rPr>
            </w:pPr>
            <w:r>
              <w:rPr>
                <w:spacing w:val="-5"/>
                <w:sz w:val="22"/>
              </w:rPr>
              <w:t>K/K</w:t>
            </w:r>
          </w:p>
        </w:tc>
        <w:tc>
          <w:tcPr>
            <w:tcW w:w="743" w:type="dxa"/>
          </w:tcPr>
          <w:p>
            <w:pPr>
              <w:pStyle w:val="TableParagraph"/>
              <w:spacing w:line="240" w:lineRule="auto" w:before="114"/>
              <w:ind w:left="34" w:right="91"/>
              <w:rPr>
                <w:sz w:val="22"/>
              </w:rPr>
            </w:pPr>
            <w:r>
              <w:rPr>
                <w:spacing w:val="-10"/>
                <w:sz w:val="22"/>
              </w:rPr>
              <w:t>_</w:t>
            </w:r>
          </w:p>
        </w:tc>
        <w:tc>
          <w:tcPr>
            <w:tcW w:w="789" w:type="dxa"/>
          </w:tcPr>
          <w:p>
            <w:pPr>
              <w:pStyle w:val="TableParagraph"/>
              <w:spacing w:line="240" w:lineRule="auto" w:before="114"/>
              <w:ind w:left="30"/>
              <w:rPr>
                <w:sz w:val="22"/>
              </w:rPr>
            </w:pPr>
            <w:r>
              <w:rPr>
                <w:spacing w:val="-10"/>
                <w:sz w:val="22"/>
              </w:rPr>
              <w:t>_</w:t>
            </w:r>
          </w:p>
        </w:tc>
        <w:tc>
          <w:tcPr>
            <w:tcW w:w="743" w:type="dxa"/>
          </w:tcPr>
          <w:p>
            <w:pPr>
              <w:pStyle w:val="TableParagraph"/>
              <w:spacing w:line="240" w:lineRule="auto" w:before="114"/>
              <w:ind w:left="91" w:right="57"/>
              <w:rPr>
                <w:sz w:val="22"/>
              </w:rPr>
            </w:pPr>
            <w:r>
              <w:rPr>
                <w:spacing w:val="-10"/>
                <w:sz w:val="22"/>
              </w:rPr>
              <w:t>_</w:t>
            </w:r>
          </w:p>
        </w:tc>
        <w:tc>
          <w:tcPr>
            <w:tcW w:w="621" w:type="dxa"/>
          </w:tcPr>
          <w:p>
            <w:pPr>
              <w:pStyle w:val="TableParagraph"/>
              <w:spacing w:line="240" w:lineRule="auto" w:before="114"/>
              <w:ind w:left="110"/>
              <w:rPr>
                <w:sz w:val="22"/>
              </w:rPr>
            </w:pPr>
            <w:r>
              <w:rPr>
                <w:spacing w:val="-10"/>
                <w:sz w:val="22"/>
              </w:rPr>
              <w:t>_</w:t>
            </w:r>
          </w:p>
        </w:tc>
        <w:tc>
          <w:tcPr>
            <w:tcW w:w="601" w:type="dxa"/>
          </w:tcPr>
          <w:p>
            <w:pPr>
              <w:pStyle w:val="TableParagraph"/>
              <w:spacing w:line="240" w:lineRule="auto" w:before="114"/>
              <w:ind w:left="146"/>
              <w:rPr>
                <w:sz w:val="22"/>
              </w:rPr>
            </w:pPr>
            <w:r>
              <w:rPr>
                <w:spacing w:val="-10"/>
                <w:sz w:val="22"/>
              </w:rPr>
              <w:t>+</w:t>
            </w:r>
          </w:p>
        </w:tc>
        <w:tc>
          <w:tcPr>
            <w:tcW w:w="656" w:type="dxa"/>
          </w:tcPr>
          <w:p>
            <w:pPr>
              <w:pStyle w:val="TableParagraph"/>
              <w:spacing w:line="240" w:lineRule="auto" w:before="114"/>
              <w:ind w:right="197"/>
              <w:jc w:val="right"/>
              <w:rPr>
                <w:sz w:val="22"/>
              </w:rPr>
            </w:pPr>
            <w:r>
              <w:rPr>
                <w:spacing w:val="-10"/>
                <w:sz w:val="22"/>
              </w:rPr>
              <w:t>+</w:t>
            </w:r>
          </w:p>
        </w:tc>
        <w:tc>
          <w:tcPr>
            <w:tcW w:w="720" w:type="dxa"/>
          </w:tcPr>
          <w:p>
            <w:pPr>
              <w:pStyle w:val="TableParagraph"/>
              <w:spacing w:line="240" w:lineRule="auto" w:before="114"/>
              <w:ind w:right="252"/>
              <w:jc w:val="right"/>
              <w:rPr>
                <w:sz w:val="22"/>
              </w:rPr>
            </w:pPr>
            <w:r>
              <w:rPr>
                <w:spacing w:val="-5"/>
                <w:sz w:val="22"/>
              </w:rPr>
              <w:t>NT</w:t>
            </w:r>
          </w:p>
        </w:tc>
        <w:tc>
          <w:tcPr>
            <w:tcW w:w="1833" w:type="dxa"/>
          </w:tcPr>
          <w:p>
            <w:pPr>
              <w:pStyle w:val="TableParagraph"/>
              <w:spacing w:line="240" w:lineRule="auto" w:before="114"/>
              <w:ind w:left="213"/>
              <w:jc w:val="left"/>
              <w:rPr>
                <w:i/>
                <w:sz w:val="22"/>
              </w:rPr>
            </w:pPr>
            <w:r>
              <w:rPr>
                <w:i/>
                <w:spacing w:val="-2"/>
                <w:sz w:val="22"/>
              </w:rPr>
              <w:t>Pseudomonas</w:t>
            </w:r>
          </w:p>
          <w:p>
            <w:pPr>
              <w:pStyle w:val="TableParagraph"/>
              <w:spacing w:line="240" w:lineRule="auto" w:before="264"/>
              <w:ind w:left="213"/>
              <w:jc w:val="left"/>
              <w:rPr>
                <w:i/>
                <w:sz w:val="22"/>
              </w:rPr>
            </w:pPr>
            <w:r>
              <w:rPr>
                <w:i/>
                <w:spacing w:val="-5"/>
                <w:sz w:val="22"/>
              </w:rPr>
              <w:t>spp</w:t>
            </w:r>
          </w:p>
        </w:tc>
      </w:tr>
      <w:tr>
        <w:trPr>
          <w:trHeight w:val="379" w:hRule="atLeast"/>
        </w:trPr>
        <w:tc>
          <w:tcPr>
            <w:tcW w:w="419" w:type="dxa"/>
          </w:tcPr>
          <w:p>
            <w:pPr>
              <w:pStyle w:val="TableParagraph"/>
              <w:spacing w:line="245" w:lineRule="exact" w:before="114"/>
              <w:ind w:left="50"/>
              <w:jc w:val="left"/>
              <w:rPr>
                <w:sz w:val="22"/>
              </w:rPr>
            </w:pPr>
            <w:r>
              <w:rPr>
                <w:spacing w:val="-10"/>
                <w:sz w:val="22"/>
              </w:rPr>
              <w:t>_</w:t>
            </w:r>
          </w:p>
        </w:tc>
        <w:tc>
          <w:tcPr>
            <w:tcW w:w="607" w:type="dxa"/>
          </w:tcPr>
          <w:p>
            <w:pPr>
              <w:pStyle w:val="TableParagraph"/>
              <w:spacing w:line="245" w:lineRule="exact" w:before="114"/>
              <w:ind w:left="22"/>
              <w:rPr>
                <w:sz w:val="22"/>
              </w:rPr>
            </w:pPr>
            <w:r>
              <w:rPr>
                <w:spacing w:val="-10"/>
                <w:sz w:val="22"/>
              </w:rPr>
              <w:t>+</w:t>
            </w:r>
          </w:p>
        </w:tc>
        <w:tc>
          <w:tcPr>
            <w:tcW w:w="585" w:type="dxa"/>
          </w:tcPr>
          <w:p>
            <w:pPr>
              <w:pStyle w:val="TableParagraph"/>
              <w:spacing w:line="245" w:lineRule="exact" w:before="114"/>
              <w:ind w:left="1"/>
              <w:rPr>
                <w:sz w:val="22"/>
              </w:rPr>
            </w:pPr>
            <w:r>
              <w:rPr>
                <w:spacing w:val="-10"/>
                <w:sz w:val="22"/>
              </w:rPr>
              <w:t>+</w:t>
            </w:r>
          </w:p>
        </w:tc>
        <w:tc>
          <w:tcPr>
            <w:tcW w:w="674" w:type="dxa"/>
          </w:tcPr>
          <w:p>
            <w:pPr>
              <w:pStyle w:val="TableParagraph"/>
              <w:spacing w:line="245" w:lineRule="exact" w:before="114"/>
              <w:ind w:left="47" w:right="131"/>
              <w:rPr>
                <w:sz w:val="22"/>
              </w:rPr>
            </w:pPr>
            <w:r>
              <w:rPr>
                <w:spacing w:val="-10"/>
                <w:sz w:val="22"/>
              </w:rPr>
              <w:t>+</w:t>
            </w:r>
          </w:p>
        </w:tc>
        <w:tc>
          <w:tcPr>
            <w:tcW w:w="688" w:type="dxa"/>
          </w:tcPr>
          <w:p>
            <w:pPr>
              <w:pStyle w:val="TableParagraph"/>
              <w:spacing w:line="245" w:lineRule="exact" w:before="114"/>
              <w:ind w:left="78"/>
              <w:rPr>
                <w:sz w:val="22"/>
              </w:rPr>
            </w:pPr>
            <w:r>
              <w:rPr>
                <w:spacing w:val="-10"/>
                <w:sz w:val="22"/>
              </w:rPr>
              <w:t>+</w:t>
            </w:r>
          </w:p>
        </w:tc>
        <w:tc>
          <w:tcPr>
            <w:tcW w:w="1019" w:type="dxa"/>
          </w:tcPr>
          <w:p>
            <w:pPr>
              <w:pStyle w:val="TableParagraph"/>
              <w:spacing w:line="245" w:lineRule="exact" w:before="114"/>
              <w:ind w:left="254"/>
              <w:jc w:val="left"/>
              <w:rPr>
                <w:sz w:val="22"/>
              </w:rPr>
            </w:pPr>
            <w:r>
              <w:rPr>
                <w:spacing w:val="-5"/>
                <w:sz w:val="22"/>
              </w:rPr>
              <w:t>A/A</w:t>
            </w:r>
          </w:p>
        </w:tc>
        <w:tc>
          <w:tcPr>
            <w:tcW w:w="743" w:type="dxa"/>
          </w:tcPr>
          <w:p>
            <w:pPr>
              <w:pStyle w:val="TableParagraph"/>
              <w:spacing w:line="245" w:lineRule="exact" w:before="114"/>
              <w:ind w:left="34" w:right="91"/>
              <w:rPr>
                <w:sz w:val="22"/>
              </w:rPr>
            </w:pPr>
            <w:r>
              <w:rPr>
                <w:spacing w:val="-10"/>
                <w:sz w:val="22"/>
              </w:rPr>
              <w:t>+</w:t>
            </w:r>
          </w:p>
        </w:tc>
        <w:tc>
          <w:tcPr>
            <w:tcW w:w="789" w:type="dxa"/>
          </w:tcPr>
          <w:p>
            <w:pPr>
              <w:pStyle w:val="TableParagraph"/>
              <w:spacing w:line="245" w:lineRule="exact" w:before="114"/>
              <w:ind w:left="30"/>
              <w:rPr>
                <w:sz w:val="22"/>
              </w:rPr>
            </w:pPr>
            <w:r>
              <w:rPr>
                <w:spacing w:val="-10"/>
                <w:sz w:val="22"/>
              </w:rPr>
              <w:t>+</w:t>
            </w:r>
          </w:p>
        </w:tc>
        <w:tc>
          <w:tcPr>
            <w:tcW w:w="743" w:type="dxa"/>
          </w:tcPr>
          <w:p>
            <w:pPr>
              <w:pStyle w:val="TableParagraph"/>
              <w:spacing w:line="245" w:lineRule="exact" w:before="114"/>
              <w:ind w:left="91" w:right="57"/>
              <w:rPr>
                <w:sz w:val="22"/>
              </w:rPr>
            </w:pPr>
            <w:r>
              <w:rPr>
                <w:spacing w:val="-10"/>
                <w:sz w:val="22"/>
              </w:rPr>
              <w:t>+</w:t>
            </w:r>
          </w:p>
        </w:tc>
        <w:tc>
          <w:tcPr>
            <w:tcW w:w="621" w:type="dxa"/>
          </w:tcPr>
          <w:p>
            <w:pPr>
              <w:pStyle w:val="TableParagraph"/>
              <w:spacing w:line="245" w:lineRule="exact" w:before="114"/>
              <w:ind w:left="110"/>
              <w:rPr>
                <w:sz w:val="22"/>
              </w:rPr>
            </w:pPr>
            <w:r>
              <w:rPr>
                <w:spacing w:val="-10"/>
                <w:sz w:val="22"/>
              </w:rPr>
              <w:t>+</w:t>
            </w:r>
          </w:p>
        </w:tc>
        <w:tc>
          <w:tcPr>
            <w:tcW w:w="601" w:type="dxa"/>
          </w:tcPr>
          <w:p>
            <w:pPr>
              <w:pStyle w:val="TableParagraph"/>
              <w:spacing w:line="245" w:lineRule="exact" w:before="114"/>
              <w:ind w:left="146"/>
              <w:rPr>
                <w:sz w:val="22"/>
              </w:rPr>
            </w:pPr>
            <w:r>
              <w:rPr>
                <w:spacing w:val="-10"/>
                <w:sz w:val="22"/>
              </w:rPr>
              <w:t>_</w:t>
            </w:r>
          </w:p>
        </w:tc>
        <w:tc>
          <w:tcPr>
            <w:tcW w:w="656" w:type="dxa"/>
          </w:tcPr>
          <w:p>
            <w:pPr>
              <w:pStyle w:val="TableParagraph"/>
              <w:spacing w:line="245" w:lineRule="exact" w:before="114"/>
              <w:ind w:right="197"/>
              <w:jc w:val="right"/>
              <w:rPr>
                <w:sz w:val="22"/>
              </w:rPr>
            </w:pPr>
            <w:r>
              <w:rPr>
                <w:spacing w:val="-10"/>
                <w:sz w:val="22"/>
              </w:rPr>
              <w:t>+</w:t>
            </w:r>
          </w:p>
        </w:tc>
        <w:tc>
          <w:tcPr>
            <w:tcW w:w="720" w:type="dxa"/>
          </w:tcPr>
          <w:p>
            <w:pPr>
              <w:pStyle w:val="TableParagraph"/>
              <w:spacing w:line="245" w:lineRule="exact" w:before="114"/>
              <w:ind w:right="197"/>
              <w:jc w:val="right"/>
              <w:rPr>
                <w:sz w:val="22"/>
              </w:rPr>
            </w:pPr>
            <w:r>
              <w:rPr>
                <w:spacing w:val="-10"/>
                <w:sz w:val="22"/>
              </w:rPr>
              <w:t>+</w:t>
            </w:r>
          </w:p>
        </w:tc>
        <w:tc>
          <w:tcPr>
            <w:tcW w:w="1833" w:type="dxa"/>
          </w:tcPr>
          <w:p>
            <w:pPr>
              <w:pStyle w:val="TableParagraph"/>
              <w:spacing w:line="245" w:lineRule="exact" w:before="114"/>
              <w:ind w:left="213"/>
              <w:jc w:val="left"/>
              <w:rPr>
                <w:i/>
                <w:sz w:val="22"/>
              </w:rPr>
            </w:pPr>
            <w:r>
              <w:rPr>
                <w:i/>
                <w:sz w:val="22"/>
              </w:rPr>
              <w:t>Staph</w:t>
            </w:r>
            <w:r>
              <w:rPr>
                <w:i/>
                <w:spacing w:val="1"/>
                <w:sz w:val="22"/>
              </w:rPr>
              <w:t> </w:t>
            </w:r>
            <w:r>
              <w:rPr>
                <w:i/>
                <w:spacing w:val="-5"/>
                <w:sz w:val="22"/>
              </w:rPr>
              <w:t>spp</w:t>
            </w:r>
          </w:p>
        </w:tc>
      </w:tr>
    </w:tbl>
    <w:p>
      <w:pPr>
        <w:pStyle w:val="BodyText"/>
        <w:spacing w:before="31"/>
        <w:rPr>
          <w:b/>
          <w:sz w:val="20"/>
        </w:rPr>
      </w:pPr>
      <w:r>
        <w:rPr/>
        <mc:AlternateContent>
          <mc:Choice Requires="wps">
            <w:drawing>
              <wp:anchor distT="0" distB="0" distL="0" distR="0" allowOverlap="1" layoutInCell="1" locked="0" behindDoc="1" simplePos="0" relativeHeight="487616000">
                <wp:simplePos x="0" y="0"/>
                <wp:positionH relativeFrom="page">
                  <wp:posOffset>390144</wp:posOffset>
                </wp:positionH>
                <wp:positionV relativeFrom="paragraph">
                  <wp:posOffset>190118</wp:posOffset>
                </wp:positionV>
                <wp:extent cx="6983095" cy="635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983095" cy="6350"/>
                        </a:xfrm>
                        <a:custGeom>
                          <a:avLst/>
                          <a:gdLst/>
                          <a:ahLst/>
                          <a:cxnLst/>
                          <a:rect l="l" t="t" r="r" b="b"/>
                          <a:pathLst>
                            <a:path w="6983095" h="6350">
                              <a:moveTo>
                                <a:pt x="6982968" y="0"/>
                              </a:moveTo>
                              <a:lnTo>
                                <a:pt x="6982968" y="0"/>
                              </a:lnTo>
                              <a:lnTo>
                                <a:pt x="0" y="0"/>
                              </a:lnTo>
                              <a:lnTo>
                                <a:pt x="0" y="6096"/>
                              </a:lnTo>
                              <a:lnTo>
                                <a:pt x="6982968" y="6096"/>
                              </a:lnTo>
                              <a:lnTo>
                                <a:pt x="6982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20001pt;margin-top:14.969975pt;width:549.840026pt;height:.48pt;mso-position-horizontal-relative:page;mso-position-vertical-relative:paragraph;z-index:-15700480;mso-wrap-distance-left:0;mso-wrap-distance-right:0" id="docshape75" filled="true" fillcolor="#000000" stroked="false">
                <v:fill type="solid"/>
                <w10:wrap type="topAndBottom"/>
              </v:rect>
            </w:pict>
          </mc:Fallback>
        </mc:AlternateContent>
      </w:r>
    </w:p>
    <w:p>
      <w:pPr>
        <w:pStyle w:val="BodyText"/>
        <w:spacing w:line="480" w:lineRule="auto"/>
        <w:ind w:left="920" w:right="1173"/>
        <w:jc w:val="both"/>
      </w:pPr>
      <w:r>
        <w:rPr>
          <w:b/>
        </w:rPr>
        <w:t>KEY</w:t>
      </w:r>
      <w:r>
        <w:rPr/>
        <w:t>: IND=Indole, MR=Methyl-red, VR=Voges-Proskauer, CIT=Citrate, UREA=Urease, TSI=Triple sugar</w:t>
      </w:r>
      <w:r>
        <w:rPr>
          <w:spacing w:val="40"/>
        </w:rPr>
        <w:t> </w:t>
      </w:r>
      <w:r>
        <w:rPr/>
        <w:t>iron, LACT=Lactose, MAN= Mannitol, GLU=Glucose, SUC= Sucrose, OX= Oxidase, CAT=Catalase, COA=Coagulase, A=Acid, K= Alkaline, G=Gas, NT= Not tested, + =positive, - = Negative.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Heading6"/>
        <w:ind w:left="920" w:firstLine="0"/>
        <w:jc w:val="both"/>
      </w:pPr>
      <w:r>
        <w:rPr/>
        <w:t>APPENDIX</w:t>
      </w:r>
      <w:r>
        <w:rPr>
          <w:spacing w:val="-3"/>
        </w:rPr>
        <w:t> </w:t>
      </w:r>
      <w:r>
        <w:rPr/>
        <w:t>III:</w:t>
      </w:r>
      <w:r>
        <w:rPr>
          <w:spacing w:val="-4"/>
        </w:rPr>
        <w:t> </w:t>
      </w:r>
      <w:r>
        <w:rPr/>
        <w:t>Zone</w:t>
      </w:r>
      <w:r>
        <w:rPr>
          <w:spacing w:val="-6"/>
        </w:rPr>
        <w:t> </w:t>
      </w:r>
      <w:r>
        <w:rPr/>
        <w:t>of</w:t>
      </w:r>
      <w:r>
        <w:rPr>
          <w:spacing w:val="-3"/>
        </w:rPr>
        <w:t> </w:t>
      </w:r>
      <w:r>
        <w:rPr/>
        <w:t>Inhibition</w:t>
      </w:r>
      <w:r>
        <w:rPr>
          <w:spacing w:val="-4"/>
        </w:rPr>
        <w:t> </w:t>
      </w:r>
      <w:r>
        <w:rPr/>
        <w:t>of</w:t>
      </w:r>
      <w:r>
        <w:rPr>
          <w:spacing w:val="-3"/>
        </w:rPr>
        <w:t> </w:t>
      </w:r>
      <w:r>
        <w:rPr/>
        <w:t>Test</w:t>
      </w:r>
      <w:r>
        <w:rPr>
          <w:spacing w:val="-5"/>
        </w:rPr>
        <w:t> </w:t>
      </w:r>
      <w:r>
        <w:rPr/>
        <w:t>Antibiotics</w:t>
      </w:r>
      <w:r>
        <w:rPr>
          <w:spacing w:val="-6"/>
        </w:rPr>
        <w:t> </w:t>
      </w:r>
      <w:r>
        <w:rPr/>
        <w:t>against</w:t>
      </w:r>
      <w:r>
        <w:rPr>
          <w:spacing w:val="-5"/>
        </w:rPr>
        <w:t> </w:t>
      </w:r>
      <w:r>
        <w:rPr/>
        <w:t>Bacterial</w:t>
      </w:r>
      <w:r>
        <w:rPr>
          <w:spacing w:val="-6"/>
        </w:rPr>
        <w:t> </w:t>
      </w:r>
      <w:r>
        <w:rPr>
          <w:spacing w:val="-2"/>
        </w:rPr>
        <w:t>Isolates</w:t>
      </w:r>
    </w:p>
    <w:p>
      <w:pPr>
        <w:spacing w:after="0"/>
        <w:jc w:val="both"/>
        <w:sectPr>
          <w:pgSz w:w="12240" w:h="15840"/>
          <w:pgMar w:header="0" w:footer="1017" w:top="1460" w:bottom="1200" w:left="520" w:right="260"/>
        </w:sectPr>
      </w:pPr>
    </w:p>
    <w:p>
      <w:pPr>
        <w:pStyle w:val="BodyText"/>
        <w:rPr>
          <w:b/>
          <w:sz w:val="2"/>
        </w:rPr>
      </w:pPr>
    </w:p>
    <w:tbl>
      <w:tblPr>
        <w:tblW w:w="0" w:type="auto"/>
        <w:jc w:val="left"/>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1"/>
        <w:gridCol w:w="1027"/>
        <w:gridCol w:w="902"/>
        <w:gridCol w:w="763"/>
        <w:gridCol w:w="720"/>
        <w:gridCol w:w="811"/>
        <w:gridCol w:w="900"/>
        <w:gridCol w:w="854"/>
        <w:gridCol w:w="856"/>
        <w:gridCol w:w="854"/>
        <w:gridCol w:w="854"/>
        <w:gridCol w:w="856"/>
        <w:gridCol w:w="866"/>
      </w:tblGrid>
      <w:tr>
        <w:trPr>
          <w:trHeight w:val="196" w:hRule="atLeast"/>
        </w:trPr>
        <w:tc>
          <w:tcPr>
            <w:tcW w:w="801" w:type="dxa"/>
            <w:tcBorders>
              <w:top w:val="single" w:sz="4" w:space="0" w:color="000000"/>
              <w:bottom w:val="single" w:sz="4" w:space="0" w:color="000000"/>
            </w:tcBorders>
          </w:tcPr>
          <w:p>
            <w:pPr>
              <w:pStyle w:val="TableParagraph"/>
              <w:spacing w:line="176" w:lineRule="exact"/>
              <w:ind w:left="105"/>
              <w:jc w:val="left"/>
              <w:rPr>
                <w:sz w:val="16"/>
              </w:rPr>
            </w:pPr>
            <w:r>
              <w:rPr>
                <w:sz w:val="16"/>
              </w:rPr>
              <w:t>LAB</w:t>
            </w:r>
            <w:r>
              <w:rPr>
                <w:spacing w:val="-9"/>
                <w:sz w:val="16"/>
              </w:rPr>
              <w:t> </w:t>
            </w:r>
            <w:r>
              <w:rPr>
                <w:spacing w:val="-5"/>
                <w:sz w:val="16"/>
              </w:rPr>
              <w:t>NO</w:t>
            </w:r>
          </w:p>
        </w:tc>
        <w:tc>
          <w:tcPr>
            <w:tcW w:w="1027" w:type="dxa"/>
            <w:tcBorders>
              <w:top w:val="single" w:sz="4" w:space="0" w:color="000000"/>
              <w:bottom w:val="single" w:sz="4" w:space="0" w:color="000000"/>
            </w:tcBorders>
          </w:tcPr>
          <w:p>
            <w:pPr>
              <w:pStyle w:val="TableParagraph"/>
              <w:spacing w:line="176" w:lineRule="exact"/>
              <w:ind w:left="206"/>
              <w:jc w:val="left"/>
              <w:rPr>
                <w:sz w:val="16"/>
              </w:rPr>
            </w:pPr>
            <w:r>
              <w:rPr>
                <w:spacing w:val="-5"/>
                <w:sz w:val="16"/>
              </w:rPr>
              <w:t>AMX</w:t>
            </w:r>
          </w:p>
        </w:tc>
        <w:tc>
          <w:tcPr>
            <w:tcW w:w="902" w:type="dxa"/>
            <w:tcBorders>
              <w:top w:val="single" w:sz="4" w:space="0" w:color="000000"/>
              <w:bottom w:val="single" w:sz="4" w:space="0" w:color="000000"/>
            </w:tcBorders>
          </w:tcPr>
          <w:p>
            <w:pPr>
              <w:pStyle w:val="TableParagraph"/>
              <w:spacing w:line="176" w:lineRule="exact"/>
              <w:ind w:left="260"/>
              <w:jc w:val="left"/>
              <w:rPr>
                <w:sz w:val="16"/>
              </w:rPr>
            </w:pPr>
            <w:r>
              <w:rPr>
                <w:spacing w:val="-5"/>
                <w:sz w:val="16"/>
              </w:rPr>
              <w:t>COT</w:t>
            </w:r>
          </w:p>
        </w:tc>
        <w:tc>
          <w:tcPr>
            <w:tcW w:w="763" w:type="dxa"/>
            <w:tcBorders>
              <w:top w:val="single" w:sz="4" w:space="0" w:color="000000"/>
              <w:bottom w:val="single" w:sz="4" w:space="0" w:color="000000"/>
            </w:tcBorders>
          </w:tcPr>
          <w:p>
            <w:pPr>
              <w:pStyle w:val="TableParagraph"/>
              <w:spacing w:line="176" w:lineRule="exact"/>
              <w:ind w:left="164"/>
              <w:jc w:val="left"/>
              <w:rPr>
                <w:sz w:val="16"/>
              </w:rPr>
            </w:pPr>
            <w:r>
              <w:rPr>
                <w:spacing w:val="-5"/>
                <w:sz w:val="16"/>
              </w:rPr>
              <w:t>NIT</w:t>
            </w:r>
          </w:p>
        </w:tc>
        <w:tc>
          <w:tcPr>
            <w:tcW w:w="720" w:type="dxa"/>
            <w:tcBorders>
              <w:top w:val="single" w:sz="4" w:space="0" w:color="000000"/>
              <w:bottom w:val="single" w:sz="4" w:space="0" w:color="000000"/>
            </w:tcBorders>
          </w:tcPr>
          <w:p>
            <w:pPr>
              <w:pStyle w:val="TableParagraph"/>
              <w:spacing w:line="176" w:lineRule="exact"/>
              <w:ind w:left="121"/>
              <w:jc w:val="left"/>
              <w:rPr>
                <w:sz w:val="16"/>
              </w:rPr>
            </w:pPr>
            <w:r>
              <w:rPr>
                <w:spacing w:val="-5"/>
                <w:sz w:val="16"/>
              </w:rPr>
              <w:t>GEN</w:t>
            </w:r>
          </w:p>
        </w:tc>
        <w:tc>
          <w:tcPr>
            <w:tcW w:w="811" w:type="dxa"/>
            <w:tcBorders>
              <w:top w:val="single" w:sz="4" w:space="0" w:color="000000"/>
              <w:bottom w:val="single" w:sz="4" w:space="0" w:color="000000"/>
            </w:tcBorders>
          </w:tcPr>
          <w:p>
            <w:pPr>
              <w:pStyle w:val="TableParagraph"/>
              <w:spacing w:line="176" w:lineRule="exact"/>
              <w:ind w:left="121"/>
              <w:jc w:val="left"/>
              <w:rPr>
                <w:sz w:val="16"/>
              </w:rPr>
            </w:pPr>
            <w:r>
              <w:rPr>
                <w:spacing w:val="-5"/>
                <w:sz w:val="16"/>
              </w:rPr>
              <w:t>NAL</w:t>
            </w:r>
          </w:p>
        </w:tc>
        <w:tc>
          <w:tcPr>
            <w:tcW w:w="900" w:type="dxa"/>
            <w:tcBorders>
              <w:top w:val="single" w:sz="4" w:space="0" w:color="000000"/>
              <w:bottom w:val="single" w:sz="4" w:space="0" w:color="000000"/>
            </w:tcBorders>
          </w:tcPr>
          <w:p>
            <w:pPr>
              <w:pStyle w:val="TableParagraph"/>
              <w:spacing w:line="176" w:lineRule="exact"/>
              <w:ind w:left="212"/>
              <w:jc w:val="left"/>
              <w:rPr>
                <w:sz w:val="16"/>
              </w:rPr>
            </w:pPr>
            <w:r>
              <w:rPr>
                <w:spacing w:val="-5"/>
                <w:sz w:val="16"/>
              </w:rPr>
              <w:t>OFL</w:t>
            </w:r>
          </w:p>
        </w:tc>
        <w:tc>
          <w:tcPr>
            <w:tcW w:w="854" w:type="dxa"/>
            <w:tcBorders>
              <w:top w:val="single" w:sz="4" w:space="0" w:color="000000"/>
              <w:bottom w:val="single" w:sz="4" w:space="0" w:color="000000"/>
            </w:tcBorders>
          </w:tcPr>
          <w:p>
            <w:pPr>
              <w:pStyle w:val="TableParagraph"/>
              <w:spacing w:line="176" w:lineRule="exact"/>
              <w:ind w:left="210"/>
              <w:jc w:val="left"/>
              <w:rPr>
                <w:sz w:val="16"/>
              </w:rPr>
            </w:pPr>
            <w:r>
              <w:rPr>
                <w:spacing w:val="-5"/>
                <w:sz w:val="16"/>
              </w:rPr>
              <w:t>AMC</w:t>
            </w:r>
          </w:p>
        </w:tc>
        <w:tc>
          <w:tcPr>
            <w:tcW w:w="856" w:type="dxa"/>
            <w:tcBorders>
              <w:top w:val="single" w:sz="4" w:space="0" w:color="000000"/>
              <w:bottom w:val="single" w:sz="4" w:space="0" w:color="000000"/>
            </w:tcBorders>
          </w:tcPr>
          <w:p>
            <w:pPr>
              <w:pStyle w:val="TableParagraph"/>
              <w:spacing w:line="176" w:lineRule="exact"/>
              <w:ind w:left="167"/>
              <w:jc w:val="left"/>
              <w:rPr>
                <w:sz w:val="16"/>
              </w:rPr>
            </w:pPr>
            <w:r>
              <w:rPr>
                <w:spacing w:val="-5"/>
                <w:sz w:val="16"/>
              </w:rPr>
              <w:t>TET</w:t>
            </w:r>
          </w:p>
        </w:tc>
        <w:tc>
          <w:tcPr>
            <w:tcW w:w="854" w:type="dxa"/>
            <w:tcBorders>
              <w:top w:val="single" w:sz="4" w:space="0" w:color="000000"/>
              <w:bottom w:val="single" w:sz="4" w:space="0" w:color="000000"/>
            </w:tcBorders>
          </w:tcPr>
          <w:p>
            <w:pPr>
              <w:pStyle w:val="TableParagraph"/>
              <w:spacing w:line="176" w:lineRule="exact"/>
              <w:ind w:left="213"/>
              <w:jc w:val="left"/>
              <w:rPr>
                <w:sz w:val="16"/>
              </w:rPr>
            </w:pPr>
            <w:r>
              <w:rPr>
                <w:spacing w:val="-5"/>
                <w:sz w:val="16"/>
              </w:rPr>
              <w:t>CXM</w:t>
            </w:r>
          </w:p>
        </w:tc>
        <w:tc>
          <w:tcPr>
            <w:tcW w:w="854" w:type="dxa"/>
            <w:tcBorders>
              <w:top w:val="single" w:sz="4" w:space="0" w:color="000000"/>
              <w:bottom w:val="single" w:sz="4" w:space="0" w:color="000000"/>
            </w:tcBorders>
          </w:tcPr>
          <w:p>
            <w:pPr>
              <w:pStyle w:val="TableParagraph"/>
              <w:spacing w:line="176" w:lineRule="exact"/>
              <w:ind w:left="166"/>
              <w:jc w:val="left"/>
              <w:rPr>
                <w:sz w:val="16"/>
              </w:rPr>
            </w:pPr>
            <w:r>
              <w:rPr>
                <w:spacing w:val="-5"/>
                <w:sz w:val="16"/>
              </w:rPr>
              <w:t>ERY</w:t>
            </w:r>
          </w:p>
        </w:tc>
        <w:tc>
          <w:tcPr>
            <w:tcW w:w="856" w:type="dxa"/>
            <w:tcBorders>
              <w:top w:val="single" w:sz="4" w:space="0" w:color="000000"/>
              <w:bottom w:val="single" w:sz="4" w:space="0" w:color="000000"/>
            </w:tcBorders>
          </w:tcPr>
          <w:p>
            <w:pPr>
              <w:pStyle w:val="TableParagraph"/>
              <w:spacing w:line="176" w:lineRule="exact"/>
              <w:ind w:left="214"/>
              <w:jc w:val="left"/>
              <w:rPr>
                <w:sz w:val="16"/>
              </w:rPr>
            </w:pPr>
            <w:r>
              <w:rPr>
                <w:spacing w:val="-5"/>
                <w:sz w:val="16"/>
              </w:rPr>
              <w:t>CHL</w:t>
            </w:r>
          </w:p>
        </w:tc>
        <w:tc>
          <w:tcPr>
            <w:tcW w:w="866" w:type="dxa"/>
            <w:tcBorders>
              <w:top w:val="single" w:sz="4" w:space="0" w:color="000000"/>
              <w:bottom w:val="single" w:sz="4" w:space="0" w:color="000000"/>
            </w:tcBorders>
          </w:tcPr>
          <w:p>
            <w:pPr>
              <w:pStyle w:val="TableParagraph"/>
              <w:spacing w:line="176" w:lineRule="exact"/>
              <w:ind w:left="170"/>
              <w:jc w:val="left"/>
              <w:rPr>
                <w:sz w:val="16"/>
              </w:rPr>
            </w:pPr>
            <w:r>
              <w:rPr>
                <w:spacing w:val="-5"/>
                <w:sz w:val="16"/>
              </w:rPr>
              <w:t>CXC</w:t>
            </w:r>
          </w:p>
        </w:tc>
      </w:tr>
      <w:tr>
        <w:trPr>
          <w:trHeight w:val="207" w:hRule="atLeast"/>
        </w:trPr>
        <w:tc>
          <w:tcPr>
            <w:tcW w:w="801" w:type="dxa"/>
            <w:tcBorders>
              <w:top w:val="single" w:sz="4" w:space="0" w:color="000000"/>
            </w:tcBorders>
          </w:tcPr>
          <w:p>
            <w:pPr>
              <w:pStyle w:val="TableParagraph"/>
              <w:spacing w:line="187" w:lineRule="exact"/>
              <w:ind w:left="105"/>
              <w:jc w:val="left"/>
              <w:rPr>
                <w:sz w:val="16"/>
              </w:rPr>
            </w:pPr>
            <w:r>
              <w:rPr>
                <w:spacing w:val="-5"/>
                <w:sz w:val="16"/>
              </w:rPr>
              <w:t>E1m</w:t>
            </w:r>
          </w:p>
        </w:tc>
        <w:tc>
          <w:tcPr>
            <w:tcW w:w="1027" w:type="dxa"/>
            <w:tcBorders>
              <w:top w:val="single" w:sz="4" w:space="0" w:color="000000"/>
            </w:tcBorders>
          </w:tcPr>
          <w:p>
            <w:pPr>
              <w:pStyle w:val="TableParagraph"/>
              <w:spacing w:line="187" w:lineRule="exact"/>
              <w:ind w:left="206"/>
              <w:jc w:val="left"/>
              <w:rPr>
                <w:sz w:val="16"/>
              </w:rPr>
            </w:pPr>
            <w:r>
              <w:rPr>
                <w:spacing w:val="-2"/>
                <w:sz w:val="16"/>
              </w:rPr>
              <w:t>0.0±0.0</w:t>
            </w:r>
          </w:p>
        </w:tc>
        <w:tc>
          <w:tcPr>
            <w:tcW w:w="902" w:type="dxa"/>
            <w:tcBorders>
              <w:top w:val="single" w:sz="4" w:space="0" w:color="000000"/>
            </w:tcBorders>
          </w:tcPr>
          <w:p>
            <w:pPr>
              <w:pStyle w:val="TableParagraph"/>
              <w:spacing w:line="187" w:lineRule="exact"/>
              <w:ind w:left="260"/>
              <w:jc w:val="left"/>
              <w:rPr>
                <w:sz w:val="16"/>
              </w:rPr>
            </w:pPr>
            <w:r>
              <w:rPr>
                <w:spacing w:val="-2"/>
                <w:sz w:val="16"/>
              </w:rPr>
              <w:t>24±0.0</w:t>
            </w:r>
          </w:p>
        </w:tc>
        <w:tc>
          <w:tcPr>
            <w:tcW w:w="763" w:type="dxa"/>
            <w:tcBorders>
              <w:top w:val="single" w:sz="4" w:space="0" w:color="000000"/>
            </w:tcBorders>
          </w:tcPr>
          <w:p>
            <w:pPr>
              <w:pStyle w:val="TableParagraph"/>
              <w:spacing w:line="187" w:lineRule="exact"/>
              <w:ind w:left="164"/>
              <w:jc w:val="left"/>
              <w:rPr>
                <w:sz w:val="16"/>
              </w:rPr>
            </w:pPr>
            <w:r>
              <w:rPr>
                <w:spacing w:val="-2"/>
                <w:sz w:val="16"/>
              </w:rPr>
              <w:t>29±0.0</w:t>
            </w:r>
          </w:p>
        </w:tc>
        <w:tc>
          <w:tcPr>
            <w:tcW w:w="720" w:type="dxa"/>
            <w:tcBorders>
              <w:top w:val="single" w:sz="4" w:space="0" w:color="000000"/>
            </w:tcBorders>
          </w:tcPr>
          <w:p>
            <w:pPr>
              <w:pStyle w:val="TableParagraph"/>
              <w:spacing w:line="187" w:lineRule="exact"/>
              <w:ind w:left="121"/>
              <w:jc w:val="left"/>
              <w:rPr>
                <w:sz w:val="16"/>
              </w:rPr>
            </w:pPr>
            <w:r>
              <w:rPr>
                <w:spacing w:val="-2"/>
                <w:sz w:val="16"/>
              </w:rPr>
              <w:t>0.0±0.0</w:t>
            </w:r>
          </w:p>
        </w:tc>
        <w:tc>
          <w:tcPr>
            <w:tcW w:w="811" w:type="dxa"/>
            <w:tcBorders>
              <w:top w:val="single" w:sz="4" w:space="0" w:color="000000"/>
            </w:tcBorders>
          </w:tcPr>
          <w:p>
            <w:pPr>
              <w:pStyle w:val="TableParagraph"/>
              <w:spacing w:line="187" w:lineRule="exact"/>
              <w:ind w:left="121"/>
              <w:jc w:val="left"/>
              <w:rPr>
                <w:sz w:val="16"/>
              </w:rPr>
            </w:pPr>
            <w:r>
              <w:rPr>
                <w:spacing w:val="-2"/>
                <w:sz w:val="16"/>
              </w:rPr>
              <w:t>0.0±0.0</w:t>
            </w:r>
          </w:p>
        </w:tc>
        <w:tc>
          <w:tcPr>
            <w:tcW w:w="900" w:type="dxa"/>
            <w:tcBorders>
              <w:top w:val="single" w:sz="4" w:space="0" w:color="000000"/>
            </w:tcBorders>
          </w:tcPr>
          <w:p>
            <w:pPr>
              <w:pStyle w:val="TableParagraph"/>
              <w:spacing w:line="187" w:lineRule="exact"/>
              <w:ind w:left="212"/>
              <w:jc w:val="left"/>
              <w:rPr>
                <w:sz w:val="16"/>
              </w:rPr>
            </w:pPr>
            <w:r>
              <w:rPr>
                <w:spacing w:val="-2"/>
                <w:sz w:val="16"/>
              </w:rPr>
              <w:t>17±1.0</w:t>
            </w:r>
          </w:p>
        </w:tc>
        <w:tc>
          <w:tcPr>
            <w:tcW w:w="854" w:type="dxa"/>
            <w:tcBorders>
              <w:top w:val="single" w:sz="4" w:space="0" w:color="000000"/>
            </w:tcBorders>
          </w:tcPr>
          <w:p>
            <w:pPr>
              <w:pStyle w:val="TableParagraph"/>
              <w:spacing w:line="187" w:lineRule="exact"/>
              <w:ind w:left="210"/>
              <w:jc w:val="left"/>
              <w:rPr>
                <w:sz w:val="16"/>
              </w:rPr>
            </w:pPr>
            <w:r>
              <w:rPr>
                <w:spacing w:val="-2"/>
                <w:sz w:val="16"/>
              </w:rPr>
              <w:t>0.0±0.0</w:t>
            </w:r>
          </w:p>
        </w:tc>
        <w:tc>
          <w:tcPr>
            <w:tcW w:w="856" w:type="dxa"/>
            <w:tcBorders>
              <w:top w:val="single" w:sz="4" w:space="0" w:color="000000"/>
            </w:tcBorders>
          </w:tcPr>
          <w:p>
            <w:pPr>
              <w:pStyle w:val="TableParagraph"/>
              <w:spacing w:line="187" w:lineRule="exact"/>
              <w:ind w:left="167"/>
              <w:jc w:val="left"/>
              <w:rPr>
                <w:sz w:val="16"/>
              </w:rPr>
            </w:pPr>
            <w:r>
              <w:rPr>
                <w:spacing w:val="-2"/>
                <w:sz w:val="16"/>
              </w:rPr>
              <w:t>11±1.0</w:t>
            </w:r>
          </w:p>
        </w:tc>
        <w:tc>
          <w:tcPr>
            <w:tcW w:w="854" w:type="dxa"/>
            <w:tcBorders>
              <w:top w:val="single" w:sz="4" w:space="0" w:color="000000"/>
            </w:tcBorders>
          </w:tcPr>
          <w:p>
            <w:pPr>
              <w:pStyle w:val="TableParagraph"/>
              <w:spacing w:line="187" w:lineRule="exact"/>
              <w:ind w:left="213"/>
              <w:jc w:val="left"/>
              <w:rPr>
                <w:sz w:val="16"/>
              </w:rPr>
            </w:pPr>
            <w:r>
              <w:rPr>
                <w:spacing w:val="-2"/>
                <w:sz w:val="16"/>
              </w:rPr>
              <w:t>0.0±0.0</w:t>
            </w:r>
          </w:p>
        </w:tc>
        <w:tc>
          <w:tcPr>
            <w:tcW w:w="854" w:type="dxa"/>
            <w:tcBorders>
              <w:top w:val="single" w:sz="4" w:space="0" w:color="000000"/>
            </w:tcBorders>
          </w:tcPr>
          <w:p>
            <w:pPr>
              <w:pStyle w:val="TableParagraph"/>
              <w:spacing w:line="187" w:lineRule="exact"/>
              <w:ind w:left="166"/>
              <w:jc w:val="left"/>
              <w:rPr>
                <w:sz w:val="16"/>
              </w:rPr>
            </w:pPr>
            <w:r>
              <w:rPr>
                <w:spacing w:val="-2"/>
                <w:sz w:val="16"/>
              </w:rPr>
              <w:t>13±1.0</w:t>
            </w:r>
          </w:p>
        </w:tc>
        <w:tc>
          <w:tcPr>
            <w:tcW w:w="856" w:type="dxa"/>
            <w:tcBorders>
              <w:top w:val="single" w:sz="4" w:space="0" w:color="000000"/>
            </w:tcBorders>
          </w:tcPr>
          <w:p>
            <w:pPr>
              <w:pStyle w:val="TableParagraph"/>
              <w:spacing w:line="187" w:lineRule="exact"/>
              <w:ind w:left="214"/>
              <w:jc w:val="left"/>
              <w:rPr>
                <w:sz w:val="16"/>
              </w:rPr>
            </w:pPr>
            <w:r>
              <w:rPr>
                <w:spacing w:val="-2"/>
                <w:sz w:val="16"/>
              </w:rPr>
              <w:t>9±1.4</w:t>
            </w:r>
          </w:p>
        </w:tc>
        <w:tc>
          <w:tcPr>
            <w:tcW w:w="866" w:type="dxa"/>
            <w:tcBorders>
              <w:top w:val="single" w:sz="4" w:space="0" w:color="000000"/>
            </w:tcBorders>
          </w:tcPr>
          <w:p>
            <w:pPr>
              <w:pStyle w:val="TableParagraph"/>
              <w:spacing w:line="18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E2m</w:t>
            </w:r>
          </w:p>
        </w:tc>
        <w:tc>
          <w:tcPr>
            <w:tcW w:w="1027" w:type="dxa"/>
          </w:tcPr>
          <w:p>
            <w:pPr>
              <w:pStyle w:val="TableParagraph"/>
              <w:spacing w:line="174" w:lineRule="exact"/>
              <w:ind w:left="206"/>
              <w:jc w:val="left"/>
              <w:rPr>
                <w:sz w:val="16"/>
              </w:rPr>
            </w:pPr>
            <w:r>
              <w:rPr>
                <w:spacing w:val="-2"/>
                <w:sz w:val="16"/>
              </w:rPr>
              <w:t>14.0±0.0</w:t>
            </w:r>
          </w:p>
        </w:tc>
        <w:tc>
          <w:tcPr>
            <w:tcW w:w="902" w:type="dxa"/>
          </w:tcPr>
          <w:p>
            <w:pPr>
              <w:pStyle w:val="TableParagraph"/>
              <w:spacing w:line="174" w:lineRule="exact"/>
              <w:ind w:left="260"/>
              <w:jc w:val="left"/>
              <w:rPr>
                <w:sz w:val="16"/>
              </w:rPr>
            </w:pPr>
            <w:r>
              <w:rPr>
                <w:spacing w:val="-2"/>
                <w:sz w:val="16"/>
              </w:rPr>
              <w:t>19±2.2</w:t>
            </w:r>
          </w:p>
        </w:tc>
        <w:tc>
          <w:tcPr>
            <w:tcW w:w="763" w:type="dxa"/>
          </w:tcPr>
          <w:p>
            <w:pPr>
              <w:pStyle w:val="TableParagraph"/>
              <w:spacing w:line="174" w:lineRule="exact"/>
              <w:ind w:left="164"/>
              <w:jc w:val="left"/>
              <w:rPr>
                <w:sz w:val="16"/>
              </w:rPr>
            </w:pPr>
            <w:r>
              <w:rPr>
                <w:spacing w:val="-2"/>
                <w:sz w:val="16"/>
              </w:rPr>
              <w:t>27±0.0</w:t>
            </w:r>
          </w:p>
        </w:tc>
        <w:tc>
          <w:tcPr>
            <w:tcW w:w="720" w:type="dxa"/>
          </w:tcPr>
          <w:p>
            <w:pPr>
              <w:pStyle w:val="TableParagraph"/>
              <w:spacing w:line="174" w:lineRule="exact"/>
              <w:ind w:left="121"/>
              <w:jc w:val="left"/>
              <w:rPr>
                <w:sz w:val="16"/>
              </w:rPr>
            </w:pPr>
            <w:r>
              <w:rPr>
                <w:spacing w:val="-2"/>
                <w:sz w:val="16"/>
              </w:rPr>
              <w:t>21±1.0</w:t>
            </w:r>
          </w:p>
        </w:tc>
        <w:tc>
          <w:tcPr>
            <w:tcW w:w="811" w:type="dxa"/>
          </w:tcPr>
          <w:p>
            <w:pPr>
              <w:pStyle w:val="TableParagraph"/>
              <w:spacing w:line="174" w:lineRule="exact"/>
              <w:ind w:left="121"/>
              <w:jc w:val="left"/>
              <w:rPr>
                <w:sz w:val="16"/>
              </w:rPr>
            </w:pPr>
            <w:r>
              <w:rPr>
                <w:spacing w:val="-2"/>
                <w:sz w:val="16"/>
              </w:rPr>
              <w:t>13±0.0</w:t>
            </w:r>
          </w:p>
        </w:tc>
        <w:tc>
          <w:tcPr>
            <w:tcW w:w="900" w:type="dxa"/>
          </w:tcPr>
          <w:p>
            <w:pPr>
              <w:pStyle w:val="TableParagraph"/>
              <w:spacing w:line="174" w:lineRule="exact"/>
              <w:ind w:left="212"/>
              <w:jc w:val="left"/>
              <w:rPr>
                <w:sz w:val="16"/>
              </w:rPr>
            </w:pPr>
            <w:r>
              <w:rPr>
                <w:spacing w:val="-2"/>
                <w:sz w:val="16"/>
              </w:rPr>
              <w:t>28±4.2</w:t>
            </w:r>
          </w:p>
        </w:tc>
        <w:tc>
          <w:tcPr>
            <w:tcW w:w="854" w:type="dxa"/>
          </w:tcPr>
          <w:p>
            <w:pPr>
              <w:pStyle w:val="TableParagraph"/>
              <w:spacing w:line="174" w:lineRule="exact"/>
              <w:ind w:left="210"/>
              <w:jc w:val="left"/>
              <w:rPr>
                <w:sz w:val="16"/>
              </w:rPr>
            </w:pPr>
            <w:r>
              <w:rPr>
                <w:spacing w:val="-2"/>
                <w:sz w:val="16"/>
              </w:rPr>
              <w:t>21±1.0</w:t>
            </w:r>
          </w:p>
        </w:tc>
        <w:tc>
          <w:tcPr>
            <w:tcW w:w="856" w:type="dxa"/>
          </w:tcPr>
          <w:p>
            <w:pPr>
              <w:pStyle w:val="TableParagraph"/>
              <w:spacing w:line="174" w:lineRule="exact"/>
              <w:ind w:left="167"/>
              <w:jc w:val="left"/>
              <w:rPr>
                <w:sz w:val="16"/>
              </w:rPr>
            </w:pPr>
            <w:r>
              <w:rPr>
                <w:spacing w:val="-2"/>
                <w:sz w:val="16"/>
              </w:rPr>
              <w:t>21±1.0</w:t>
            </w:r>
          </w:p>
        </w:tc>
        <w:tc>
          <w:tcPr>
            <w:tcW w:w="854" w:type="dxa"/>
          </w:tcPr>
          <w:p>
            <w:pPr>
              <w:pStyle w:val="TableParagraph"/>
              <w:spacing w:line="174" w:lineRule="exact"/>
              <w:ind w:left="213"/>
              <w:jc w:val="left"/>
              <w:rPr>
                <w:sz w:val="16"/>
              </w:rPr>
            </w:pPr>
            <w:r>
              <w:rPr>
                <w:spacing w:val="-2"/>
                <w:sz w:val="16"/>
              </w:rPr>
              <w:t>30±2.2</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27±1.4</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S5m</w:t>
            </w:r>
          </w:p>
        </w:tc>
        <w:tc>
          <w:tcPr>
            <w:tcW w:w="1027" w:type="dxa"/>
          </w:tcPr>
          <w:p>
            <w:pPr>
              <w:pStyle w:val="TableParagraph"/>
              <w:spacing w:line="174" w:lineRule="exact"/>
              <w:ind w:left="206"/>
              <w:jc w:val="left"/>
              <w:rPr>
                <w:sz w:val="16"/>
              </w:rPr>
            </w:pPr>
            <w:r>
              <w:rPr>
                <w:spacing w:val="-2"/>
                <w:sz w:val="16"/>
              </w:rPr>
              <w:t>18.0±5.0</w:t>
            </w:r>
          </w:p>
        </w:tc>
        <w:tc>
          <w:tcPr>
            <w:tcW w:w="902" w:type="dxa"/>
          </w:tcPr>
          <w:p>
            <w:pPr>
              <w:pStyle w:val="TableParagraph"/>
              <w:spacing w:line="174" w:lineRule="exact"/>
              <w:ind w:left="260"/>
              <w:jc w:val="left"/>
              <w:rPr>
                <w:sz w:val="16"/>
              </w:rPr>
            </w:pPr>
            <w:r>
              <w:rPr>
                <w:spacing w:val="-2"/>
                <w:sz w:val="16"/>
              </w:rPr>
              <w:t>21±1.4</w:t>
            </w:r>
          </w:p>
        </w:tc>
        <w:tc>
          <w:tcPr>
            <w:tcW w:w="763" w:type="dxa"/>
          </w:tcPr>
          <w:p>
            <w:pPr>
              <w:pStyle w:val="TableParagraph"/>
              <w:spacing w:line="174" w:lineRule="exact"/>
              <w:ind w:left="164"/>
              <w:jc w:val="left"/>
              <w:rPr>
                <w:sz w:val="16"/>
              </w:rPr>
            </w:pPr>
            <w:r>
              <w:rPr>
                <w:spacing w:val="-2"/>
                <w:sz w:val="16"/>
              </w:rPr>
              <w:t>27±1.0</w:t>
            </w:r>
          </w:p>
        </w:tc>
        <w:tc>
          <w:tcPr>
            <w:tcW w:w="720" w:type="dxa"/>
          </w:tcPr>
          <w:p>
            <w:pPr>
              <w:pStyle w:val="TableParagraph"/>
              <w:spacing w:line="174" w:lineRule="exact"/>
              <w:ind w:left="121"/>
              <w:jc w:val="left"/>
              <w:rPr>
                <w:sz w:val="16"/>
              </w:rPr>
            </w:pPr>
            <w:r>
              <w:rPr>
                <w:spacing w:val="-2"/>
                <w:sz w:val="16"/>
              </w:rPr>
              <w:t>20±0.0</w:t>
            </w:r>
          </w:p>
        </w:tc>
        <w:tc>
          <w:tcPr>
            <w:tcW w:w="811" w:type="dxa"/>
          </w:tcPr>
          <w:p>
            <w:pPr>
              <w:pStyle w:val="TableParagraph"/>
              <w:spacing w:line="174" w:lineRule="exact"/>
              <w:ind w:left="121"/>
              <w:jc w:val="left"/>
              <w:rPr>
                <w:sz w:val="16"/>
              </w:rPr>
            </w:pPr>
            <w:r>
              <w:rPr>
                <w:spacing w:val="-2"/>
                <w:sz w:val="16"/>
              </w:rPr>
              <w:t>18±2.2</w:t>
            </w:r>
          </w:p>
        </w:tc>
        <w:tc>
          <w:tcPr>
            <w:tcW w:w="900" w:type="dxa"/>
          </w:tcPr>
          <w:p>
            <w:pPr>
              <w:pStyle w:val="TableParagraph"/>
              <w:spacing w:line="174" w:lineRule="exact"/>
              <w:ind w:left="212"/>
              <w:jc w:val="left"/>
              <w:rPr>
                <w:sz w:val="16"/>
              </w:rPr>
            </w:pPr>
            <w:r>
              <w:rPr>
                <w:spacing w:val="-2"/>
                <w:sz w:val="16"/>
              </w:rPr>
              <w:t>29±1.4</w:t>
            </w:r>
          </w:p>
        </w:tc>
        <w:tc>
          <w:tcPr>
            <w:tcW w:w="854" w:type="dxa"/>
          </w:tcPr>
          <w:p>
            <w:pPr>
              <w:pStyle w:val="TableParagraph"/>
              <w:spacing w:line="174" w:lineRule="exact"/>
              <w:ind w:left="210"/>
              <w:jc w:val="left"/>
              <w:rPr>
                <w:sz w:val="16"/>
              </w:rPr>
            </w:pPr>
            <w:r>
              <w:rPr>
                <w:spacing w:val="-2"/>
                <w:sz w:val="16"/>
              </w:rPr>
              <w:t>20±1.0</w:t>
            </w:r>
          </w:p>
        </w:tc>
        <w:tc>
          <w:tcPr>
            <w:tcW w:w="856" w:type="dxa"/>
          </w:tcPr>
          <w:p>
            <w:pPr>
              <w:pStyle w:val="TableParagraph"/>
              <w:spacing w:line="174" w:lineRule="exact"/>
              <w:ind w:left="167"/>
              <w:jc w:val="left"/>
              <w:rPr>
                <w:sz w:val="16"/>
              </w:rPr>
            </w:pPr>
            <w:r>
              <w:rPr>
                <w:spacing w:val="-2"/>
                <w:sz w:val="16"/>
              </w:rPr>
              <w:t>11±1.0</w:t>
            </w:r>
          </w:p>
        </w:tc>
        <w:tc>
          <w:tcPr>
            <w:tcW w:w="854" w:type="dxa"/>
          </w:tcPr>
          <w:p>
            <w:pPr>
              <w:pStyle w:val="TableParagraph"/>
              <w:spacing w:line="174" w:lineRule="exact"/>
              <w:ind w:left="213"/>
              <w:jc w:val="left"/>
              <w:rPr>
                <w:sz w:val="16"/>
              </w:rPr>
            </w:pPr>
            <w:r>
              <w:rPr>
                <w:spacing w:val="-2"/>
                <w:sz w:val="16"/>
              </w:rPr>
              <w:t>26±2.2</w:t>
            </w:r>
          </w:p>
        </w:tc>
        <w:tc>
          <w:tcPr>
            <w:tcW w:w="854" w:type="dxa"/>
          </w:tcPr>
          <w:p>
            <w:pPr>
              <w:pStyle w:val="TableParagraph"/>
              <w:spacing w:line="174" w:lineRule="exact"/>
              <w:ind w:left="166"/>
              <w:jc w:val="left"/>
              <w:rPr>
                <w:sz w:val="16"/>
              </w:rPr>
            </w:pPr>
            <w:r>
              <w:rPr>
                <w:spacing w:val="-2"/>
                <w:sz w:val="16"/>
              </w:rPr>
              <w:t>14±0.0</w:t>
            </w:r>
          </w:p>
        </w:tc>
        <w:tc>
          <w:tcPr>
            <w:tcW w:w="856" w:type="dxa"/>
          </w:tcPr>
          <w:p>
            <w:pPr>
              <w:pStyle w:val="TableParagraph"/>
              <w:spacing w:line="174" w:lineRule="exact"/>
              <w:ind w:left="214"/>
              <w:jc w:val="left"/>
              <w:rPr>
                <w:sz w:val="16"/>
              </w:rPr>
            </w:pPr>
            <w:r>
              <w:rPr>
                <w:spacing w:val="-2"/>
                <w:sz w:val="16"/>
              </w:rPr>
              <w:t>26±1.4</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E43m</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24±1.4</w:t>
            </w:r>
          </w:p>
        </w:tc>
        <w:tc>
          <w:tcPr>
            <w:tcW w:w="763" w:type="dxa"/>
          </w:tcPr>
          <w:p>
            <w:pPr>
              <w:pStyle w:val="TableParagraph"/>
              <w:spacing w:line="177" w:lineRule="exact"/>
              <w:ind w:left="164"/>
              <w:jc w:val="left"/>
              <w:rPr>
                <w:sz w:val="16"/>
              </w:rPr>
            </w:pPr>
            <w:r>
              <w:rPr>
                <w:spacing w:val="-2"/>
                <w:sz w:val="16"/>
              </w:rPr>
              <w:t>30±1.0</w:t>
            </w:r>
          </w:p>
        </w:tc>
        <w:tc>
          <w:tcPr>
            <w:tcW w:w="720" w:type="dxa"/>
          </w:tcPr>
          <w:p>
            <w:pPr>
              <w:pStyle w:val="TableParagraph"/>
              <w:spacing w:line="177" w:lineRule="exact"/>
              <w:ind w:left="121"/>
              <w:jc w:val="left"/>
              <w:rPr>
                <w:sz w:val="16"/>
              </w:rPr>
            </w:pPr>
            <w:r>
              <w:rPr>
                <w:spacing w:val="-2"/>
                <w:sz w:val="16"/>
              </w:rPr>
              <w:t>0.0±0.0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23±3.6</w:t>
            </w:r>
          </w:p>
        </w:tc>
        <w:tc>
          <w:tcPr>
            <w:tcW w:w="854" w:type="dxa"/>
          </w:tcPr>
          <w:p>
            <w:pPr>
              <w:pStyle w:val="TableParagraph"/>
              <w:spacing w:line="177" w:lineRule="exact"/>
              <w:ind w:left="210"/>
              <w:jc w:val="left"/>
              <w:rPr>
                <w:sz w:val="16"/>
              </w:rPr>
            </w:pPr>
            <w:r>
              <w:rPr>
                <w:spacing w:val="-2"/>
                <w:sz w:val="16"/>
              </w:rPr>
              <w:t>10±0.0</w:t>
            </w:r>
          </w:p>
        </w:tc>
        <w:tc>
          <w:tcPr>
            <w:tcW w:w="856" w:type="dxa"/>
          </w:tcPr>
          <w:p>
            <w:pPr>
              <w:pStyle w:val="TableParagraph"/>
              <w:spacing w:line="177" w:lineRule="exact"/>
              <w:ind w:left="167"/>
              <w:jc w:val="left"/>
              <w:rPr>
                <w:sz w:val="16"/>
              </w:rPr>
            </w:pPr>
            <w:r>
              <w:rPr>
                <w:spacing w:val="-2"/>
                <w:sz w:val="16"/>
              </w:rPr>
              <w:t>12±1.4</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15±0.0</w:t>
            </w:r>
          </w:p>
        </w:tc>
        <w:tc>
          <w:tcPr>
            <w:tcW w:w="856" w:type="dxa"/>
          </w:tcPr>
          <w:p>
            <w:pPr>
              <w:pStyle w:val="TableParagraph"/>
              <w:spacing w:line="177" w:lineRule="exact"/>
              <w:ind w:left="214"/>
              <w:jc w:val="left"/>
              <w:rPr>
                <w:sz w:val="16"/>
              </w:rPr>
            </w:pPr>
            <w:r>
              <w:rPr>
                <w:spacing w:val="-2"/>
                <w:sz w:val="16"/>
              </w:rPr>
              <w:t>10±0.0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Z22m</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25±1.0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0.0±0.0</w:t>
            </w:r>
          </w:p>
        </w:tc>
        <w:tc>
          <w:tcPr>
            <w:tcW w:w="811" w:type="dxa"/>
          </w:tcPr>
          <w:p>
            <w:pPr>
              <w:pStyle w:val="TableParagraph"/>
              <w:spacing w:line="174" w:lineRule="exact"/>
              <w:ind w:left="121"/>
              <w:jc w:val="left"/>
              <w:rPr>
                <w:sz w:val="16"/>
              </w:rPr>
            </w:pPr>
            <w:r>
              <w:rPr>
                <w:spacing w:val="-2"/>
                <w:sz w:val="16"/>
              </w:rPr>
              <w:t>19±0.0</w:t>
            </w:r>
          </w:p>
        </w:tc>
        <w:tc>
          <w:tcPr>
            <w:tcW w:w="900" w:type="dxa"/>
          </w:tcPr>
          <w:p>
            <w:pPr>
              <w:pStyle w:val="TableParagraph"/>
              <w:spacing w:line="174" w:lineRule="exact"/>
              <w:ind w:left="212"/>
              <w:jc w:val="left"/>
              <w:rPr>
                <w:sz w:val="16"/>
              </w:rPr>
            </w:pPr>
            <w:r>
              <w:rPr>
                <w:spacing w:val="-2"/>
                <w:sz w:val="16"/>
              </w:rPr>
              <w:t>0.0±0.0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11±0.0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14±0.0</w:t>
            </w:r>
          </w:p>
        </w:tc>
        <w:tc>
          <w:tcPr>
            <w:tcW w:w="856" w:type="dxa"/>
          </w:tcPr>
          <w:p>
            <w:pPr>
              <w:pStyle w:val="TableParagraph"/>
              <w:spacing w:line="174" w:lineRule="exact"/>
              <w:ind w:left="214"/>
              <w:jc w:val="left"/>
              <w:rPr>
                <w:sz w:val="16"/>
              </w:rPr>
            </w:pPr>
            <w:r>
              <w:rPr>
                <w:spacing w:val="-2"/>
                <w:sz w:val="16"/>
              </w:rPr>
              <w:t>10±0.0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S23e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14±2.8</w:t>
            </w:r>
          </w:p>
        </w:tc>
        <w:tc>
          <w:tcPr>
            <w:tcW w:w="720" w:type="dxa"/>
          </w:tcPr>
          <w:p>
            <w:pPr>
              <w:pStyle w:val="TableParagraph"/>
              <w:spacing w:line="174" w:lineRule="exact"/>
              <w:ind w:left="121"/>
              <w:jc w:val="left"/>
              <w:rPr>
                <w:sz w:val="16"/>
              </w:rPr>
            </w:pPr>
            <w:r>
              <w:rPr>
                <w:spacing w:val="-2"/>
                <w:sz w:val="16"/>
              </w:rPr>
              <w:t>19±1.0</w:t>
            </w:r>
          </w:p>
        </w:tc>
        <w:tc>
          <w:tcPr>
            <w:tcW w:w="811" w:type="dxa"/>
          </w:tcPr>
          <w:p>
            <w:pPr>
              <w:pStyle w:val="TableParagraph"/>
              <w:spacing w:line="174" w:lineRule="exact"/>
              <w:ind w:left="121"/>
              <w:jc w:val="left"/>
              <w:rPr>
                <w:sz w:val="16"/>
              </w:rPr>
            </w:pPr>
            <w:r>
              <w:rPr>
                <w:spacing w:val="-2"/>
                <w:sz w:val="16"/>
              </w:rPr>
              <w:t>22±0.0</w:t>
            </w:r>
          </w:p>
        </w:tc>
        <w:tc>
          <w:tcPr>
            <w:tcW w:w="900" w:type="dxa"/>
          </w:tcPr>
          <w:p>
            <w:pPr>
              <w:pStyle w:val="TableParagraph"/>
              <w:spacing w:line="174" w:lineRule="exact"/>
              <w:ind w:left="212"/>
              <w:jc w:val="left"/>
              <w:rPr>
                <w:sz w:val="16"/>
              </w:rPr>
            </w:pPr>
            <w:r>
              <w:rPr>
                <w:spacing w:val="-2"/>
                <w:sz w:val="16"/>
              </w:rPr>
              <w:t>26±6.0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18±1.0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16±2.2</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E6c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14±1.0</w:t>
            </w:r>
          </w:p>
        </w:tc>
        <w:tc>
          <w:tcPr>
            <w:tcW w:w="811" w:type="dxa"/>
          </w:tcPr>
          <w:p>
            <w:pPr>
              <w:pStyle w:val="TableParagraph"/>
              <w:spacing w:line="177" w:lineRule="exact"/>
              <w:ind w:left="121"/>
              <w:jc w:val="left"/>
              <w:rPr>
                <w:sz w:val="16"/>
              </w:rPr>
            </w:pPr>
            <w:r>
              <w:rPr>
                <w:spacing w:val="-2"/>
                <w:sz w:val="16"/>
              </w:rPr>
              <w:t>9±0.0</w:t>
            </w:r>
          </w:p>
        </w:tc>
        <w:tc>
          <w:tcPr>
            <w:tcW w:w="900" w:type="dxa"/>
          </w:tcPr>
          <w:p>
            <w:pPr>
              <w:pStyle w:val="TableParagraph"/>
              <w:spacing w:line="177" w:lineRule="exact"/>
              <w:ind w:left="212"/>
              <w:jc w:val="left"/>
              <w:rPr>
                <w:sz w:val="16"/>
              </w:rPr>
            </w:pPr>
            <w:r>
              <w:rPr>
                <w:spacing w:val="-2"/>
                <w:sz w:val="16"/>
              </w:rPr>
              <w:t>27±4.0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10±0.0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E31c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14±2.2</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28±1.0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9±1.0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E6s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16±2.8</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34±2.2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10±2.2</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E37e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13±2.8</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39±19</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8±1.0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S4c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15±2.8</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24±4.2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6±0.0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B15e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19±3.6</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0.0±0.0</w:t>
            </w:r>
          </w:p>
        </w:tc>
        <w:tc>
          <w:tcPr>
            <w:tcW w:w="811" w:type="dxa"/>
          </w:tcPr>
          <w:p>
            <w:pPr>
              <w:pStyle w:val="TableParagraph"/>
              <w:spacing w:line="174" w:lineRule="exact"/>
              <w:ind w:left="121"/>
              <w:jc w:val="left"/>
              <w:rPr>
                <w:sz w:val="16"/>
              </w:rPr>
            </w:pPr>
            <w:r>
              <w:rPr>
                <w:spacing w:val="-2"/>
                <w:sz w:val="16"/>
              </w:rPr>
              <w:t>22±3.9</w:t>
            </w:r>
          </w:p>
        </w:tc>
        <w:tc>
          <w:tcPr>
            <w:tcW w:w="900" w:type="dxa"/>
          </w:tcPr>
          <w:p>
            <w:pPr>
              <w:pStyle w:val="TableParagraph"/>
              <w:spacing w:line="174" w:lineRule="exact"/>
              <w:ind w:left="212"/>
              <w:jc w:val="left"/>
              <w:rPr>
                <w:sz w:val="16"/>
              </w:rPr>
            </w:pPr>
            <w:r>
              <w:rPr>
                <w:spacing w:val="-2"/>
                <w:sz w:val="16"/>
              </w:rPr>
              <w:t>26±0.0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8±1.0</w:t>
            </w:r>
          </w:p>
        </w:tc>
        <w:tc>
          <w:tcPr>
            <w:tcW w:w="854" w:type="dxa"/>
          </w:tcPr>
          <w:p>
            <w:pPr>
              <w:pStyle w:val="TableParagraph"/>
              <w:spacing w:line="174" w:lineRule="exact"/>
              <w:ind w:left="213"/>
              <w:jc w:val="left"/>
              <w:rPr>
                <w:sz w:val="16"/>
              </w:rPr>
            </w:pPr>
            <w:r>
              <w:rPr>
                <w:spacing w:val="-2"/>
                <w:sz w:val="16"/>
              </w:rPr>
              <w:t>14±0.0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27±3.6</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Z32s</w:t>
            </w:r>
          </w:p>
        </w:tc>
        <w:tc>
          <w:tcPr>
            <w:tcW w:w="1027" w:type="dxa"/>
          </w:tcPr>
          <w:p>
            <w:pPr>
              <w:pStyle w:val="TableParagraph"/>
              <w:spacing w:line="177" w:lineRule="exact"/>
              <w:ind w:left="206"/>
              <w:jc w:val="left"/>
              <w:rPr>
                <w:sz w:val="16"/>
              </w:rPr>
            </w:pPr>
            <w:r>
              <w:rPr>
                <w:spacing w:val="-2"/>
                <w:sz w:val="16"/>
              </w:rPr>
              <w:t>14±2.2</w:t>
            </w:r>
          </w:p>
        </w:tc>
        <w:tc>
          <w:tcPr>
            <w:tcW w:w="902" w:type="dxa"/>
          </w:tcPr>
          <w:p>
            <w:pPr>
              <w:pStyle w:val="TableParagraph"/>
              <w:spacing w:line="177" w:lineRule="exact"/>
              <w:ind w:left="260"/>
              <w:jc w:val="left"/>
              <w:rPr>
                <w:sz w:val="16"/>
              </w:rPr>
            </w:pPr>
            <w:r>
              <w:rPr>
                <w:spacing w:val="-2"/>
                <w:sz w:val="16"/>
              </w:rPr>
              <w:t>27±1.0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19±2.2</w:t>
            </w:r>
          </w:p>
        </w:tc>
        <w:tc>
          <w:tcPr>
            <w:tcW w:w="811" w:type="dxa"/>
          </w:tcPr>
          <w:p>
            <w:pPr>
              <w:pStyle w:val="TableParagraph"/>
              <w:spacing w:line="177" w:lineRule="exact"/>
              <w:ind w:left="121"/>
              <w:jc w:val="left"/>
              <w:rPr>
                <w:sz w:val="16"/>
              </w:rPr>
            </w:pPr>
            <w:r>
              <w:rPr>
                <w:spacing w:val="-2"/>
                <w:sz w:val="16"/>
              </w:rPr>
              <w:t>20±1.0</w:t>
            </w:r>
          </w:p>
        </w:tc>
        <w:tc>
          <w:tcPr>
            <w:tcW w:w="900" w:type="dxa"/>
          </w:tcPr>
          <w:p>
            <w:pPr>
              <w:pStyle w:val="TableParagraph"/>
              <w:spacing w:line="177" w:lineRule="exact"/>
              <w:ind w:left="212"/>
              <w:jc w:val="left"/>
              <w:rPr>
                <w:sz w:val="16"/>
              </w:rPr>
            </w:pPr>
            <w:r>
              <w:rPr>
                <w:spacing w:val="-2"/>
                <w:sz w:val="16"/>
              </w:rPr>
              <w:t>30±0.0</w:t>
            </w:r>
          </w:p>
        </w:tc>
        <w:tc>
          <w:tcPr>
            <w:tcW w:w="854" w:type="dxa"/>
          </w:tcPr>
          <w:p>
            <w:pPr>
              <w:pStyle w:val="TableParagraph"/>
              <w:spacing w:line="177" w:lineRule="exact"/>
              <w:ind w:left="210"/>
              <w:jc w:val="left"/>
              <w:rPr>
                <w:sz w:val="16"/>
              </w:rPr>
            </w:pPr>
            <w:r>
              <w:rPr>
                <w:spacing w:val="-2"/>
                <w:sz w:val="16"/>
              </w:rPr>
              <w:t>22±2.3</w:t>
            </w:r>
          </w:p>
        </w:tc>
        <w:tc>
          <w:tcPr>
            <w:tcW w:w="856" w:type="dxa"/>
          </w:tcPr>
          <w:p>
            <w:pPr>
              <w:pStyle w:val="TableParagraph"/>
              <w:spacing w:line="177" w:lineRule="exact"/>
              <w:ind w:left="167"/>
              <w:jc w:val="left"/>
              <w:rPr>
                <w:sz w:val="16"/>
              </w:rPr>
            </w:pPr>
            <w:r>
              <w:rPr>
                <w:spacing w:val="-2"/>
                <w:sz w:val="16"/>
              </w:rPr>
              <w:t>25±1.4</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S1c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16±1.0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28±1.4</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9±1.0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S7c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13±1.4</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22±1.0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8±0.0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E4c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13±2.2</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27±1.4</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9±1.0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B12e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17±2.2</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24±1.0</w:t>
            </w:r>
          </w:p>
        </w:tc>
        <w:tc>
          <w:tcPr>
            <w:tcW w:w="811" w:type="dxa"/>
          </w:tcPr>
          <w:p>
            <w:pPr>
              <w:pStyle w:val="TableParagraph"/>
              <w:spacing w:line="177" w:lineRule="exact"/>
              <w:ind w:left="121"/>
              <w:jc w:val="left"/>
              <w:rPr>
                <w:sz w:val="16"/>
              </w:rPr>
            </w:pPr>
            <w:r>
              <w:rPr>
                <w:spacing w:val="-2"/>
                <w:sz w:val="16"/>
              </w:rPr>
              <w:t>12±1.0</w:t>
            </w:r>
          </w:p>
        </w:tc>
        <w:tc>
          <w:tcPr>
            <w:tcW w:w="900" w:type="dxa"/>
          </w:tcPr>
          <w:p>
            <w:pPr>
              <w:pStyle w:val="TableParagraph"/>
              <w:spacing w:line="177" w:lineRule="exact"/>
              <w:ind w:left="212"/>
              <w:jc w:val="left"/>
              <w:rPr>
                <w:sz w:val="16"/>
              </w:rPr>
            </w:pPr>
            <w:r>
              <w:rPr>
                <w:spacing w:val="-2"/>
                <w:sz w:val="16"/>
              </w:rPr>
              <w:t>29±4.2</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11±0.0</w:t>
            </w:r>
          </w:p>
        </w:tc>
        <w:tc>
          <w:tcPr>
            <w:tcW w:w="854" w:type="dxa"/>
          </w:tcPr>
          <w:p>
            <w:pPr>
              <w:pStyle w:val="TableParagraph"/>
              <w:spacing w:line="177" w:lineRule="exact"/>
              <w:ind w:left="213"/>
              <w:jc w:val="left"/>
              <w:rPr>
                <w:sz w:val="16"/>
              </w:rPr>
            </w:pPr>
            <w:r>
              <w:rPr>
                <w:spacing w:val="-2"/>
                <w:sz w:val="16"/>
              </w:rPr>
              <w:t>9±1.0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E23s</w:t>
            </w:r>
          </w:p>
        </w:tc>
        <w:tc>
          <w:tcPr>
            <w:tcW w:w="1027" w:type="dxa"/>
          </w:tcPr>
          <w:p>
            <w:pPr>
              <w:pStyle w:val="TableParagraph"/>
              <w:spacing w:line="174" w:lineRule="exact"/>
              <w:ind w:left="206"/>
              <w:jc w:val="left"/>
              <w:rPr>
                <w:sz w:val="16"/>
              </w:rPr>
            </w:pPr>
            <w:r>
              <w:rPr>
                <w:spacing w:val="-2"/>
                <w:sz w:val="16"/>
              </w:rPr>
              <w:t>10±0.0</w:t>
            </w:r>
          </w:p>
        </w:tc>
        <w:tc>
          <w:tcPr>
            <w:tcW w:w="902" w:type="dxa"/>
          </w:tcPr>
          <w:p>
            <w:pPr>
              <w:pStyle w:val="TableParagraph"/>
              <w:spacing w:line="174" w:lineRule="exact"/>
              <w:ind w:left="260"/>
              <w:jc w:val="left"/>
              <w:rPr>
                <w:sz w:val="16"/>
              </w:rPr>
            </w:pPr>
            <w:r>
              <w:rPr>
                <w:spacing w:val="-2"/>
                <w:sz w:val="16"/>
              </w:rPr>
              <w:t>21±1.0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13±1.0</w:t>
            </w:r>
          </w:p>
        </w:tc>
        <w:tc>
          <w:tcPr>
            <w:tcW w:w="811" w:type="dxa"/>
          </w:tcPr>
          <w:p>
            <w:pPr>
              <w:pStyle w:val="TableParagraph"/>
              <w:spacing w:line="174" w:lineRule="exact"/>
              <w:ind w:left="121"/>
              <w:jc w:val="left"/>
              <w:rPr>
                <w:sz w:val="16"/>
              </w:rPr>
            </w:pPr>
            <w:r>
              <w:rPr>
                <w:spacing w:val="-2"/>
                <w:sz w:val="16"/>
              </w:rPr>
              <w:t>16±6.4</w:t>
            </w:r>
          </w:p>
        </w:tc>
        <w:tc>
          <w:tcPr>
            <w:tcW w:w="900" w:type="dxa"/>
          </w:tcPr>
          <w:p>
            <w:pPr>
              <w:pStyle w:val="TableParagraph"/>
              <w:spacing w:line="174" w:lineRule="exact"/>
              <w:ind w:left="212"/>
              <w:jc w:val="left"/>
              <w:rPr>
                <w:sz w:val="16"/>
              </w:rPr>
            </w:pPr>
            <w:r>
              <w:rPr>
                <w:spacing w:val="-2"/>
                <w:sz w:val="16"/>
              </w:rPr>
              <w:t>27±2.2</w:t>
            </w:r>
          </w:p>
        </w:tc>
        <w:tc>
          <w:tcPr>
            <w:tcW w:w="854" w:type="dxa"/>
          </w:tcPr>
          <w:p>
            <w:pPr>
              <w:pStyle w:val="TableParagraph"/>
              <w:spacing w:line="174" w:lineRule="exact"/>
              <w:ind w:left="210"/>
              <w:jc w:val="left"/>
              <w:rPr>
                <w:sz w:val="16"/>
              </w:rPr>
            </w:pPr>
            <w:r>
              <w:rPr>
                <w:spacing w:val="-2"/>
                <w:sz w:val="16"/>
              </w:rPr>
              <w:t>11±1.0</w:t>
            </w:r>
          </w:p>
        </w:tc>
        <w:tc>
          <w:tcPr>
            <w:tcW w:w="856" w:type="dxa"/>
          </w:tcPr>
          <w:p>
            <w:pPr>
              <w:pStyle w:val="TableParagraph"/>
              <w:spacing w:line="174" w:lineRule="exact"/>
              <w:ind w:left="167"/>
              <w:jc w:val="left"/>
              <w:rPr>
                <w:sz w:val="16"/>
              </w:rPr>
            </w:pPr>
            <w:r>
              <w:rPr>
                <w:spacing w:val="-2"/>
                <w:sz w:val="16"/>
              </w:rPr>
              <w:t>15±1.0</w:t>
            </w:r>
          </w:p>
        </w:tc>
        <w:tc>
          <w:tcPr>
            <w:tcW w:w="854" w:type="dxa"/>
          </w:tcPr>
          <w:p>
            <w:pPr>
              <w:pStyle w:val="TableParagraph"/>
              <w:spacing w:line="174" w:lineRule="exact"/>
              <w:ind w:left="213"/>
              <w:jc w:val="left"/>
              <w:rPr>
                <w:sz w:val="16"/>
              </w:rPr>
            </w:pPr>
            <w:r>
              <w:rPr>
                <w:spacing w:val="-2"/>
                <w:sz w:val="16"/>
              </w:rPr>
              <w:t>10±0.0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10±1.0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E8c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16±3.6</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29±5.0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S3c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14±2.8</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27±2.8</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7±0.0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E3c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14±1.0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28±1.0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8±0.0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S21e</w:t>
            </w:r>
          </w:p>
        </w:tc>
        <w:tc>
          <w:tcPr>
            <w:tcW w:w="1027" w:type="dxa"/>
          </w:tcPr>
          <w:p>
            <w:pPr>
              <w:pStyle w:val="TableParagraph"/>
              <w:spacing w:line="174" w:lineRule="exact"/>
              <w:ind w:left="206"/>
              <w:jc w:val="left"/>
              <w:rPr>
                <w:sz w:val="16"/>
              </w:rPr>
            </w:pPr>
            <w:r>
              <w:rPr>
                <w:spacing w:val="-2"/>
                <w:sz w:val="16"/>
              </w:rPr>
              <w:t>10±0.0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7±1.0</w:t>
            </w:r>
          </w:p>
        </w:tc>
        <w:tc>
          <w:tcPr>
            <w:tcW w:w="720" w:type="dxa"/>
          </w:tcPr>
          <w:p>
            <w:pPr>
              <w:pStyle w:val="TableParagraph"/>
              <w:spacing w:line="174" w:lineRule="exact"/>
              <w:ind w:left="121"/>
              <w:jc w:val="left"/>
              <w:rPr>
                <w:sz w:val="16"/>
              </w:rPr>
            </w:pPr>
            <w:r>
              <w:rPr>
                <w:spacing w:val="-2"/>
                <w:sz w:val="16"/>
              </w:rPr>
              <w:t>16±1.0</w:t>
            </w:r>
          </w:p>
        </w:tc>
        <w:tc>
          <w:tcPr>
            <w:tcW w:w="811" w:type="dxa"/>
          </w:tcPr>
          <w:p>
            <w:pPr>
              <w:pStyle w:val="TableParagraph"/>
              <w:spacing w:line="174" w:lineRule="exact"/>
              <w:ind w:left="121"/>
              <w:jc w:val="left"/>
              <w:rPr>
                <w:sz w:val="16"/>
              </w:rPr>
            </w:pPr>
            <w:r>
              <w:rPr>
                <w:spacing w:val="-2"/>
                <w:sz w:val="16"/>
              </w:rPr>
              <w:t>20±1.0</w:t>
            </w:r>
          </w:p>
        </w:tc>
        <w:tc>
          <w:tcPr>
            <w:tcW w:w="900" w:type="dxa"/>
          </w:tcPr>
          <w:p>
            <w:pPr>
              <w:pStyle w:val="TableParagraph"/>
              <w:spacing w:line="174" w:lineRule="exact"/>
              <w:ind w:left="212"/>
              <w:jc w:val="left"/>
              <w:rPr>
                <w:sz w:val="16"/>
              </w:rPr>
            </w:pPr>
            <w:r>
              <w:rPr>
                <w:spacing w:val="-2"/>
                <w:sz w:val="16"/>
              </w:rPr>
              <w:t>26±1.0</w:t>
            </w:r>
          </w:p>
        </w:tc>
        <w:tc>
          <w:tcPr>
            <w:tcW w:w="854" w:type="dxa"/>
          </w:tcPr>
          <w:p>
            <w:pPr>
              <w:pStyle w:val="TableParagraph"/>
              <w:spacing w:line="174" w:lineRule="exact"/>
              <w:ind w:left="210"/>
              <w:jc w:val="left"/>
              <w:rPr>
                <w:sz w:val="16"/>
              </w:rPr>
            </w:pPr>
            <w:r>
              <w:rPr>
                <w:spacing w:val="-2"/>
                <w:sz w:val="16"/>
              </w:rPr>
              <w:t>10±1.0</w:t>
            </w:r>
          </w:p>
        </w:tc>
        <w:tc>
          <w:tcPr>
            <w:tcW w:w="856" w:type="dxa"/>
          </w:tcPr>
          <w:p>
            <w:pPr>
              <w:pStyle w:val="TableParagraph"/>
              <w:spacing w:line="174" w:lineRule="exact"/>
              <w:ind w:left="167"/>
              <w:jc w:val="left"/>
              <w:rPr>
                <w:sz w:val="16"/>
              </w:rPr>
            </w:pPr>
            <w:r>
              <w:rPr>
                <w:spacing w:val="-2"/>
                <w:sz w:val="16"/>
              </w:rPr>
              <w:t>8±0.0</w:t>
            </w:r>
          </w:p>
        </w:tc>
        <w:tc>
          <w:tcPr>
            <w:tcW w:w="854" w:type="dxa"/>
          </w:tcPr>
          <w:p>
            <w:pPr>
              <w:pStyle w:val="TableParagraph"/>
              <w:spacing w:line="174" w:lineRule="exact"/>
              <w:ind w:left="213"/>
              <w:jc w:val="left"/>
              <w:rPr>
                <w:sz w:val="16"/>
              </w:rPr>
            </w:pPr>
            <w:r>
              <w:rPr>
                <w:spacing w:val="-2"/>
                <w:sz w:val="16"/>
              </w:rPr>
              <w:t>12±1.0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Z13c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16±1.0</w:t>
            </w:r>
          </w:p>
        </w:tc>
        <w:tc>
          <w:tcPr>
            <w:tcW w:w="763" w:type="dxa"/>
          </w:tcPr>
          <w:p>
            <w:pPr>
              <w:pStyle w:val="TableParagraph"/>
              <w:spacing w:line="177" w:lineRule="exact"/>
              <w:ind w:left="164"/>
              <w:jc w:val="left"/>
              <w:rPr>
                <w:sz w:val="16"/>
              </w:rPr>
            </w:pPr>
            <w:r>
              <w:rPr>
                <w:spacing w:val="-2"/>
                <w:sz w:val="16"/>
              </w:rPr>
              <w:t>8±1.0</w:t>
            </w:r>
          </w:p>
        </w:tc>
        <w:tc>
          <w:tcPr>
            <w:tcW w:w="720" w:type="dxa"/>
          </w:tcPr>
          <w:p>
            <w:pPr>
              <w:pStyle w:val="TableParagraph"/>
              <w:spacing w:line="177" w:lineRule="exact"/>
              <w:ind w:left="121"/>
              <w:jc w:val="left"/>
              <w:rPr>
                <w:sz w:val="16"/>
              </w:rPr>
            </w:pPr>
            <w:r>
              <w:rPr>
                <w:spacing w:val="-2"/>
                <w:sz w:val="16"/>
              </w:rPr>
              <w:t>24±0.0</w:t>
            </w:r>
          </w:p>
        </w:tc>
        <w:tc>
          <w:tcPr>
            <w:tcW w:w="811" w:type="dxa"/>
          </w:tcPr>
          <w:p>
            <w:pPr>
              <w:pStyle w:val="TableParagraph"/>
              <w:spacing w:line="177" w:lineRule="exact"/>
              <w:ind w:left="121"/>
              <w:jc w:val="left"/>
              <w:rPr>
                <w:sz w:val="16"/>
              </w:rPr>
            </w:pPr>
            <w:r>
              <w:rPr>
                <w:spacing w:val="-2"/>
                <w:sz w:val="16"/>
              </w:rPr>
              <w:t>11±0.0</w:t>
            </w:r>
          </w:p>
        </w:tc>
        <w:tc>
          <w:tcPr>
            <w:tcW w:w="900" w:type="dxa"/>
          </w:tcPr>
          <w:p>
            <w:pPr>
              <w:pStyle w:val="TableParagraph"/>
              <w:spacing w:line="177" w:lineRule="exact"/>
              <w:ind w:left="212"/>
              <w:jc w:val="left"/>
              <w:rPr>
                <w:sz w:val="16"/>
              </w:rPr>
            </w:pPr>
            <w:r>
              <w:rPr>
                <w:spacing w:val="-2"/>
                <w:sz w:val="16"/>
              </w:rPr>
              <w:t>26±6.4</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13±2.2</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E1c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26±3.6</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8±0.0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S26e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8±1.0</w:t>
            </w:r>
          </w:p>
        </w:tc>
        <w:tc>
          <w:tcPr>
            <w:tcW w:w="720" w:type="dxa"/>
          </w:tcPr>
          <w:p>
            <w:pPr>
              <w:pStyle w:val="TableParagraph"/>
              <w:spacing w:line="174" w:lineRule="exact"/>
              <w:ind w:left="121"/>
              <w:jc w:val="left"/>
              <w:rPr>
                <w:sz w:val="16"/>
              </w:rPr>
            </w:pPr>
            <w:r>
              <w:rPr>
                <w:spacing w:val="-2"/>
                <w:sz w:val="16"/>
              </w:rPr>
              <w:t>16±2.2</w:t>
            </w:r>
          </w:p>
        </w:tc>
        <w:tc>
          <w:tcPr>
            <w:tcW w:w="811" w:type="dxa"/>
          </w:tcPr>
          <w:p>
            <w:pPr>
              <w:pStyle w:val="TableParagraph"/>
              <w:spacing w:line="174" w:lineRule="exact"/>
              <w:ind w:left="121"/>
              <w:jc w:val="left"/>
              <w:rPr>
                <w:sz w:val="16"/>
              </w:rPr>
            </w:pPr>
            <w:r>
              <w:rPr>
                <w:spacing w:val="-2"/>
                <w:sz w:val="16"/>
              </w:rPr>
              <w:t>23±1.0</w:t>
            </w:r>
          </w:p>
        </w:tc>
        <w:tc>
          <w:tcPr>
            <w:tcW w:w="900" w:type="dxa"/>
          </w:tcPr>
          <w:p>
            <w:pPr>
              <w:pStyle w:val="TableParagraph"/>
              <w:spacing w:line="174" w:lineRule="exact"/>
              <w:ind w:left="212"/>
              <w:jc w:val="left"/>
              <w:rPr>
                <w:sz w:val="16"/>
              </w:rPr>
            </w:pPr>
            <w:r>
              <w:rPr>
                <w:spacing w:val="-2"/>
                <w:sz w:val="16"/>
              </w:rPr>
              <w:t>29±1.0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16±1.0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E48c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16±2.2</w:t>
            </w:r>
          </w:p>
        </w:tc>
        <w:tc>
          <w:tcPr>
            <w:tcW w:w="811" w:type="dxa"/>
          </w:tcPr>
          <w:p>
            <w:pPr>
              <w:pStyle w:val="TableParagraph"/>
              <w:spacing w:line="177" w:lineRule="exact"/>
              <w:ind w:left="121"/>
              <w:jc w:val="left"/>
              <w:rPr>
                <w:sz w:val="16"/>
              </w:rPr>
            </w:pPr>
            <w:r>
              <w:rPr>
                <w:spacing w:val="-2"/>
                <w:sz w:val="16"/>
              </w:rPr>
              <w:t>8±0.0</w:t>
            </w:r>
          </w:p>
        </w:tc>
        <w:tc>
          <w:tcPr>
            <w:tcW w:w="900" w:type="dxa"/>
          </w:tcPr>
          <w:p>
            <w:pPr>
              <w:pStyle w:val="TableParagraph"/>
              <w:spacing w:line="177" w:lineRule="exact"/>
              <w:ind w:left="212"/>
              <w:jc w:val="left"/>
              <w:rPr>
                <w:sz w:val="16"/>
              </w:rPr>
            </w:pPr>
            <w:r>
              <w:rPr>
                <w:spacing w:val="-2"/>
                <w:sz w:val="16"/>
              </w:rPr>
              <w:t>28±1.0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9±1.0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S12c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28±1.0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9±1.0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Z35c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15±2.2</w:t>
            </w:r>
          </w:p>
        </w:tc>
        <w:tc>
          <w:tcPr>
            <w:tcW w:w="811" w:type="dxa"/>
          </w:tcPr>
          <w:p>
            <w:pPr>
              <w:pStyle w:val="TableParagraph"/>
              <w:spacing w:line="174" w:lineRule="exact"/>
              <w:ind w:left="121"/>
              <w:jc w:val="left"/>
              <w:rPr>
                <w:sz w:val="16"/>
              </w:rPr>
            </w:pPr>
            <w:r>
              <w:rPr>
                <w:spacing w:val="-2"/>
                <w:sz w:val="16"/>
              </w:rPr>
              <w:t>11±0.0</w:t>
            </w:r>
          </w:p>
        </w:tc>
        <w:tc>
          <w:tcPr>
            <w:tcW w:w="900" w:type="dxa"/>
          </w:tcPr>
          <w:p>
            <w:pPr>
              <w:pStyle w:val="TableParagraph"/>
              <w:spacing w:line="174" w:lineRule="exact"/>
              <w:ind w:left="212"/>
              <w:jc w:val="left"/>
              <w:rPr>
                <w:sz w:val="16"/>
              </w:rPr>
            </w:pPr>
            <w:r>
              <w:rPr>
                <w:spacing w:val="-2"/>
                <w:sz w:val="16"/>
              </w:rPr>
              <w:t>26±3.2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E21s</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15±1.0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31±2.2</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E10c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15±1.0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30±1.0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E5c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29±1.0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S5c</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14±2.2</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27±1.0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S9c</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15±1.0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29±2.2</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9±1.0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E25s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17±2.2</w:t>
            </w:r>
          </w:p>
        </w:tc>
        <w:tc>
          <w:tcPr>
            <w:tcW w:w="720" w:type="dxa"/>
          </w:tcPr>
          <w:p>
            <w:pPr>
              <w:pStyle w:val="TableParagraph"/>
              <w:spacing w:line="174" w:lineRule="exact"/>
              <w:ind w:left="121"/>
              <w:jc w:val="left"/>
              <w:rPr>
                <w:sz w:val="16"/>
              </w:rPr>
            </w:pPr>
            <w:r>
              <w:rPr>
                <w:spacing w:val="-2"/>
                <w:sz w:val="16"/>
              </w:rPr>
              <w:t>16±2.2</w:t>
            </w:r>
          </w:p>
        </w:tc>
        <w:tc>
          <w:tcPr>
            <w:tcW w:w="811" w:type="dxa"/>
          </w:tcPr>
          <w:p>
            <w:pPr>
              <w:pStyle w:val="TableParagraph"/>
              <w:spacing w:line="174" w:lineRule="exact"/>
              <w:ind w:left="121"/>
              <w:jc w:val="left"/>
              <w:rPr>
                <w:sz w:val="16"/>
              </w:rPr>
            </w:pPr>
            <w:r>
              <w:rPr>
                <w:spacing w:val="-2"/>
                <w:sz w:val="16"/>
              </w:rPr>
              <w:t>19±1.0</w:t>
            </w:r>
          </w:p>
        </w:tc>
        <w:tc>
          <w:tcPr>
            <w:tcW w:w="900" w:type="dxa"/>
          </w:tcPr>
          <w:p>
            <w:pPr>
              <w:pStyle w:val="TableParagraph"/>
              <w:spacing w:line="174" w:lineRule="exact"/>
              <w:ind w:left="212"/>
              <w:jc w:val="left"/>
              <w:rPr>
                <w:sz w:val="16"/>
              </w:rPr>
            </w:pPr>
            <w:r>
              <w:rPr>
                <w:spacing w:val="-2"/>
                <w:sz w:val="16"/>
              </w:rPr>
              <w:t>27±2.2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20±1.0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Z2s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28±2.2</w:t>
            </w:r>
          </w:p>
        </w:tc>
        <w:tc>
          <w:tcPr>
            <w:tcW w:w="720" w:type="dxa"/>
          </w:tcPr>
          <w:p>
            <w:pPr>
              <w:pStyle w:val="TableParagraph"/>
              <w:spacing w:line="174" w:lineRule="exact"/>
              <w:ind w:left="121"/>
              <w:jc w:val="left"/>
              <w:rPr>
                <w:sz w:val="16"/>
              </w:rPr>
            </w:pPr>
            <w:r>
              <w:rPr>
                <w:spacing w:val="-2"/>
                <w:sz w:val="16"/>
              </w:rPr>
              <w:t>19±2.2</w:t>
            </w:r>
          </w:p>
        </w:tc>
        <w:tc>
          <w:tcPr>
            <w:tcW w:w="811" w:type="dxa"/>
          </w:tcPr>
          <w:p>
            <w:pPr>
              <w:pStyle w:val="TableParagraph"/>
              <w:spacing w:line="174" w:lineRule="exact"/>
              <w:ind w:left="121"/>
              <w:jc w:val="left"/>
              <w:rPr>
                <w:sz w:val="16"/>
              </w:rPr>
            </w:pPr>
            <w:r>
              <w:rPr>
                <w:spacing w:val="-2"/>
                <w:sz w:val="16"/>
              </w:rPr>
              <w:t>28±3.6</w:t>
            </w:r>
          </w:p>
        </w:tc>
        <w:tc>
          <w:tcPr>
            <w:tcW w:w="900" w:type="dxa"/>
          </w:tcPr>
          <w:p>
            <w:pPr>
              <w:pStyle w:val="TableParagraph"/>
              <w:spacing w:line="174" w:lineRule="exact"/>
              <w:ind w:left="212"/>
              <w:jc w:val="left"/>
              <w:rPr>
                <w:sz w:val="16"/>
              </w:rPr>
            </w:pPr>
            <w:r>
              <w:rPr>
                <w:spacing w:val="-2"/>
                <w:sz w:val="16"/>
              </w:rPr>
              <w:t>30±1.0</w:t>
            </w:r>
          </w:p>
        </w:tc>
        <w:tc>
          <w:tcPr>
            <w:tcW w:w="854" w:type="dxa"/>
          </w:tcPr>
          <w:p>
            <w:pPr>
              <w:pStyle w:val="TableParagraph"/>
              <w:spacing w:line="174" w:lineRule="exact"/>
              <w:ind w:left="210"/>
              <w:jc w:val="left"/>
              <w:rPr>
                <w:sz w:val="16"/>
              </w:rPr>
            </w:pPr>
            <w:r>
              <w:rPr>
                <w:spacing w:val="-2"/>
                <w:sz w:val="16"/>
              </w:rPr>
              <w:t>14±1.0</w:t>
            </w:r>
          </w:p>
        </w:tc>
        <w:tc>
          <w:tcPr>
            <w:tcW w:w="856" w:type="dxa"/>
          </w:tcPr>
          <w:p>
            <w:pPr>
              <w:pStyle w:val="TableParagraph"/>
              <w:spacing w:line="174" w:lineRule="exact"/>
              <w:ind w:left="167"/>
              <w:jc w:val="left"/>
              <w:rPr>
                <w:sz w:val="16"/>
              </w:rPr>
            </w:pPr>
            <w:r>
              <w:rPr>
                <w:spacing w:val="-2"/>
                <w:sz w:val="16"/>
              </w:rPr>
              <w:t>14±1.0</w:t>
            </w:r>
          </w:p>
        </w:tc>
        <w:tc>
          <w:tcPr>
            <w:tcW w:w="854" w:type="dxa"/>
          </w:tcPr>
          <w:p>
            <w:pPr>
              <w:pStyle w:val="TableParagraph"/>
              <w:spacing w:line="174" w:lineRule="exact"/>
              <w:ind w:left="213"/>
              <w:jc w:val="left"/>
              <w:rPr>
                <w:sz w:val="16"/>
              </w:rPr>
            </w:pPr>
            <w:r>
              <w:rPr>
                <w:spacing w:val="-2"/>
                <w:sz w:val="16"/>
              </w:rPr>
              <w:t>25±5.7</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23±1.0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E6e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0.0±0.0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26±1.0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S39s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24±2.2</w:t>
            </w:r>
          </w:p>
        </w:tc>
        <w:tc>
          <w:tcPr>
            <w:tcW w:w="763" w:type="dxa"/>
          </w:tcPr>
          <w:p>
            <w:pPr>
              <w:pStyle w:val="TableParagraph"/>
              <w:spacing w:line="174" w:lineRule="exact"/>
              <w:ind w:left="164"/>
              <w:jc w:val="left"/>
              <w:rPr>
                <w:sz w:val="16"/>
              </w:rPr>
            </w:pPr>
            <w:r>
              <w:rPr>
                <w:spacing w:val="-2"/>
                <w:sz w:val="16"/>
              </w:rPr>
              <w:t>22±3.6</w:t>
            </w:r>
          </w:p>
        </w:tc>
        <w:tc>
          <w:tcPr>
            <w:tcW w:w="720" w:type="dxa"/>
          </w:tcPr>
          <w:p>
            <w:pPr>
              <w:pStyle w:val="TableParagraph"/>
              <w:spacing w:line="174" w:lineRule="exact"/>
              <w:ind w:left="121"/>
              <w:jc w:val="left"/>
              <w:rPr>
                <w:sz w:val="16"/>
              </w:rPr>
            </w:pPr>
            <w:r>
              <w:rPr>
                <w:spacing w:val="-2"/>
                <w:sz w:val="16"/>
              </w:rPr>
              <w:t>19±0.0</w:t>
            </w:r>
          </w:p>
        </w:tc>
        <w:tc>
          <w:tcPr>
            <w:tcW w:w="811" w:type="dxa"/>
          </w:tcPr>
          <w:p>
            <w:pPr>
              <w:pStyle w:val="TableParagraph"/>
              <w:spacing w:line="174" w:lineRule="exact"/>
              <w:ind w:left="121"/>
              <w:jc w:val="left"/>
              <w:rPr>
                <w:sz w:val="16"/>
              </w:rPr>
            </w:pPr>
            <w:r>
              <w:rPr>
                <w:spacing w:val="-2"/>
                <w:sz w:val="16"/>
              </w:rPr>
              <w:t>23±2.2</w:t>
            </w:r>
          </w:p>
        </w:tc>
        <w:tc>
          <w:tcPr>
            <w:tcW w:w="900" w:type="dxa"/>
          </w:tcPr>
          <w:p>
            <w:pPr>
              <w:pStyle w:val="TableParagraph"/>
              <w:spacing w:line="174" w:lineRule="exact"/>
              <w:ind w:left="212"/>
              <w:jc w:val="left"/>
              <w:rPr>
                <w:sz w:val="16"/>
              </w:rPr>
            </w:pPr>
            <w:r>
              <w:rPr>
                <w:spacing w:val="-2"/>
                <w:sz w:val="16"/>
              </w:rPr>
              <w:t>32±1.0</w:t>
            </w:r>
          </w:p>
        </w:tc>
        <w:tc>
          <w:tcPr>
            <w:tcW w:w="854" w:type="dxa"/>
          </w:tcPr>
          <w:p>
            <w:pPr>
              <w:pStyle w:val="TableParagraph"/>
              <w:spacing w:line="174" w:lineRule="exact"/>
              <w:ind w:left="210"/>
              <w:jc w:val="left"/>
              <w:rPr>
                <w:sz w:val="16"/>
              </w:rPr>
            </w:pPr>
            <w:r>
              <w:rPr>
                <w:spacing w:val="-2"/>
                <w:sz w:val="16"/>
              </w:rPr>
              <w:t>20±1.4</w:t>
            </w:r>
          </w:p>
        </w:tc>
        <w:tc>
          <w:tcPr>
            <w:tcW w:w="856" w:type="dxa"/>
          </w:tcPr>
          <w:p>
            <w:pPr>
              <w:pStyle w:val="TableParagraph"/>
              <w:spacing w:line="174" w:lineRule="exact"/>
              <w:ind w:left="167"/>
              <w:jc w:val="left"/>
              <w:rPr>
                <w:sz w:val="16"/>
              </w:rPr>
            </w:pPr>
            <w:r>
              <w:rPr>
                <w:spacing w:val="-2"/>
                <w:sz w:val="16"/>
              </w:rPr>
              <w:t>13±1.0</w:t>
            </w:r>
          </w:p>
        </w:tc>
        <w:tc>
          <w:tcPr>
            <w:tcW w:w="854" w:type="dxa"/>
          </w:tcPr>
          <w:p>
            <w:pPr>
              <w:pStyle w:val="TableParagraph"/>
              <w:spacing w:line="174" w:lineRule="exact"/>
              <w:ind w:left="213"/>
              <w:jc w:val="left"/>
              <w:rPr>
                <w:sz w:val="16"/>
              </w:rPr>
            </w:pPr>
            <w:r>
              <w:rPr>
                <w:spacing w:val="-2"/>
                <w:sz w:val="16"/>
              </w:rPr>
              <w:t>18±1.4</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18±3.6</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S17e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17±3.6</w:t>
            </w:r>
          </w:p>
        </w:tc>
        <w:tc>
          <w:tcPr>
            <w:tcW w:w="763" w:type="dxa"/>
          </w:tcPr>
          <w:p>
            <w:pPr>
              <w:pStyle w:val="TableParagraph"/>
              <w:spacing w:line="174" w:lineRule="exact"/>
              <w:ind w:left="164"/>
              <w:jc w:val="left"/>
              <w:rPr>
                <w:sz w:val="16"/>
              </w:rPr>
            </w:pPr>
            <w:r>
              <w:rPr>
                <w:spacing w:val="-2"/>
                <w:sz w:val="16"/>
              </w:rPr>
              <w:t>13±2.2</w:t>
            </w:r>
          </w:p>
        </w:tc>
        <w:tc>
          <w:tcPr>
            <w:tcW w:w="720" w:type="dxa"/>
          </w:tcPr>
          <w:p>
            <w:pPr>
              <w:pStyle w:val="TableParagraph"/>
              <w:spacing w:line="174" w:lineRule="exact"/>
              <w:ind w:left="121"/>
              <w:jc w:val="left"/>
              <w:rPr>
                <w:sz w:val="16"/>
              </w:rPr>
            </w:pPr>
            <w:r>
              <w:rPr>
                <w:spacing w:val="-2"/>
                <w:sz w:val="16"/>
              </w:rPr>
              <w:t>13±2.2</w:t>
            </w:r>
          </w:p>
        </w:tc>
        <w:tc>
          <w:tcPr>
            <w:tcW w:w="811" w:type="dxa"/>
          </w:tcPr>
          <w:p>
            <w:pPr>
              <w:pStyle w:val="TableParagraph"/>
              <w:spacing w:line="174" w:lineRule="exact"/>
              <w:ind w:left="121"/>
              <w:jc w:val="left"/>
              <w:rPr>
                <w:sz w:val="16"/>
              </w:rPr>
            </w:pPr>
            <w:r>
              <w:rPr>
                <w:spacing w:val="-2"/>
                <w:sz w:val="16"/>
              </w:rPr>
              <w:t>21±0.0</w:t>
            </w:r>
          </w:p>
        </w:tc>
        <w:tc>
          <w:tcPr>
            <w:tcW w:w="900" w:type="dxa"/>
          </w:tcPr>
          <w:p>
            <w:pPr>
              <w:pStyle w:val="TableParagraph"/>
              <w:spacing w:line="174" w:lineRule="exact"/>
              <w:ind w:left="212"/>
              <w:jc w:val="left"/>
              <w:rPr>
                <w:sz w:val="16"/>
              </w:rPr>
            </w:pPr>
            <w:r>
              <w:rPr>
                <w:spacing w:val="-2"/>
                <w:sz w:val="16"/>
              </w:rPr>
              <w:t>29±2.2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14±2.2</w:t>
            </w:r>
          </w:p>
        </w:tc>
        <w:tc>
          <w:tcPr>
            <w:tcW w:w="854" w:type="dxa"/>
          </w:tcPr>
          <w:p>
            <w:pPr>
              <w:pStyle w:val="TableParagraph"/>
              <w:spacing w:line="174" w:lineRule="exact"/>
              <w:ind w:left="213"/>
              <w:jc w:val="left"/>
              <w:rPr>
                <w:sz w:val="16"/>
              </w:rPr>
            </w:pPr>
            <w:r>
              <w:rPr>
                <w:spacing w:val="-2"/>
                <w:sz w:val="16"/>
              </w:rPr>
              <w:t>12±2.2</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18±3.6</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E10e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17±2.8</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27±2.8</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10±2.2</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S15e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12±1.0</w:t>
            </w:r>
          </w:p>
        </w:tc>
        <w:tc>
          <w:tcPr>
            <w:tcW w:w="720" w:type="dxa"/>
          </w:tcPr>
          <w:p>
            <w:pPr>
              <w:pStyle w:val="TableParagraph"/>
              <w:spacing w:line="174" w:lineRule="exact"/>
              <w:ind w:left="121"/>
              <w:jc w:val="left"/>
              <w:rPr>
                <w:sz w:val="16"/>
              </w:rPr>
            </w:pPr>
            <w:r>
              <w:rPr>
                <w:spacing w:val="-2"/>
                <w:sz w:val="16"/>
              </w:rPr>
              <w:t>21±1.4</w:t>
            </w:r>
          </w:p>
        </w:tc>
        <w:tc>
          <w:tcPr>
            <w:tcW w:w="811" w:type="dxa"/>
          </w:tcPr>
          <w:p>
            <w:pPr>
              <w:pStyle w:val="TableParagraph"/>
              <w:spacing w:line="174" w:lineRule="exact"/>
              <w:ind w:left="121"/>
              <w:jc w:val="left"/>
              <w:rPr>
                <w:sz w:val="16"/>
              </w:rPr>
            </w:pPr>
            <w:r>
              <w:rPr>
                <w:spacing w:val="-2"/>
                <w:sz w:val="16"/>
              </w:rPr>
              <w:t>27±2.2</w:t>
            </w:r>
          </w:p>
        </w:tc>
        <w:tc>
          <w:tcPr>
            <w:tcW w:w="900" w:type="dxa"/>
          </w:tcPr>
          <w:p>
            <w:pPr>
              <w:pStyle w:val="TableParagraph"/>
              <w:spacing w:line="174" w:lineRule="exact"/>
              <w:ind w:left="212"/>
              <w:jc w:val="left"/>
              <w:rPr>
                <w:sz w:val="16"/>
              </w:rPr>
            </w:pPr>
            <w:r>
              <w:rPr>
                <w:spacing w:val="-2"/>
                <w:sz w:val="16"/>
              </w:rPr>
              <w:t>30±1.0</w:t>
            </w:r>
          </w:p>
        </w:tc>
        <w:tc>
          <w:tcPr>
            <w:tcW w:w="854" w:type="dxa"/>
          </w:tcPr>
          <w:p>
            <w:pPr>
              <w:pStyle w:val="TableParagraph"/>
              <w:spacing w:line="174" w:lineRule="exact"/>
              <w:ind w:left="210"/>
              <w:jc w:val="left"/>
              <w:rPr>
                <w:sz w:val="16"/>
              </w:rPr>
            </w:pPr>
            <w:r>
              <w:rPr>
                <w:spacing w:val="-2"/>
                <w:sz w:val="16"/>
              </w:rPr>
              <w:t>11±1.0</w:t>
            </w:r>
          </w:p>
        </w:tc>
        <w:tc>
          <w:tcPr>
            <w:tcW w:w="856" w:type="dxa"/>
          </w:tcPr>
          <w:p>
            <w:pPr>
              <w:pStyle w:val="TableParagraph"/>
              <w:spacing w:line="174" w:lineRule="exact"/>
              <w:ind w:left="167"/>
              <w:jc w:val="left"/>
              <w:rPr>
                <w:sz w:val="16"/>
              </w:rPr>
            </w:pPr>
            <w:r>
              <w:rPr>
                <w:spacing w:val="-2"/>
                <w:sz w:val="16"/>
              </w:rPr>
              <w:t>10±1.0</w:t>
            </w:r>
          </w:p>
        </w:tc>
        <w:tc>
          <w:tcPr>
            <w:tcW w:w="854" w:type="dxa"/>
          </w:tcPr>
          <w:p>
            <w:pPr>
              <w:pStyle w:val="TableParagraph"/>
              <w:spacing w:line="174" w:lineRule="exact"/>
              <w:ind w:left="213"/>
              <w:jc w:val="left"/>
              <w:rPr>
                <w:sz w:val="16"/>
              </w:rPr>
            </w:pPr>
            <w:r>
              <w:rPr>
                <w:spacing w:val="-2"/>
                <w:sz w:val="16"/>
              </w:rPr>
              <w:t>10±0.0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Z2e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22±1.0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17±2.4</w:t>
            </w:r>
          </w:p>
        </w:tc>
        <w:tc>
          <w:tcPr>
            <w:tcW w:w="811" w:type="dxa"/>
          </w:tcPr>
          <w:p>
            <w:pPr>
              <w:pStyle w:val="TableParagraph"/>
              <w:spacing w:line="174" w:lineRule="exact"/>
              <w:ind w:left="121"/>
              <w:jc w:val="left"/>
              <w:rPr>
                <w:sz w:val="16"/>
              </w:rPr>
            </w:pPr>
            <w:r>
              <w:rPr>
                <w:spacing w:val="-2"/>
                <w:sz w:val="16"/>
              </w:rPr>
              <w:t>22±2.8</w:t>
            </w:r>
          </w:p>
        </w:tc>
        <w:tc>
          <w:tcPr>
            <w:tcW w:w="900" w:type="dxa"/>
          </w:tcPr>
          <w:p>
            <w:pPr>
              <w:pStyle w:val="TableParagraph"/>
              <w:spacing w:line="174" w:lineRule="exact"/>
              <w:ind w:left="212"/>
              <w:jc w:val="left"/>
              <w:rPr>
                <w:sz w:val="16"/>
              </w:rPr>
            </w:pPr>
            <w:r>
              <w:rPr>
                <w:spacing w:val="-2"/>
                <w:sz w:val="16"/>
              </w:rPr>
              <w:t>29±1.4</w:t>
            </w:r>
          </w:p>
        </w:tc>
        <w:tc>
          <w:tcPr>
            <w:tcW w:w="854" w:type="dxa"/>
          </w:tcPr>
          <w:p>
            <w:pPr>
              <w:pStyle w:val="TableParagraph"/>
              <w:spacing w:line="174" w:lineRule="exact"/>
              <w:ind w:left="210"/>
              <w:jc w:val="left"/>
              <w:rPr>
                <w:sz w:val="16"/>
              </w:rPr>
            </w:pPr>
            <w:r>
              <w:rPr>
                <w:spacing w:val="-2"/>
                <w:sz w:val="16"/>
              </w:rPr>
              <w:t>11±0.0</w:t>
            </w:r>
          </w:p>
        </w:tc>
        <w:tc>
          <w:tcPr>
            <w:tcW w:w="856" w:type="dxa"/>
          </w:tcPr>
          <w:p>
            <w:pPr>
              <w:pStyle w:val="TableParagraph"/>
              <w:spacing w:line="174" w:lineRule="exact"/>
              <w:ind w:left="167"/>
              <w:jc w:val="left"/>
              <w:rPr>
                <w:sz w:val="16"/>
              </w:rPr>
            </w:pPr>
            <w:r>
              <w:rPr>
                <w:spacing w:val="-2"/>
                <w:sz w:val="16"/>
              </w:rPr>
              <w:t>20±2.2</w:t>
            </w:r>
          </w:p>
        </w:tc>
        <w:tc>
          <w:tcPr>
            <w:tcW w:w="854" w:type="dxa"/>
          </w:tcPr>
          <w:p>
            <w:pPr>
              <w:pStyle w:val="TableParagraph"/>
              <w:spacing w:line="174" w:lineRule="exact"/>
              <w:ind w:left="213"/>
              <w:jc w:val="left"/>
              <w:rPr>
                <w:sz w:val="16"/>
              </w:rPr>
            </w:pPr>
            <w:r>
              <w:rPr>
                <w:spacing w:val="-2"/>
                <w:sz w:val="16"/>
              </w:rPr>
              <w:t>17±5.0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17±1.0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E8s</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19±2.2</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32±2.8</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12±0.0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E5s</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16±1.4</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29±1.0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10±1.0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E4s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13±1.4</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29±1.0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S5e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15±0.0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29±0.0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S32e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18±0.0</w:t>
            </w:r>
          </w:p>
        </w:tc>
        <w:tc>
          <w:tcPr>
            <w:tcW w:w="720" w:type="dxa"/>
          </w:tcPr>
          <w:p>
            <w:pPr>
              <w:pStyle w:val="TableParagraph"/>
              <w:spacing w:line="177" w:lineRule="exact"/>
              <w:ind w:left="121"/>
              <w:jc w:val="left"/>
              <w:rPr>
                <w:sz w:val="16"/>
              </w:rPr>
            </w:pPr>
            <w:r>
              <w:rPr>
                <w:spacing w:val="-2"/>
                <w:sz w:val="16"/>
              </w:rPr>
              <w:t>17±3.6</w:t>
            </w:r>
          </w:p>
        </w:tc>
        <w:tc>
          <w:tcPr>
            <w:tcW w:w="811" w:type="dxa"/>
          </w:tcPr>
          <w:p>
            <w:pPr>
              <w:pStyle w:val="TableParagraph"/>
              <w:spacing w:line="177" w:lineRule="exact"/>
              <w:ind w:left="121"/>
              <w:jc w:val="left"/>
              <w:rPr>
                <w:sz w:val="16"/>
              </w:rPr>
            </w:pPr>
            <w:r>
              <w:rPr>
                <w:spacing w:val="-2"/>
                <w:sz w:val="16"/>
              </w:rPr>
              <w:t>21±2.2</w:t>
            </w:r>
          </w:p>
        </w:tc>
        <w:tc>
          <w:tcPr>
            <w:tcW w:w="900" w:type="dxa"/>
          </w:tcPr>
          <w:p>
            <w:pPr>
              <w:pStyle w:val="TableParagraph"/>
              <w:spacing w:line="177" w:lineRule="exact"/>
              <w:ind w:left="212"/>
              <w:jc w:val="left"/>
              <w:rPr>
                <w:sz w:val="16"/>
              </w:rPr>
            </w:pPr>
            <w:r>
              <w:rPr>
                <w:spacing w:val="-2"/>
                <w:sz w:val="16"/>
              </w:rPr>
              <w:t>29±3.6</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18±2.2</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B50e</w:t>
            </w:r>
          </w:p>
        </w:tc>
        <w:tc>
          <w:tcPr>
            <w:tcW w:w="1027" w:type="dxa"/>
          </w:tcPr>
          <w:p>
            <w:pPr>
              <w:pStyle w:val="TableParagraph"/>
              <w:spacing w:line="174" w:lineRule="exact"/>
              <w:ind w:left="206"/>
              <w:jc w:val="left"/>
              <w:rPr>
                <w:sz w:val="16"/>
              </w:rPr>
            </w:pPr>
            <w:r>
              <w:rPr>
                <w:spacing w:val="-2"/>
                <w:sz w:val="16"/>
              </w:rPr>
              <w:t>17±4.2</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23±1.0</w:t>
            </w:r>
          </w:p>
        </w:tc>
        <w:tc>
          <w:tcPr>
            <w:tcW w:w="720" w:type="dxa"/>
          </w:tcPr>
          <w:p>
            <w:pPr>
              <w:pStyle w:val="TableParagraph"/>
              <w:spacing w:line="174" w:lineRule="exact"/>
              <w:ind w:left="121"/>
              <w:jc w:val="left"/>
              <w:rPr>
                <w:sz w:val="16"/>
              </w:rPr>
            </w:pPr>
            <w:r>
              <w:rPr>
                <w:spacing w:val="-2"/>
                <w:sz w:val="16"/>
              </w:rPr>
              <w:t>19±2.2</w:t>
            </w:r>
          </w:p>
        </w:tc>
        <w:tc>
          <w:tcPr>
            <w:tcW w:w="811" w:type="dxa"/>
          </w:tcPr>
          <w:p>
            <w:pPr>
              <w:pStyle w:val="TableParagraph"/>
              <w:spacing w:line="174" w:lineRule="exact"/>
              <w:ind w:left="121"/>
              <w:jc w:val="left"/>
              <w:rPr>
                <w:sz w:val="16"/>
              </w:rPr>
            </w:pPr>
            <w:r>
              <w:rPr>
                <w:spacing w:val="-2"/>
                <w:sz w:val="16"/>
              </w:rPr>
              <w:t>22±1.4</w:t>
            </w:r>
          </w:p>
        </w:tc>
        <w:tc>
          <w:tcPr>
            <w:tcW w:w="900" w:type="dxa"/>
          </w:tcPr>
          <w:p>
            <w:pPr>
              <w:pStyle w:val="TableParagraph"/>
              <w:spacing w:line="174" w:lineRule="exact"/>
              <w:ind w:left="212"/>
              <w:jc w:val="left"/>
              <w:rPr>
                <w:sz w:val="16"/>
              </w:rPr>
            </w:pPr>
            <w:r>
              <w:rPr>
                <w:spacing w:val="-2"/>
                <w:sz w:val="16"/>
              </w:rPr>
              <w:t>33±1.0</w:t>
            </w:r>
          </w:p>
        </w:tc>
        <w:tc>
          <w:tcPr>
            <w:tcW w:w="854" w:type="dxa"/>
          </w:tcPr>
          <w:p>
            <w:pPr>
              <w:pStyle w:val="TableParagraph"/>
              <w:spacing w:line="174" w:lineRule="exact"/>
              <w:ind w:left="210"/>
              <w:jc w:val="left"/>
              <w:rPr>
                <w:sz w:val="16"/>
              </w:rPr>
            </w:pPr>
            <w:r>
              <w:rPr>
                <w:spacing w:val="-2"/>
                <w:sz w:val="16"/>
              </w:rPr>
              <w:t>21±1.0</w:t>
            </w:r>
          </w:p>
        </w:tc>
        <w:tc>
          <w:tcPr>
            <w:tcW w:w="856" w:type="dxa"/>
          </w:tcPr>
          <w:p>
            <w:pPr>
              <w:pStyle w:val="TableParagraph"/>
              <w:spacing w:line="174" w:lineRule="exact"/>
              <w:ind w:left="167"/>
              <w:jc w:val="left"/>
              <w:rPr>
                <w:sz w:val="16"/>
              </w:rPr>
            </w:pPr>
            <w:r>
              <w:rPr>
                <w:spacing w:val="-2"/>
                <w:sz w:val="16"/>
              </w:rPr>
              <w:t>16±1.4</w:t>
            </w:r>
          </w:p>
        </w:tc>
        <w:tc>
          <w:tcPr>
            <w:tcW w:w="854" w:type="dxa"/>
          </w:tcPr>
          <w:p>
            <w:pPr>
              <w:pStyle w:val="TableParagraph"/>
              <w:spacing w:line="174" w:lineRule="exact"/>
              <w:ind w:left="213"/>
              <w:jc w:val="left"/>
              <w:rPr>
                <w:sz w:val="16"/>
              </w:rPr>
            </w:pPr>
            <w:r>
              <w:rPr>
                <w:spacing w:val="-2"/>
                <w:sz w:val="16"/>
              </w:rPr>
              <w:t>19±0.0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23±3.6</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S4e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15±1.4</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31±2.2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9±1.1</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E39e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9±1.0</w:t>
            </w:r>
          </w:p>
        </w:tc>
        <w:tc>
          <w:tcPr>
            <w:tcW w:w="763" w:type="dxa"/>
          </w:tcPr>
          <w:p>
            <w:pPr>
              <w:pStyle w:val="TableParagraph"/>
              <w:spacing w:line="177" w:lineRule="exact"/>
              <w:ind w:left="164"/>
              <w:jc w:val="left"/>
              <w:rPr>
                <w:sz w:val="16"/>
              </w:rPr>
            </w:pPr>
            <w:r>
              <w:rPr>
                <w:spacing w:val="-2"/>
                <w:sz w:val="16"/>
              </w:rPr>
              <w:t>15±1.4</w:t>
            </w:r>
          </w:p>
        </w:tc>
        <w:tc>
          <w:tcPr>
            <w:tcW w:w="720" w:type="dxa"/>
          </w:tcPr>
          <w:p>
            <w:pPr>
              <w:pStyle w:val="TableParagraph"/>
              <w:spacing w:line="177" w:lineRule="exact"/>
              <w:ind w:left="121"/>
              <w:jc w:val="left"/>
              <w:rPr>
                <w:sz w:val="16"/>
              </w:rPr>
            </w:pPr>
            <w:r>
              <w:rPr>
                <w:spacing w:val="-2"/>
                <w:sz w:val="16"/>
              </w:rPr>
              <w:t>17±2.2</w:t>
            </w:r>
          </w:p>
        </w:tc>
        <w:tc>
          <w:tcPr>
            <w:tcW w:w="811" w:type="dxa"/>
          </w:tcPr>
          <w:p>
            <w:pPr>
              <w:pStyle w:val="TableParagraph"/>
              <w:spacing w:line="177" w:lineRule="exact"/>
              <w:ind w:left="121"/>
              <w:jc w:val="left"/>
              <w:rPr>
                <w:sz w:val="16"/>
              </w:rPr>
            </w:pPr>
            <w:r>
              <w:rPr>
                <w:spacing w:val="-2"/>
                <w:sz w:val="16"/>
              </w:rPr>
              <w:t>21±1.0</w:t>
            </w:r>
          </w:p>
        </w:tc>
        <w:tc>
          <w:tcPr>
            <w:tcW w:w="900" w:type="dxa"/>
          </w:tcPr>
          <w:p>
            <w:pPr>
              <w:pStyle w:val="TableParagraph"/>
              <w:spacing w:line="177" w:lineRule="exact"/>
              <w:ind w:left="212"/>
              <w:jc w:val="left"/>
              <w:rPr>
                <w:sz w:val="16"/>
              </w:rPr>
            </w:pPr>
            <w:r>
              <w:rPr>
                <w:spacing w:val="-2"/>
                <w:sz w:val="16"/>
              </w:rPr>
              <w:t>26±1.4</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15±1.0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17±0.0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S38e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21±2.2</w:t>
            </w:r>
          </w:p>
        </w:tc>
        <w:tc>
          <w:tcPr>
            <w:tcW w:w="763" w:type="dxa"/>
          </w:tcPr>
          <w:p>
            <w:pPr>
              <w:pStyle w:val="TableParagraph"/>
              <w:spacing w:line="174" w:lineRule="exact"/>
              <w:ind w:left="164"/>
              <w:jc w:val="left"/>
              <w:rPr>
                <w:sz w:val="16"/>
              </w:rPr>
            </w:pPr>
            <w:r>
              <w:rPr>
                <w:spacing w:val="-2"/>
                <w:sz w:val="16"/>
              </w:rPr>
              <w:t>11±1.0</w:t>
            </w:r>
          </w:p>
        </w:tc>
        <w:tc>
          <w:tcPr>
            <w:tcW w:w="720" w:type="dxa"/>
          </w:tcPr>
          <w:p>
            <w:pPr>
              <w:pStyle w:val="TableParagraph"/>
              <w:spacing w:line="174" w:lineRule="exact"/>
              <w:ind w:left="121"/>
              <w:jc w:val="left"/>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20±1.0</w:t>
            </w:r>
          </w:p>
        </w:tc>
        <w:tc>
          <w:tcPr>
            <w:tcW w:w="900" w:type="dxa"/>
          </w:tcPr>
          <w:p>
            <w:pPr>
              <w:pStyle w:val="TableParagraph"/>
              <w:spacing w:line="174" w:lineRule="exact"/>
              <w:ind w:left="212"/>
              <w:jc w:val="left"/>
              <w:rPr>
                <w:sz w:val="16"/>
              </w:rPr>
            </w:pPr>
            <w:r>
              <w:rPr>
                <w:spacing w:val="-2"/>
                <w:sz w:val="16"/>
              </w:rPr>
              <w:t>25±0.0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10±1.0</w:t>
            </w:r>
          </w:p>
        </w:tc>
        <w:tc>
          <w:tcPr>
            <w:tcW w:w="854" w:type="dxa"/>
          </w:tcPr>
          <w:p>
            <w:pPr>
              <w:pStyle w:val="TableParagraph"/>
              <w:spacing w:line="174" w:lineRule="exact"/>
              <w:ind w:left="213"/>
              <w:jc w:val="left"/>
              <w:rPr>
                <w:sz w:val="16"/>
              </w:rPr>
            </w:pPr>
            <w:r>
              <w:rPr>
                <w:spacing w:val="-2"/>
                <w:sz w:val="16"/>
              </w:rPr>
              <w:t>15±1.0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17±0.0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S8e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10±0.0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25±1.0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E46e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17±1.4</w:t>
            </w:r>
          </w:p>
        </w:tc>
        <w:tc>
          <w:tcPr>
            <w:tcW w:w="720" w:type="dxa"/>
          </w:tcPr>
          <w:p>
            <w:pPr>
              <w:pStyle w:val="TableParagraph"/>
              <w:spacing w:line="177" w:lineRule="exact"/>
              <w:ind w:left="121"/>
              <w:jc w:val="left"/>
              <w:rPr>
                <w:sz w:val="16"/>
              </w:rPr>
            </w:pPr>
            <w:r>
              <w:rPr>
                <w:spacing w:val="-2"/>
                <w:sz w:val="16"/>
              </w:rPr>
              <w:t>13±1.0</w:t>
            </w:r>
          </w:p>
        </w:tc>
        <w:tc>
          <w:tcPr>
            <w:tcW w:w="811" w:type="dxa"/>
          </w:tcPr>
          <w:p>
            <w:pPr>
              <w:pStyle w:val="TableParagraph"/>
              <w:spacing w:line="177" w:lineRule="exact"/>
              <w:ind w:left="121"/>
              <w:jc w:val="left"/>
              <w:rPr>
                <w:sz w:val="16"/>
              </w:rPr>
            </w:pPr>
            <w:r>
              <w:rPr>
                <w:spacing w:val="-2"/>
                <w:sz w:val="16"/>
              </w:rPr>
              <w:t>0.0±0.0</w:t>
            </w:r>
          </w:p>
        </w:tc>
        <w:tc>
          <w:tcPr>
            <w:tcW w:w="900" w:type="dxa"/>
          </w:tcPr>
          <w:p>
            <w:pPr>
              <w:pStyle w:val="TableParagraph"/>
              <w:spacing w:line="177" w:lineRule="exact"/>
              <w:ind w:left="212"/>
              <w:jc w:val="left"/>
              <w:rPr>
                <w:sz w:val="16"/>
              </w:rPr>
            </w:pPr>
            <w:r>
              <w:rPr>
                <w:spacing w:val="-2"/>
                <w:sz w:val="16"/>
              </w:rPr>
              <w:t>26±0.0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Z24s</w:t>
            </w:r>
          </w:p>
        </w:tc>
        <w:tc>
          <w:tcPr>
            <w:tcW w:w="1027" w:type="dxa"/>
          </w:tcPr>
          <w:p>
            <w:pPr>
              <w:pStyle w:val="TableParagraph"/>
              <w:spacing w:line="174" w:lineRule="exact"/>
              <w:ind w:left="206"/>
              <w:jc w:val="left"/>
              <w:rPr>
                <w:sz w:val="16"/>
              </w:rPr>
            </w:pPr>
            <w:r>
              <w:rPr>
                <w:spacing w:val="-2"/>
                <w:sz w:val="16"/>
              </w:rPr>
              <w:t>22±1.0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26±0.0</w:t>
            </w:r>
          </w:p>
        </w:tc>
        <w:tc>
          <w:tcPr>
            <w:tcW w:w="720" w:type="dxa"/>
          </w:tcPr>
          <w:p>
            <w:pPr>
              <w:pStyle w:val="TableParagraph"/>
              <w:spacing w:line="174" w:lineRule="exact"/>
              <w:ind w:left="121"/>
              <w:jc w:val="left"/>
              <w:rPr>
                <w:sz w:val="16"/>
              </w:rPr>
            </w:pPr>
            <w:r>
              <w:rPr>
                <w:spacing w:val="-2"/>
                <w:sz w:val="16"/>
              </w:rPr>
              <w:t>19±0.0</w:t>
            </w:r>
          </w:p>
        </w:tc>
        <w:tc>
          <w:tcPr>
            <w:tcW w:w="811" w:type="dxa"/>
          </w:tcPr>
          <w:p>
            <w:pPr>
              <w:pStyle w:val="TableParagraph"/>
              <w:spacing w:line="174" w:lineRule="exact"/>
              <w:ind w:left="121"/>
              <w:jc w:val="left"/>
              <w:rPr>
                <w:sz w:val="16"/>
              </w:rPr>
            </w:pPr>
            <w:r>
              <w:rPr>
                <w:spacing w:val="-2"/>
                <w:sz w:val="16"/>
              </w:rPr>
              <w:t>27±2.2</w:t>
            </w:r>
          </w:p>
        </w:tc>
        <w:tc>
          <w:tcPr>
            <w:tcW w:w="900" w:type="dxa"/>
          </w:tcPr>
          <w:p>
            <w:pPr>
              <w:pStyle w:val="TableParagraph"/>
              <w:spacing w:line="174" w:lineRule="exact"/>
              <w:ind w:left="212"/>
              <w:jc w:val="left"/>
              <w:rPr>
                <w:sz w:val="16"/>
              </w:rPr>
            </w:pPr>
            <w:r>
              <w:rPr>
                <w:spacing w:val="-2"/>
                <w:sz w:val="16"/>
              </w:rPr>
              <w:t>28±1.4</w:t>
            </w:r>
          </w:p>
        </w:tc>
        <w:tc>
          <w:tcPr>
            <w:tcW w:w="854" w:type="dxa"/>
          </w:tcPr>
          <w:p>
            <w:pPr>
              <w:pStyle w:val="TableParagraph"/>
              <w:spacing w:line="174" w:lineRule="exact"/>
              <w:ind w:left="210"/>
              <w:jc w:val="left"/>
              <w:rPr>
                <w:sz w:val="16"/>
              </w:rPr>
            </w:pPr>
            <w:r>
              <w:rPr>
                <w:spacing w:val="-2"/>
                <w:sz w:val="16"/>
              </w:rPr>
              <w:t>23±3.6</w:t>
            </w:r>
          </w:p>
        </w:tc>
        <w:tc>
          <w:tcPr>
            <w:tcW w:w="856" w:type="dxa"/>
          </w:tcPr>
          <w:p>
            <w:pPr>
              <w:pStyle w:val="TableParagraph"/>
              <w:spacing w:line="174" w:lineRule="exact"/>
              <w:ind w:left="167"/>
              <w:jc w:val="left"/>
              <w:rPr>
                <w:sz w:val="16"/>
              </w:rPr>
            </w:pPr>
            <w:r>
              <w:rPr>
                <w:spacing w:val="-2"/>
                <w:sz w:val="16"/>
              </w:rPr>
              <w:t>21±1.0</w:t>
            </w:r>
          </w:p>
        </w:tc>
        <w:tc>
          <w:tcPr>
            <w:tcW w:w="854" w:type="dxa"/>
          </w:tcPr>
          <w:p>
            <w:pPr>
              <w:pStyle w:val="TableParagraph"/>
              <w:spacing w:line="174" w:lineRule="exact"/>
              <w:ind w:left="213"/>
              <w:jc w:val="left"/>
              <w:rPr>
                <w:sz w:val="16"/>
              </w:rPr>
            </w:pPr>
            <w:r>
              <w:rPr>
                <w:spacing w:val="-2"/>
                <w:sz w:val="16"/>
              </w:rPr>
              <w:t>15±1.0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22±1.4</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E34e</w:t>
            </w:r>
          </w:p>
        </w:tc>
        <w:tc>
          <w:tcPr>
            <w:tcW w:w="1027" w:type="dxa"/>
          </w:tcPr>
          <w:p>
            <w:pPr>
              <w:pStyle w:val="TableParagraph"/>
              <w:spacing w:line="174" w:lineRule="exact"/>
              <w:ind w:left="206"/>
              <w:jc w:val="left"/>
              <w:rPr>
                <w:sz w:val="16"/>
              </w:rPr>
            </w:pPr>
            <w:r>
              <w:rPr>
                <w:spacing w:val="-2"/>
                <w:sz w:val="16"/>
              </w:rPr>
              <w:t>17±1.4</w:t>
            </w:r>
          </w:p>
        </w:tc>
        <w:tc>
          <w:tcPr>
            <w:tcW w:w="902" w:type="dxa"/>
          </w:tcPr>
          <w:p>
            <w:pPr>
              <w:pStyle w:val="TableParagraph"/>
              <w:spacing w:line="174" w:lineRule="exact"/>
              <w:ind w:left="260"/>
              <w:jc w:val="left"/>
              <w:rPr>
                <w:sz w:val="16"/>
              </w:rPr>
            </w:pPr>
            <w:r>
              <w:rPr>
                <w:spacing w:val="-2"/>
                <w:sz w:val="16"/>
              </w:rPr>
              <w:t>10±1.0</w:t>
            </w:r>
          </w:p>
        </w:tc>
        <w:tc>
          <w:tcPr>
            <w:tcW w:w="763" w:type="dxa"/>
          </w:tcPr>
          <w:p>
            <w:pPr>
              <w:pStyle w:val="TableParagraph"/>
              <w:spacing w:line="174" w:lineRule="exact"/>
              <w:ind w:left="164"/>
              <w:jc w:val="left"/>
              <w:rPr>
                <w:sz w:val="16"/>
              </w:rPr>
            </w:pPr>
            <w:r>
              <w:rPr>
                <w:spacing w:val="-2"/>
                <w:sz w:val="16"/>
              </w:rPr>
              <w:t>17±1.4</w:t>
            </w:r>
          </w:p>
        </w:tc>
        <w:tc>
          <w:tcPr>
            <w:tcW w:w="720" w:type="dxa"/>
          </w:tcPr>
          <w:p>
            <w:pPr>
              <w:pStyle w:val="TableParagraph"/>
              <w:spacing w:line="174" w:lineRule="exact"/>
              <w:ind w:left="121"/>
              <w:jc w:val="left"/>
              <w:rPr>
                <w:sz w:val="16"/>
              </w:rPr>
            </w:pPr>
            <w:r>
              <w:rPr>
                <w:spacing w:val="-2"/>
                <w:sz w:val="16"/>
              </w:rPr>
              <w:t>18±0.0</w:t>
            </w:r>
          </w:p>
        </w:tc>
        <w:tc>
          <w:tcPr>
            <w:tcW w:w="811" w:type="dxa"/>
          </w:tcPr>
          <w:p>
            <w:pPr>
              <w:pStyle w:val="TableParagraph"/>
              <w:spacing w:line="174" w:lineRule="exact"/>
              <w:ind w:left="121"/>
              <w:jc w:val="left"/>
              <w:rPr>
                <w:sz w:val="16"/>
              </w:rPr>
            </w:pPr>
            <w:r>
              <w:rPr>
                <w:spacing w:val="-2"/>
                <w:sz w:val="16"/>
              </w:rPr>
              <w:t>21±1.0</w:t>
            </w:r>
          </w:p>
        </w:tc>
        <w:tc>
          <w:tcPr>
            <w:tcW w:w="900" w:type="dxa"/>
          </w:tcPr>
          <w:p>
            <w:pPr>
              <w:pStyle w:val="TableParagraph"/>
              <w:spacing w:line="174" w:lineRule="exact"/>
              <w:ind w:left="212"/>
              <w:jc w:val="left"/>
              <w:rPr>
                <w:sz w:val="16"/>
              </w:rPr>
            </w:pPr>
            <w:r>
              <w:rPr>
                <w:spacing w:val="-2"/>
                <w:sz w:val="16"/>
              </w:rPr>
              <w:t>29±1.0</w:t>
            </w:r>
          </w:p>
        </w:tc>
        <w:tc>
          <w:tcPr>
            <w:tcW w:w="854" w:type="dxa"/>
          </w:tcPr>
          <w:p>
            <w:pPr>
              <w:pStyle w:val="TableParagraph"/>
              <w:spacing w:line="174" w:lineRule="exact"/>
              <w:ind w:left="210"/>
              <w:jc w:val="left"/>
              <w:rPr>
                <w:sz w:val="16"/>
              </w:rPr>
            </w:pPr>
            <w:r>
              <w:rPr>
                <w:spacing w:val="-2"/>
                <w:sz w:val="16"/>
              </w:rPr>
              <w:t>29±1.0</w:t>
            </w:r>
          </w:p>
        </w:tc>
        <w:tc>
          <w:tcPr>
            <w:tcW w:w="856" w:type="dxa"/>
          </w:tcPr>
          <w:p>
            <w:pPr>
              <w:pStyle w:val="TableParagraph"/>
              <w:spacing w:line="174" w:lineRule="exact"/>
              <w:ind w:left="167"/>
              <w:jc w:val="left"/>
              <w:rPr>
                <w:sz w:val="16"/>
              </w:rPr>
            </w:pPr>
            <w:r>
              <w:rPr>
                <w:spacing w:val="-2"/>
                <w:sz w:val="16"/>
              </w:rPr>
              <w:t>10±1.0</w:t>
            </w:r>
          </w:p>
        </w:tc>
        <w:tc>
          <w:tcPr>
            <w:tcW w:w="854" w:type="dxa"/>
          </w:tcPr>
          <w:p>
            <w:pPr>
              <w:pStyle w:val="TableParagraph"/>
              <w:spacing w:line="174" w:lineRule="exact"/>
              <w:ind w:left="213"/>
              <w:jc w:val="left"/>
              <w:rPr>
                <w:sz w:val="16"/>
              </w:rPr>
            </w:pPr>
            <w:r>
              <w:rPr>
                <w:spacing w:val="-2"/>
                <w:sz w:val="16"/>
              </w:rPr>
              <w:t>16±2.2</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10±1.0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S46e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18±1.4</w:t>
            </w:r>
          </w:p>
        </w:tc>
        <w:tc>
          <w:tcPr>
            <w:tcW w:w="720" w:type="dxa"/>
          </w:tcPr>
          <w:p>
            <w:pPr>
              <w:pStyle w:val="TableParagraph"/>
              <w:spacing w:line="177" w:lineRule="exact"/>
              <w:ind w:left="121"/>
              <w:jc w:val="left"/>
              <w:rPr>
                <w:sz w:val="16"/>
              </w:rPr>
            </w:pPr>
            <w:r>
              <w:rPr>
                <w:spacing w:val="-2"/>
                <w:sz w:val="16"/>
              </w:rPr>
              <w:t>19±1.0</w:t>
            </w:r>
          </w:p>
        </w:tc>
        <w:tc>
          <w:tcPr>
            <w:tcW w:w="811" w:type="dxa"/>
          </w:tcPr>
          <w:p>
            <w:pPr>
              <w:pStyle w:val="TableParagraph"/>
              <w:spacing w:line="177" w:lineRule="exact"/>
              <w:ind w:left="121"/>
              <w:jc w:val="left"/>
              <w:rPr>
                <w:sz w:val="16"/>
              </w:rPr>
            </w:pPr>
            <w:r>
              <w:rPr>
                <w:spacing w:val="-2"/>
                <w:sz w:val="16"/>
              </w:rPr>
              <w:t>27±3.6</w:t>
            </w:r>
          </w:p>
        </w:tc>
        <w:tc>
          <w:tcPr>
            <w:tcW w:w="900" w:type="dxa"/>
          </w:tcPr>
          <w:p>
            <w:pPr>
              <w:pStyle w:val="TableParagraph"/>
              <w:spacing w:line="177" w:lineRule="exact"/>
              <w:ind w:left="212"/>
              <w:jc w:val="left"/>
              <w:rPr>
                <w:sz w:val="16"/>
              </w:rPr>
            </w:pPr>
            <w:r>
              <w:rPr>
                <w:spacing w:val="-2"/>
                <w:sz w:val="16"/>
              </w:rPr>
              <w:t>30±1.0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18±1.0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4"/>
                <w:sz w:val="16"/>
              </w:rPr>
              <w:t>S48e</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11±1.0</w:t>
            </w:r>
          </w:p>
        </w:tc>
        <w:tc>
          <w:tcPr>
            <w:tcW w:w="720" w:type="dxa"/>
          </w:tcPr>
          <w:p>
            <w:pPr>
              <w:pStyle w:val="TableParagraph"/>
              <w:spacing w:line="177" w:lineRule="exact"/>
              <w:ind w:left="121"/>
              <w:jc w:val="left"/>
              <w:rPr>
                <w:sz w:val="16"/>
              </w:rPr>
            </w:pPr>
            <w:r>
              <w:rPr>
                <w:spacing w:val="-2"/>
                <w:sz w:val="16"/>
              </w:rPr>
              <w:t>17±1.4</w:t>
            </w:r>
          </w:p>
        </w:tc>
        <w:tc>
          <w:tcPr>
            <w:tcW w:w="811" w:type="dxa"/>
          </w:tcPr>
          <w:p>
            <w:pPr>
              <w:pStyle w:val="TableParagraph"/>
              <w:spacing w:line="177" w:lineRule="exact"/>
              <w:ind w:left="121"/>
              <w:jc w:val="left"/>
              <w:rPr>
                <w:sz w:val="16"/>
              </w:rPr>
            </w:pPr>
            <w:r>
              <w:rPr>
                <w:spacing w:val="-2"/>
                <w:sz w:val="16"/>
              </w:rPr>
              <w:t>22±1.0</w:t>
            </w:r>
          </w:p>
        </w:tc>
        <w:tc>
          <w:tcPr>
            <w:tcW w:w="900" w:type="dxa"/>
          </w:tcPr>
          <w:p>
            <w:pPr>
              <w:pStyle w:val="TableParagraph"/>
              <w:spacing w:line="177" w:lineRule="exact"/>
              <w:ind w:left="212"/>
              <w:jc w:val="left"/>
              <w:rPr>
                <w:sz w:val="16"/>
              </w:rPr>
            </w:pPr>
            <w:r>
              <w:rPr>
                <w:spacing w:val="-2"/>
                <w:sz w:val="16"/>
              </w:rPr>
              <w:t>30±0.0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0.0±0.0</w:t>
            </w:r>
          </w:p>
        </w:tc>
        <w:tc>
          <w:tcPr>
            <w:tcW w:w="854" w:type="dxa"/>
          </w:tcPr>
          <w:p>
            <w:pPr>
              <w:pStyle w:val="TableParagraph"/>
              <w:spacing w:line="177" w:lineRule="exact"/>
              <w:ind w:left="213"/>
              <w:jc w:val="left"/>
              <w:rPr>
                <w:sz w:val="16"/>
              </w:rPr>
            </w:pPr>
            <w:r>
              <w:rPr>
                <w:spacing w:val="-2"/>
                <w:sz w:val="16"/>
              </w:rPr>
              <w:t>14±0.0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0.0±0.0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E28s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15±2.2</w:t>
            </w:r>
          </w:p>
        </w:tc>
        <w:tc>
          <w:tcPr>
            <w:tcW w:w="720" w:type="dxa"/>
          </w:tcPr>
          <w:p>
            <w:pPr>
              <w:pStyle w:val="TableParagraph"/>
              <w:spacing w:line="174" w:lineRule="exact"/>
              <w:ind w:left="121"/>
              <w:jc w:val="left"/>
              <w:rPr>
                <w:sz w:val="16"/>
              </w:rPr>
            </w:pPr>
            <w:r>
              <w:rPr>
                <w:spacing w:val="-2"/>
                <w:sz w:val="16"/>
              </w:rPr>
              <w:t>16±1.0</w:t>
            </w:r>
          </w:p>
        </w:tc>
        <w:tc>
          <w:tcPr>
            <w:tcW w:w="811" w:type="dxa"/>
          </w:tcPr>
          <w:p>
            <w:pPr>
              <w:pStyle w:val="TableParagraph"/>
              <w:spacing w:line="174" w:lineRule="exact"/>
              <w:ind w:left="121"/>
              <w:jc w:val="left"/>
              <w:rPr>
                <w:sz w:val="16"/>
              </w:rPr>
            </w:pPr>
            <w:r>
              <w:rPr>
                <w:spacing w:val="-2"/>
                <w:sz w:val="16"/>
              </w:rPr>
              <w:t>20±4.2</w:t>
            </w:r>
          </w:p>
        </w:tc>
        <w:tc>
          <w:tcPr>
            <w:tcW w:w="900" w:type="dxa"/>
          </w:tcPr>
          <w:p>
            <w:pPr>
              <w:pStyle w:val="TableParagraph"/>
              <w:spacing w:line="174" w:lineRule="exact"/>
              <w:ind w:left="212"/>
              <w:jc w:val="left"/>
              <w:rPr>
                <w:sz w:val="16"/>
              </w:rPr>
            </w:pPr>
            <w:r>
              <w:rPr>
                <w:spacing w:val="-2"/>
                <w:sz w:val="16"/>
              </w:rPr>
              <w:t>26±1.0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12±1.0</w:t>
            </w:r>
          </w:p>
        </w:tc>
        <w:tc>
          <w:tcPr>
            <w:tcW w:w="854" w:type="dxa"/>
          </w:tcPr>
          <w:p>
            <w:pPr>
              <w:pStyle w:val="TableParagraph"/>
              <w:spacing w:line="174" w:lineRule="exact"/>
              <w:ind w:left="213"/>
              <w:jc w:val="left"/>
              <w:rPr>
                <w:sz w:val="16"/>
              </w:rPr>
            </w:pPr>
            <w:r>
              <w:rPr>
                <w:spacing w:val="-2"/>
                <w:sz w:val="16"/>
              </w:rPr>
              <w:t>16±1.4</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22±4.2</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B7e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15±2.2</w:t>
            </w:r>
          </w:p>
        </w:tc>
        <w:tc>
          <w:tcPr>
            <w:tcW w:w="811" w:type="dxa"/>
          </w:tcPr>
          <w:p>
            <w:pPr>
              <w:pStyle w:val="TableParagraph"/>
              <w:spacing w:line="174" w:lineRule="exact"/>
              <w:ind w:left="121"/>
              <w:jc w:val="left"/>
              <w:rPr>
                <w:sz w:val="16"/>
              </w:rPr>
            </w:pPr>
            <w:r>
              <w:rPr>
                <w:spacing w:val="-2"/>
                <w:sz w:val="16"/>
              </w:rPr>
              <w:t>16±2.2</w:t>
            </w:r>
          </w:p>
        </w:tc>
        <w:tc>
          <w:tcPr>
            <w:tcW w:w="900" w:type="dxa"/>
          </w:tcPr>
          <w:p>
            <w:pPr>
              <w:pStyle w:val="TableParagraph"/>
              <w:spacing w:line="174" w:lineRule="exact"/>
              <w:ind w:left="212"/>
              <w:jc w:val="left"/>
              <w:rPr>
                <w:sz w:val="16"/>
              </w:rPr>
            </w:pPr>
            <w:r>
              <w:rPr>
                <w:spacing w:val="-2"/>
                <w:sz w:val="16"/>
              </w:rPr>
              <w:t>23±2.2</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B6s</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0.0±0.0</w:t>
            </w:r>
          </w:p>
        </w:tc>
        <w:tc>
          <w:tcPr>
            <w:tcW w:w="763" w:type="dxa"/>
          </w:tcPr>
          <w:p>
            <w:pPr>
              <w:pStyle w:val="TableParagraph"/>
              <w:spacing w:line="177" w:lineRule="exact"/>
              <w:ind w:left="164"/>
              <w:jc w:val="left"/>
              <w:rPr>
                <w:sz w:val="16"/>
              </w:rPr>
            </w:pPr>
            <w:r>
              <w:rPr>
                <w:spacing w:val="-2"/>
                <w:sz w:val="16"/>
              </w:rPr>
              <w:t>0.0±0.0</w:t>
            </w:r>
          </w:p>
        </w:tc>
        <w:tc>
          <w:tcPr>
            <w:tcW w:w="720" w:type="dxa"/>
          </w:tcPr>
          <w:p>
            <w:pPr>
              <w:pStyle w:val="TableParagraph"/>
              <w:spacing w:line="177" w:lineRule="exact"/>
              <w:ind w:left="121"/>
              <w:jc w:val="left"/>
              <w:rPr>
                <w:sz w:val="16"/>
              </w:rPr>
            </w:pPr>
            <w:r>
              <w:rPr>
                <w:spacing w:val="-2"/>
                <w:sz w:val="16"/>
              </w:rPr>
              <w:t>13±2.2</w:t>
            </w:r>
          </w:p>
        </w:tc>
        <w:tc>
          <w:tcPr>
            <w:tcW w:w="811" w:type="dxa"/>
          </w:tcPr>
          <w:p>
            <w:pPr>
              <w:pStyle w:val="TableParagraph"/>
              <w:spacing w:line="177" w:lineRule="exact"/>
              <w:ind w:left="121"/>
              <w:jc w:val="left"/>
              <w:rPr>
                <w:sz w:val="16"/>
              </w:rPr>
            </w:pPr>
            <w:r>
              <w:rPr>
                <w:spacing w:val="-2"/>
                <w:sz w:val="16"/>
              </w:rPr>
              <w:t>19±1.0</w:t>
            </w:r>
          </w:p>
        </w:tc>
        <w:tc>
          <w:tcPr>
            <w:tcW w:w="900" w:type="dxa"/>
          </w:tcPr>
          <w:p>
            <w:pPr>
              <w:pStyle w:val="TableParagraph"/>
              <w:spacing w:line="177" w:lineRule="exact"/>
              <w:ind w:left="212"/>
              <w:jc w:val="left"/>
              <w:rPr>
                <w:sz w:val="16"/>
              </w:rPr>
            </w:pPr>
            <w:r>
              <w:rPr>
                <w:spacing w:val="-2"/>
                <w:sz w:val="16"/>
              </w:rPr>
              <w:t>24±2.2</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15±1.0</w:t>
            </w:r>
          </w:p>
        </w:tc>
        <w:tc>
          <w:tcPr>
            <w:tcW w:w="854" w:type="dxa"/>
          </w:tcPr>
          <w:p>
            <w:pPr>
              <w:pStyle w:val="TableParagraph"/>
              <w:spacing w:line="177" w:lineRule="exact"/>
              <w:ind w:left="213"/>
              <w:jc w:val="left"/>
              <w:rPr>
                <w:sz w:val="16"/>
              </w:rPr>
            </w:pPr>
            <w:r>
              <w:rPr>
                <w:spacing w:val="-2"/>
                <w:sz w:val="16"/>
              </w:rPr>
              <w:t>0.0±0.0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12±0.0</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E22s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16±1.0</w:t>
            </w:r>
          </w:p>
        </w:tc>
        <w:tc>
          <w:tcPr>
            <w:tcW w:w="811" w:type="dxa"/>
          </w:tcPr>
          <w:p>
            <w:pPr>
              <w:pStyle w:val="TableParagraph"/>
              <w:spacing w:line="174" w:lineRule="exact"/>
              <w:ind w:left="121"/>
              <w:jc w:val="left"/>
              <w:rPr>
                <w:sz w:val="16"/>
              </w:rPr>
            </w:pPr>
            <w:r>
              <w:rPr>
                <w:spacing w:val="-2"/>
                <w:sz w:val="16"/>
              </w:rPr>
              <w:t>0.0±0.0</w:t>
            </w:r>
          </w:p>
        </w:tc>
        <w:tc>
          <w:tcPr>
            <w:tcW w:w="900" w:type="dxa"/>
          </w:tcPr>
          <w:p>
            <w:pPr>
              <w:pStyle w:val="TableParagraph"/>
              <w:spacing w:line="174" w:lineRule="exact"/>
              <w:ind w:left="212"/>
              <w:jc w:val="left"/>
              <w:rPr>
                <w:sz w:val="16"/>
              </w:rPr>
            </w:pPr>
            <w:r>
              <w:rPr>
                <w:spacing w:val="-2"/>
                <w:sz w:val="16"/>
              </w:rPr>
              <w:t>19±3.6</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S31e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18±2.2</w:t>
            </w:r>
          </w:p>
        </w:tc>
        <w:tc>
          <w:tcPr>
            <w:tcW w:w="720" w:type="dxa"/>
          </w:tcPr>
          <w:p>
            <w:pPr>
              <w:pStyle w:val="TableParagraph"/>
              <w:spacing w:line="174" w:lineRule="exact"/>
              <w:ind w:left="121"/>
              <w:jc w:val="left"/>
              <w:rPr>
                <w:sz w:val="16"/>
              </w:rPr>
            </w:pPr>
            <w:r>
              <w:rPr>
                <w:spacing w:val="-2"/>
                <w:sz w:val="16"/>
              </w:rPr>
              <w:t>19±1.0</w:t>
            </w:r>
          </w:p>
        </w:tc>
        <w:tc>
          <w:tcPr>
            <w:tcW w:w="811" w:type="dxa"/>
          </w:tcPr>
          <w:p>
            <w:pPr>
              <w:pStyle w:val="TableParagraph"/>
              <w:spacing w:line="174" w:lineRule="exact"/>
              <w:ind w:left="121"/>
              <w:jc w:val="left"/>
              <w:rPr>
                <w:sz w:val="16"/>
              </w:rPr>
            </w:pPr>
            <w:r>
              <w:rPr>
                <w:spacing w:val="-2"/>
                <w:sz w:val="16"/>
              </w:rPr>
              <w:t>22±1.0</w:t>
            </w:r>
          </w:p>
        </w:tc>
        <w:tc>
          <w:tcPr>
            <w:tcW w:w="900" w:type="dxa"/>
          </w:tcPr>
          <w:p>
            <w:pPr>
              <w:pStyle w:val="TableParagraph"/>
              <w:spacing w:line="174" w:lineRule="exact"/>
              <w:ind w:left="212"/>
              <w:jc w:val="left"/>
              <w:rPr>
                <w:sz w:val="16"/>
              </w:rPr>
            </w:pPr>
            <w:r>
              <w:rPr>
                <w:spacing w:val="-2"/>
                <w:sz w:val="16"/>
              </w:rPr>
              <w:t>29±1.0</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16±1.0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6" w:hRule="atLeast"/>
        </w:trPr>
        <w:tc>
          <w:tcPr>
            <w:tcW w:w="801" w:type="dxa"/>
          </w:tcPr>
          <w:p>
            <w:pPr>
              <w:pStyle w:val="TableParagraph"/>
              <w:spacing w:line="177" w:lineRule="exact"/>
              <w:ind w:left="105"/>
              <w:jc w:val="left"/>
              <w:rPr>
                <w:sz w:val="16"/>
              </w:rPr>
            </w:pPr>
            <w:r>
              <w:rPr>
                <w:spacing w:val="-5"/>
                <w:sz w:val="16"/>
              </w:rPr>
              <w:t>B5s</w:t>
            </w:r>
          </w:p>
        </w:tc>
        <w:tc>
          <w:tcPr>
            <w:tcW w:w="1027" w:type="dxa"/>
          </w:tcPr>
          <w:p>
            <w:pPr>
              <w:pStyle w:val="TableParagraph"/>
              <w:spacing w:line="177" w:lineRule="exact"/>
              <w:ind w:left="206"/>
              <w:jc w:val="left"/>
              <w:rPr>
                <w:sz w:val="16"/>
              </w:rPr>
            </w:pPr>
            <w:r>
              <w:rPr>
                <w:spacing w:val="-2"/>
                <w:sz w:val="16"/>
              </w:rPr>
              <w:t>0.0±0.0</w:t>
            </w:r>
          </w:p>
        </w:tc>
        <w:tc>
          <w:tcPr>
            <w:tcW w:w="902" w:type="dxa"/>
          </w:tcPr>
          <w:p>
            <w:pPr>
              <w:pStyle w:val="TableParagraph"/>
              <w:spacing w:line="177" w:lineRule="exact"/>
              <w:ind w:left="260"/>
              <w:jc w:val="left"/>
              <w:rPr>
                <w:sz w:val="16"/>
              </w:rPr>
            </w:pPr>
            <w:r>
              <w:rPr>
                <w:spacing w:val="-2"/>
                <w:sz w:val="16"/>
              </w:rPr>
              <w:t>22±1.0</w:t>
            </w:r>
          </w:p>
        </w:tc>
        <w:tc>
          <w:tcPr>
            <w:tcW w:w="763" w:type="dxa"/>
          </w:tcPr>
          <w:p>
            <w:pPr>
              <w:pStyle w:val="TableParagraph"/>
              <w:spacing w:line="177" w:lineRule="exact"/>
              <w:ind w:left="164"/>
              <w:jc w:val="left"/>
              <w:rPr>
                <w:sz w:val="16"/>
              </w:rPr>
            </w:pPr>
            <w:r>
              <w:rPr>
                <w:spacing w:val="-2"/>
                <w:sz w:val="16"/>
              </w:rPr>
              <w:t>17±2.2</w:t>
            </w:r>
          </w:p>
        </w:tc>
        <w:tc>
          <w:tcPr>
            <w:tcW w:w="720" w:type="dxa"/>
          </w:tcPr>
          <w:p>
            <w:pPr>
              <w:pStyle w:val="TableParagraph"/>
              <w:spacing w:line="177" w:lineRule="exact"/>
              <w:ind w:left="121"/>
              <w:jc w:val="left"/>
              <w:rPr>
                <w:sz w:val="16"/>
              </w:rPr>
            </w:pPr>
            <w:r>
              <w:rPr>
                <w:spacing w:val="-2"/>
                <w:sz w:val="16"/>
              </w:rPr>
              <w:t>15±1.0</w:t>
            </w:r>
          </w:p>
        </w:tc>
        <w:tc>
          <w:tcPr>
            <w:tcW w:w="811" w:type="dxa"/>
          </w:tcPr>
          <w:p>
            <w:pPr>
              <w:pStyle w:val="TableParagraph"/>
              <w:spacing w:line="177" w:lineRule="exact"/>
              <w:ind w:left="121"/>
              <w:jc w:val="left"/>
              <w:rPr>
                <w:sz w:val="16"/>
              </w:rPr>
            </w:pPr>
            <w:r>
              <w:rPr>
                <w:spacing w:val="-2"/>
                <w:sz w:val="16"/>
              </w:rPr>
              <w:t>21±1.4</w:t>
            </w:r>
          </w:p>
        </w:tc>
        <w:tc>
          <w:tcPr>
            <w:tcW w:w="900" w:type="dxa"/>
          </w:tcPr>
          <w:p>
            <w:pPr>
              <w:pStyle w:val="TableParagraph"/>
              <w:spacing w:line="177" w:lineRule="exact"/>
              <w:ind w:left="212"/>
              <w:jc w:val="left"/>
              <w:rPr>
                <w:sz w:val="16"/>
              </w:rPr>
            </w:pPr>
            <w:r>
              <w:rPr>
                <w:spacing w:val="-2"/>
                <w:sz w:val="16"/>
              </w:rPr>
              <w:t>26±1.0</w:t>
            </w:r>
          </w:p>
        </w:tc>
        <w:tc>
          <w:tcPr>
            <w:tcW w:w="854" w:type="dxa"/>
          </w:tcPr>
          <w:p>
            <w:pPr>
              <w:pStyle w:val="TableParagraph"/>
              <w:spacing w:line="177" w:lineRule="exact"/>
              <w:ind w:left="210"/>
              <w:jc w:val="left"/>
              <w:rPr>
                <w:sz w:val="16"/>
              </w:rPr>
            </w:pPr>
            <w:r>
              <w:rPr>
                <w:spacing w:val="-2"/>
                <w:sz w:val="16"/>
              </w:rPr>
              <w:t>0.0±0.0</w:t>
            </w:r>
          </w:p>
        </w:tc>
        <w:tc>
          <w:tcPr>
            <w:tcW w:w="856" w:type="dxa"/>
          </w:tcPr>
          <w:p>
            <w:pPr>
              <w:pStyle w:val="TableParagraph"/>
              <w:spacing w:line="177" w:lineRule="exact"/>
              <w:ind w:left="167"/>
              <w:jc w:val="left"/>
              <w:rPr>
                <w:sz w:val="16"/>
              </w:rPr>
            </w:pPr>
            <w:r>
              <w:rPr>
                <w:spacing w:val="-2"/>
                <w:sz w:val="16"/>
              </w:rPr>
              <w:t>14±1.0</w:t>
            </w:r>
          </w:p>
        </w:tc>
        <w:tc>
          <w:tcPr>
            <w:tcW w:w="854" w:type="dxa"/>
          </w:tcPr>
          <w:p>
            <w:pPr>
              <w:pStyle w:val="TableParagraph"/>
              <w:spacing w:line="177" w:lineRule="exact"/>
              <w:ind w:left="213"/>
              <w:jc w:val="left"/>
              <w:rPr>
                <w:sz w:val="16"/>
              </w:rPr>
            </w:pPr>
            <w:r>
              <w:rPr>
                <w:spacing w:val="-2"/>
                <w:sz w:val="16"/>
              </w:rPr>
              <w:t>15±0.0</w:t>
            </w:r>
          </w:p>
        </w:tc>
        <w:tc>
          <w:tcPr>
            <w:tcW w:w="854" w:type="dxa"/>
          </w:tcPr>
          <w:p>
            <w:pPr>
              <w:pStyle w:val="TableParagraph"/>
              <w:spacing w:line="177" w:lineRule="exact"/>
              <w:ind w:left="166"/>
              <w:jc w:val="left"/>
              <w:rPr>
                <w:sz w:val="16"/>
              </w:rPr>
            </w:pPr>
            <w:r>
              <w:rPr>
                <w:spacing w:val="-2"/>
                <w:sz w:val="16"/>
              </w:rPr>
              <w:t>0.0±0.0</w:t>
            </w:r>
          </w:p>
        </w:tc>
        <w:tc>
          <w:tcPr>
            <w:tcW w:w="856" w:type="dxa"/>
          </w:tcPr>
          <w:p>
            <w:pPr>
              <w:pStyle w:val="TableParagraph"/>
              <w:spacing w:line="177" w:lineRule="exact"/>
              <w:ind w:left="214"/>
              <w:jc w:val="left"/>
              <w:rPr>
                <w:sz w:val="16"/>
              </w:rPr>
            </w:pPr>
            <w:r>
              <w:rPr>
                <w:spacing w:val="-2"/>
                <w:sz w:val="16"/>
              </w:rPr>
              <w:t>22±1.4</w:t>
            </w:r>
          </w:p>
        </w:tc>
        <w:tc>
          <w:tcPr>
            <w:tcW w:w="866" w:type="dxa"/>
          </w:tcPr>
          <w:p>
            <w:pPr>
              <w:pStyle w:val="TableParagraph"/>
              <w:spacing w:line="177"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5"/>
                <w:sz w:val="16"/>
              </w:rPr>
              <w:t>B2e</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10±1.0</w:t>
            </w:r>
          </w:p>
        </w:tc>
        <w:tc>
          <w:tcPr>
            <w:tcW w:w="720" w:type="dxa"/>
          </w:tcPr>
          <w:p>
            <w:pPr>
              <w:pStyle w:val="TableParagraph"/>
              <w:spacing w:line="174" w:lineRule="exact"/>
              <w:ind w:left="121"/>
              <w:jc w:val="left"/>
              <w:rPr>
                <w:sz w:val="16"/>
              </w:rPr>
            </w:pPr>
            <w:r>
              <w:rPr>
                <w:spacing w:val="-2"/>
                <w:sz w:val="16"/>
              </w:rPr>
              <w:t>16±5.0</w:t>
            </w:r>
          </w:p>
        </w:tc>
        <w:tc>
          <w:tcPr>
            <w:tcW w:w="811" w:type="dxa"/>
          </w:tcPr>
          <w:p>
            <w:pPr>
              <w:pStyle w:val="TableParagraph"/>
              <w:spacing w:line="174" w:lineRule="exact"/>
              <w:ind w:left="121"/>
              <w:jc w:val="left"/>
              <w:rPr>
                <w:sz w:val="16"/>
              </w:rPr>
            </w:pPr>
            <w:r>
              <w:rPr>
                <w:spacing w:val="-2"/>
                <w:sz w:val="16"/>
              </w:rPr>
              <w:t>26±3.6</w:t>
            </w:r>
          </w:p>
        </w:tc>
        <w:tc>
          <w:tcPr>
            <w:tcW w:w="900" w:type="dxa"/>
          </w:tcPr>
          <w:p>
            <w:pPr>
              <w:pStyle w:val="TableParagraph"/>
              <w:spacing w:line="174" w:lineRule="exact"/>
              <w:ind w:left="212"/>
              <w:jc w:val="left"/>
              <w:rPr>
                <w:sz w:val="16"/>
              </w:rPr>
            </w:pPr>
            <w:r>
              <w:rPr>
                <w:spacing w:val="-2"/>
                <w:sz w:val="16"/>
              </w:rPr>
              <w:t>30±0.0</w:t>
            </w:r>
          </w:p>
        </w:tc>
        <w:tc>
          <w:tcPr>
            <w:tcW w:w="854" w:type="dxa"/>
          </w:tcPr>
          <w:p>
            <w:pPr>
              <w:pStyle w:val="TableParagraph"/>
              <w:spacing w:line="174" w:lineRule="exact"/>
              <w:ind w:left="210"/>
              <w:jc w:val="left"/>
              <w:rPr>
                <w:sz w:val="16"/>
              </w:rPr>
            </w:pPr>
            <w:r>
              <w:rPr>
                <w:spacing w:val="-2"/>
                <w:sz w:val="16"/>
              </w:rPr>
              <w:t>15±3.8</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14±1.0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94" w:hRule="atLeast"/>
        </w:trPr>
        <w:tc>
          <w:tcPr>
            <w:tcW w:w="801" w:type="dxa"/>
          </w:tcPr>
          <w:p>
            <w:pPr>
              <w:pStyle w:val="TableParagraph"/>
              <w:spacing w:line="174" w:lineRule="exact"/>
              <w:ind w:left="105"/>
              <w:jc w:val="left"/>
              <w:rPr>
                <w:sz w:val="16"/>
              </w:rPr>
            </w:pPr>
            <w:r>
              <w:rPr>
                <w:spacing w:val="-4"/>
                <w:sz w:val="16"/>
              </w:rPr>
              <w:t>B36s</w:t>
            </w:r>
          </w:p>
        </w:tc>
        <w:tc>
          <w:tcPr>
            <w:tcW w:w="1027" w:type="dxa"/>
          </w:tcPr>
          <w:p>
            <w:pPr>
              <w:pStyle w:val="TableParagraph"/>
              <w:spacing w:line="174" w:lineRule="exact"/>
              <w:ind w:left="206"/>
              <w:jc w:val="left"/>
              <w:rPr>
                <w:sz w:val="16"/>
              </w:rPr>
            </w:pPr>
            <w:r>
              <w:rPr>
                <w:spacing w:val="-2"/>
                <w:sz w:val="16"/>
              </w:rPr>
              <w:t>0.0±0.0</w:t>
            </w:r>
          </w:p>
        </w:tc>
        <w:tc>
          <w:tcPr>
            <w:tcW w:w="902" w:type="dxa"/>
          </w:tcPr>
          <w:p>
            <w:pPr>
              <w:pStyle w:val="TableParagraph"/>
              <w:spacing w:line="174" w:lineRule="exact"/>
              <w:ind w:left="260"/>
              <w:jc w:val="left"/>
              <w:rPr>
                <w:sz w:val="16"/>
              </w:rPr>
            </w:pPr>
            <w:r>
              <w:rPr>
                <w:spacing w:val="-2"/>
                <w:sz w:val="16"/>
              </w:rPr>
              <w:t>0.0±0.0</w:t>
            </w:r>
          </w:p>
        </w:tc>
        <w:tc>
          <w:tcPr>
            <w:tcW w:w="763" w:type="dxa"/>
          </w:tcPr>
          <w:p>
            <w:pPr>
              <w:pStyle w:val="TableParagraph"/>
              <w:spacing w:line="174" w:lineRule="exact"/>
              <w:ind w:left="164"/>
              <w:jc w:val="left"/>
              <w:rPr>
                <w:sz w:val="16"/>
              </w:rPr>
            </w:pPr>
            <w:r>
              <w:rPr>
                <w:spacing w:val="-2"/>
                <w:sz w:val="16"/>
              </w:rPr>
              <w:t>0.0±0.0</w:t>
            </w:r>
          </w:p>
        </w:tc>
        <w:tc>
          <w:tcPr>
            <w:tcW w:w="720" w:type="dxa"/>
          </w:tcPr>
          <w:p>
            <w:pPr>
              <w:pStyle w:val="TableParagraph"/>
              <w:spacing w:line="174" w:lineRule="exact"/>
              <w:ind w:left="121"/>
              <w:jc w:val="left"/>
              <w:rPr>
                <w:sz w:val="16"/>
              </w:rPr>
            </w:pPr>
            <w:r>
              <w:rPr>
                <w:spacing w:val="-2"/>
                <w:sz w:val="16"/>
              </w:rPr>
              <w:t>15±3.6</w:t>
            </w:r>
          </w:p>
        </w:tc>
        <w:tc>
          <w:tcPr>
            <w:tcW w:w="811" w:type="dxa"/>
          </w:tcPr>
          <w:p>
            <w:pPr>
              <w:pStyle w:val="TableParagraph"/>
              <w:spacing w:line="174" w:lineRule="exact"/>
              <w:ind w:left="121"/>
              <w:jc w:val="left"/>
              <w:rPr>
                <w:sz w:val="16"/>
              </w:rPr>
            </w:pPr>
            <w:r>
              <w:rPr>
                <w:spacing w:val="-2"/>
                <w:sz w:val="16"/>
              </w:rPr>
              <w:t>21±1.0</w:t>
            </w:r>
          </w:p>
        </w:tc>
        <w:tc>
          <w:tcPr>
            <w:tcW w:w="900" w:type="dxa"/>
          </w:tcPr>
          <w:p>
            <w:pPr>
              <w:pStyle w:val="TableParagraph"/>
              <w:spacing w:line="174" w:lineRule="exact"/>
              <w:ind w:left="212"/>
              <w:jc w:val="left"/>
              <w:rPr>
                <w:sz w:val="16"/>
              </w:rPr>
            </w:pPr>
            <w:r>
              <w:rPr>
                <w:spacing w:val="-2"/>
                <w:sz w:val="16"/>
              </w:rPr>
              <w:t>27±2.8</w:t>
            </w:r>
          </w:p>
        </w:tc>
        <w:tc>
          <w:tcPr>
            <w:tcW w:w="854" w:type="dxa"/>
          </w:tcPr>
          <w:p>
            <w:pPr>
              <w:pStyle w:val="TableParagraph"/>
              <w:spacing w:line="174" w:lineRule="exact"/>
              <w:ind w:left="210"/>
              <w:jc w:val="left"/>
              <w:rPr>
                <w:sz w:val="16"/>
              </w:rPr>
            </w:pPr>
            <w:r>
              <w:rPr>
                <w:spacing w:val="-2"/>
                <w:sz w:val="16"/>
              </w:rPr>
              <w:t>0.0±0.0</w:t>
            </w:r>
          </w:p>
        </w:tc>
        <w:tc>
          <w:tcPr>
            <w:tcW w:w="856" w:type="dxa"/>
          </w:tcPr>
          <w:p>
            <w:pPr>
              <w:pStyle w:val="TableParagraph"/>
              <w:spacing w:line="174" w:lineRule="exact"/>
              <w:ind w:left="167"/>
              <w:jc w:val="left"/>
              <w:rPr>
                <w:sz w:val="16"/>
              </w:rPr>
            </w:pPr>
            <w:r>
              <w:rPr>
                <w:spacing w:val="-2"/>
                <w:sz w:val="16"/>
              </w:rPr>
              <w:t>0.0±0.0</w:t>
            </w:r>
          </w:p>
        </w:tc>
        <w:tc>
          <w:tcPr>
            <w:tcW w:w="854" w:type="dxa"/>
          </w:tcPr>
          <w:p>
            <w:pPr>
              <w:pStyle w:val="TableParagraph"/>
              <w:spacing w:line="174" w:lineRule="exact"/>
              <w:ind w:left="213"/>
              <w:jc w:val="left"/>
              <w:rPr>
                <w:sz w:val="16"/>
              </w:rPr>
            </w:pPr>
            <w:r>
              <w:rPr>
                <w:spacing w:val="-2"/>
                <w:sz w:val="16"/>
              </w:rPr>
              <w:t>0.0±0.0</w:t>
            </w:r>
          </w:p>
        </w:tc>
        <w:tc>
          <w:tcPr>
            <w:tcW w:w="854" w:type="dxa"/>
          </w:tcPr>
          <w:p>
            <w:pPr>
              <w:pStyle w:val="TableParagraph"/>
              <w:spacing w:line="174" w:lineRule="exact"/>
              <w:ind w:left="166"/>
              <w:jc w:val="left"/>
              <w:rPr>
                <w:sz w:val="16"/>
              </w:rPr>
            </w:pPr>
            <w:r>
              <w:rPr>
                <w:spacing w:val="-2"/>
                <w:sz w:val="16"/>
              </w:rPr>
              <w:t>0.0±0.0</w:t>
            </w:r>
          </w:p>
        </w:tc>
        <w:tc>
          <w:tcPr>
            <w:tcW w:w="856" w:type="dxa"/>
          </w:tcPr>
          <w:p>
            <w:pPr>
              <w:pStyle w:val="TableParagraph"/>
              <w:spacing w:line="174" w:lineRule="exact"/>
              <w:ind w:left="214"/>
              <w:jc w:val="left"/>
              <w:rPr>
                <w:sz w:val="16"/>
              </w:rPr>
            </w:pPr>
            <w:r>
              <w:rPr>
                <w:spacing w:val="-2"/>
                <w:sz w:val="16"/>
              </w:rPr>
              <w:t>0.0±0.0</w:t>
            </w:r>
          </w:p>
        </w:tc>
        <w:tc>
          <w:tcPr>
            <w:tcW w:w="866" w:type="dxa"/>
          </w:tcPr>
          <w:p>
            <w:pPr>
              <w:pStyle w:val="TableParagraph"/>
              <w:spacing w:line="174" w:lineRule="exact"/>
              <w:ind w:left="170"/>
              <w:jc w:val="left"/>
              <w:rPr>
                <w:sz w:val="16"/>
              </w:rPr>
            </w:pPr>
            <w:r>
              <w:rPr>
                <w:spacing w:val="-2"/>
                <w:sz w:val="16"/>
              </w:rPr>
              <w:t>0.0±0.0</w:t>
            </w:r>
          </w:p>
        </w:tc>
      </w:tr>
      <w:tr>
        <w:trPr>
          <w:trHeight w:val="177" w:hRule="atLeast"/>
        </w:trPr>
        <w:tc>
          <w:tcPr>
            <w:tcW w:w="801" w:type="dxa"/>
          </w:tcPr>
          <w:p>
            <w:pPr>
              <w:pStyle w:val="TableParagraph"/>
              <w:spacing w:line="158" w:lineRule="exact"/>
              <w:ind w:left="105"/>
              <w:jc w:val="left"/>
              <w:rPr>
                <w:sz w:val="16"/>
              </w:rPr>
            </w:pPr>
            <w:r>
              <w:rPr>
                <w:spacing w:val="-5"/>
                <w:sz w:val="16"/>
              </w:rPr>
              <w:t>B7e</w:t>
            </w:r>
          </w:p>
        </w:tc>
        <w:tc>
          <w:tcPr>
            <w:tcW w:w="1027" w:type="dxa"/>
          </w:tcPr>
          <w:p>
            <w:pPr>
              <w:pStyle w:val="TableParagraph"/>
              <w:spacing w:line="158" w:lineRule="exact"/>
              <w:ind w:left="206"/>
              <w:jc w:val="left"/>
              <w:rPr>
                <w:sz w:val="16"/>
              </w:rPr>
            </w:pPr>
            <w:r>
              <w:rPr>
                <w:spacing w:val="-2"/>
                <w:sz w:val="16"/>
              </w:rPr>
              <w:t>0.0±0.0</w:t>
            </w:r>
          </w:p>
        </w:tc>
        <w:tc>
          <w:tcPr>
            <w:tcW w:w="902" w:type="dxa"/>
          </w:tcPr>
          <w:p>
            <w:pPr>
              <w:pStyle w:val="TableParagraph"/>
              <w:spacing w:line="158" w:lineRule="exact"/>
              <w:ind w:left="260"/>
              <w:jc w:val="left"/>
              <w:rPr>
                <w:sz w:val="16"/>
              </w:rPr>
            </w:pPr>
            <w:r>
              <w:rPr>
                <w:spacing w:val="-2"/>
                <w:sz w:val="16"/>
              </w:rPr>
              <w:t>0.0±0.0</w:t>
            </w:r>
          </w:p>
        </w:tc>
        <w:tc>
          <w:tcPr>
            <w:tcW w:w="763" w:type="dxa"/>
          </w:tcPr>
          <w:p>
            <w:pPr>
              <w:pStyle w:val="TableParagraph"/>
              <w:spacing w:line="158" w:lineRule="exact"/>
              <w:ind w:left="164"/>
              <w:jc w:val="left"/>
              <w:rPr>
                <w:sz w:val="16"/>
              </w:rPr>
            </w:pPr>
            <w:r>
              <w:rPr>
                <w:spacing w:val="-2"/>
                <w:sz w:val="16"/>
              </w:rPr>
              <w:t>13±1.0</w:t>
            </w:r>
          </w:p>
        </w:tc>
        <w:tc>
          <w:tcPr>
            <w:tcW w:w="720" w:type="dxa"/>
          </w:tcPr>
          <w:p>
            <w:pPr>
              <w:pStyle w:val="TableParagraph"/>
              <w:spacing w:line="158" w:lineRule="exact"/>
              <w:ind w:left="121"/>
              <w:jc w:val="left"/>
              <w:rPr>
                <w:sz w:val="16"/>
              </w:rPr>
            </w:pPr>
            <w:r>
              <w:rPr>
                <w:spacing w:val="-2"/>
                <w:sz w:val="16"/>
              </w:rPr>
              <w:t>18±2.2</w:t>
            </w:r>
          </w:p>
        </w:tc>
        <w:tc>
          <w:tcPr>
            <w:tcW w:w="811" w:type="dxa"/>
          </w:tcPr>
          <w:p>
            <w:pPr>
              <w:pStyle w:val="TableParagraph"/>
              <w:spacing w:line="158" w:lineRule="exact"/>
              <w:ind w:left="121"/>
              <w:jc w:val="left"/>
              <w:rPr>
                <w:sz w:val="16"/>
              </w:rPr>
            </w:pPr>
            <w:r>
              <w:rPr>
                <w:spacing w:val="-2"/>
                <w:sz w:val="16"/>
              </w:rPr>
              <w:t>0.0±0.0</w:t>
            </w:r>
          </w:p>
        </w:tc>
        <w:tc>
          <w:tcPr>
            <w:tcW w:w="900" w:type="dxa"/>
          </w:tcPr>
          <w:p>
            <w:pPr>
              <w:pStyle w:val="TableParagraph"/>
              <w:spacing w:line="158" w:lineRule="exact"/>
              <w:ind w:left="212"/>
              <w:jc w:val="left"/>
              <w:rPr>
                <w:sz w:val="16"/>
              </w:rPr>
            </w:pPr>
            <w:r>
              <w:rPr>
                <w:spacing w:val="-2"/>
                <w:sz w:val="16"/>
              </w:rPr>
              <w:t>26±1.4</w:t>
            </w:r>
          </w:p>
        </w:tc>
        <w:tc>
          <w:tcPr>
            <w:tcW w:w="854" w:type="dxa"/>
          </w:tcPr>
          <w:p>
            <w:pPr>
              <w:pStyle w:val="TableParagraph"/>
              <w:spacing w:line="158" w:lineRule="exact"/>
              <w:ind w:left="210"/>
              <w:jc w:val="left"/>
              <w:rPr>
                <w:sz w:val="16"/>
              </w:rPr>
            </w:pPr>
            <w:r>
              <w:rPr>
                <w:spacing w:val="-2"/>
                <w:sz w:val="16"/>
              </w:rPr>
              <w:t>15±1.0</w:t>
            </w:r>
          </w:p>
        </w:tc>
        <w:tc>
          <w:tcPr>
            <w:tcW w:w="856" w:type="dxa"/>
          </w:tcPr>
          <w:p>
            <w:pPr>
              <w:pStyle w:val="TableParagraph"/>
              <w:spacing w:line="158" w:lineRule="exact"/>
              <w:ind w:left="167"/>
              <w:jc w:val="left"/>
              <w:rPr>
                <w:sz w:val="16"/>
              </w:rPr>
            </w:pPr>
            <w:r>
              <w:rPr>
                <w:spacing w:val="-2"/>
                <w:sz w:val="16"/>
              </w:rPr>
              <w:t>0.0±0.0</w:t>
            </w:r>
          </w:p>
        </w:tc>
        <w:tc>
          <w:tcPr>
            <w:tcW w:w="854" w:type="dxa"/>
          </w:tcPr>
          <w:p>
            <w:pPr>
              <w:pStyle w:val="TableParagraph"/>
              <w:spacing w:line="158" w:lineRule="exact"/>
              <w:ind w:left="213"/>
              <w:jc w:val="left"/>
              <w:rPr>
                <w:sz w:val="16"/>
              </w:rPr>
            </w:pPr>
            <w:r>
              <w:rPr>
                <w:spacing w:val="-2"/>
                <w:sz w:val="16"/>
              </w:rPr>
              <w:t>0.0±0.0</w:t>
            </w:r>
          </w:p>
        </w:tc>
        <w:tc>
          <w:tcPr>
            <w:tcW w:w="854" w:type="dxa"/>
          </w:tcPr>
          <w:p>
            <w:pPr>
              <w:pStyle w:val="TableParagraph"/>
              <w:spacing w:line="158" w:lineRule="exact"/>
              <w:ind w:left="166"/>
              <w:jc w:val="left"/>
              <w:rPr>
                <w:sz w:val="16"/>
              </w:rPr>
            </w:pPr>
            <w:r>
              <w:rPr>
                <w:spacing w:val="-2"/>
                <w:sz w:val="16"/>
              </w:rPr>
              <w:t>0.0±0.0</w:t>
            </w:r>
          </w:p>
        </w:tc>
        <w:tc>
          <w:tcPr>
            <w:tcW w:w="856" w:type="dxa"/>
          </w:tcPr>
          <w:p>
            <w:pPr>
              <w:pStyle w:val="TableParagraph"/>
              <w:spacing w:line="158" w:lineRule="exact"/>
              <w:ind w:left="214"/>
              <w:jc w:val="left"/>
              <w:rPr>
                <w:sz w:val="16"/>
              </w:rPr>
            </w:pPr>
            <w:r>
              <w:rPr>
                <w:spacing w:val="-2"/>
                <w:sz w:val="16"/>
              </w:rPr>
              <w:t>19±2.2</w:t>
            </w:r>
          </w:p>
        </w:tc>
        <w:tc>
          <w:tcPr>
            <w:tcW w:w="866" w:type="dxa"/>
          </w:tcPr>
          <w:p>
            <w:pPr>
              <w:pStyle w:val="TableParagraph"/>
              <w:spacing w:line="158" w:lineRule="exact"/>
              <w:ind w:left="170"/>
              <w:jc w:val="left"/>
              <w:rPr>
                <w:sz w:val="16"/>
              </w:rPr>
            </w:pPr>
            <w:r>
              <w:rPr>
                <w:spacing w:val="-2"/>
                <w:sz w:val="16"/>
              </w:rPr>
              <w:t>0.0±0.0</w:t>
            </w:r>
          </w:p>
        </w:tc>
      </w:tr>
    </w:tbl>
    <w:p>
      <w:pPr>
        <w:spacing w:after="0" w:line="158" w:lineRule="exact"/>
        <w:jc w:val="left"/>
        <w:rPr>
          <w:sz w:val="16"/>
        </w:rPr>
        <w:sectPr>
          <w:pgSz w:w="12240" w:h="15840"/>
          <w:pgMar w:header="0" w:footer="1017" w:top="1420" w:bottom="1200" w:left="520" w:right="260"/>
        </w:sectPr>
      </w:pPr>
    </w:p>
    <w:p>
      <w:pPr>
        <w:pStyle w:val="BodyText"/>
        <w:spacing w:before="5"/>
        <w:rPr>
          <w:b/>
          <w:sz w:val="2"/>
        </w:rPr>
      </w:pPr>
    </w:p>
    <w:tbl>
      <w:tblPr>
        <w:tblW w:w="0" w:type="auto"/>
        <w:jc w:val="left"/>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5"/>
        <w:gridCol w:w="1066"/>
        <w:gridCol w:w="943"/>
        <w:gridCol w:w="763"/>
        <w:gridCol w:w="720"/>
        <w:gridCol w:w="811"/>
        <w:gridCol w:w="881"/>
        <w:gridCol w:w="874"/>
        <w:gridCol w:w="857"/>
        <w:gridCol w:w="855"/>
        <w:gridCol w:w="855"/>
        <w:gridCol w:w="857"/>
        <w:gridCol w:w="738"/>
      </w:tblGrid>
      <w:tr>
        <w:trPr>
          <w:trHeight w:val="177" w:hRule="atLeast"/>
        </w:trPr>
        <w:tc>
          <w:tcPr>
            <w:tcW w:w="665" w:type="dxa"/>
          </w:tcPr>
          <w:p>
            <w:pPr>
              <w:pStyle w:val="TableParagraph"/>
              <w:spacing w:line="158" w:lineRule="exact"/>
              <w:ind w:left="50"/>
              <w:jc w:val="left"/>
              <w:rPr>
                <w:sz w:val="16"/>
              </w:rPr>
            </w:pPr>
            <w:r>
              <w:rPr>
                <w:spacing w:val="-4"/>
                <w:sz w:val="16"/>
              </w:rPr>
              <w:t>S25e</w:t>
            </w:r>
          </w:p>
        </w:tc>
        <w:tc>
          <w:tcPr>
            <w:tcW w:w="1066" w:type="dxa"/>
          </w:tcPr>
          <w:p>
            <w:pPr>
              <w:pStyle w:val="TableParagraph"/>
              <w:spacing w:line="158" w:lineRule="exact"/>
              <w:ind w:left="39" w:right="49"/>
              <w:rPr>
                <w:sz w:val="16"/>
              </w:rPr>
            </w:pPr>
            <w:r>
              <w:rPr>
                <w:spacing w:val="-2"/>
                <w:sz w:val="16"/>
              </w:rPr>
              <w:t>0.0±0.0</w:t>
            </w:r>
          </w:p>
        </w:tc>
        <w:tc>
          <w:tcPr>
            <w:tcW w:w="943" w:type="dxa"/>
          </w:tcPr>
          <w:p>
            <w:pPr>
              <w:pStyle w:val="TableParagraph"/>
              <w:spacing w:line="158" w:lineRule="exact"/>
              <w:ind w:right="161"/>
              <w:jc w:val="right"/>
              <w:rPr>
                <w:sz w:val="16"/>
              </w:rPr>
            </w:pPr>
            <w:r>
              <w:rPr>
                <w:spacing w:val="-2"/>
                <w:sz w:val="16"/>
              </w:rPr>
              <w:t>0.0±0.0</w:t>
            </w:r>
          </w:p>
        </w:tc>
        <w:tc>
          <w:tcPr>
            <w:tcW w:w="763" w:type="dxa"/>
          </w:tcPr>
          <w:p>
            <w:pPr>
              <w:pStyle w:val="TableParagraph"/>
              <w:spacing w:line="158" w:lineRule="exact"/>
              <w:ind w:left="45"/>
              <w:rPr>
                <w:sz w:val="16"/>
              </w:rPr>
            </w:pPr>
            <w:r>
              <w:rPr>
                <w:spacing w:val="-2"/>
                <w:sz w:val="16"/>
              </w:rPr>
              <w:t>0.0±0.0</w:t>
            </w:r>
          </w:p>
        </w:tc>
        <w:tc>
          <w:tcPr>
            <w:tcW w:w="720" w:type="dxa"/>
          </w:tcPr>
          <w:p>
            <w:pPr>
              <w:pStyle w:val="TableParagraph"/>
              <w:spacing w:line="158" w:lineRule="exact"/>
              <w:ind w:left="38" w:right="72"/>
              <w:rPr>
                <w:sz w:val="16"/>
              </w:rPr>
            </w:pPr>
            <w:r>
              <w:rPr>
                <w:spacing w:val="-2"/>
                <w:sz w:val="16"/>
              </w:rPr>
              <w:t>15±1.0</w:t>
            </w:r>
          </w:p>
        </w:tc>
        <w:tc>
          <w:tcPr>
            <w:tcW w:w="811" w:type="dxa"/>
          </w:tcPr>
          <w:p>
            <w:pPr>
              <w:pStyle w:val="TableParagraph"/>
              <w:spacing w:line="158" w:lineRule="exact"/>
              <w:ind w:left="121"/>
              <w:jc w:val="left"/>
              <w:rPr>
                <w:sz w:val="16"/>
              </w:rPr>
            </w:pPr>
            <w:r>
              <w:rPr>
                <w:spacing w:val="-2"/>
                <w:sz w:val="16"/>
              </w:rPr>
              <w:t>0.0±0.0</w:t>
            </w:r>
          </w:p>
        </w:tc>
        <w:tc>
          <w:tcPr>
            <w:tcW w:w="881" w:type="dxa"/>
          </w:tcPr>
          <w:p>
            <w:pPr>
              <w:pStyle w:val="TableParagraph"/>
              <w:spacing w:line="158" w:lineRule="exact"/>
              <w:ind w:right="12"/>
              <w:rPr>
                <w:sz w:val="16"/>
              </w:rPr>
            </w:pPr>
            <w:r>
              <w:rPr>
                <w:spacing w:val="-2"/>
                <w:sz w:val="16"/>
              </w:rPr>
              <w:t>25±1.0</w:t>
            </w:r>
          </w:p>
        </w:tc>
        <w:tc>
          <w:tcPr>
            <w:tcW w:w="874" w:type="dxa"/>
          </w:tcPr>
          <w:p>
            <w:pPr>
              <w:pStyle w:val="TableParagraph"/>
              <w:spacing w:line="158" w:lineRule="exact"/>
              <w:ind w:left="64"/>
              <w:rPr>
                <w:sz w:val="16"/>
              </w:rPr>
            </w:pPr>
            <w:r>
              <w:rPr>
                <w:spacing w:val="-2"/>
                <w:sz w:val="16"/>
              </w:rPr>
              <w:t>0.0±0.0</w:t>
            </w:r>
          </w:p>
        </w:tc>
        <w:tc>
          <w:tcPr>
            <w:tcW w:w="857" w:type="dxa"/>
          </w:tcPr>
          <w:p>
            <w:pPr>
              <w:pStyle w:val="TableParagraph"/>
              <w:spacing w:line="158" w:lineRule="exact"/>
              <w:ind w:left="166"/>
              <w:jc w:val="left"/>
              <w:rPr>
                <w:sz w:val="16"/>
              </w:rPr>
            </w:pPr>
            <w:r>
              <w:rPr>
                <w:spacing w:val="-2"/>
                <w:sz w:val="16"/>
              </w:rPr>
              <w:t>0.0±0.0</w:t>
            </w:r>
          </w:p>
        </w:tc>
        <w:tc>
          <w:tcPr>
            <w:tcW w:w="855" w:type="dxa"/>
          </w:tcPr>
          <w:p>
            <w:pPr>
              <w:pStyle w:val="TableParagraph"/>
              <w:spacing w:line="158" w:lineRule="exact"/>
              <w:ind w:left="133" w:right="85"/>
              <w:rPr>
                <w:sz w:val="16"/>
              </w:rPr>
            </w:pPr>
            <w:r>
              <w:rPr>
                <w:spacing w:val="-2"/>
                <w:sz w:val="16"/>
              </w:rPr>
              <w:t>0.0±0.0</w:t>
            </w:r>
          </w:p>
        </w:tc>
        <w:tc>
          <w:tcPr>
            <w:tcW w:w="855" w:type="dxa"/>
          </w:tcPr>
          <w:p>
            <w:pPr>
              <w:pStyle w:val="TableParagraph"/>
              <w:spacing w:line="158" w:lineRule="exact"/>
              <w:ind w:left="48" w:right="94"/>
              <w:rPr>
                <w:sz w:val="16"/>
              </w:rPr>
            </w:pPr>
            <w:r>
              <w:rPr>
                <w:spacing w:val="-2"/>
                <w:sz w:val="16"/>
              </w:rPr>
              <w:t>0.0±0.0</w:t>
            </w:r>
          </w:p>
        </w:tc>
        <w:tc>
          <w:tcPr>
            <w:tcW w:w="857" w:type="dxa"/>
          </w:tcPr>
          <w:p>
            <w:pPr>
              <w:pStyle w:val="TableParagraph"/>
              <w:spacing w:line="158" w:lineRule="exact"/>
              <w:ind w:left="43"/>
              <w:rPr>
                <w:sz w:val="16"/>
              </w:rPr>
            </w:pPr>
            <w:r>
              <w:rPr>
                <w:spacing w:val="-2"/>
                <w:sz w:val="16"/>
              </w:rPr>
              <w:t>0.0±0.0</w:t>
            </w:r>
          </w:p>
        </w:tc>
        <w:tc>
          <w:tcPr>
            <w:tcW w:w="738" w:type="dxa"/>
          </w:tcPr>
          <w:p>
            <w:pPr>
              <w:pStyle w:val="TableParagraph"/>
              <w:spacing w:line="158"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S47e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18±0.0</w:t>
            </w:r>
          </w:p>
        </w:tc>
        <w:tc>
          <w:tcPr>
            <w:tcW w:w="720" w:type="dxa"/>
          </w:tcPr>
          <w:p>
            <w:pPr>
              <w:pStyle w:val="TableParagraph"/>
              <w:spacing w:line="174" w:lineRule="exact"/>
              <w:ind w:left="38" w:right="72"/>
              <w:rPr>
                <w:sz w:val="16"/>
              </w:rPr>
            </w:pPr>
            <w:r>
              <w:rPr>
                <w:spacing w:val="-2"/>
                <w:sz w:val="16"/>
              </w:rPr>
              <w:t>17±1.0</w:t>
            </w:r>
          </w:p>
        </w:tc>
        <w:tc>
          <w:tcPr>
            <w:tcW w:w="811" w:type="dxa"/>
          </w:tcPr>
          <w:p>
            <w:pPr>
              <w:pStyle w:val="TableParagraph"/>
              <w:spacing w:line="174" w:lineRule="exact"/>
              <w:ind w:left="121"/>
              <w:jc w:val="left"/>
              <w:rPr>
                <w:sz w:val="16"/>
              </w:rPr>
            </w:pPr>
            <w:r>
              <w:rPr>
                <w:spacing w:val="-2"/>
                <w:sz w:val="16"/>
              </w:rPr>
              <w:t>23±1.0</w:t>
            </w:r>
          </w:p>
        </w:tc>
        <w:tc>
          <w:tcPr>
            <w:tcW w:w="881" w:type="dxa"/>
          </w:tcPr>
          <w:p>
            <w:pPr>
              <w:pStyle w:val="TableParagraph"/>
              <w:spacing w:line="174" w:lineRule="exact"/>
              <w:ind w:right="12"/>
              <w:rPr>
                <w:sz w:val="16"/>
              </w:rPr>
            </w:pPr>
            <w:r>
              <w:rPr>
                <w:spacing w:val="-2"/>
                <w:sz w:val="16"/>
              </w:rPr>
              <w:t>31±1.0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16±1.0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S48e</w:t>
            </w:r>
          </w:p>
        </w:tc>
        <w:tc>
          <w:tcPr>
            <w:tcW w:w="1066" w:type="dxa"/>
          </w:tcPr>
          <w:p>
            <w:pPr>
              <w:pStyle w:val="TableParagraph"/>
              <w:spacing w:line="174" w:lineRule="exact"/>
              <w:ind w:right="49"/>
              <w:rPr>
                <w:sz w:val="16"/>
              </w:rPr>
            </w:pPr>
            <w:r>
              <w:rPr>
                <w:spacing w:val="-2"/>
                <w:sz w:val="16"/>
              </w:rPr>
              <w:t>13±1.0</w:t>
            </w:r>
          </w:p>
        </w:tc>
        <w:tc>
          <w:tcPr>
            <w:tcW w:w="943" w:type="dxa"/>
          </w:tcPr>
          <w:p>
            <w:pPr>
              <w:pStyle w:val="TableParagraph"/>
              <w:spacing w:line="174" w:lineRule="exact"/>
              <w:ind w:right="199"/>
              <w:jc w:val="right"/>
              <w:rPr>
                <w:sz w:val="16"/>
              </w:rPr>
            </w:pPr>
            <w:r>
              <w:rPr>
                <w:spacing w:val="-2"/>
                <w:sz w:val="16"/>
              </w:rPr>
              <w:t>24±1.4</w:t>
            </w:r>
          </w:p>
        </w:tc>
        <w:tc>
          <w:tcPr>
            <w:tcW w:w="763" w:type="dxa"/>
          </w:tcPr>
          <w:p>
            <w:pPr>
              <w:pStyle w:val="TableParagraph"/>
              <w:spacing w:line="174" w:lineRule="exact"/>
              <w:ind w:left="45" w:right="39"/>
              <w:rPr>
                <w:sz w:val="16"/>
              </w:rPr>
            </w:pPr>
            <w:r>
              <w:rPr>
                <w:spacing w:val="-2"/>
                <w:sz w:val="16"/>
              </w:rPr>
              <w:t>13±1.0</w:t>
            </w:r>
          </w:p>
        </w:tc>
        <w:tc>
          <w:tcPr>
            <w:tcW w:w="720" w:type="dxa"/>
          </w:tcPr>
          <w:p>
            <w:pPr>
              <w:pStyle w:val="TableParagraph"/>
              <w:spacing w:line="174" w:lineRule="exact"/>
              <w:ind w:left="38" w:right="72"/>
              <w:rPr>
                <w:sz w:val="16"/>
              </w:rPr>
            </w:pPr>
            <w:r>
              <w:rPr>
                <w:spacing w:val="-2"/>
                <w:sz w:val="16"/>
              </w:rPr>
              <w:t>15±6.0</w:t>
            </w:r>
          </w:p>
        </w:tc>
        <w:tc>
          <w:tcPr>
            <w:tcW w:w="811" w:type="dxa"/>
          </w:tcPr>
          <w:p>
            <w:pPr>
              <w:pStyle w:val="TableParagraph"/>
              <w:spacing w:line="174" w:lineRule="exact"/>
              <w:ind w:left="121"/>
              <w:jc w:val="left"/>
              <w:rPr>
                <w:sz w:val="16"/>
              </w:rPr>
            </w:pPr>
            <w:r>
              <w:rPr>
                <w:spacing w:val="-2"/>
                <w:sz w:val="16"/>
              </w:rPr>
              <w:t>22±0.0</w:t>
            </w:r>
          </w:p>
        </w:tc>
        <w:tc>
          <w:tcPr>
            <w:tcW w:w="881" w:type="dxa"/>
          </w:tcPr>
          <w:p>
            <w:pPr>
              <w:pStyle w:val="TableParagraph"/>
              <w:spacing w:line="174" w:lineRule="exact"/>
              <w:ind w:right="12"/>
              <w:rPr>
                <w:sz w:val="16"/>
              </w:rPr>
            </w:pPr>
            <w:r>
              <w:rPr>
                <w:spacing w:val="-2"/>
                <w:sz w:val="16"/>
              </w:rPr>
              <w:t>28±0.0</w:t>
            </w:r>
          </w:p>
        </w:tc>
        <w:tc>
          <w:tcPr>
            <w:tcW w:w="874" w:type="dxa"/>
          </w:tcPr>
          <w:p>
            <w:pPr>
              <w:pStyle w:val="TableParagraph"/>
              <w:spacing w:line="174" w:lineRule="exact"/>
              <w:ind w:left="64" w:right="39"/>
              <w:rPr>
                <w:sz w:val="16"/>
              </w:rPr>
            </w:pPr>
            <w:r>
              <w:rPr>
                <w:spacing w:val="-2"/>
                <w:sz w:val="16"/>
              </w:rPr>
              <w:t>13±0.0</w:t>
            </w:r>
          </w:p>
        </w:tc>
        <w:tc>
          <w:tcPr>
            <w:tcW w:w="857" w:type="dxa"/>
          </w:tcPr>
          <w:p>
            <w:pPr>
              <w:pStyle w:val="TableParagraph"/>
              <w:spacing w:line="174" w:lineRule="exact"/>
              <w:ind w:left="166"/>
              <w:jc w:val="left"/>
              <w:rPr>
                <w:sz w:val="16"/>
              </w:rPr>
            </w:pPr>
            <w:r>
              <w:rPr>
                <w:spacing w:val="-2"/>
                <w:sz w:val="16"/>
              </w:rPr>
              <w:t>14±1.0</w:t>
            </w:r>
          </w:p>
        </w:tc>
        <w:tc>
          <w:tcPr>
            <w:tcW w:w="855" w:type="dxa"/>
          </w:tcPr>
          <w:p>
            <w:pPr>
              <w:pStyle w:val="TableParagraph"/>
              <w:spacing w:line="174" w:lineRule="exact"/>
              <w:ind w:left="94" w:right="85"/>
              <w:rPr>
                <w:sz w:val="16"/>
              </w:rPr>
            </w:pPr>
            <w:r>
              <w:rPr>
                <w:spacing w:val="-2"/>
                <w:sz w:val="16"/>
              </w:rPr>
              <w:t>15±0.0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13±0.0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S44s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12±2.2</w:t>
            </w:r>
          </w:p>
        </w:tc>
        <w:tc>
          <w:tcPr>
            <w:tcW w:w="720" w:type="dxa"/>
          </w:tcPr>
          <w:p>
            <w:pPr>
              <w:pStyle w:val="TableParagraph"/>
              <w:spacing w:line="177" w:lineRule="exact"/>
              <w:ind w:left="38" w:right="72"/>
              <w:rPr>
                <w:sz w:val="16"/>
              </w:rPr>
            </w:pPr>
            <w:r>
              <w:rPr>
                <w:spacing w:val="-2"/>
                <w:sz w:val="16"/>
              </w:rPr>
              <w:t>17±1.4</w:t>
            </w:r>
          </w:p>
        </w:tc>
        <w:tc>
          <w:tcPr>
            <w:tcW w:w="811" w:type="dxa"/>
          </w:tcPr>
          <w:p>
            <w:pPr>
              <w:pStyle w:val="TableParagraph"/>
              <w:spacing w:line="177" w:lineRule="exact"/>
              <w:ind w:left="121"/>
              <w:jc w:val="left"/>
              <w:rPr>
                <w:sz w:val="16"/>
              </w:rPr>
            </w:pPr>
            <w:r>
              <w:rPr>
                <w:spacing w:val="-2"/>
                <w:sz w:val="16"/>
              </w:rPr>
              <w:t>21±1.0</w:t>
            </w:r>
          </w:p>
        </w:tc>
        <w:tc>
          <w:tcPr>
            <w:tcW w:w="881" w:type="dxa"/>
          </w:tcPr>
          <w:p>
            <w:pPr>
              <w:pStyle w:val="TableParagraph"/>
              <w:spacing w:line="177" w:lineRule="exact"/>
              <w:ind w:right="12"/>
              <w:rPr>
                <w:sz w:val="16"/>
              </w:rPr>
            </w:pPr>
            <w:r>
              <w:rPr>
                <w:spacing w:val="-2"/>
                <w:sz w:val="16"/>
              </w:rPr>
              <w:t>26±1.4</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11±1.0</w:t>
            </w:r>
          </w:p>
        </w:tc>
        <w:tc>
          <w:tcPr>
            <w:tcW w:w="855" w:type="dxa"/>
          </w:tcPr>
          <w:p>
            <w:pPr>
              <w:pStyle w:val="TableParagraph"/>
              <w:spacing w:line="177" w:lineRule="exact"/>
              <w:ind w:left="94" w:right="85"/>
              <w:rPr>
                <w:sz w:val="16"/>
              </w:rPr>
            </w:pPr>
            <w:r>
              <w:rPr>
                <w:spacing w:val="-2"/>
                <w:sz w:val="16"/>
              </w:rPr>
              <w:t>15±1.0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S35s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19±0.0</w:t>
            </w:r>
          </w:p>
        </w:tc>
        <w:tc>
          <w:tcPr>
            <w:tcW w:w="720" w:type="dxa"/>
          </w:tcPr>
          <w:p>
            <w:pPr>
              <w:pStyle w:val="TableParagraph"/>
              <w:spacing w:line="174" w:lineRule="exact"/>
              <w:ind w:left="38" w:right="72"/>
              <w:rPr>
                <w:sz w:val="16"/>
              </w:rPr>
            </w:pPr>
            <w:r>
              <w:rPr>
                <w:spacing w:val="-2"/>
                <w:sz w:val="16"/>
              </w:rPr>
              <w:t>17±2.8</w:t>
            </w:r>
          </w:p>
        </w:tc>
        <w:tc>
          <w:tcPr>
            <w:tcW w:w="811" w:type="dxa"/>
          </w:tcPr>
          <w:p>
            <w:pPr>
              <w:pStyle w:val="TableParagraph"/>
              <w:spacing w:line="174" w:lineRule="exact"/>
              <w:ind w:left="121"/>
              <w:jc w:val="left"/>
              <w:rPr>
                <w:sz w:val="16"/>
              </w:rPr>
            </w:pPr>
            <w:r>
              <w:rPr>
                <w:spacing w:val="-2"/>
                <w:sz w:val="16"/>
              </w:rPr>
              <w:t>23±1.0</w:t>
            </w:r>
          </w:p>
        </w:tc>
        <w:tc>
          <w:tcPr>
            <w:tcW w:w="881" w:type="dxa"/>
          </w:tcPr>
          <w:p>
            <w:pPr>
              <w:pStyle w:val="TableParagraph"/>
              <w:spacing w:line="174" w:lineRule="exact"/>
              <w:ind w:right="12"/>
              <w:rPr>
                <w:sz w:val="16"/>
              </w:rPr>
            </w:pPr>
            <w:r>
              <w:rPr>
                <w:spacing w:val="-2"/>
                <w:sz w:val="16"/>
              </w:rPr>
              <w:t>29±2.2</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12±1.0</w:t>
            </w:r>
          </w:p>
        </w:tc>
        <w:tc>
          <w:tcPr>
            <w:tcW w:w="855" w:type="dxa"/>
          </w:tcPr>
          <w:p>
            <w:pPr>
              <w:pStyle w:val="TableParagraph"/>
              <w:spacing w:line="174" w:lineRule="exact"/>
              <w:ind w:left="94" w:right="85"/>
              <w:rPr>
                <w:sz w:val="16"/>
              </w:rPr>
            </w:pPr>
            <w:r>
              <w:rPr>
                <w:spacing w:val="-2"/>
                <w:sz w:val="16"/>
              </w:rPr>
              <w:t>17±1.0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12±1.0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S49e</w:t>
            </w:r>
          </w:p>
        </w:tc>
        <w:tc>
          <w:tcPr>
            <w:tcW w:w="1066" w:type="dxa"/>
          </w:tcPr>
          <w:p>
            <w:pPr>
              <w:pStyle w:val="TableParagraph"/>
              <w:spacing w:line="174" w:lineRule="exact"/>
              <w:ind w:right="49"/>
              <w:rPr>
                <w:sz w:val="16"/>
              </w:rPr>
            </w:pPr>
            <w:r>
              <w:rPr>
                <w:spacing w:val="-2"/>
                <w:sz w:val="16"/>
              </w:rPr>
              <w:t>12±1.0</w:t>
            </w:r>
          </w:p>
        </w:tc>
        <w:tc>
          <w:tcPr>
            <w:tcW w:w="943" w:type="dxa"/>
          </w:tcPr>
          <w:p>
            <w:pPr>
              <w:pStyle w:val="TableParagraph"/>
              <w:spacing w:line="174" w:lineRule="exact"/>
              <w:ind w:right="199"/>
              <w:jc w:val="right"/>
              <w:rPr>
                <w:sz w:val="16"/>
              </w:rPr>
            </w:pPr>
            <w:r>
              <w:rPr>
                <w:spacing w:val="-2"/>
                <w:sz w:val="16"/>
              </w:rPr>
              <w:t>23±0.0</w:t>
            </w:r>
          </w:p>
        </w:tc>
        <w:tc>
          <w:tcPr>
            <w:tcW w:w="763" w:type="dxa"/>
          </w:tcPr>
          <w:p>
            <w:pPr>
              <w:pStyle w:val="TableParagraph"/>
              <w:spacing w:line="174" w:lineRule="exact"/>
              <w:ind w:left="45" w:right="39"/>
              <w:rPr>
                <w:sz w:val="16"/>
              </w:rPr>
            </w:pPr>
            <w:r>
              <w:rPr>
                <w:spacing w:val="-2"/>
                <w:sz w:val="16"/>
              </w:rPr>
              <w:t>12±1.0</w:t>
            </w:r>
          </w:p>
        </w:tc>
        <w:tc>
          <w:tcPr>
            <w:tcW w:w="720" w:type="dxa"/>
          </w:tcPr>
          <w:p>
            <w:pPr>
              <w:pStyle w:val="TableParagraph"/>
              <w:spacing w:line="174" w:lineRule="exact"/>
              <w:ind w:left="38" w:right="72"/>
              <w:rPr>
                <w:sz w:val="16"/>
              </w:rPr>
            </w:pPr>
            <w:r>
              <w:rPr>
                <w:spacing w:val="-2"/>
                <w:sz w:val="16"/>
              </w:rPr>
              <w:t>16±2.8</w:t>
            </w:r>
          </w:p>
        </w:tc>
        <w:tc>
          <w:tcPr>
            <w:tcW w:w="811" w:type="dxa"/>
          </w:tcPr>
          <w:p>
            <w:pPr>
              <w:pStyle w:val="TableParagraph"/>
              <w:spacing w:line="174" w:lineRule="exact"/>
              <w:ind w:left="121"/>
              <w:jc w:val="left"/>
              <w:rPr>
                <w:sz w:val="16"/>
              </w:rPr>
            </w:pPr>
            <w:r>
              <w:rPr>
                <w:spacing w:val="-2"/>
                <w:sz w:val="16"/>
              </w:rPr>
              <w:t>20±1.4</w:t>
            </w:r>
          </w:p>
        </w:tc>
        <w:tc>
          <w:tcPr>
            <w:tcW w:w="881" w:type="dxa"/>
          </w:tcPr>
          <w:p>
            <w:pPr>
              <w:pStyle w:val="TableParagraph"/>
              <w:spacing w:line="174" w:lineRule="exact"/>
              <w:ind w:right="12"/>
              <w:rPr>
                <w:sz w:val="16"/>
              </w:rPr>
            </w:pPr>
            <w:r>
              <w:rPr>
                <w:spacing w:val="-2"/>
                <w:sz w:val="16"/>
              </w:rPr>
              <w:t>27±1.0</w:t>
            </w:r>
          </w:p>
        </w:tc>
        <w:tc>
          <w:tcPr>
            <w:tcW w:w="874" w:type="dxa"/>
          </w:tcPr>
          <w:p>
            <w:pPr>
              <w:pStyle w:val="TableParagraph"/>
              <w:spacing w:line="174" w:lineRule="exact"/>
              <w:ind w:left="64" w:right="39"/>
              <w:rPr>
                <w:sz w:val="16"/>
              </w:rPr>
            </w:pPr>
            <w:r>
              <w:rPr>
                <w:spacing w:val="-2"/>
                <w:sz w:val="16"/>
              </w:rPr>
              <w:t>12±0.0</w:t>
            </w:r>
          </w:p>
        </w:tc>
        <w:tc>
          <w:tcPr>
            <w:tcW w:w="857" w:type="dxa"/>
          </w:tcPr>
          <w:p>
            <w:pPr>
              <w:pStyle w:val="TableParagraph"/>
              <w:spacing w:line="174" w:lineRule="exact"/>
              <w:ind w:left="166"/>
              <w:jc w:val="left"/>
              <w:rPr>
                <w:sz w:val="16"/>
              </w:rPr>
            </w:pPr>
            <w:r>
              <w:rPr>
                <w:spacing w:val="-2"/>
                <w:sz w:val="16"/>
              </w:rPr>
              <w:t>11±1.4</w:t>
            </w:r>
          </w:p>
        </w:tc>
        <w:tc>
          <w:tcPr>
            <w:tcW w:w="855" w:type="dxa"/>
          </w:tcPr>
          <w:p>
            <w:pPr>
              <w:pStyle w:val="TableParagraph"/>
              <w:spacing w:line="174" w:lineRule="exact"/>
              <w:ind w:left="94" w:right="85"/>
              <w:rPr>
                <w:sz w:val="16"/>
              </w:rPr>
            </w:pPr>
            <w:r>
              <w:rPr>
                <w:spacing w:val="-2"/>
                <w:sz w:val="16"/>
              </w:rPr>
              <w:t>15±1.4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14±1.0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Z27s</w:t>
            </w:r>
          </w:p>
        </w:tc>
        <w:tc>
          <w:tcPr>
            <w:tcW w:w="1066" w:type="dxa"/>
          </w:tcPr>
          <w:p>
            <w:pPr>
              <w:pStyle w:val="TableParagraph"/>
              <w:spacing w:line="177" w:lineRule="exact"/>
              <w:ind w:right="49"/>
              <w:rPr>
                <w:sz w:val="16"/>
              </w:rPr>
            </w:pPr>
            <w:r>
              <w:rPr>
                <w:spacing w:val="-2"/>
                <w:sz w:val="16"/>
              </w:rPr>
              <w:t>13±0.0</w:t>
            </w:r>
          </w:p>
        </w:tc>
        <w:tc>
          <w:tcPr>
            <w:tcW w:w="943" w:type="dxa"/>
          </w:tcPr>
          <w:p>
            <w:pPr>
              <w:pStyle w:val="TableParagraph"/>
              <w:spacing w:line="177" w:lineRule="exact"/>
              <w:ind w:right="199"/>
              <w:jc w:val="right"/>
              <w:rPr>
                <w:sz w:val="16"/>
              </w:rPr>
            </w:pPr>
            <w:r>
              <w:rPr>
                <w:spacing w:val="-2"/>
                <w:sz w:val="16"/>
              </w:rPr>
              <w:t>26±1.0</w:t>
            </w:r>
          </w:p>
        </w:tc>
        <w:tc>
          <w:tcPr>
            <w:tcW w:w="763" w:type="dxa"/>
          </w:tcPr>
          <w:p>
            <w:pPr>
              <w:pStyle w:val="TableParagraph"/>
              <w:spacing w:line="177" w:lineRule="exact"/>
              <w:ind w:left="45" w:right="39"/>
              <w:rPr>
                <w:sz w:val="16"/>
              </w:rPr>
            </w:pPr>
            <w:r>
              <w:rPr>
                <w:spacing w:val="-2"/>
                <w:sz w:val="16"/>
              </w:rPr>
              <w:t>13±1.0</w:t>
            </w:r>
          </w:p>
        </w:tc>
        <w:tc>
          <w:tcPr>
            <w:tcW w:w="720" w:type="dxa"/>
          </w:tcPr>
          <w:p>
            <w:pPr>
              <w:pStyle w:val="TableParagraph"/>
              <w:spacing w:line="177" w:lineRule="exact"/>
              <w:ind w:left="38" w:right="72"/>
              <w:rPr>
                <w:sz w:val="16"/>
              </w:rPr>
            </w:pPr>
            <w:r>
              <w:rPr>
                <w:spacing w:val="-2"/>
                <w:sz w:val="16"/>
              </w:rPr>
              <w:t>15±1.0</w:t>
            </w:r>
          </w:p>
        </w:tc>
        <w:tc>
          <w:tcPr>
            <w:tcW w:w="811" w:type="dxa"/>
          </w:tcPr>
          <w:p>
            <w:pPr>
              <w:pStyle w:val="TableParagraph"/>
              <w:spacing w:line="177" w:lineRule="exact"/>
              <w:ind w:left="121"/>
              <w:jc w:val="left"/>
              <w:rPr>
                <w:sz w:val="16"/>
              </w:rPr>
            </w:pPr>
            <w:r>
              <w:rPr>
                <w:spacing w:val="-2"/>
                <w:sz w:val="16"/>
              </w:rPr>
              <w:t>22±1.0</w:t>
            </w:r>
          </w:p>
        </w:tc>
        <w:tc>
          <w:tcPr>
            <w:tcW w:w="881" w:type="dxa"/>
          </w:tcPr>
          <w:p>
            <w:pPr>
              <w:pStyle w:val="TableParagraph"/>
              <w:spacing w:line="177" w:lineRule="exact"/>
              <w:ind w:right="12"/>
              <w:rPr>
                <w:sz w:val="16"/>
              </w:rPr>
            </w:pPr>
            <w:r>
              <w:rPr>
                <w:spacing w:val="-2"/>
                <w:sz w:val="16"/>
              </w:rPr>
              <w:t>29±1.0</w:t>
            </w:r>
          </w:p>
        </w:tc>
        <w:tc>
          <w:tcPr>
            <w:tcW w:w="874" w:type="dxa"/>
          </w:tcPr>
          <w:p>
            <w:pPr>
              <w:pStyle w:val="TableParagraph"/>
              <w:spacing w:line="177" w:lineRule="exact"/>
              <w:ind w:left="64" w:right="39"/>
              <w:rPr>
                <w:sz w:val="16"/>
              </w:rPr>
            </w:pPr>
            <w:r>
              <w:rPr>
                <w:spacing w:val="-2"/>
                <w:sz w:val="16"/>
              </w:rPr>
              <w:t>14±2.2</w:t>
            </w:r>
          </w:p>
        </w:tc>
        <w:tc>
          <w:tcPr>
            <w:tcW w:w="857" w:type="dxa"/>
          </w:tcPr>
          <w:p>
            <w:pPr>
              <w:pStyle w:val="TableParagraph"/>
              <w:spacing w:line="177" w:lineRule="exact"/>
              <w:ind w:left="166"/>
              <w:jc w:val="left"/>
              <w:rPr>
                <w:sz w:val="16"/>
              </w:rPr>
            </w:pPr>
            <w:r>
              <w:rPr>
                <w:spacing w:val="-2"/>
                <w:sz w:val="16"/>
              </w:rPr>
              <w:t>13±1.0</w:t>
            </w:r>
          </w:p>
        </w:tc>
        <w:tc>
          <w:tcPr>
            <w:tcW w:w="855" w:type="dxa"/>
          </w:tcPr>
          <w:p>
            <w:pPr>
              <w:pStyle w:val="TableParagraph"/>
              <w:spacing w:line="177" w:lineRule="exact"/>
              <w:ind w:left="94" w:right="85"/>
              <w:rPr>
                <w:sz w:val="16"/>
              </w:rPr>
            </w:pPr>
            <w:r>
              <w:rPr>
                <w:spacing w:val="-2"/>
                <w:sz w:val="16"/>
              </w:rPr>
              <w:t>16±1.0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11±1.0</w:t>
            </w:r>
          </w:p>
        </w:tc>
        <w:tc>
          <w:tcPr>
            <w:tcW w:w="738" w:type="dxa"/>
          </w:tcPr>
          <w:p>
            <w:pPr>
              <w:pStyle w:val="TableParagraph"/>
              <w:spacing w:line="177"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S50s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99"/>
              <w:jc w:val="right"/>
              <w:rPr>
                <w:sz w:val="16"/>
              </w:rPr>
            </w:pPr>
            <w:r>
              <w:rPr>
                <w:spacing w:val="-2"/>
                <w:sz w:val="16"/>
              </w:rPr>
              <w:t>26±0.0</w:t>
            </w:r>
          </w:p>
        </w:tc>
        <w:tc>
          <w:tcPr>
            <w:tcW w:w="763" w:type="dxa"/>
          </w:tcPr>
          <w:p>
            <w:pPr>
              <w:pStyle w:val="TableParagraph"/>
              <w:spacing w:line="177" w:lineRule="exact"/>
              <w:ind w:left="45" w:right="39"/>
              <w:rPr>
                <w:sz w:val="16"/>
              </w:rPr>
            </w:pPr>
            <w:r>
              <w:rPr>
                <w:spacing w:val="-2"/>
                <w:sz w:val="16"/>
              </w:rPr>
              <w:t>15±1.0</w:t>
            </w:r>
          </w:p>
        </w:tc>
        <w:tc>
          <w:tcPr>
            <w:tcW w:w="720" w:type="dxa"/>
          </w:tcPr>
          <w:p>
            <w:pPr>
              <w:pStyle w:val="TableParagraph"/>
              <w:spacing w:line="177" w:lineRule="exact"/>
              <w:ind w:left="38" w:right="72"/>
              <w:rPr>
                <w:sz w:val="16"/>
              </w:rPr>
            </w:pPr>
            <w:r>
              <w:rPr>
                <w:spacing w:val="-2"/>
                <w:sz w:val="16"/>
              </w:rPr>
              <w:t>18±1.4</w:t>
            </w:r>
          </w:p>
        </w:tc>
        <w:tc>
          <w:tcPr>
            <w:tcW w:w="811" w:type="dxa"/>
          </w:tcPr>
          <w:p>
            <w:pPr>
              <w:pStyle w:val="TableParagraph"/>
              <w:spacing w:line="177" w:lineRule="exact"/>
              <w:ind w:left="121"/>
              <w:jc w:val="left"/>
              <w:rPr>
                <w:sz w:val="16"/>
              </w:rPr>
            </w:pPr>
            <w:r>
              <w:rPr>
                <w:spacing w:val="-2"/>
                <w:sz w:val="16"/>
              </w:rPr>
              <w:t>22±1.0</w:t>
            </w:r>
          </w:p>
        </w:tc>
        <w:tc>
          <w:tcPr>
            <w:tcW w:w="881" w:type="dxa"/>
          </w:tcPr>
          <w:p>
            <w:pPr>
              <w:pStyle w:val="TableParagraph"/>
              <w:spacing w:line="177" w:lineRule="exact"/>
              <w:ind w:right="12"/>
              <w:rPr>
                <w:sz w:val="16"/>
              </w:rPr>
            </w:pPr>
            <w:r>
              <w:rPr>
                <w:spacing w:val="-2"/>
                <w:sz w:val="16"/>
              </w:rPr>
              <w:t>28±2.8</w:t>
            </w:r>
          </w:p>
        </w:tc>
        <w:tc>
          <w:tcPr>
            <w:tcW w:w="874" w:type="dxa"/>
          </w:tcPr>
          <w:p>
            <w:pPr>
              <w:pStyle w:val="TableParagraph"/>
              <w:spacing w:line="177" w:lineRule="exact"/>
              <w:ind w:left="64" w:right="39"/>
              <w:rPr>
                <w:sz w:val="16"/>
              </w:rPr>
            </w:pPr>
            <w:r>
              <w:rPr>
                <w:spacing w:val="-2"/>
                <w:sz w:val="16"/>
              </w:rPr>
              <w:t>11±1.0</w:t>
            </w:r>
          </w:p>
        </w:tc>
        <w:tc>
          <w:tcPr>
            <w:tcW w:w="857" w:type="dxa"/>
          </w:tcPr>
          <w:p>
            <w:pPr>
              <w:pStyle w:val="TableParagraph"/>
              <w:spacing w:line="177" w:lineRule="exact"/>
              <w:ind w:left="166"/>
              <w:jc w:val="left"/>
              <w:rPr>
                <w:sz w:val="16"/>
              </w:rPr>
            </w:pPr>
            <w:r>
              <w:rPr>
                <w:spacing w:val="-2"/>
                <w:sz w:val="16"/>
              </w:rPr>
              <w:t>13±1.0</w:t>
            </w:r>
          </w:p>
        </w:tc>
        <w:tc>
          <w:tcPr>
            <w:tcW w:w="855" w:type="dxa"/>
          </w:tcPr>
          <w:p>
            <w:pPr>
              <w:pStyle w:val="TableParagraph"/>
              <w:spacing w:line="177" w:lineRule="exact"/>
              <w:ind w:left="94" w:right="85"/>
              <w:rPr>
                <w:sz w:val="16"/>
              </w:rPr>
            </w:pPr>
            <w:r>
              <w:rPr>
                <w:spacing w:val="-2"/>
                <w:sz w:val="16"/>
              </w:rPr>
              <w:t>19±1.4</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15±1.4</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S43s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16±2.2</w:t>
            </w:r>
          </w:p>
        </w:tc>
        <w:tc>
          <w:tcPr>
            <w:tcW w:w="811" w:type="dxa"/>
          </w:tcPr>
          <w:p>
            <w:pPr>
              <w:pStyle w:val="TableParagraph"/>
              <w:spacing w:line="174" w:lineRule="exact"/>
              <w:ind w:left="121"/>
              <w:jc w:val="left"/>
              <w:rPr>
                <w:sz w:val="16"/>
              </w:rPr>
            </w:pPr>
            <w:r>
              <w:rPr>
                <w:spacing w:val="-2"/>
                <w:sz w:val="16"/>
              </w:rPr>
              <w:t>0.0±0.0</w:t>
            </w:r>
          </w:p>
        </w:tc>
        <w:tc>
          <w:tcPr>
            <w:tcW w:w="881" w:type="dxa"/>
          </w:tcPr>
          <w:p>
            <w:pPr>
              <w:pStyle w:val="TableParagraph"/>
              <w:spacing w:line="174" w:lineRule="exact"/>
              <w:ind w:right="12"/>
              <w:rPr>
                <w:sz w:val="16"/>
              </w:rPr>
            </w:pPr>
            <w:r>
              <w:rPr>
                <w:spacing w:val="-2"/>
                <w:sz w:val="16"/>
              </w:rPr>
              <w:t>28±1.0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S32s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22±1.4</w:t>
            </w:r>
          </w:p>
        </w:tc>
        <w:tc>
          <w:tcPr>
            <w:tcW w:w="763" w:type="dxa"/>
          </w:tcPr>
          <w:p>
            <w:pPr>
              <w:pStyle w:val="TableParagraph"/>
              <w:spacing w:line="174" w:lineRule="exact"/>
              <w:ind w:left="45" w:right="39"/>
              <w:rPr>
                <w:sz w:val="16"/>
              </w:rPr>
            </w:pPr>
            <w:r>
              <w:rPr>
                <w:spacing w:val="-2"/>
                <w:sz w:val="16"/>
              </w:rPr>
              <w:t>12±0.0</w:t>
            </w:r>
          </w:p>
        </w:tc>
        <w:tc>
          <w:tcPr>
            <w:tcW w:w="720" w:type="dxa"/>
          </w:tcPr>
          <w:p>
            <w:pPr>
              <w:pStyle w:val="TableParagraph"/>
              <w:spacing w:line="174" w:lineRule="exact"/>
              <w:ind w:left="38" w:right="72"/>
              <w:rPr>
                <w:sz w:val="16"/>
              </w:rPr>
            </w:pPr>
            <w:r>
              <w:rPr>
                <w:spacing w:val="-2"/>
                <w:sz w:val="16"/>
              </w:rPr>
              <w:t>16±1.4</w:t>
            </w:r>
          </w:p>
        </w:tc>
        <w:tc>
          <w:tcPr>
            <w:tcW w:w="811" w:type="dxa"/>
          </w:tcPr>
          <w:p>
            <w:pPr>
              <w:pStyle w:val="TableParagraph"/>
              <w:spacing w:line="174" w:lineRule="exact"/>
              <w:ind w:left="121"/>
              <w:jc w:val="left"/>
              <w:rPr>
                <w:sz w:val="16"/>
              </w:rPr>
            </w:pPr>
            <w:r>
              <w:rPr>
                <w:spacing w:val="-2"/>
                <w:sz w:val="16"/>
              </w:rPr>
              <w:t>23±1.0</w:t>
            </w:r>
          </w:p>
        </w:tc>
        <w:tc>
          <w:tcPr>
            <w:tcW w:w="881" w:type="dxa"/>
          </w:tcPr>
          <w:p>
            <w:pPr>
              <w:pStyle w:val="TableParagraph"/>
              <w:spacing w:line="174" w:lineRule="exact"/>
              <w:ind w:right="12"/>
              <w:rPr>
                <w:sz w:val="16"/>
              </w:rPr>
            </w:pPr>
            <w:r>
              <w:rPr>
                <w:spacing w:val="-2"/>
                <w:sz w:val="16"/>
              </w:rPr>
              <w:t>26±1.4</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13±0.0</w:t>
            </w:r>
          </w:p>
        </w:tc>
        <w:tc>
          <w:tcPr>
            <w:tcW w:w="855" w:type="dxa"/>
          </w:tcPr>
          <w:p>
            <w:pPr>
              <w:pStyle w:val="TableParagraph"/>
              <w:spacing w:line="174" w:lineRule="exact"/>
              <w:ind w:left="94" w:right="85"/>
              <w:rPr>
                <w:sz w:val="16"/>
              </w:rPr>
            </w:pPr>
            <w:r>
              <w:rPr>
                <w:spacing w:val="-2"/>
                <w:sz w:val="16"/>
              </w:rPr>
              <w:t>15±1.0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10±1.4</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E23e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13±0.0</w:t>
            </w:r>
          </w:p>
        </w:tc>
        <w:tc>
          <w:tcPr>
            <w:tcW w:w="811" w:type="dxa"/>
          </w:tcPr>
          <w:p>
            <w:pPr>
              <w:pStyle w:val="TableParagraph"/>
              <w:spacing w:line="177" w:lineRule="exact"/>
              <w:ind w:left="121"/>
              <w:jc w:val="left"/>
              <w:rPr>
                <w:sz w:val="16"/>
              </w:rPr>
            </w:pPr>
            <w:r>
              <w:rPr>
                <w:spacing w:val="-2"/>
                <w:sz w:val="16"/>
              </w:rPr>
              <w:t>0.0±0.0</w:t>
            </w:r>
          </w:p>
        </w:tc>
        <w:tc>
          <w:tcPr>
            <w:tcW w:w="881" w:type="dxa"/>
          </w:tcPr>
          <w:p>
            <w:pPr>
              <w:pStyle w:val="TableParagraph"/>
              <w:spacing w:line="177" w:lineRule="exact"/>
              <w:ind w:right="12"/>
              <w:rPr>
                <w:sz w:val="16"/>
              </w:rPr>
            </w:pPr>
            <w:r>
              <w:rPr>
                <w:spacing w:val="-2"/>
                <w:sz w:val="16"/>
              </w:rPr>
              <w:t>19±1.4</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S37s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13±1.4</w:t>
            </w:r>
          </w:p>
        </w:tc>
        <w:tc>
          <w:tcPr>
            <w:tcW w:w="720" w:type="dxa"/>
          </w:tcPr>
          <w:p>
            <w:pPr>
              <w:pStyle w:val="TableParagraph"/>
              <w:spacing w:line="174" w:lineRule="exact"/>
              <w:ind w:left="38" w:right="72"/>
              <w:rPr>
                <w:sz w:val="16"/>
              </w:rPr>
            </w:pPr>
            <w:r>
              <w:rPr>
                <w:spacing w:val="-2"/>
                <w:sz w:val="16"/>
              </w:rPr>
              <w:t>17±1.4</w:t>
            </w:r>
          </w:p>
        </w:tc>
        <w:tc>
          <w:tcPr>
            <w:tcW w:w="811" w:type="dxa"/>
          </w:tcPr>
          <w:p>
            <w:pPr>
              <w:pStyle w:val="TableParagraph"/>
              <w:spacing w:line="174" w:lineRule="exact"/>
              <w:ind w:left="121"/>
              <w:jc w:val="left"/>
              <w:rPr>
                <w:sz w:val="16"/>
              </w:rPr>
            </w:pPr>
            <w:r>
              <w:rPr>
                <w:spacing w:val="-2"/>
                <w:sz w:val="16"/>
              </w:rPr>
              <w:t>21±1.4</w:t>
            </w:r>
          </w:p>
        </w:tc>
        <w:tc>
          <w:tcPr>
            <w:tcW w:w="881" w:type="dxa"/>
          </w:tcPr>
          <w:p>
            <w:pPr>
              <w:pStyle w:val="TableParagraph"/>
              <w:spacing w:line="174" w:lineRule="exact"/>
              <w:ind w:right="12"/>
              <w:rPr>
                <w:sz w:val="16"/>
              </w:rPr>
            </w:pPr>
            <w:r>
              <w:rPr>
                <w:spacing w:val="-2"/>
                <w:sz w:val="16"/>
              </w:rPr>
              <w:t>29±1.0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17±1.4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Z23e</w:t>
            </w:r>
          </w:p>
        </w:tc>
        <w:tc>
          <w:tcPr>
            <w:tcW w:w="1066" w:type="dxa"/>
          </w:tcPr>
          <w:p>
            <w:pPr>
              <w:pStyle w:val="TableParagraph"/>
              <w:spacing w:line="174" w:lineRule="exact"/>
              <w:ind w:right="49"/>
              <w:rPr>
                <w:sz w:val="16"/>
              </w:rPr>
            </w:pPr>
            <w:r>
              <w:rPr>
                <w:spacing w:val="-2"/>
                <w:sz w:val="16"/>
              </w:rPr>
              <w:t>17±1.4</w:t>
            </w:r>
          </w:p>
        </w:tc>
        <w:tc>
          <w:tcPr>
            <w:tcW w:w="943" w:type="dxa"/>
          </w:tcPr>
          <w:p>
            <w:pPr>
              <w:pStyle w:val="TableParagraph"/>
              <w:spacing w:line="174" w:lineRule="exact"/>
              <w:ind w:right="199"/>
              <w:jc w:val="right"/>
              <w:rPr>
                <w:sz w:val="16"/>
              </w:rPr>
            </w:pPr>
            <w:r>
              <w:rPr>
                <w:spacing w:val="-2"/>
                <w:sz w:val="16"/>
              </w:rPr>
              <w:t>25±2.2</w:t>
            </w:r>
          </w:p>
        </w:tc>
        <w:tc>
          <w:tcPr>
            <w:tcW w:w="763" w:type="dxa"/>
          </w:tcPr>
          <w:p>
            <w:pPr>
              <w:pStyle w:val="TableParagraph"/>
              <w:spacing w:line="174" w:lineRule="exact"/>
              <w:ind w:left="45" w:right="39"/>
              <w:rPr>
                <w:sz w:val="16"/>
              </w:rPr>
            </w:pPr>
            <w:r>
              <w:rPr>
                <w:spacing w:val="-2"/>
                <w:sz w:val="16"/>
              </w:rPr>
              <w:t>24±1.4</w:t>
            </w:r>
          </w:p>
        </w:tc>
        <w:tc>
          <w:tcPr>
            <w:tcW w:w="720" w:type="dxa"/>
          </w:tcPr>
          <w:p>
            <w:pPr>
              <w:pStyle w:val="TableParagraph"/>
              <w:spacing w:line="174" w:lineRule="exact"/>
              <w:ind w:left="38" w:right="72"/>
              <w:rPr>
                <w:sz w:val="16"/>
              </w:rPr>
            </w:pPr>
            <w:r>
              <w:rPr>
                <w:spacing w:val="-2"/>
                <w:sz w:val="16"/>
              </w:rPr>
              <w:t>17±2.2</w:t>
            </w:r>
          </w:p>
        </w:tc>
        <w:tc>
          <w:tcPr>
            <w:tcW w:w="811" w:type="dxa"/>
          </w:tcPr>
          <w:p>
            <w:pPr>
              <w:pStyle w:val="TableParagraph"/>
              <w:spacing w:line="174" w:lineRule="exact"/>
              <w:ind w:left="121"/>
              <w:jc w:val="left"/>
              <w:rPr>
                <w:sz w:val="16"/>
              </w:rPr>
            </w:pPr>
            <w:r>
              <w:rPr>
                <w:spacing w:val="-2"/>
                <w:sz w:val="16"/>
              </w:rPr>
              <w:t>24±2.2</w:t>
            </w:r>
          </w:p>
        </w:tc>
        <w:tc>
          <w:tcPr>
            <w:tcW w:w="881" w:type="dxa"/>
          </w:tcPr>
          <w:p>
            <w:pPr>
              <w:pStyle w:val="TableParagraph"/>
              <w:spacing w:line="174" w:lineRule="exact"/>
              <w:ind w:right="12"/>
              <w:rPr>
                <w:sz w:val="16"/>
              </w:rPr>
            </w:pPr>
            <w:r>
              <w:rPr>
                <w:spacing w:val="-2"/>
                <w:sz w:val="16"/>
              </w:rPr>
              <w:t>32±1.0</w:t>
            </w:r>
          </w:p>
        </w:tc>
        <w:tc>
          <w:tcPr>
            <w:tcW w:w="874" w:type="dxa"/>
          </w:tcPr>
          <w:p>
            <w:pPr>
              <w:pStyle w:val="TableParagraph"/>
              <w:spacing w:line="174" w:lineRule="exact"/>
              <w:ind w:left="64" w:right="39"/>
              <w:rPr>
                <w:sz w:val="16"/>
              </w:rPr>
            </w:pPr>
            <w:r>
              <w:rPr>
                <w:spacing w:val="-2"/>
                <w:sz w:val="16"/>
              </w:rPr>
              <w:t>18±2.2</w:t>
            </w:r>
          </w:p>
        </w:tc>
        <w:tc>
          <w:tcPr>
            <w:tcW w:w="857" w:type="dxa"/>
          </w:tcPr>
          <w:p>
            <w:pPr>
              <w:pStyle w:val="TableParagraph"/>
              <w:spacing w:line="174" w:lineRule="exact"/>
              <w:ind w:left="166"/>
              <w:jc w:val="left"/>
              <w:rPr>
                <w:sz w:val="16"/>
              </w:rPr>
            </w:pPr>
            <w:r>
              <w:rPr>
                <w:spacing w:val="-2"/>
                <w:sz w:val="16"/>
              </w:rPr>
              <w:t>13±1.0</w:t>
            </w:r>
          </w:p>
        </w:tc>
        <w:tc>
          <w:tcPr>
            <w:tcW w:w="855" w:type="dxa"/>
          </w:tcPr>
          <w:p>
            <w:pPr>
              <w:pStyle w:val="TableParagraph"/>
              <w:spacing w:line="174" w:lineRule="exact"/>
              <w:ind w:left="94" w:right="85"/>
              <w:rPr>
                <w:sz w:val="16"/>
              </w:rPr>
            </w:pPr>
            <w:r>
              <w:rPr>
                <w:spacing w:val="-2"/>
                <w:sz w:val="16"/>
              </w:rPr>
              <w:t>17±1.0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12±1.0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5"/>
                <w:sz w:val="16"/>
              </w:rPr>
              <w:t>B3e</w:t>
            </w:r>
          </w:p>
        </w:tc>
        <w:tc>
          <w:tcPr>
            <w:tcW w:w="1066" w:type="dxa"/>
          </w:tcPr>
          <w:p>
            <w:pPr>
              <w:pStyle w:val="TableParagraph"/>
              <w:spacing w:line="177" w:lineRule="exact"/>
              <w:ind w:right="49"/>
              <w:rPr>
                <w:sz w:val="16"/>
              </w:rPr>
            </w:pPr>
            <w:r>
              <w:rPr>
                <w:spacing w:val="-2"/>
                <w:sz w:val="16"/>
              </w:rPr>
              <w:t>19±3.6</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20±2.8</w:t>
            </w:r>
          </w:p>
        </w:tc>
        <w:tc>
          <w:tcPr>
            <w:tcW w:w="811" w:type="dxa"/>
          </w:tcPr>
          <w:p>
            <w:pPr>
              <w:pStyle w:val="TableParagraph"/>
              <w:spacing w:line="177" w:lineRule="exact"/>
              <w:ind w:left="121"/>
              <w:jc w:val="left"/>
              <w:rPr>
                <w:sz w:val="16"/>
              </w:rPr>
            </w:pPr>
            <w:r>
              <w:rPr>
                <w:spacing w:val="-2"/>
                <w:sz w:val="16"/>
              </w:rPr>
              <w:t>25±7.1</w:t>
            </w:r>
          </w:p>
        </w:tc>
        <w:tc>
          <w:tcPr>
            <w:tcW w:w="881" w:type="dxa"/>
          </w:tcPr>
          <w:p>
            <w:pPr>
              <w:pStyle w:val="TableParagraph"/>
              <w:spacing w:line="177" w:lineRule="exact"/>
              <w:ind w:right="12"/>
              <w:rPr>
                <w:sz w:val="16"/>
              </w:rPr>
            </w:pPr>
            <w:r>
              <w:rPr>
                <w:spacing w:val="-2"/>
                <w:sz w:val="16"/>
              </w:rPr>
              <w:t>36±1.4</w:t>
            </w:r>
          </w:p>
        </w:tc>
        <w:tc>
          <w:tcPr>
            <w:tcW w:w="874" w:type="dxa"/>
          </w:tcPr>
          <w:p>
            <w:pPr>
              <w:pStyle w:val="TableParagraph"/>
              <w:spacing w:line="177" w:lineRule="exact"/>
              <w:ind w:left="64" w:right="39"/>
              <w:rPr>
                <w:sz w:val="16"/>
              </w:rPr>
            </w:pPr>
            <w:r>
              <w:rPr>
                <w:spacing w:val="-2"/>
                <w:sz w:val="16"/>
              </w:rPr>
              <w:t>25±0.0</w:t>
            </w:r>
          </w:p>
        </w:tc>
        <w:tc>
          <w:tcPr>
            <w:tcW w:w="857" w:type="dxa"/>
          </w:tcPr>
          <w:p>
            <w:pPr>
              <w:pStyle w:val="TableParagraph"/>
              <w:spacing w:line="177" w:lineRule="exact"/>
              <w:ind w:left="166"/>
              <w:jc w:val="left"/>
              <w:rPr>
                <w:sz w:val="16"/>
              </w:rPr>
            </w:pPr>
            <w:r>
              <w:rPr>
                <w:spacing w:val="-2"/>
                <w:sz w:val="16"/>
              </w:rPr>
              <w:t>28±1.0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B29e</w:t>
            </w:r>
          </w:p>
        </w:tc>
        <w:tc>
          <w:tcPr>
            <w:tcW w:w="1066" w:type="dxa"/>
          </w:tcPr>
          <w:p>
            <w:pPr>
              <w:pStyle w:val="TableParagraph"/>
              <w:spacing w:line="174" w:lineRule="exact"/>
              <w:ind w:right="49"/>
              <w:rPr>
                <w:sz w:val="16"/>
              </w:rPr>
            </w:pPr>
            <w:r>
              <w:rPr>
                <w:spacing w:val="-2"/>
                <w:sz w:val="16"/>
              </w:rPr>
              <w:t>20±1.4</w:t>
            </w:r>
          </w:p>
        </w:tc>
        <w:tc>
          <w:tcPr>
            <w:tcW w:w="943" w:type="dxa"/>
          </w:tcPr>
          <w:p>
            <w:pPr>
              <w:pStyle w:val="TableParagraph"/>
              <w:spacing w:line="174" w:lineRule="exact"/>
              <w:ind w:right="199"/>
              <w:jc w:val="right"/>
              <w:rPr>
                <w:sz w:val="16"/>
              </w:rPr>
            </w:pPr>
            <w:r>
              <w:rPr>
                <w:spacing w:val="-2"/>
                <w:sz w:val="16"/>
              </w:rPr>
              <w:t>23±1.0</w:t>
            </w:r>
          </w:p>
        </w:tc>
        <w:tc>
          <w:tcPr>
            <w:tcW w:w="763" w:type="dxa"/>
          </w:tcPr>
          <w:p>
            <w:pPr>
              <w:pStyle w:val="TableParagraph"/>
              <w:spacing w:line="174" w:lineRule="exact"/>
              <w:ind w:left="45" w:right="39"/>
              <w:rPr>
                <w:sz w:val="16"/>
              </w:rPr>
            </w:pPr>
            <w:r>
              <w:rPr>
                <w:spacing w:val="-2"/>
                <w:sz w:val="16"/>
              </w:rPr>
              <w:t>20±1.4</w:t>
            </w:r>
          </w:p>
        </w:tc>
        <w:tc>
          <w:tcPr>
            <w:tcW w:w="720" w:type="dxa"/>
          </w:tcPr>
          <w:p>
            <w:pPr>
              <w:pStyle w:val="TableParagraph"/>
              <w:spacing w:line="174" w:lineRule="exact"/>
              <w:ind w:left="38" w:right="72"/>
              <w:rPr>
                <w:sz w:val="16"/>
              </w:rPr>
            </w:pPr>
            <w:r>
              <w:rPr>
                <w:spacing w:val="-2"/>
                <w:sz w:val="16"/>
              </w:rPr>
              <w:t>18±2.2</w:t>
            </w:r>
          </w:p>
        </w:tc>
        <w:tc>
          <w:tcPr>
            <w:tcW w:w="811" w:type="dxa"/>
          </w:tcPr>
          <w:p>
            <w:pPr>
              <w:pStyle w:val="TableParagraph"/>
              <w:spacing w:line="174" w:lineRule="exact"/>
              <w:ind w:left="121"/>
              <w:jc w:val="left"/>
              <w:rPr>
                <w:sz w:val="16"/>
              </w:rPr>
            </w:pPr>
            <w:r>
              <w:rPr>
                <w:spacing w:val="-2"/>
                <w:sz w:val="16"/>
              </w:rPr>
              <w:t>23±0.0</w:t>
            </w:r>
          </w:p>
        </w:tc>
        <w:tc>
          <w:tcPr>
            <w:tcW w:w="881" w:type="dxa"/>
          </w:tcPr>
          <w:p>
            <w:pPr>
              <w:pStyle w:val="TableParagraph"/>
              <w:spacing w:line="174" w:lineRule="exact"/>
              <w:ind w:right="12"/>
              <w:rPr>
                <w:sz w:val="16"/>
              </w:rPr>
            </w:pPr>
            <w:r>
              <w:rPr>
                <w:spacing w:val="-2"/>
                <w:sz w:val="16"/>
              </w:rPr>
              <w:t>29±1.0</w:t>
            </w:r>
          </w:p>
        </w:tc>
        <w:tc>
          <w:tcPr>
            <w:tcW w:w="874" w:type="dxa"/>
          </w:tcPr>
          <w:p>
            <w:pPr>
              <w:pStyle w:val="TableParagraph"/>
              <w:spacing w:line="174" w:lineRule="exact"/>
              <w:ind w:left="64" w:right="39"/>
              <w:rPr>
                <w:sz w:val="16"/>
              </w:rPr>
            </w:pPr>
            <w:r>
              <w:rPr>
                <w:spacing w:val="-2"/>
                <w:sz w:val="16"/>
              </w:rPr>
              <w:t>20±0.0</w:t>
            </w:r>
          </w:p>
        </w:tc>
        <w:tc>
          <w:tcPr>
            <w:tcW w:w="857" w:type="dxa"/>
          </w:tcPr>
          <w:p>
            <w:pPr>
              <w:pStyle w:val="TableParagraph"/>
              <w:spacing w:line="174" w:lineRule="exact"/>
              <w:ind w:left="166"/>
              <w:jc w:val="left"/>
              <w:rPr>
                <w:sz w:val="16"/>
              </w:rPr>
            </w:pPr>
            <w:r>
              <w:rPr>
                <w:spacing w:val="-2"/>
                <w:sz w:val="16"/>
              </w:rPr>
              <w:t>17±2.2</w:t>
            </w:r>
          </w:p>
        </w:tc>
        <w:tc>
          <w:tcPr>
            <w:tcW w:w="855" w:type="dxa"/>
          </w:tcPr>
          <w:p>
            <w:pPr>
              <w:pStyle w:val="TableParagraph"/>
              <w:spacing w:line="174" w:lineRule="exact"/>
              <w:ind w:left="94" w:right="85"/>
              <w:rPr>
                <w:sz w:val="16"/>
              </w:rPr>
            </w:pPr>
            <w:r>
              <w:rPr>
                <w:spacing w:val="-2"/>
                <w:sz w:val="16"/>
              </w:rPr>
              <w:t>19±1.0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17±1.4</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B8e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20±2.2</w:t>
            </w:r>
          </w:p>
        </w:tc>
        <w:tc>
          <w:tcPr>
            <w:tcW w:w="763" w:type="dxa"/>
          </w:tcPr>
          <w:p>
            <w:pPr>
              <w:pStyle w:val="TableParagraph"/>
              <w:spacing w:line="174" w:lineRule="exact"/>
              <w:ind w:left="45" w:right="39"/>
              <w:rPr>
                <w:sz w:val="16"/>
              </w:rPr>
            </w:pPr>
            <w:r>
              <w:rPr>
                <w:spacing w:val="-2"/>
                <w:sz w:val="16"/>
              </w:rPr>
              <w:t>13±1.0</w:t>
            </w:r>
          </w:p>
        </w:tc>
        <w:tc>
          <w:tcPr>
            <w:tcW w:w="720" w:type="dxa"/>
          </w:tcPr>
          <w:p>
            <w:pPr>
              <w:pStyle w:val="TableParagraph"/>
              <w:spacing w:line="174" w:lineRule="exact"/>
              <w:ind w:left="38" w:right="72"/>
              <w:rPr>
                <w:sz w:val="16"/>
              </w:rPr>
            </w:pPr>
            <w:r>
              <w:rPr>
                <w:spacing w:val="-2"/>
                <w:sz w:val="16"/>
              </w:rPr>
              <w:t>16±4.2</w:t>
            </w:r>
          </w:p>
        </w:tc>
        <w:tc>
          <w:tcPr>
            <w:tcW w:w="811" w:type="dxa"/>
          </w:tcPr>
          <w:p>
            <w:pPr>
              <w:pStyle w:val="TableParagraph"/>
              <w:spacing w:line="174" w:lineRule="exact"/>
              <w:ind w:left="121"/>
              <w:jc w:val="left"/>
              <w:rPr>
                <w:sz w:val="16"/>
              </w:rPr>
            </w:pPr>
            <w:r>
              <w:rPr>
                <w:spacing w:val="-2"/>
                <w:sz w:val="16"/>
              </w:rPr>
              <w:t>22±2.8</w:t>
            </w:r>
          </w:p>
        </w:tc>
        <w:tc>
          <w:tcPr>
            <w:tcW w:w="881" w:type="dxa"/>
          </w:tcPr>
          <w:p>
            <w:pPr>
              <w:pStyle w:val="TableParagraph"/>
              <w:spacing w:line="174" w:lineRule="exact"/>
              <w:ind w:right="12"/>
              <w:rPr>
                <w:sz w:val="16"/>
              </w:rPr>
            </w:pPr>
            <w:r>
              <w:rPr>
                <w:spacing w:val="-2"/>
                <w:sz w:val="16"/>
              </w:rPr>
              <w:t>28±1.0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10±0.0</w:t>
            </w:r>
          </w:p>
        </w:tc>
        <w:tc>
          <w:tcPr>
            <w:tcW w:w="855" w:type="dxa"/>
          </w:tcPr>
          <w:p>
            <w:pPr>
              <w:pStyle w:val="TableParagraph"/>
              <w:spacing w:line="174" w:lineRule="exact"/>
              <w:ind w:left="94" w:right="85"/>
              <w:rPr>
                <w:sz w:val="16"/>
              </w:rPr>
            </w:pPr>
            <w:r>
              <w:rPr>
                <w:spacing w:val="-2"/>
                <w:sz w:val="16"/>
              </w:rPr>
              <w:t>18±0.0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14±1.0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B24s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21±1.4</w:t>
            </w:r>
          </w:p>
        </w:tc>
        <w:tc>
          <w:tcPr>
            <w:tcW w:w="720" w:type="dxa"/>
          </w:tcPr>
          <w:p>
            <w:pPr>
              <w:pStyle w:val="TableParagraph"/>
              <w:spacing w:line="177" w:lineRule="exact"/>
              <w:ind w:left="38" w:right="72"/>
              <w:rPr>
                <w:sz w:val="16"/>
              </w:rPr>
            </w:pPr>
            <w:r>
              <w:rPr>
                <w:spacing w:val="-2"/>
                <w:sz w:val="16"/>
              </w:rPr>
              <w:t>19±1.4</w:t>
            </w:r>
          </w:p>
        </w:tc>
        <w:tc>
          <w:tcPr>
            <w:tcW w:w="811" w:type="dxa"/>
          </w:tcPr>
          <w:p>
            <w:pPr>
              <w:pStyle w:val="TableParagraph"/>
              <w:spacing w:line="177" w:lineRule="exact"/>
              <w:ind w:left="121"/>
              <w:jc w:val="left"/>
              <w:rPr>
                <w:sz w:val="16"/>
              </w:rPr>
            </w:pPr>
            <w:r>
              <w:rPr>
                <w:spacing w:val="-2"/>
                <w:sz w:val="16"/>
              </w:rPr>
              <w:t>23±1.4</w:t>
            </w:r>
          </w:p>
        </w:tc>
        <w:tc>
          <w:tcPr>
            <w:tcW w:w="881" w:type="dxa"/>
          </w:tcPr>
          <w:p>
            <w:pPr>
              <w:pStyle w:val="TableParagraph"/>
              <w:spacing w:line="177" w:lineRule="exact"/>
              <w:ind w:right="12"/>
              <w:rPr>
                <w:sz w:val="16"/>
              </w:rPr>
            </w:pPr>
            <w:r>
              <w:rPr>
                <w:spacing w:val="-2"/>
                <w:sz w:val="16"/>
              </w:rPr>
              <w:t>23±1.4</w:t>
            </w:r>
          </w:p>
        </w:tc>
        <w:tc>
          <w:tcPr>
            <w:tcW w:w="874" w:type="dxa"/>
          </w:tcPr>
          <w:p>
            <w:pPr>
              <w:pStyle w:val="TableParagraph"/>
              <w:spacing w:line="177" w:lineRule="exact"/>
              <w:ind w:left="64" w:right="39"/>
              <w:rPr>
                <w:sz w:val="16"/>
              </w:rPr>
            </w:pPr>
            <w:r>
              <w:rPr>
                <w:spacing w:val="-2"/>
                <w:sz w:val="16"/>
              </w:rPr>
              <w:t>30±0.0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14±1.0</w:t>
            </w:r>
          </w:p>
        </w:tc>
        <w:tc>
          <w:tcPr>
            <w:tcW w:w="855" w:type="dxa"/>
          </w:tcPr>
          <w:p>
            <w:pPr>
              <w:pStyle w:val="TableParagraph"/>
              <w:spacing w:line="177" w:lineRule="exact"/>
              <w:ind w:left="48" w:right="133"/>
              <w:rPr>
                <w:sz w:val="16"/>
              </w:rPr>
            </w:pPr>
            <w:r>
              <w:rPr>
                <w:spacing w:val="-2"/>
                <w:sz w:val="16"/>
              </w:rPr>
              <w:t>19±1.0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B33e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18±2.2</w:t>
            </w:r>
          </w:p>
        </w:tc>
        <w:tc>
          <w:tcPr>
            <w:tcW w:w="811" w:type="dxa"/>
          </w:tcPr>
          <w:p>
            <w:pPr>
              <w:pStyle w:val="TableParagraph"/>
              <w:spacing w:line="174" w:lineRule="exact"/>
              <w:ind w:left="121"/>
              <w:jc w:val="left"/>
              <w:rPr>
                <w:sz w:val="16"/>
              </w:rPr>
            </w:pPr>
            <w:r>
              <w:rPr>
                <w:spacing w:val="-2"/>
                <w:sz w:val="16"/>
              </w:rPr>
              <w:t>0.0±0.0</w:t>
            </w:r>
          </w:p>
        </w:tc>
        <w:tc>
          <w:tcPr>
            <w:tcW w:w="881" w:type="dxa"/>
          </w:tcPr>
          <w:p>
            <w:pPr>
              <w:pStyle w:val="TableParagraph"/>
              <w:spacing w:line="174" w:lineRule="exact"/>
              <w:ind w:right="12"/>
              <w:rPr>
                <w:sz w:val="16"/>
              </w:rPr>
            </w:pPr>
            <w:r>
              <w:rPr>
                <w:spacing w:val="-2"/>
                <w:sz w:val="16"/>
              </w:rPr>
              <w:t>21±0.0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S47s</w:t>
            </w:r>
          </w:p>
        </w:tc>
        <w:tc>
          <w:tcPr>
            <w:tcW w:w="1066" w:type="dxa"/>
          </w:tcPr>
          <w:p>
            <w:pPr>
              <w:pStyle w:val="TableParagraph"/>
              <w:spacing w:line="174" w:lineRule="exact"/>
              <w:ind w:right="49"/>
              <w:rPr>
                <w:sz w:val="16"/>
              </w:rPr>
            </w:pPr>
            <w:r>
              <w:rPr>
                <w:spacing w:val="-2"/>
                <w:sz w:val="16"/>
              </w:rPr>
              <w:t>17±2.2</w:t>
            </w:r>
          </w:p>
        </w:tc>
        <w:tc>
          <w:tcPr>
            <w:tcW w:w="943" w:type="dxa"/>
          </w:tcPr>
          <w:p>
            <w:pPr>
              <w:pStyle w:val="TableParagraph"/>
              <w:spacing w:line="174" w:lineRule="exact"/>
              <w:ind w:right="199"/>
              <w:jc w:val="right"/>
              <w:rPr>
                <w:sz w:val="16"/>
              </w:rPr>
            </w:pPr>
            <w:r>
              <w:rPr>
                <w:spacing w:val="-2"/>
                <w:sz w:val="16"/>
              </w:rPr>
              <w:t>18±2.8</w:t>
            </w:r>
          </w:p>
        </w:tc>
        <w:tc>
          <w:tcPr>
            <w:tcW w:w="763" w:type="dxa"/>
          </w:tcPr>
          <w:p>
            <w:pPr>
              <w:pStyle w:val="TableParagraph"/>
              <w:spacing w:line="174" w:lineRule="exact"/>
              <w:ind w:left="45" w:right="39"/>
              <w:rPr>
                <w:sz w:val="16"/>
              </w:rPr>
            </w:pPr>
            <w:r>
              <w:rPr>
                <w:spacing w:val="-2"/>
                <w:sz w:val="16"/>
              </w:rPr>
              <w:t>17±2.2</w:t>
            </w:r>
          </w:p>
        </w:tc>
        <w:tc>
          <w:tcPr>
            <w:tcW w:w="720" w:type="dxa"/>
          </w:tcPr>
          <w:p>
            <w:pPr>
              <w:pStyle w:val="TableParagraph"/>
              <w:spacing w:line="174" w:lineRule="exact"/>
              <w:ind w:left="38" w:right="72"/>
              <w:rPr>
                <w:sz w:val="16"/>
              </w:rPr>
            </w:pPr>
            <w:r>
              <w:rPr>
                <w:spacing w:val="-2"/>
                <w:sz w:val="16"/>
              </w:rPr>
              <w:t>16±1.4</w:t>
            </w:r>
          </w:p>
        </w:tc>
        <w:tc>
          <w:tcPr>
            <w:tcW w:w="811" w:type="dxa"/>
          </w:tcPr>
          <w:p>
            <w:pPr>
              <w:pStyle w:val="TableParagraph"/>
              <w:spacing w:line="174" w:lineRule="exact"/>
              <w:ind w:left="121"/>
              <w:jc w:val="left"/>
              <w:rPr>
                <w:sz w:val="16"/>
              </w:rPr>
            </w:pPr>
            <w:r>
              <w:rPr>
                <w:spacing w:val="-2"/>
                <w:sz w:val="16"/>
              </w:rPr>
              <w:t>20±1.4</w:t>
            </w:r>
          </w:p>
        </w:tc>
        <w:tc>
          <w:tcPr>
            <w:tcW w:w="881" w:type="dxa"/>
          </w:tcPr>
          <w:p>
            <w:pPr>
              <w:pStyle w:val="TableParagraph"/>
              <w:spacing w:line="174" w:lineRule="exact"/>
              <w:ind w:right="12"/>
              <w:rPr>
                <w:sz w:val="16"/>
              </w:rPr>
            </w:pPr>
            <w:r>
              <w:rPr>
                <w:spacing w:val="-2"/>
                <w:sz w:val="16"/>
              </w:rPr>
              <w:t>25±0.0</w:t>
            </w:r>
          </w:p>
        </w:tc>
        <w:tc>
          <w:tcPr>
            <w:tcW w:w="874" w:type="dxa"/>
          </w:tcPr>
          <w:p>
            <w:pPr>
              <w:pStyle w:val="TableParagraph"/>
              <w:spacing w:line="174" w:lineRule="exact"/>
              <w:ind w:left="64" w:right="39"/>
              <w:rPr>
                <w:sz w:val="16"/>
              </w:rPr>
            </w:pPr>
            <w:r>
              <w:rPr>
                <w:spacing w:val="-2"/>
                <w:sz w:val="16"/>
              </w:rPr>
              <w:t>16±1.0</w:t>
            </w:r>
          </w:p>
        </w:tc>
        <w:tc>
          <w:tcPr>
            <w:tcW w:w="857" w:type="dxa"/>
          </w:tcPr>
          <w:p>
            <w:pPr>
              <w:pStyle w:val="TableParagraph"/>
              <w:spacing w:line="174" w:lineRule="exact"/>
              <w:ind w:left="166"/>
              <w:jc w:val="left"/>
              <w:rPr>
                <w:sz w:val="16"/>
              </w:rPr>
            </w:pPr>
            <w:r>
              <w:rPr>
                <w:spacing w:val="-2"/>
                <w:sz w:val="16"/>
              </w:rPr>
              <w:t>13±2.2</w:t>
            </w:r>
          </w:p>
        </w:tc>
        <w:tc>
          <w:tcPr>
            <w:tcW w:w="855" w:type="dxa"/>
          </w:tcPr>
          <w:p>
            <w:pPr>
              <w:pStyle w:val="TableParagraph"/>
              <w:spacing w:line="174" w:lineRule="exact"/>
              <w:ind w:left="94" w:right="85"/>
              <w:rPr>
                <w:sz w:val="16"/>
              </w:rPr>
            </w:pPr>
            <w:r>
              <w:rPr>
                <w:spacing w:val="-2"/>
                <w:sz w:val="16"/>
              </w:rPr>
              <w:t>15±0.0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S43e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99"/>
              <w:jc w:val="right"/>
              <w:rPr>
                <w:sz w:val="16"/>
              </w:rPr>
            </w:pPr>
            <w:r>
              <w:rPr>
                <w:spacing w:val="-2"/>
                <w:sz w:val="16"/>
              </w:rPr>
              <w:t>24±1.0</w:t>
            </w:r>
          </w:p>
        </w:tc>
        <w:tc>
          <w:tcPr>
            <w:tcW w:w="763" w:type="dxa"/>
          </w:tcPr>
          <w:p>
            <w:pPr>
              <w:pStyle w:val="TableParagraph"/>
              <w:spacing w:line="177" w:lineRule="exact"/>
              <w:ind w:left="45" w:right="39"/>
              <w:rPr>
                <w:sz w:val="16"/>
              </w:rPr>
            </w:pPr>
            <w:r>
              <w:rPr>
                <w:spacing w:val="-2"/>
                <w:sz w:val="16"/>
              </w:rPr>
              <w:t>14±2.8</w:t>
            </w:r>
          </w:p>
        </w:tc>
        <w:tc>
          <w:tcPr>
            <w:tcW w:w="720" w:type="dxa"/>
          </w:tcPr>
          <w:p>
            <w:pPr>
              <w:pStyle w:val="TableParagraph"/>
              <w:spacing w:line="177" w:lineRule="exact"/>
              <w:ind w:left="38" w:right="72"/>
              <w:rPr>
                <w:sz w:val="16"/>
              </w:rPr>
            </w:pPr>
            <w:r>
              <w:rPr>
                <w:spacing w:val="-2"/>
                <w:sz w:val="16"/>
              </w:rPr>
              <w:t>16±1.0</w:t>
            </w:r>
          </w:p>
        </w:tc>
        <w:tc>
          <w:tcPr>
            <w:tcW w:w="811" w:type="dxa"/>
          </w:tcPr>
          <w:p>
            <w:pPr>
              <w:pStyle w:val="TableParagraph"/>
              <w:spacing w:line="177" w:lineRule="exact"/>
              <w:ind w:left="121"/>
              <w:jc w:val="left"/>
              <w:rPr>
                <w:sz w:val="16"/>
              </w:rPr>
            </w:pPr>
            <w:r>
              <w:rPr>
                <w:spacing w:val="-2"/>
                <w:sz w:val="16"/>
              </w:rPr>
              <w:t>22±2.8</w:t>
            </w:r>
          </w:p>
        </w:tc>
        <w:tc>
          <w:tcPr>
            <w:tcW w:w="881" w:type="dxa"/>
          </w:tcPr>
          <w:p>
            <w:pPr>
              <w:pStyle w:val="TableParagraph"/>
              <w:spacing w:line="177" w:lineRule="exact"/>
              <w:ind w:right="12"/>
              <w:rPr>
                <w:sz w:val="16"/>
              </w:rPr>
            </w:pPr>
            <w:r>
              <w:rPr>
                <w:spacing w:val="-2"/>
                <w:sz w:val="16"/>
              </w:rPr>
              <w:t>27±1.0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12±1.0</w:t>
            </w:r>
          </w:p>
        </w:tc>
        <w:tc>
          <w:tcPr>
            <w:tcW w:w="855" w:type="dxa"/>
          </w:tcPr>
          <w:p>
            <w:pPr>
              <w:pStyle w:val="TableParagraph"/>
              <w:spacing w:line="177" w:lineRule="exact"/>
              <w:ind w:left="94" w:right="85"/>
              <w:rPr>
                <w:sz w:val="16"/>
              </w:rPr>
            </w:pPr>
            <w:r>
              <w:rPr>
                <w:spacing w:val="-2"/>
                <w:sz w:val="16"/>
              </w:rPr>
              <w:t>17±0.0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E33s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22±0.0</w:t>
            </w:r>
          </w:p>
        </w:tc>
        <w:tc>
          <w:tcPr>
            <w:tcW w:w="763" w:type="dxa"/>
          </w:tcPr>
          <w:p>
            <w:pPr>
              <w:pStyle w:val="TableParagraph"/>
              <w:spacing w:line="174" w:lineRule="exact"/>
              <w:ind w:left="45" w:right="39"/>
              <w:rPr>
                <w:sz w:val="16"/>
              </w:rPr>
            </w:pPr>
            <w:r>
              <w:rPr>
                <w:spacing w:val="-2"/>
                <w:sz w:val="16"/>
              </w:rPr>
              <w:t>11±1.0</w:t>
            </w:r>
          </w:p>
        </w:tc>
        <w:tc>
          <w:tcPr>
            <w:tcW w:w="720" w:type="dxa"/>
          </w:tcPr>
          <w:p>
            <w:pPr>
              <w:pStyle w:val="TableParagraph"/>
              <w:spacing w:line="174" w:lineRule="exact"/>
              <w:ind w:left="38" w:right="72"/>
              <w:rPr>
                <w:sz w:val="16"/>
              </w:rPr>
            </w:pPr>
            <w:r>
              <w:rPr>
                <w:spacing w:val="-2"/>
                <w:sz w:val="16"/>
              </w:rPr>
              <w:t>14±0.0</w:t>
            </w:r>
          </w:p>
        </w:tc>
        <w:tc>
          <w:tcPr>
            <w:tcW w:w="811" w:type="dxa"/>
          </w:tcPr>
          <w:p>
            <w:pPr>
              <w:pStyle w:val="TableParagraph"/>
              <w:spacing w:line="174" w:lineRule="exact"/>
              <w:ind w:left="121"/>
              <w:jc w:val="left"/>
              <w:rPr>
                <w:sz w:val="16"/>
              </w:rPr>
            </w:pPr>
            <w:r>
              <w:rPr>
                <w:spacing w:val="-2"/>
                <w:sz w:val="16"/>
              </w:rPr>
              <w:t>19±1.0</w:t>
            </w:r>
          </w:p>
        </w:tc>
        <w:tc>
          <w:tcPr>
            <w:tcW w:w="881" w:type="dxa"/>
          </w:tcPr>
          <w:p>
            <w:pPr>
              <w:pStyle w:val="TableParagraph"/>
              <w:spacing w:line="174" w:lineRule="exact"/>
              <w:ind w:right="12"/>
              <w:rPr>
                <w:sz w:val="16"/>
              </w:rPr>
            </w:pPr>
            <w:r>
              <w:rPr>
                <w:spacing w:val="-2"/>
                <w:sz w:val="16"/>
              </w:rPr>
              <w:t>25±1.0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12±0.0</w:t>
            </w:r>
          </w:p>
        </w:tc>
        <w:tc>
          <w:tcPr>
            <w:tcW w:w="855" w:type="dxa"/>
          </w:tcPr>
          <w:p>
            <w:pPr>
              <w:pStyle w:val="TableParagraph"/>
              <w:spacing w:line="174" w:lineRule="exact"/>
              <w:ind w:left="94" w:right="85"/>
              <w:rPr>
                <w:sz w:val="16"/>
              </w:rPr>
            </w:pPr>
            <w:r>
              <w:rPr>
                <w:spacing w:val="-2"/>
                <w:sz w:val="16"/>
              </w:rPr>
              <w:t>16±1.0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10±1.0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S40e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21±0.0</w:t>
            </w:r>
          </w:p>
        </w:tc>
        <w:tc>
          <w:tcPr>
            <w:tcW w:w="763" w:type="dxa"/>
          </w:tcPr>
          <w:p>
            <w:pPr>
              <w:pStyle w:val="TableParagraph"/>
              <w:spacing w:line="174" w:lineRule="exact"/>
              <w:ind w:left="45" w:right="39"/>
              <w:rPr>
                <w:sz w:val="16"/>
              </w:rPr>
            </w:pPr>
            <w:r>
              <w:rPr>
                <w:spacing w:val="-2"/>
                <w:sz w:val="16"/>
              </w:rPr>
              <w:t>14±1.0</w:t>
            </w:r>
          </w:p>
        </w:tc>
        <w:tc>
          <w:tcPr>
            <w:tcW w:w="720" w:type="dxa"/>
          </w:tcPr>
          <w:p>
            <w:pPr>
              <w:pStyle w:val="TableParagraph"/>
              <w:spacing w:line="174" w:lineRule="exact"/>
              <w:ind w:left="38" w:right="72"/>
              <w:rPr>
                <w:sz w:val="16"/>
              </w:rPr>
            </w:pPr>
            <w:r>
              <w:rPr>
                <w:spacing w:val="-2"/>
                <w:sz w:val="16"/>
              </w:rPr>
              <w:t>18±1.4</w:t>
            </w:r>
          </w:p>
        </w:tc>
        <w:tc>
          <w:tcPr>
            <w:tcW w:w="811" w:type="dxa"/>
          </w:tcPr>
          <w:p>
            <w:pPr>
              <w:pStyle w:val="TableParagraph"/>
              <w:spacing w:line="174" w:lineRule="exact"/>
              <w:ind w:left="121"/>
              <w:jc w:val="left"/>
              <w:rPr>
                <w:sz w:val="16"/>
              </w:rPr>
            </w:pPr>
            <w:r>
              <w:rPr>
                <w:spacing w:val="-2"/>
                <w:sz w:val="16"/>
              </w:rPr>
              <w:t>21±1.0</w:t>
            </w:r>
          </w:p>
        </w:tc>
        <w:tc>
          <w:tcPr>
            <w:tcW w:w="881" w:type="dxa"/>
          </w:tcPr>
          <w:p>
            <w:pPr>
              <w:pStyle w:val="TableParagraph"/>
              <w:spacing w:line="174" w:lineRule="exact"/>
              <w:ind w:right="12"/>
              <w:rPr>
                <w:sz w:val="16"/>
              </w:rPr>
            </w:pPr>
            <w:r>
              <w:rPr>
                <w:spacing w:val="-2"/>
                <w:sz w:val="16"/>
              </w:rPr>
              <w:t>30±1.0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18±1.0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S39e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99"/>
              <w:jc w:val="right"/>
              <w:rPr>
                <w:sz w:val="16"/>
              </w:rPr>
            </w:pPr>
            <w:r>
              <w:rPr>
                <w:spacing w:val="-2"/>
                <w:sz w:val="16"/>
              </w:rPr>
              <w:t>24±1.0</w:t>
            </w:r>
          </w:p>
        </w:tc>
        <w:tc>
          <w:tcPr>
            <w:tcW w:w="763" w:type="dxa"/>
          </w:tcPr>
          <w:p>
            <w:pPr>
              <w:pStyle w:val="TableParagraph"/>
              <w:spacing w:line="177" w:lineRule="exact"/>
              <w:ind w:left="45" w:right="39"/>
              <w:rPr>
                <w:sz w:val="16"/>
              </w:rPr>
            </w:pPr>
            <w:r>
              <w:rPr>
                <w:spacing w:val="-2"/>
                <w:sz w:val="16"/>
              </w:rPr>
              <w:t>17±2.8</w:t>
            </w:r>
          </w:p>
        </w:tc>
        <w:tc>
          <w:tcPr>
            <w:tcW w:w="720" w:type="dxa"/>
          </w:tcPr>
          <w:p>
            <w:pPr>
              <w:pStyle w:val="TableParagraph"/>
              <w:spacing w:line="177" w:lineRule="exact"/>
              <w:ind w:left="38" w:right="72"/>
              <w:rPr>
                <w:sz w:val="16"/>
              </w:rPr>
            </w:pPr>
            <w:r>
              <w:rPr>
                <w:spacing w:val="-2"/>
                <w:sz w:val="16"/>
              </w:rPr>
              <w:t>24±6.4</w:t>
            </w:r>
          </w:p>
        </w:tc>
        <w:tc>
          <w:tcPr>
            <w:tcW w:w="811" w:type="dxa"/>
          </w:tcPr>
          <w:p>
            <w:pPr>
              <w:pStyle w:val="TableParagraph"/>
              <w:spacing w:line="177" w:lineRule="exact"/>
              <w:ind w:left="121"/>
              <w:jc w:val="left"/>
              <w:rPr>
                <w:sz w:val="16"/>
              </w:rPr>
            </w:pPr>
            <w:r>
              <w:rPr>
                <w:spacing w:val="-2"/>
                <w:sz w:val="16"/>
              </w:rPr>
              <w:t>27±1.0</w:t>
            </w:r>
          </w:p>
        </w:tc>
        <w:tc>
          <w:tcPr>
            <w:tcW w:w="881" w:type="dxa"/>
          </w:tcPr>
          <w:p>
            <w:pPr>
              <w:pStyle w:val="TableParagraph"/>
              <w:spacing w:line="177" w:lineRule="exact"/>
              <w:ind w:right="12"/>
              <w:rPr>
                <w:sz w:val="16"/>
              </w:rPr>
            </w:pPr>
            <w:r>
              <w:rPr>
                <w:spacing w:val="-2"/>
                <w:sz w:val="16"/>
              </w:rPr>
              <w:t>33±1.4</w:t>
            </w:r>
          </w:p>
        </w:tc>
        <w:tc>
          <w:tcPr>
            <w:tcW w:w="874" w:type="dxa"/>
          </w:tcPr>
          <w:p>
            <w:pPr>
              <w:pStyle w:val="TableParagraph"/>
              <w:spacing w:line="177" w:lineRule="exact"/>
              <w:ind w:left="64" w:right="39"/>
              <w:rPr>
                <w:sz w:val="16"/>
              </w:rPr>
            </w:pPr>
            <w:r>
              <w:rPr>
                <w:spacing w:val="-2"/>
                <w:sz w:val="16"/>
              </w:rPr>
              <w:t>12±0.0</w:t>
            </w:r>
          </w:p>
        </w:tc>
        <w:tc>
          <w:tcPr>
            <w:tcW w:w="857" w:type="dxa"/>
          </w:tcPr>
          <w:p>
            <w:pPr>
              <w:pStyle w:val="TableParagraph"/>
              <w:spacing w:line="177" w:lineRule="exact"/>
              <w:ind w:left="166"/>
              <w:jc w:val="left"/>
              <w:rPr>
                <w:sz w:val="16"/>
              </w:rPr>
            </w:pPr>
            <w:r>
              <w:rPr>
                <w:spacing w:val="-2"/>
                <w:sz w:val="16"/>
              </w:rPr>
              <w:t>16±2.2</w:t>
            </w:r>
          </w:p>
        </w:tc>
        <w:tc>
          <w:tcPr>
            <w:tcW w:w="855" w:type="dxa"/>
          </w:tcPr>
          <w:p>
            <w:pPr>
              <w:pStyle w:val="TableParagraph"/>
              <w:spacing w:line="177" w:lineRule="exact"/>
              <w:ind w:left="94" w:right="85"/>
              <w:rPr>
                <w:sz w:val="16"/>
              </w:rPr>
            </w:pPr>
            <w:r>
              <w:rPr>
                <w:spacing w:val="-2"/>
                <w:sz w:val="16"/>
              </w:rPr>
              <w:t>20±1.0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15±1.0</w:t>
            </w:r>
          </w:p>
        </w:tc>
        <w:tc>
          <w:tcPr>
            <w:tcW w:w="738" w:type="dxa"/>
          </w:tcPr>
          <w:p>
            <w:pPr>
              <w:pStyle w:val="TableParagraph"/>
              <w:spacing w:line="177"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5"/>
                <w:sz w:val="16"/>
              </w:rPr>
              <w:t>Z9s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99"/>
              <w:jc w:val="right"/>
              <w:rPr>
                <w:sz w:val="16"/>
              </w:rPr>
            </w:pPr>
            <w:r>
              <w:rPr>
                <w:spacing w:val="-2"/>
                <w:sz w:val="16"/>
              </w:rPr>
              <w:t>19±1.4</w:t>
            </w:r>
          </w:p>
        </w:tc>
        <w:tc>
          <w:tcPr>
            <w:tcW w:w="763" w:type="dxa"/>
          </w:tcPr>
          <w:p>
            <w:pPr>
              <w:pStyle w:val="TableParagraph"/>
              <w:spacing w:line="177" w:lineRule="exact"/>
              <w:ind w:left="45" w:right="39"/>
              <w:rPr>
                <w:sz w:val="16"/>
              </w:rPr>
            </w:pPr>
            <w:r>
              <w:rPr>
                <w:spacing w:val="-2"/>
                <w:sz w:val="16"/>
              </w:rPr>
              <w:t>15±0.0</w:t>
            </w:r>
          </w:p>
        </w:tc>
        <w:tc>
          <w:tcPr>
            <w:tcW w:w="720" w:type="dxa"/>
          </w:tcPr>
          <w:p>
            <w:pPr>
              <w:pStyle w:val="TableParagraph"/>
              <w:spacing w:line="177" w:lineRule="exact"/>
              <w:ind w:left="38" w:right="72"/>
              <w:rPr>
                <w:sz w:val="16"/>
              </w:rPr>
            </w:pPr>
            <w:r>
              <w:rPr>
                <w:spacing w:val="-2"/>
                <w:sz w:val="16"/>
              </w:rPr>
              <w:t>14±1.0</w:t>
            </w:r>
          </w:p>
        </w:tc>
        <w:tc>
          <w:tcPr>
            <w:tcW w:w="811" w:type="dxa"/>
          </w:tcPr>
          <w:p>
            <w:pPr>
              <w:pStyle w:val="TableParagraph"/>
              <w:spacing w:line="177" w:lineRule="exact"/>
              <w:ind w:left="121"/>
              <w:jc w:val="left"/>
              <w:rPr>
                <w:sz w:val="16"/>
              </w:rPr>
            </w:pPr>
            <w:r>
              <w:rPr>
                <w:spacing w:val="-2"/>
                <w:sz w:val="16"/>
              </w:rPr>
              <w:t>19±1.0</w:t>
            </w:r>
          </w:p>
        </w:tc>
        <w:tc>
          <w:tcPr>
            <w:tcW w:w="881" w:type="dxa"/>
          </w:tcPr>
          <w:p>
            <w:pPr>
              <w:pStyle w:val="TableParagraph"/>
              <w:spacing w:line="177" w:lineRule="exact"/>
              <w:ind w:right="12"/>
              <w:rPr>
                <w:sz w:val="16"/>
              </w:rPr>
            </w:pPr>
            <w:r>
              <w:rPr>
                <w:spacing w:val="-2"/>
                <w:sz w:val="16"/>
              </w:rPr>
              <w:t>24±3.6</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10±0.0</w:t>
            </w:r>
          </w:p>
        </w:tc>
        <w:tc>
          <w:tcPr>
            <w:tcW w:w="855" w:type="dxa"/>
          </w:tcPr>
          <w:p>
            <w:pPr>
              <w:pStyle w:val="TableParagraph"/>
              <w:spacing w:line="177" w:lineRule="exact"/>
              <w:ind w:left="94" w:right="85"/>
              <w:rPr>
                <w:sz w:val="16"/>
              </w:rPr>
            </w:pPr>
            <w:r>
              <w:rPr>
                <w:spacing w:val="-2"/>
                <w:sz w:val="16"/>
              </w:rPr>
              <w:t>13±1.0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B1e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11±1.0</w:t>
            </w:r>
          </w:p>
        </w:tc>
        <w:tc>
          <w:tcPr>
            <w:tcW w:w="720" w:type="dxa"/>
          </w:tcPr>
          <w:p>
            <w:pPr>
              <w:pStyle w:val="TableParagraph"/>
              <w:spacing w:line="174" w:lineRule="exact"/>
              <w:ind w:left="38" w:right="72"/>
              <w:rPr>
                <w:sz w:val="16"/>
              </w:rPr>
            </w:pPr>
            <w:r>
              <w:rPr>
                <w:spacing w:val="-2"/>
                <w:sz w:val="16"/>
              </w:rPr>
              <w:t>14±1.4</w:t>
            </w:r>
          </w:p>
        </w:tc>
        <w:tc>
          <w:tcPr>
            <w:tcW w:w="811" w:type="dxa"/>
          </w:tcPr>
          <w:p>
            <w:pPr>
              <w:pStyle w:val="TableParagraph"/>
              <w:spacing w:line="174" w:lineRule="exact"/>
              <w:ind w:left="121"/>
              <w:jc w:val="left"/>
              <w:rPr>
                <w:sz w:val="16"/>
              </w:rPr>
            </w:pPr>
            <w:r>
              <w:rPr>
                <w:spacing w:val="-2"/>
                <w:sz w:val="16"/>
              </w:rPr>
              <w:t>22±1.0</w:t>
            </w:r>
          </w:p>
        </w:tc>
        <w:tc>
          <w:tcPr>
            <w:tcW w:w="881" w:type="dxa"/>
          </w:tcPr>
          <w:p>
            <w:pPr>
              <w:pStyle w:val="TableParagraph"/>
              <w:spacing w:line="174" w:lineRule="exact"/>
              <w:ind w:right="12"/>
              <w:rPr>
                <w:sz w:val="16"/>
              </w:rPr>
            </w:pPr>
            <w:r>
              <w:rPr>
                <w:spacing w:val="-2"/>
                <w:sz w:val="16"/>
              </w:rPr>
              <w:t>29±2.8</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15±0.0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10±1.0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B23s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20±1.0</w:t>
            </w:r>
          </w:p>
        </w:tc>
        <w:tc>
          <w:tcPr>
            <w:tcW w:w="720" w:type="dxa"/>
          </w:tcPr>
          <w:p>
            <w:pPr>
              <w:pStyle w:val="TableParagraph"/>
              <w:spacing w:line="174" w:lineRule="exact"/>
              <w:ind w:left="38" w:right="72"/>
              <w:rPr>
                <w:sz w:val="16"/>
              </w:rPr>
            </w:pPr>
            <w:r>
              <w:rPr>
                <w:spacing w:val="-2"/>
                <w:sz w:val="16"/>
              </w:rPr>
              <w:t>18±1.4</w:t>
            </w:r>
          </w:p>
        </w:tc>
        <w:tc>
          <w:tcPr>
            <w:tcW w:w="811" w:type="dxa"/>
          </w:tcPr>
          <w:p>
            <w:pPr>
              <w:pStyle w:val="TableParagraph"/>
              <w:spacing w:line="174" w:lineRule="exact"/>
              <w:ind w:left="121"/>
              <w:jc w:val="left"/>
              <w:rPr>
                <w:sz w:val="16"/>
              </w:rPr>
            </w:pPr>
            <w:r>
              <w:rPr>
                <w:spacing w:val="-2"/>
                <w:sz w:val="16"/>
              </w:rPr>
              <w:t>24±1.0</w:t>
            </w:r>
          </w:p>
        </w:tc>
        <w:tc>
          <w:tcPr>
            <w:tcW w:w="881" w:type="dxa"/>
          </w:tcPr>
          <w:p>
            <w:pPr>
              <w:pStyle w:val="TableParagraph"/>
              <w:spacing w:line="174" w:lineRule="exact"/>
              <w:ind w:right="12"/>
              <w:rPr>
                <w:sz w:val="16"/>
              </w:rPr>
            </w:pPr>
            <w:r>
              <w:rPr>
                <w:spacing w:val="-2"/>
                <w:sz w:val="16"/>
              </w:rPr>
              <w:t>31±0.0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17±1.4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5"/>
                <w:sz w:val="16"/>
              </w:rPr>
              <w:t>B5s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17±2.2</w:t>
            </w:r>
          </w:p>
        </w:tc>
        <w:tc>
          <w:tcPr>
            <w:tcW w:w="811" w:type="dxa"/>
          </w:tcPr>
          <w:p>
            <w:pPr>
              <w:pStyle w:val="TableParagraph"/>
              <w:spacing w:line="177" w:lineRule="exact"/>
              <w:ind w:left="121"/>
              <w:jc w:val="left"/>
              <w:rPr>
                <w:sz w:val="16"/>
              </w:rPr>
            </w:pPr>
            <w:r>
              <w:rPr>
                <w:spacing w:val="-2"/>
                <w:sz w:val="16"/>
              </w:rPr>
              <w:t>0.0±0.0</w:t>
            </w:r>
          </w:p>
        </w:tc>
        <w:tc>
          <w:tcPr>
            <w:tcW w:w="881" w:type="dxa"/>
          </w:tcPr>
          <w:p>
            <w:pPr>
              <w:pStyle w:val="TableParagraph"/>
              <w:spacing w:line="177" w:lineRule="exact"/>
              <w:ind w:right="12"/>
              <w:rPr>
                <w:sz w:val="16"/>
              </w:rPr>
            </w:pPr>
            <w:r>
              <w:rPr>
                <w:spacing w:val="-2"/>
                <w:sz w:val="16"/>
              </w:rPr>
              <w:t>21±1.0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13±0.0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S36s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10±0.0</w:t>
            </w:r>
          </w:p>
        </w:tc>
        <w:tc>
          <w:tcPr>
            <w:tcW w:w="720" w:type="dxa"/>
          </w:tcPr>
          <w:p>
            <w:pPr>
              <w:pStyle w:val="TableParagraph"/>
              <w:spacing w:line="174" w:lineRule="exact"/>
              <w:ind w:left="38" w:right="72"/>
              <w:rPr>
                <w:sz w:val="16"/>
              </w:rPr>
            </w:pPr>
            <w:r>
              <w:rPr>
                <w:spacing w:val="-2"/>
                <w:sz w:val="16"/>
              </w:rPr>
              <w:t>17±1.4</w:t>
            </w:r>
          </w:p>
        </w:tc>
        <w:tc>
          <w:tcPr>
            <w:tcW w:w="811" w:type="dxa"/>
          </w:tcPr>
          <w:p>
            <w:pPr>
              <w:pStyle w:val="TableParagraph"/>
              <w:spacing w:line="174" w:lineRule="exact"/>
              <w:ind w:left="121"/>
              <w:jc w:val="left"/>
              <w:rPr>
                <w:sz w:val="16"/>
              </w:rPr>
            </w:pPr>
            <w:r>
              <w:rPr>
                <w:spacing w:val="-2"/>
                <w:sz w:val="16"/>
              </w:rPr>
              <w:t>22±1.4</w:t>
            </w:r>
          </w:p>
        </w:tc>
        <w:tc>
          <w:tcPr>
            <w:tcW w:w="881" w:type="dxa"/>
          </w:tcPr>
          <w:p>
            <w:pPr>
              <w:pStyle w:val="TableParagraph"/>
              <w:spacing w:line="174" w:lineRule="exact"/>
              <w:ind w:right="12"/>
              <w:rPr>
                <w:sz w:val="16"/>
              </w:rPr>
            </w:pPr>
            <w:r>
              <w:rPr>
                <w:spacing w:val="-2"/>
                <w:sz w:val="16"/>
              </w:rPr>
              <w:t>30±1.0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16±1.4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B23e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11±1.4</w:t>
            </w:r>
          </w:p>
        </w:tc>
        <w:tc>
          <w:tcPr>
            <w:tcW w:w="720" w:type="dxa"/>
          </w:tcPr>
          <w:p>
            <w:pPr>
              <w:pStyle w:val="TableParagraph"/>
              <w:spacing w:line="174" w:lineRule="exact"/>
              <w:ind w:left="38" w:right="72"/>
              <w:rPr>
                <w:sz w:val="16"/>
              </w:rPr>
            </w:pPr>
            <w:r>
              <w:rPr>
                <w:spacing w:val="-2"/>
                <w:sz w:val="16"/>
              </w:rPr>
              <w:t>14±1.4</w:t>
            </w:r>
          </w:p>
        </w:tc>
        <w:tc>
          <w:tcPr>
            <w:tcW w:w="811" w:type="dxa"/>
          </w:tcPr>
          <w:p>
            <w:pPr>
              <w:pStyle w:val="TableParagraph"/>
              <w:spacing w:line="174" w:lineRule="exact"/>
              <w:ind w:left="121"/>
              <w:jc w:val="left"/>
              <w:rPr>
                <w:sz w:val="16"/>
              </w:rPr>
            </w:pPr>
            <w:r>
              <w:rPr>
                <w:spacing w:val="-2"/>
                <w:sz w:val="16"/>
              </w:rPr>
              <w:t>21±1.0</w:t>
            </w:r>
          </w:p>
        </w:tc>
        <w:tc>
          <w:tcPr>
            <w:tcW w:w="881" w:type="dxa"/>
          </w:tcPr>
          <w:p>
            <w:pPr>
              <w:pStyle w:val="TableParagraph"/>
              <w:spacing w:line="174" w:lineRule="exact"/>
              <w:ind w:right="12"/>
              <w:rPr>
                <w:sz w:val="16"/>
              </w:rPr>
            </w:pPr>
            <w:r>
              <w:rPr>
                <w:spacing w:val="-2"/>
                <w:sz w:val="16"/>
              </w:rPr>
              <w:t>30±0.0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0" w:right="85"/>
              <w:rPr>
                <w:sz w:val="16"/>
              </w:rPr>
            </w:pPr>
            <w:r>
              <w:rPr>
                <w:spacing w:val="-2"/>
                <w:sz w:val="16"/>
              </w:rPr>
              <w:t>13v2.8</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B40e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20±1.0</w:t>
            </w:r>
          </w:p>
        </w:tc>
        <w:tc>
          <w:tcPr>
            <w:tcW w:w="720" w:type="dxa"/>
          </w:tcPr>
          <w:p>
            <w:pPr>
              <w:pStyle w:val="TableParagraph"/>
              <w:spacing w:line="177" w:lineRule="exact"/>
              <w:ind w:left="38" w:right="72"/>
              <w:rPr>
                <w:sz w:val="16"/>
              </w:rPr>
            </w:pPr>
            <w:r>
              <w:rPr>
                <w:spacing w:val="-2"/>
                <w:sz w:val="16"/>
              </w:rPr>
              <w:t>18±2.8</w:t>
            </w:r>
          </w:p>
        </w:tc>
        <w:tc>
          <w:tcPr>
            <w:tcW w:w="811" w:type="dxa"/>
          </w:tcPr>
          <w:p>
            <w:pPr>
              <w:pStyle w:val="TableParagraph"/>
              <w:spacing w:line="177" w:lineRule="exact"/>
              <w:ind w:left="121"/>
              <w:jc w:val="left"/>
              <w:rPr>
                <w:sz w:val="16"/>
              </w:rPr>
            </w:pPr>
            <w:r>
              <w:rPr>
                <w:spacing w:val="-2"/>
                <w:sz w:val="16"/>
              </w:rPr>
              <w:t>23±4.2</w:t>
            </w:r>
          </w:p>
        </w:tc>
        <w:tc>
          <w:tcPr>
            <w:tcW w:w="881" w:type="dxa"/>
          </w:tcPr>
          <w:p>
            <w:pPr>
              <w:pStyle w:val="TableParagraph"/>
              <w:spacing w:line="177" w:lineRule="exact"/>
              <w:ind w:right="12"/>
              <w:rPr>
                <w:sz w:val="16"/>
              </w:rPr>
            </w:pPr>
            <w:r>
              <w:rPr>
                <w:spacing w:val="-2"/>
                <w:sz w:val="16"/>
              </w:rPr>
              <w:t>32±2.2</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19±2.8</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E36e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20±1.0</w:t>
            </w:r>
          </w:p>
        </w:tc>
        <w:tc>
          <w:tcPr>
            <w:tcW w:w="763" w:type="dxa"/>
          </w:tcPr>
          <w:p>
            <w:pPr>
              <w:pStyle w:val="TableParagraph"/>
              <w:spacing w:line="174" w:lineRule="exact"/>
              <w:ind w:left="45" w:right="39"/>
              <w:rPr>
                <w:sz w:val="16"/>
              </w:rPr>
            </w:pPr>
            <w:r>
              <w:rPr>
                <w:spacing w:val="-2"/>
                <w:sz w:val="16"/>
              </w:rPr>
              <w:t>18±1.0</w:t>
            </w:r>
          </w:p>
        </w:tc>
        <w:tc>
          <w:tcPr>
            <w:tcW w:w="720" w:type="dxa"/>
          </w:tcPr>
          <w:p>
            <w:pPr>
              <w:pStyle w:val="TableParagraph"/>
              <w:spacing w:line="174" w:lineRule="exact"/>
              <w:ind w:left="38" w:right="72"/>
              <w:rPr>
                <w:sz w:val="16"/>
              </w:rPr>
            </w:pPr>
            <w:r>
              <w:rPr>
                <w:spacing w:val="-2"/>
                <w:sz w:val="16"/>
              </w:rPr>
              <w:t>16±1.4</w:t>
            </w:r>
          </w:p>
        </w:tc>
        <w:tc>
          <w:tcPr>
            <w:tcW w:w="811" w:type="dxa"/>
          </w:tcPr>
          <w:p>
            <w:pPr>
              <w:pStyle w:val="TableParagraph"/>
              <w:spacing w:line="174" w:lineRule="exact"/>
              <w:ind w:left="121"/>
              <w:jc w:val="left"/>
              <w:rPr>
                <w:sz w:val="16"/>
              </w:rPr>
            </w:pPr>
            <w:r>
              <w:rPr>
                <w:spacing w:val="-2"/>
                <w:sz w:val="16"/>
              </w:rPr>
              <w:t>22±1.4</w:t>
            </w:r>
          </w:p>
        </w:tc>
        <w:tc>
          <w:tcPr>
            <w:tcW w:w="881" w:type="dxa"/>
          </w:tcPr>
          <w:p>
            <w:pPr>
              <w:pStyle w:val="TableParagraph"/>
              <w:spacing w:line="174" w:lineRule="exact"/>
              <w:ind w:right="12"/>
              <w:rPr>
                <w:sz w:val="16"/>
              </w:rPr>
            </w:pPr>
            <w:r>
              <w:rPr>
                <w:spacing w:val="-2"/>
                <w:sz w:val="16"/>
              </w:rPr>
              <w:t>24±4.2</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13±2.2</w:t>
            </w:r>
          </w:p>
        </w:tc>
        <w:tc>
          <w:tcPr>
            <w:tcW w:w="855" w:type="dxa"/>
          </w:tcPr>
          <w:p>
            <w:pPr>
              <w:pStyle w:val="TableParagraph"/>
              <w:spacing w:line="174" w:lineRule="exact"/>
              <w:ind w:left="94" w:right="85"/>
              <w:rPr>
                <w:sz w:val="16"/>
              </w:rPr>
            </w:pPr>
            <w:r>
              <w:rPr>
                <w:spacing w:val="-2"/>
                <w:sz w:val="16"/>
              </w:rPr>
              <w:t>19±1.4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11±1.0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S50e</w:t>
            </w:r>
          </w:p>
        </w:tc>
        <w:tc>
          <w:tcPr>
            <w:tcW w:w="1066" w:type="dxa"/>
          </w:tcPr>
          <w:p>
            <w:pPr>
              <w:pStyle w:val="TableParagraph"/>
              <w:spacing w:line="174" w:lineRule="exact"/>
              <w:ind w:right="49"/>
              <w:rPr>
                <w:sz w:val="16"/>
              </w:rPr>
            </w:pPr>
            <w:r>
              <w:rPr>
                <w:spacing w:val="-2"/>
                <w:sz w:val="16"/>
              </w:rPr>
              <w:t>12±1.0</w:t>
            </w:r>
          </w:p>
        </w:tc>
        <w:tc>
          <w:tcPr>
            <w:tcW w:w="943" w:type="dxa"/>
          </w:tcPr>
          <w:p>
            <w:pPr>
              <w:pStyle w:val="TableParagraph"/>
              <w:spacing w:line="174" w:lineRule="exact"/>
              <w:ind w:right="199"/>
              <w:jc w:val="right"/>
              <w:rPr>
                <w:sz w:val="16"/>
              </w:rPr>
            </w:pPr>
            <w:r>
              <w:rPr>
                <w:spacing w:val="-2"/>
                <w:sz w:val="16"/>
              </w:rPr>
              <w:t>26±1.0</w:t>
            </w:r>
          </w:p>
        </w:tc>
        <w:tc>
          <w:tcPr>
            <w:tcW w:w="763" w:type="dxa"/>
          </w:tcPr>
          <w:p>
            <w:pPr>
              <w:pStyle w:val="TableParagraph"/>
              <w:spacing w:line="174" w:lineRule="exact"/>
              <w:ind w:left="45" w:right="39"/>
              <w:rPr>
                <w:sz w:val="16"/>
              </w:rPr>
            </w:pPr>
            <w:r>
              <w:rPr>
                <w:spacing w:val="-2"/>
                <w:sz w:val="16"/>
              </w:rPr>
              <w:t>20±0.0</w:t>
            </w:r>
          </w:p>
        </w:tc>
        <w:tc>
          <w:tcPr>
            <w:tcW w:w="720" w:type="dxa"/>
          </w:tcPr>
          <w:p>
            <w:pPr>
              <w:pStyle w:val="TableParagraph"/>
              <w:spacing w:line="174" w:lineRule="exact"/>
              <w:ind w:left="38" w:right="72"/>
              <w:rPr>
                <w:sz w:val="16"/>
              </w:rPr>
            </w:pPr>
            <w:r>
              <w:rPr>
                <w:spacing w:val="-2"/>
                <w:sz w:val="16"/>
              </w:rPr>
              <w:t>18±1.4</w:t>
            </w:r>
          </w:p>
        </w:tc>
        <w:tc>
          <w:tcPr>
            <w:tcW w:w="811" w:type="dxa"/>
          </w:tcPr>
          <w:p>
            <w:pPr>
              <w:pStyle w:val="TableParagraph"/>
              <w:spacing w:line="174" w:lineRule="exact"/>
              <w:ind w:left="121"/>
              <w:jc w:val="left"/>
              <w:rPr>
                <w:sz w:val="16"/>
              </w:rPr>
            </w:pPr>
            <w:r>
              <w:rPr>
                <w:spacing w:val="-2"/>
                <w:sz w:val="16"/>
              </w:rPr>
              <w:t>25±0.0</w:t>
            </w:r>
          </w:p>
        </w:tc>
        <w:tc>
          <w:tcPr>
            <w:tcW w:w="881" w:type="dxa"/>
          </w:tcPr>
          <w:p>
            <w:pPr>
              <w:pStyle w:val="TableParagraph"/>
              <w:spacing w:line="174" w:lineRule="exact"/>
              <w:ind w:right="12"/>
              <w:rPr>
                <w:sz w:val="16"/>
              </w:rPr>
            </w:pPr>
            <w:r>
              <w:rPr>
                <w:spacing w:val="-2"/>
                <w:sz w:val="16"/>
              </w:rPr>
              <w:t>30±0.0</w:t>
            </w:r>
          </w:p>
        </w:tc>
        <w:tc>
          <w:tcPr>
            <w:tcW w:w="874" w:type="dxa"/>
          </w:tcPr>
          <w:p>
            <w:pPr>
              <w:pStyle w:val="TableParagraph"/>
              <w:spacing w:line="174" w:lineRule="exact"/>
              <w:ind w:left="64" w:right="39"/>
              <w:rPr>
                <w:sz w:val="16"/>
              </w:rPr>
            </w:pPr>
            <w:r>
              <w:rPr>
                <w:spacing w:val="-2"/>
                <w:sz w:val="16"/>
              </w:rPr>
              <w:t>12±1.4</w:t>
            </w:r>
          </w:p>
        </w:tc>
        <w:tc>
          <w:tcPr>
            <w:tcW w:w="857" w:type="dxa"/>
          </w:tcPr>
          <w:p>
            <w:pPr>
              <w:pStyle w:val="TableParagraph"/>
              <w:spacing w:line="174" w:lineRule="exact"/>
              <w:ind w:left="166"/>
              <w:jc w:val="left"/>
              <w:rPr>
                <w:sz w:val="16"/>
              </w:rPr>
            </w:pPr>
            <w:r>
              <w:rPr>
                <w:spacing w:val="-2"/>
                <w:sz w:val="16"/>
              </w:rPr>
              <w:t>13±1.0</w:t>
            </w:r>
          </w:p>
        </w:tc>
        <w:tc>
          <w:tcPr>
            <w:tcW w:w="855" w:type="dxa"/>
          </w:tcPr>
          <w:p>
            <w:pPr>
              <w:pStyle w:val="TableParagraph"/>
              <w:spacing w:line="174" w:lineRule="exact"/>
              <w:ind w:left="94" w:right="85"/>
              <w:rPr>
                <w:sz w:val="16"/>
              </w:rPr>
            </w:pPr>
            <w:r>
              <w:rPr>
                <w:spacing w:val="-2"/>
                <w:sz w:val="16"/>
              </w:rPr>
              <w:t>19±2.2</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22±1.0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S45s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11±1.0</w:t>
            </w:r>
          </w:p>
        </w:tc>
        <w:tc>
          <w:tcPr>
            <w:tcW w:w="720" w:type="dxa"/>
          </w:tcPr>
          <w:p>
            <w:pPr>
              <w:pStyle w:val="TableParagraph"/>
              <w:spacing w:line="177" w:lineRule="exact"/>
              <w:ind w:left="38" w:right="72"/>
              <w:rPr>
                <w:sz w:val="16"/>
              </w:rPr>
            </w:pPr>
            <w:r>
              <w:rPr>
                <w:spacing w:val="-2"/>
                <w:sz w:val="16"/>
              </w:rPr>
              <w:t>16±1.4</w:t>
            </w:r>
          </w:p>
        </w:tc>
        <w:tc>
          <w:tcPr>
            <w:tcW w:w="811" w:type="dxa"/>
          </w:tcPr>
          <w:p>
            <w:pPr>
              <w:pStyle w:val="TableParagraph"/>
              <w:spacing w:line="177" w:lineRule="exact"/>
              <w:ind w:left="121"/>
              <w:jc w:val="left"/>
              <w:rPr>
                <w:sz w:val="16"/>
              </w:rPr>
            </w:pPr>
            <w:r>
              <w:rPr>
                <w:spacing w:val="-2"/>
                <w:sz w:val="16"/>
              </w:rPr>
              <w:t>23±0.0</w:t>
            </w:r>
          </w:p>
        </w:tc>
        <w:tc>
          <w:tcPr>
            <w:tcW w:w="881" w:type="dxa"/>
          </w:tcPr>
          <w:p>
            <w:pPr>
              <w:pStyle w:val="TableParagraph"/>
              <w:spacing w:line="177" w:lineRule="exact"/>
              <w:ind w:right="12"/>
              <w:rPr>
                <w:sz w:val="16"/>
              </w:rPr>
            </w:pPr>
            <w:r>
              <w:rPr>
                <w:spacing w:val="-2"/>
                <w:sz w:val="16"/>
              </w:rPr>
              <w:t>29±1.0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17±1.0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11±1.0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S7s</w:t>
            </w:r>
          </w:p>
        </w:tc>
        <w:tc>
          <w:tcPr>
            <w:tcW w:w="1066" w:type="dxa"/>
          </w:tcPr>
          <w:p>
            <w:pPr>
              <w:pStyle w:val="TableParagraph"/>
              <w:spacing w:line="174" w:lineRule="exact"/>
              <w:ind w:right="49"/>
              <w:rPr>
                <w:sz w:val="16"/>
              </w:rPr>
            </w:pPr>
            <w:r>
              <w:rPr>
                <w:spacing w:val="-2"/>
                <w:sz w:val="16"/>
              </w:rPr>
              <w:t>25±2.2</w:t>
            </w:r>
          </w:p>
        </w:tc>
        <w:tc>
          <w:tcPr>
            <w:tcW w:w="943" w:type="dxa"/>
          </w:tcPr>
          <w:p>
            <w:pPr>
              <w:pStyle w:val="TableParagraph"/>
              <w:spacing w:line="174" w:lineRule="exact"/>
              <w:ind w:right="199"/>
              <w:jc w:val="right"/>
              <w:rPr>
                <w:sz w:val="16"/>
              </w:rPr>
            </w:pPr>
            <w:r>
              <w:rPr>
                <w:spacing w:val="-2"/>
                <w:sz w:val="16"/>
              </w:rPr>
              <w:t>27±2.2</w:t>
            </w:r>
          </w:p>
        </w:tc>
        <w:tc>
          <w:tcPr>
            <w:tcW w:w="763" w:type="dxa"/>
          </w:tcPr>
          <w:p>
            <w:pPr>
              <w:pStyle w:val="TableParagraph"/>
              <w:spacing w:line="174" w:lineRule="exact"/>
              <w:ind w:left="45" w:right="39"/>
              <w:rPr>
                <w:sz w:val="16"/>
              </w:rPr>
            </w:pPr>
            <w:r>
              <w:rPr>
                <w:spacing w:val="-2"/>
                <w:sz w:val="16"/>
              </w:rPr>
              <w:t>16±1.4</w:t>
            </w:r>
          </w:p>
        </w:tc>
        <w:tc>
          <w:tcPr>
            <w:tcW w:w="720" w:type="dxa"/>
          </w:tcPr>
          <w:p>
            <w:pPr>
              <w:pStyle w:val="TableParagraph"/>
              <w:spacing w:line="174" w:lineRule="exact"/>
              <w:ind w:left="38" w:right="72"/>
              <w:rPr>
                <w:sz w:val="16"/>
              </w:rPr>
            </w:pPr>
            <w:r>
              <w:rPr>
                <w:spacing w:val="-2"/>
                <w:sz w:val="16"/>
              </w:rPr>
              <w:t>20±1.0</w:t>
            </w:r>
          </w:p>
        </w:tc>
        <w:tc>
          <w:tcPr>
            <w:tcW w:w="811" w:type="dxa"/>
          </w:tcPr>
          <w:p>
            <w:pPr>
              <w:pStyle w:val="TableParagraph"/>
              <w:spacing w:line="174" w:lineRule="exact"/>
              <w:ind w:left="121"/>
              <w:jc w:val="left"/>
              <w:rPr>
                <w:sz w:val="16"/>
              </w:rPr>
            </w:pPr>
            <w:r>
              <w:rPr>
                <w:spacing w:val="-2"/>
                <w:sz w:val="16"/>
              </w:rPr>
              <w:t>22±1.4</w:t>
            </w:r>
          </w:p>
        </w:tc>
        <w:tc>
          <w:tcPr>
            <w:tcW w:w="881" w:type="dxa"/>
          </w:tcPr>
          <w:p>
            <w:pPr>
              <w:pStyle w:val="TableParagraph"/>
              <w:spacing w:line="174" w:lineRule="exact"/>
              <w:ind w:right="12"/>
              <w:rPr>
                <w:sz w:val="16"/>
              </w:rPr>
            </w:pPr>
            <w:r>
              <w:rPr>
                <w:spacing w:val="-2"/>
                <w:sz w:val="16"/>
              </w:rPr>
              <w:t>33±3.6</w:t>
            </w:r>
          </w:p>
        </w:tc>
        <w:tc>
          <w:tcPr>
            <w:tcW w:w="874" w:type="dxa"/>
          </w:tcPr>
          <w:p>
            <w:pPr>
              <w:pStyle w:val="TableParagraph"/>
              <w:spacing w:line="174" w:lineRule="exact"/>
              <w:ind w:left="64" w:right="39"/>
              <w:rPr>
                <w:sz w:val="16"/>
              </w:rPr>
            </w:pPr>
            <w:r>
              <w:rPr>
                <w:spacing w:val="-2"/>
                <w:sz w:val="16"/>
              </w:rPr>
              <w:t>20±0.0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22±2.8</w:t>
            </w:r>
          </w:p>
        </w:tc>
        <w:tc>
          <w:tcPr>
            <w:tcW w:w="855" w:type="dxa"/>
          </w:tcPr>
          <w:p>
            <w:pPr>
              <w:pStyle w:val="TableParagraph"/>
              <w:spacing w:line="174" w:lineRule="exact"/>
              <w:ind w:left="48" w:right="133"/>
              <w:rPr>
                <w:sz w:val="16"/>
              </w:rPr>
            </w:pPr>
            <w:r>
              <w:rPr>
                <w:spacing w:val="-2"/>
                <w:sz w:val="16"/>
              </w:rPr>
              <w:t>10±0.0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114"/>
              <w:rPr>
                <w:sz w:val="16"/>
              </w:rPr>
            </w:pPr>
            <w:r>
              <w:rPr>
                <w:spacing w:val="-2"/>
                <w:sz w:val="16"/>
              </w:rPr>
              <w:t>10±01.0</w:t>
            </w:r>
          </w:p>
        </w:tc>
      </w:tr>
      <w:tr>
        <w:trPr>
          <w:trHeight w:val="194" w:hRule="atLeast"/>
        </w:trPr>
        <w:tc>
          <w:tcPr>
            <w:tcW w:w="665" w:type="dxa"/>
          </w:tcPr>
          <w:p>
            <w:pPr>
              <w:pStyle w:val="TableParagraph"/>
              <w:spacing w:line="174" w:lineRule="exact"/>
              <w:ind w:left="50"/>
              <w:jc w:val="left"/>
              <w:rPr>
                <w:sz w:val="16"/>
              </w:rPr>
            </w:pPr>
            <w:r>
              <w:rPr>
                <w:spacing w:val="-4"/>
                <w:sz w:val="16"/>
              </w:rPr>
              <w:t>S35e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19±2.2</w:t>
            </w:r>
          </w:p>
        </w:tc>
        <w:tc>
          <w:tcPr>
            <w:tcW w:w="720" w:type="dxa"/>
          </w:tcPr>
          <w:p>
            <w:pPr>
              <w:pStyle w:val="TableParagraph"/>
              <w:spacing w:line="174" w:lineRule="exact"/>
              <w:ind w:left="38" w:right="72"/>
              <w:rPr>
                <w:sz w:val="16"/>
              </w:rPr>
            </w:pPr>
            <w:r>
              <w:rPr>
                <w:spacing w:val="-2"/>
                <w:sz w:val="16"/>
              </w:rPr>
              <w:t>16±5.0</w:t>
            </w:r>
          </w:p>
        </w:tc>
        <w:tc>
          <w:tcPr>
            <w:tcW w:w="811" w:type="dxa"/>
          </w:tcPr>
          <w:p>
            <w:pPr>
              <w:pStyle w:val="TableParagraph"/>
              <w:spacing w:line="174" w:lineRule="exact"/>
              <w:ind w:left="121"/>
              <w:jc w:val="left"/>
              <w:rPr>
                <w:sz w:val="16"/>
              </w:rPr>
            </w:pPr>
            <w:r>
              <w:rPr>
                <w:spacing w:val="-2"/>
                <w:sz w:val="16"/>
              </w:rPr>
              <w:t>21±1.4</w:t>
            </w:r>
          </w:p>
        </w:tc>
        <w:tc>
          <w:tcPr>
            <w:tcW w:w="881" w:type="dxa"/>
          </w:tcPr>
          <w:p>
            <w:pPr>
              <w:pStyle w:val="TableParagraph"/>
              <w:spacing w:line="174" w:lineRule="exact"/>
              <w:ind w:right="12"/>
              <w:rPr>
                <w:sz w:val="16"/>
              </w:rPr>
            </w:pPr>
            <w:r>
              <w:rPr>
                <w:spacing w:val="-2"/>
                <w:sz w:val="16"/>
              </w:rPr>
              <w:t>25±4.2</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B27s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19±1.0</w:t>
            </w:r>
          </w:p>
        </w:tc>
        <w:tc>
          <w:tcPr>
            <w:tcW w:w="811" w:type="dxa"/>
          </w:tcPr>
          <w:p>
            <w:pPr>
              <w:pStyle w:val="TableParagraph"/>
              <w:spacing w:line="177" w:lineRule="exact"/>
              <w:ind w:left="121"/>
              <w:jc w:val="left"/>
              <w:rPr>
                <w:sz w:val="16"/>
              </w:rPr>
            </w:pPr>
            <w:r>
              <w:rPr>
                <w:spacing w:val="-2"/>
                <w:sz w:val="16"/>
              </w:rPr>
              <w:t>13±1.0</w:t>
            </w:r>
          </w:p>
        </w:tc>
        <w:tc>
          <w:tcPr>
            <w:tcW w:w="881" w:type="dxa"/>
          </w:tcPr>
          <w:p>
            <w:pPr>
              <w:pStyle w:val="TableParagraph"/>
              <w:spacing w:line="177" w:lineRule="exact"/>
              <w:ind w:right="12"/>
              <w:rPr>
                <w:sz w:val="16"/>
              </w:rPr>
            </w:pPr>
            <w:r>
              <w:rPr>
                <w:spacing w:val="-2"/>
                <w:sz w:val="16"/>
              </w:rPr>
              <w:t>28±3.6</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13±3.6</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Z17s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18±1.4</w:t>
            </w:r>
          </w:p>
        </w:tc>
        <w:tc>
          <w:tcPr>
            <w:tcW w:w="720" w:type="dxa"/>
          </w:tcPr>
          <w:p>
            <w:pPr>
              <w:pStyle w:val="TableParagraph"/>
              <w:spacing w:line="177" w:lineRule="exact"/>
              <w:ind w:left="38" w:right="72"/>
              <w:rPr>
                <w:sz w:val="16"/>
              </w:rPr>
            </w:pPr>
            <w:r>
              <w:rPr>
                <w:spacing w:val="-2"/>
                <w:sz w:val="16"/>
              </w:rPr>
              <w:t>20±1.0</w:t>
            </w:r>
          </w:p>
        </w:tc>
        <w:tc>
          <w:tcPr>
            <w:tcW w:w="811" w:type="dxa"/>
          </w:tcPr>
          <w:p>
            <w:pPr>
              <w:pStyle w:val="TableParagraph"/>
              <w:spacing w:line="177" w:lineRule="exact"/>
              <w:ind w:left="121"/>
              <w:jc w:val="left"/>
              <w:rPr>
                <w:sz w:val="16"/>
              </w:rPr>
            </w:pPr>
            <w:r>
              <w:rPr>
                <w:spacing w:val="-2"/>
                <w:sz w:val="16"/>
              </w:rPr>
              <w:t>22±1.4</w:t>
            </w:r>
          </w:p>
        </w:tc>
        <w:tc>
          <w:tcPr>
            <w:tcW w:w="881" w:type="dxa"/>
          </w:tcPr>
          <w:p>
            <w:pPr>
              <w:pStyle w:val="TableParagraph"/>
              <w:spacing w:line="177" w:lineRule="exact"/>
              <w:ind w:right="12"/>
              <w:rPr>
                <w:sz w:val="16"/>
              </w:rPr>
            </w:pPr>
            <w:r>
              <w:rPr>
                <w:spacing w:val="-2"/>
                <w:sz w:val="16"/>
              </w:rPr>
              <w:t>28±3.6</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14±1.0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11±1.4</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S33s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23±1.0</w:t>
            </w:r>
          </w:p>
        </w:tc>
        <w:tc>
          <w:tcPr>
            <w:tcW w:w="763" w:type="dxa"/>
          </w:tcPr>
          <w:p>
            <w:pPr>
              <w:pStyle w:val="TableParagraph"/>
              <w:spacing w:line="174" w:lineRule="exact"/>
              <w:ind w:left="45" w:right="39"/>
              <w:rPr>
                <w:sz w:val="16"/>
              </w:rPr>
            </w:pPr>
            <w:r>
              <w:rPr>
                <w:spacing w:val="-2"/>
                <w:sz w:val="16"/>
              </w:rPr>
              <w:t>18±1.0</w:t>
            </w:r>
          </w:p>
        </w:tc>
        <w:tc>
          <w:tcPr>
            <w:tcW w:w="720" w:type="dxa"/>
          </w:tcPr>
          <w:p>
            <w:pPr>
              <w:pStyle w:val="TableParagraph"/>
              <w:spacing w:line="174" w:lineRule="exact"/>
              <w:ind w:left="38" w:right="72"/>
              <w:rPr>
                <w:sz w:val="16"/>
              </w:rPr>
            </w:pPr>
            <w:r>
              <w:rPr>
                <w:spacing w:val="-2"/>
                <w:sz w:val="16"/>
              </w:rPr>
              <w:t>18±1.4</w:t>
            </w:r>
          </w:p>
        </w:tc>
        <w:tc>
          <w:tcPr>
            <w:tcW w:w="811" w:type="dxa"/>
          </w:tcPr>
          <w:p>
            <w:pPr>
              <w:pStyle w:val="TableParagraph"/>
              <w:spacing w:line="174" w:lineRule="exact"/>
              <w:ind w:left="121"/>
              <w:jc w:val="left"/>
              <w:rPr>
                <w:sz w:val="16"/>
              </w:rPr>
            </w:pPr>
            <w:r>
              <w:rPr>
                <w:spacing w:val="-2"/>
                <w:sz w:val="16"/>
              </w:rPr>
              <w:t>25±2.2</w:t>
            </w:r>
          </w:p>
        </w:tc>
        <w:tc>
          <w:tcPr>
            <w:tcW w:w="881" w:type="dxa"/>
          </w:tcPr>
          <w:p>
            <w:pPr>
              <w:pStyle w:val="TableParagraph"/>
              <w:spacing w:line="174" w:lineRule="exact"/>
              <w:ind w:right="12"/>
              <w:rPr>
                <w:sz w:val="16"/>
              </w:rPr>
            </w:pPr>
            <w:r>
              <w:rPr>
                <w:spacing w:val="-2"/>
                <w:sz w:val="16"/>
              </w:rPr>
              <w:t>31±1.0</w:t>
            </w:r>
          </w:p>
        </w:tc>
        <w:tc>
          <w:tcPr>
            <w:tcW w:w="874" w:type="dxa"/>
          </w:tcPr>
          <w:p>
            <w:pPr>
              <w:pStyle w:val="TableParagraph"/>
              <w:spacing w:line="174" w:lineRule="exact"/>
              <w:ind w:left="64" w:right="39"/>
              <w:rPr>
                <w:sz w:val="16"/>
              </w:rPr>
            </w:pPr>
            <w:r>
              <w:rPr>
                <w:spacing w:val="-2"/>
                <w:sz w:val="16"/>
              </w:rPr>
              <w:t>14±2.2</w:t>
            </w:r>
          </w:p>
        </w:tc>
        <w:tc>
          <w:tcPr>
            <w:tcW w:w="857" w:type="dxa"/>
          </w:tcPr>
          <w:p>
            <w:pPr>
              <w:pStyle w:val="TableParagraph"/>
              <w:spacing w:line="174" w:lineRule="exact"/>
              <w:ind w:left="166"/>
              <w:jc w:val="left"/>
              <w:rPr>
                <w:sz w:val="16"/>
              </w:rPr>
            </w:pPr>
            <w:r>
              <w:rPr>
                <w:spacing w:val="-2"/>
                <w:sz w:val="16"/>
              </w:rPr>
              <w:t>15±0.0</w:t>
            </w:r>
          </w:p>
        </w:tc>
        <w:tc>
          <w:tcPr>
            <w:tcW w:w="855" w:type="dxa"/>
          </w:tcPr>
          <w:p>
            <w:pPr>
              <w:pStyle w:val="TableParagraph"/>
              <w:spacing w:line="174" w:lineRule="exact"/>
              <w:ind w:left="94" w:right="85"/>
              <w:rPr>
                <w:sz w:val="16"/>
              </w:rPr>
            </w:pPr>
            <w:r>
              <w:rPr>
                <w:spacing w:val="-2"/>
                <w:sz w:val="16"/>
              </w:rPr>
              <w:t>11±1.4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B42s</w:t>
            </w:r>
          </w:p>
        </w:tc>
        <w:tc>
          <w:tcPr>
            <w:tcW w:w="1066" w:type="dxa"/>
          </w:tcPr>
          <w:p>
            <w:pPr>
              <w:pStyle w:val="TableParagraph"/>
              <w:spacing w:line="174" w:lineRule="exact"/>
              <w:ind w:right="49"/>
              <w:rPr>
                <w:sz w:val="16"/>
              </w:rPr>
            </w:pPr>
            <w:r>
              <w:rPr>
                <w:spacing w:val="-2"/>
                <w:sz w:val="16"/>
              </w:rPr>
              <w:t>11±2.2</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19±1.4</w:t>
            </w:r>
          </w:p>
        </w:tc>
        <w:tc>
          <w:tcPr>
            <w:tcW w:w="811" w:type="dxa"/>
          </w:tcPr>
          <w:p>
            <w:pPr>
              <w:pStyle w:val="TableParagraph"/>
              <w:spacing w:line="174" w:lineRule="exact"/>
              <w:ind w:left="121"/>
              <w:jc w:val="left"/>
              <w:rPr>
                <w:sz w:val="16"/>
              </w:rPr>
            </w:pPr>
            <w:r>
              <w:rPr>
                <w:spacing w:val="-2"/>
                <w:sz w:val="16"/>
              </w:rPr>
              <w:t>14±2.4</w:t>
            </w:r>
          </w:p>
        </w:tc>
        <w:tc>
          <w:tcPr>
            <w:tcW w:w="881" w:type="dxa"/>
          </w:tcPr>
          <w:p>
            <w:pPr>
              <w:pStyle w:val="TableParagraph"/>
              <w:spacing w:line="174" w:lineRule="exact"/>
              <w:ind w:right="12"/>
              <w:rPr>
                <w:sz w:val="16"/>
              </w:rPr>
            </w:pPr>
            <w:r>
              <w:rPr>
                <w:spacing w:val="-2"/>
                <w:sz w:val="16"/>
              </w:rPr>
              <w:t>25±1.0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S41e</w:t>
            </w:r>
          </w:p>
        </w:tc>
        <w:tc>
          <w:tcPr>
            <w:tcW w:w="1066" w:type="dxa"/>
          </w:tcPr>
          <w:p>
            <w:pPr>
              <w:pStyle w:val="TableParagraph"/>
              <w:spacing w:line="177" w:lineRule="exact"/>
              <w:ind w:right="49"/>
              <w:rPr>
                <w:sz w:val="16"/>
              </w:rPr>
            </w:pPr>
            <w:r>
              <w:rPr>
                <w:spacing w:val="-2"/>
                <w:sz w:val="16"/>
              </w:rPr>
              <w:t>20±0.0</w:t>
            </w:r>
          </w:p>
        </w:tc>
        <w:tc>
          <w:tcPr>
            <w:tcW w:w="943" w:type="dxa"/>
          </w:tcPr>
          <w:p>
            <w:pPr>
              <w:pStyle w:val="TableParagraph"/>
              <w:spacing w:line="177" w:lineRule="exact"/>
              <w:ind w:right="199"/>
              <w:jc w:val="right"/>
              <w:rPr>
                <w:sz w:val="16"/>
              </w:rPr>
            </w:pPr>
            <w:r>
              <w:rPr>
                <w:spacing w:val="-2"/>
                <w:sz w:val="16"/>
              </w:rPr>
              <w:t>23±2.2</w:t>
            </w:r>
          </w:p>
        </w:tc>
        <w:tc>
          <w:tcPr>
            <w:tcW w:w="763" w:type="dxa"/>
          </w:tcPr>
          <w:p>
            <w:pPr>
              <w:pStyle w:val="TableParagraph"/>
              <w:spacing w:line="177" w:lineRule="exact"/>
              <w:ind w:left="45" w:right="39"/>
              <w:rPr>
                <w:sz w:val="16"/>
              </w:rPr>
            </w:pPr>
            <w:r>
              <w:rPr>
                <w:spacing w:val="-2"/>
                <w:sz w:val="16"/>
              </w:rPr>
              <w:t>17±1.4</w:t>
            </w:r>
          </w:p>
        </w:tc>
        <w:tc>
          <w:tcPr>
            <w:tcW w:w="720" w:type="dxa"/>
          </w:tcPr>
          <w:p>
            <w:pPr>
              <w:pStyle w:val="TableParagraph"/>
              <w:spacing w:line="177" w:lineRule="exact"/>
              <w:ind w:left="38" w:right="72"/>
              <w:rPr>
                <w:sz w:val="16"/>
              </w:rPr>
            </w:pPr>
            <w:r>
              <w:rPr>
                <w:spacing w:val="-2"/>
                <w:sz w:val="16"/>
              </w:rPr>
              <w:t>16±1.0</w:t>
            </w:r>
          </w:p>
        </w:tc>
        <w:tc>
          <w:tcPr>
            <w:tcW w:w="811" w:type="dxa"/>
          </w:tcPr>
          <w:p>
            <w:pPr>
              <w:pStyle w:val="TableParagraph"/>
              <w:spacing w:line="177" w:lineRule="exact"/>
              <w:ind w:left="121"/>
              <w:jc w:val="left"/>
              <w:rPr>
                <w:sz w:val="16"/>
              </w:rPr>
            </w:pPr>
            <w:r>
              <w:rPr>
                <w:spacing w:val="-2"/>
                <w:sz w:val="16"/>
              </w:rPr>
              <w:t>23±1.4</w:t>
            </w:r>
          </w:p>
        </w:tc>
        <w:tc>
          <w:tcPr>
            <w:tcW w:w="881" w:type="dxa"/>
          </w:tcPr>
          <w:p>
            <w:pPr>
              <w:pStyle w:val="TableParagraph"/>
              <w:spacing w:line="177" w:lineRule="exact"/>
              <w:ind w:right="12"/>
              <w:rPr>
                <w:sz w:val="16"/>
              </w:rPr>
            </w:pPr>
            <w:r>
              <w:rPr>
                <w:spacing w:val="-2"/>
                <w:sz w:val="16"/>
              </w:rPr>
              <w:t>28±1.0</w:t>
            </w:r>
          </w:p>
        </w:tc>
        <w:tc>
          <w:tcPr>
            <w:tcW w:w="874" w:type="dxa"/>
          </w:tcPr>
          <w:p>
            <w:pPr>
              <w:pStyle w:val="TableParagraph"/>
              <w:spacing w:line="177" w:lineRule="exact"/>
              <w:ind w:left="64" w:right="39"/>
              <w:rPr>
                <w:sz w:val="16"/>
              </w:rPr>
            </w:pPr>
            <w:r>
              <w:rPr>
                <w:spacing w:val="-2"/>
                <w:sz w:val="16"/>
              </w:rPr>
              <w:t>19±1.4</w:t>
            </w:r>
          </w:p>
        </w:tc>
        <w:tc>
          <w:tcPr>
            <w:tcW w:w="857" w:type="dxa"/>
          </w:tcPr>
          <w:p>
            <w:pPr>
              <w:pStyle w:val="TableParagraph"/>
              <w:spacing w:line="177" w:lineRule="exact"/>
              <w:ind w:left="166"/>
              <w:jc w:val="left"/>
              <w:rPr>
                <w:sz w:val="16"/>
              </w:rPr>
            </w:pPr>
            <w:r>
              <w:rPr>
                <w:spacing w:val="-2"/>
                <w:sz w:val="16"/>
              </w:rPr>
              <w:t>16±2.2</w:t>
            </w:r>
          </w:p>
        </w:tc>
        <w:tc>
          <w:tcPr>
            <w:tcW w:w="855" w:type="dxa"/>
          </w:tcPr>
          <w:p>
            <w:pPr>
              <w:pStyle w:val="TableParagraph"/>
              <w:spacing w:line="177" w:lineRule="exact"/>
              <w:ind w:left="94" w:right="85"/>
              <w:rPr>
                <w:sz w:val="16"/>
              </w:rPr>
            </w:pPr>
            <w:r>
              <w:rPr>
                <w:spacing w:val="-2"/>
                <w:sz w:val="16"/>
              </w:rPr>
              <w:t>10±1.4</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18±1.0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B21e</w:t>
            </w:r>
          </w:p>
        </w:tc>
        <w:tc>
          <w:tcPr>
            <w:tcW w:w="1066" w:type="dxa"/>
          </w:tcPr>
          <w:p>
            <w:pPr>
              <w:pStyle w:val="TableParagraph"/>
              <w:spacing w:line="174" w:lineRule="exact"/>
              <w:ind w:right="49"/>
              <w:rPr>
                <w:sz w:val="16"/>
              </w:rPr>
            </w:pPr>
            <w:r>
              <w:rPr>
                <w:spacing w:val="-2"/>
                <w:sz w:val="16"/>
              </w:rPr>
              <w:t>21±3.6</w:t>
            </w:r>
          </w:p>
        </w:tc>
        <w:tc>
          <w:tcPr>
            <w:tcW w:w="943" w:type="dxa"/>
          </w:tcPr>
          <w:p>
            <w:pPr>
              <w:pStyle w:val="TableParagraph"/>
              <w:spacing w:line="174" w:lineRule="exact"/>
              <w:ind w:right="199"/>
              <w:jc w:val="right"/>
              <w:rPr>
                <w:sz w:val="16"/>
              </w:rPr>
            </w:pPr>
            <w:r>
              <w:rPr>
                <w:spacing w:val="-2"/>
                <w:sz w:val="16"/>
              </w:rPr>
              <w:t>24±0.0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19±1.0</w:t>
            </w:r>
          </w:p>
        </w:tc>
        <w:tc>
          <w:tcPr>
            <w:tcW w:w="811" w:type="dxa"/>
          </w:tcPr>
          <w:p>
            <w:pPr>
              <w:pStyle w:val="TableParagraph"/>
              <w:spacing w:line="174" w:lineRule="exact"/>
              <w:ind w:left="121"/>
              <w:jc w:val="left"/>
              <w:rPr>
                <w:sz w:val="16"/>
              </w:rPr>
            </w:pPr>
            <w:r>
              <w:rPr>
                <w:spacing w:val="-2"/>
                <w:sz w:val="16"/>
              </w:rPr>
              <w:t>27±1.4</w:t>
            </w:r>
          </w:p>
        </w:tc>
        <w:tc>
          <w:tcPr>
            <w:tcW w:w="881" w:type="dxa"/>
          </w:tcPr>
          <w:p>
            <w:pPr>
              <w:pStyle w:val="TableParagraph"/>
              <w:spacing w:line="174" w:lineRule="exact"/>
              <w:ind w:right="12"/>
              <w:rPr>
                <w:sz w:val="16"/>
              </w:rPr>
            </w:pPr>
            <w:r>
              <w:rPr>
                <w:spacing w:val="-2"/>
                <w:sz w:val="16"/>
              </w:rPr>
              <w:t>26±1.0</w:t>
            </w:r>
          </w:p>
        </w:tc>
        <w:tc>
          <w:tcPr>
            <w:tcW w:w="874" w:type="dxa"/>
          </w:tcPr>
          <w:p>
            <w:pPr>
              <w:pStyle w:val="TableParagraph"/>
              <w:spacing w:line="174" w:lineRule="exact"/>
              <w:ind w:left="64" w:right="39"/>
              <w:rPr>
                <w:sz w:val="16"/>
              </w:rPr>
            </w:pPr>
            <w:r>
              <w:rPr>
                <w:spacing w:val="-2"/>
                <w:sz w:val="16"/>
              </w:rPr>
              <w:t>23±2.2</w:t>
            </w:r>
          </w:p>
        </w:tc>
        <w:tc>
          <w:tcPr>
            <w:tcW w:w="857" w:type="dxa"/>
          </w:tcPr>
          <w:p>
            <w:pPr>
              <w:pStyle w:val="TableParagraph"/>
              <w:spacing w:line="174" w:lineRule="exact"/>
              <w:ind w:left="166"/>
              <w:jc w:val="left"/>
              <w:rPr>
                <w:sz w:val="16"/>
              </w:rPr>
            </w:pPr>
            <w:r>
              <w:rPr>
                <w:spacing w:val="-2"/>
                <w:sz w:val="16"/>
              </w:rPr>
              <w:t>18±2.2</w:t>
            </w:r>
          </w:p>
        </w:tc>
        <w:tc>
          <w:tcPr>
            <w:tcW w:w="855" w:type="dxa"/>
          </w:tcPr>
          <w:p>
            <w:pPr>
              <w:pStyle w:val="TableParagraph"/>
              <w:spacing w:line="174" w:lineRule="exact"/>
              <w:ind w:left="94" w:right="85"/>
              <w:rPr>
                <w:sz w:val="16"/>
              </w:rPr>
            </w:pPr>
            <w:r>
              <w:rPr>
                <w:spacing w:val="-2"/>
                <w:sz w:val="16"/>
              </w:rPr>
              <w:t>18±1.0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E22e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19±0.0</w:t>
            </w:r>
          </w:p>
        </w:tc>
        <w:tc>
          <w:tcPr>
            <w:tcW w:w="811" w:type="dxa"/>
          </w:tcPr>
          <w:p>
            <w:pPr>
              <w:pStyle w:val="TableParagraph"/>
              <w:spacing w:line="174" w:lineRule="exact"/>
              <w:ind w:left="121"/>
              <w:jc w:val="left"/>
              <w:rPr>
                <w:sz w:val="16"/>
              </w:rPr>
            </w:pPr>
            <w:r>
              <w:rPr>
                <w:spacing w:val="-2"/>
                <w:sz w:val="16"/>
              </w:rPr>
              <w:t>0.0±0.0</w:t>
            </w:r>
          </w:p>
        </w:tc>
        <w:tc>
          <w:tcPr>
            <w:tcW w:w="881" w:type="dxa"/>
          </w:tcPr>
          <w:p>
            <w:pPr>
              <w:pStyle w:val="TableParagraph"/>
              <w:spacing w:line="174" w:lineRule="exact"/>
              <w:ind w:right="12"/>
              <w:rPr>
                <w:sz w:val="16"/>
              </w:rPr>
            </w:pPr>
            <w:r>
              <w:rPr>
                <w:spacing w:val="-2"/>
                <w:sz w:val="16"/>
              </w:rPr>
              <w:t>14±1.0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19±1.0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B25s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ight="39"/>
              <w:rPr>
                <w:sz w:val="16"/>
              </w:rPr>
            </w:pPr>
            <w:r>
              <w:rPr>
                <w:spacing w:val="-2"/>
                <w:sz w:val="16"/>
              </w:rPr>
              <w:t>14±1.0</w:t>
            </w:r>
          </w:p>
        </w:tc>
        <w:tc>
          <w:tcPr>
            <w:tcW w:w="720" w:type="dxa"/>
          </w:tcPr>
          <w:p>
            <w:pPr>
              <w:pStyle w:val="TableParagraph"/>
              <w:spacing w:line="177" w:lineRule="exact"/>
              <w:ind w:left="38" w:right="72"/>
              <w:rPr>
                <w:sz w:val="16"/>
              </w:rPr>
            </w:pPr>
            <w:r>
              <w:rPr>
                <w:spacing w:val="-2"/>
                <w:sz w:val="16"/>
              </w:rPr>
              <w:t>19±2.2</w:t>
            </w:r>
          </w:p>
        </w:tc>
        <w:tc>
          <w:tcPr>
            <w:tcW w:w="811" w:type="dxa"/>
          </w:tcPr>
          <w:p>
            <w:pPr>
              <w:pStyle w:val="TableParagraph"/>
              <w:spacing w:line="177" w:lineRule="exact"/>
              <w:ind w:left="121"/>
              <w:jc w:val="left"/>
              <w:rPr>
                <w:sz w:val="16"/>
              </w:rPr>
            </w:pPr>
            <w:r>
              <w:rPr>
                <w:spacing w:val="-2"/>
                <w:sz w:val="16"/>
              </w:rPr>
              <w:t>21±1.4</w:t>
            </w:r>
          </w:p>
        </w:tc>
        <w:tc>
          <w:tcPr>
            <w:tcW w:w="881" w:type="dxa"/>
          </w:tcPr>
          <w:p>
            <w:pPr>
              <w:pStyle w:val="TableParagraph"/>
              <w:spacing w:line="177" w:lineRule="exact"/>
              <w:ind w:right="12"/>
              <w:rPr>
                <w:sz w:val="16"/>
              </w:rPr>
            </w:pPr>
            <w:r>
              <w:rPr>
                <w:spacing w:val="-2"/>
                <w:sz w:val="16"/>
              </w:rPr>
              <w:t>27±2.2</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94" w:right="85"/>
              <w:rPr>
                <w:sz w:val="16"/>
              </w:rPr>
            </w:pPr>
            <w:r>
              <w:rPr>
                <w:spacing w:val="-2"/>
                <w:sz w:val="16"/>
              </w:rPr>
              <w:t>16±1.0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B22s</w:t>
            </w:r>
          </w:p>
        </w:tc>
        <w:tc>
          <w:tcPr>
            <w:tcW w:w="1066" w:type="dxa"/>
          </w:tcPr>
          <w:p>
            <w:pPr>
              <w:pStyle w:val="TableParagraph"/>
              <w:spacing w:line="174" w:lineRule="exact"/>
              <w:ind w:right="49"/>
              <w:rPr>
                <w:sz w:val="16"/>
              </w:rPr>
            </w:pPr>
            <w:r>
              <w:rPr>
                <w:spacing w:val="-2"/>
                <w:sz w:val="16"/>
              </w:rPr>
              <w:t>15±2.2</w:t>
            </w:r>
          </w:p>
        </w:tc>
        <w:tc>
          <w:tcPr>
            <w:tcW w:w="943" w:type="dxa"/>
          </w:tcPr>
          <w:p>
            <w:pPr>
              <w:pStyle w:val="TableParagraph"/>
              <w:spacing w:line="174" w:lineRule="exact"/>
              <w:ind w:right="199"/>
              <w:jc w:val="right"/>
              <w:rPr>
                <w:sz w:val="16"/>
              </w:rPr>
            </w:pPr>
            <w:r>
              <w:rPr>
                <w:spacing w:val="-2"/>
                <w:sz w:val="16"/>
              </w:rPr>
              <w:t>15±1.4</w:t>
            </w:r>
          </w:p>
        </w:tc>
        <w:tc>
          <w:tcPr>
            <w:tcW w:w="763" w:type="dxa"/>
          </w:tcPr>
          <w:p>
            <w:pPr>
              <w:pStyle w:val="TableParagraph"/>
              <w:spacing w:line="174" w:lineRule="exact"/>
              <w:ind w:left="45" w:right="39"/>
              <w:rPr>
                <w:sz w:val="16"/>
              </w:rPr>
            </w:pPr>
            <w:r>
              <w:rPr>
                <w:spacing w:val="-2"/>
                <w:sz w:val="16"/>
              </w:rPr>
              <w:t>20±1.0</w:t>
            </w:r>
          </w:p>
        </w:tc>
        <w:tc>
          <w:tcPr>
            <w:tcW w:w="720" w:type="dxa"/>
          </w:tcPr>
          <w:p>
            <w:pPr>
              <w:pStyle w:val="TableParagraph"/>
              <w:spacing w:line="174" w:lineRule="exact"/>
              <w:ind w:left="38" w:right="72"/>
              <w:rPr>
                <w:sz w:val="16"/>
              </w:rPr>
            </w:pPr>
            <w:r>
              <w:rPr>
                <w:spacing w:val="-2"/>
                <w:sz w:val="16"/>
              </w:rPr>
              <w:t>18±1.0</w:t>
            </w:r>
          </w:p>
        </w:tc>
        <w:tc>
          <w:tcPr>
            <w:tcW w:w="811" w:type="dxa"/>
          </w:tcPr>
          <w:p>
            <w:pPr>
              <w:pStyle w:val="TableParagraph"/>
              <w:spacing w:line="174" w:lineRule="exact"/>
              <w:ind w:left="121"/>
              <w:jc w:val="left"/>
              <w:rPr>
                <w:sz w:val="16"/>
              </w:rPr>
            </w:pPr>
            <w:r>
              <w:rPr>
                <w:spacing w:val="-2"/>
                <w:sz w:val="16"/>
              </w:rPr>
              <w:t>21±0.0</w:t>
            </w:r>
          </w:p>
        </w:tc>
        <w:tc>
          <w:tcPr>
            <w:tcW w:w="881" w:type="dxa"/>
          </w:tcPr>
          <w:p>
            <w:pPr>
              <w:pStyle w:val="TableParagraph"/>
              <w:spacing w:line="174" w:lineRule="exact"/>
              <w:ind w:right="12"/>
              <w:rPr>
                <w:sz w:val="16"/>
              </w:rPr>
            </w:pPr>
            <w:r>
              <w:rPr>
                <w:spacing w:val="-2"/>
                <w:sz w:val="16"/>
              </w:rPr>
              <w:t>29±1.0</w:t>
            </w:r>
          </w:p>
        </w:tc>
        <w:tc>
          <w:tcPr>
            <w:tcW w:w="874" w:type="dxa"/>
          </w:tcPr>
          <w:p>
            <w:pPr>
              <w:pStyle w:val="TableParagraph"/>
              <w:spacing w:line="174" w:lineRule="exact"/>
              <w:ind w:left="64" w:right="39"/>
              <w:rPr>
                <w:sz w:val="16"/>
              </w:rPr>
            </w:pPr>
            <w:r>
              <w:rPr>
                <w:spacing w:val="-2"/>
                <w:sz w:val="16"/>
              </w:rPr>
              <w:t>15±2.8</w:t>
            </w:r>
          </w:p>
        </w:tc>
        <w:tc>
          <w:tcPr>
            <w:tcW w:w="857" w:type="dxa"/>
          </w:tcPr>
          <w:p>
            <w:pPr>
              <w:pStyle w:val="TableParagraph"/>
              <w:spacing w:line="174" w:lineRule="exact"/>
              <w:ind w:left="166"/>
              <w:jc w:val="left"/>
              <w:rPr>
                <w:sz w:val="16"/>
              </w:rPr>
            </w:pPr>
            <w:r>
              <w:rPr>
                <w:spacing w:val="-2"/>
                <w:sz w:val="16"/>
              </w:rPr>
              <w:t>18±2.7</w:t>
            </w:r>
          </w:p>
        </w:tc>
        <w:tc>
          <w:tcPr>
            <w:tcW w:w="855" w:type="dxa"/>
          </w:tcPr>
          <w:p>
            <w:pPr>
              <w:pStyle w:val="TableParagraph"/>
              <w:spacing w:line="174" w:lineRule="exact"/>
              <w:ind w:left="94" w:right="85"/>
              <w:rPr>
                <w:sz w:val="16"/>
              </w:rPr>
            </w:pPr>
            <w:r>
              <w:rPr>
                <w:spacing w:val="-2"/>
                <w:sz w:val="16"/>
              </w:rPr>
              <w:t>17±1.4</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16±1.0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S40s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99"/>
              <w:jc w:val="right"/>
              <w:rPr>
                <w:sz w:val="16"/>
              </w:rPr>
            </w:pPr>
            <w:r>
              <w:rPr>
                <w:spacing w:val="-2"/>
                <w:sz w:val="16"/>
              </w:rPr>
              <w:t>22±1.0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22±2.8</w:t>
            </w:r>
          </w:p>
        </w:tc>
        <w:tc>
          <w:tcPr>
            <w:tcW w:w="811" w:type="dxa"/>
          </w:tcPr>
          <w:p>
            <w:pPr>
              <w:pStyle w:val="TableParagraph"/>
              <w:spacing w:line="174" w:lineRule="exact"/>
              <w:ind w:left="121"/>
              <w:jc w:val="left"/>
              <w:rPr>
                <w:sz w:val="16"/>
              </w:rPr>
            </w:pPr>
            <w:r>
              <w:rPr>
                <w:spacing w:val="-2"/>
                <w:sz w:val="16"/>
              </w:rPr>
              <w:t>22±2.2</w:t>
            </w:r>
          </w:p>
        </w:tc>
        <w:tc>
          <w:tcPr>
            <w:tcW w:w="881" w:type="dxa"/>
          </w:tcPr>
          <w:p>
            <w:pPr>
              <w:pStyle w:val="TableParagraph"/>
              <w:spacing w:line="174" w:lineRule="exact"/>
              <w:ind w:right="12"/>
              <w:rPr>
                <w:sz w:val="16"/>
              </w:rPr>
            </w:pPr>
            <w:r>
              <w:rPr>
                <w:spacing w:val="-2"/>
                <w:sz w:val="16"/>
              </w:rPr>
              <w:t>28±1.4</w:t>
            </w:r>
          </w:p>
        </w:tc>
        <w:tc>
          <w:tcPr>
            <w:tcW w:w="874" w:type="dxa"/>
          </w:tcPr>
          <w:p>
            <w:pPr>
              <w:pStyle w:val="TableParagraph"/>
              <w:spacing w:line="174" w:lineRule="exact"/>
              <w:ind w:left="64" w:right="39"/>
              <w:rPr>
                <w:sz w:val="16"/>
              </w:rPr>
            </w:pPr>
            <w:r>
              <w:rPr>
                <w:spacing w:val="-2"/>
                <w:sz w:val="16"/>
              </w:rPr>
              <w:t>19±1.4</w:t>
            </w:r>
          </w:p>
        </w:tc>
        <w:tc>
          <w:tcPr>
            <w:tcW w:w="857" w:type="dxa"/>
          </w:tcPr>
          <w:p>
            <w:pPr>
              <w:pStyle w:val="TableParagraph"/>
              <w:spacing w:line="174" w:lineRule="exact"/>
              <w:ind w:left="166"/>
              <w:jc w:val="left"/>
              <w:rPr>
                <w:sz w:val="16"/>
              </w:rPr>
            </w:pPr>
            <w:r>
              <w:rPr>
                <w:spacing w:val="-2"/>
                <w:sz w:val="16"/>
              </w:rPr>
              <w:t>13±4.2</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B25e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74" w:right="72"/>
              <w:rPr>
                <w:sz w:val="16"/>
              </w:rPr>
            </w:pPr>
            <w:r>
              <w:rPr>
                <w:spacing w:val="-2"/>
                <w:sz w:val="16"/>
              </w:rPr>
              <w:t>0.0±0.0</w:t>
            </w:r>
          </w:p>
        </w:tc>
        <w:tc>
          <w:tcPr>
            <w:tcW w:w="811" w:type="dxa"/>
          </w:tcPr>
          <w:p>
            <w:pPr>
              <w:pStyle w:val="TableParagraph"/>
              <w:spacing w:line="177" w:lineRule="exact"/>
              <w:ind w:left="121"/>
              <w:jc w:val="left"/>
              <w:rPr>
                <w:sz w:val="16"/>
              </w:rPr>
            </w:pPr>
            <w:r>
              <w:rPr>
                <w:spacing w:val="-2"/>
                <w:sz w:val="16"/>
              </w:rPr>
              <w:t>22±2.8</w:t>
            </w:r>
          </w:p>
        </w:tc>
        <w:tc>
          <w:tcPr>
            <w:tcW w:w="881" w:type="dxa"/>
          </w:tcPr>
          <w:p>
            <w:pPr>
              <w:pStyle w:val="TableParagraph"/>
              <w:spacing w:line="177" w:lineRule="exact"/>
              <w:ind w:right="12"/>
              <w:rPr>
                <w:sz w:val="16"/>
              </w:rPr>
            </w:pPr>
            <w:r>
              <w:rPr>
                <w:spacing w:val="-2"/>
                <w:sz w:val="16"/>
              </w:rPr>
              <w:t>25±1.0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0.0±0.0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S34s</w:t>
            </w:r>
          </w:p>
        </w:tc>
        <w:tc>
          <w:tcPr>
            <w:tcW w:w="1066" w:type="dxa"/>
          </w:tcPr>
          <w:p>
            <w:pPr>
              <w:pStyle w:val="TableParagraph"/>
              <w:spacing w:line="174" w:lineRule="exact"/>
              <w:ind w:right="49"/>
              <w:rPr>
                <w:sz w:val="16"/>
              </w:rPr>
            </w:pPr>
            <w:r>
              <w:rPr>
                <w:spacing w:val="-2"/>
                <w:sz w:val="16"/>
              </w:rPr>
              <w:t>22±1.0</w:t>
            </w:r>
          </w:p>
        </w:tc>
        <w:tc>
          <w:tcPr>
            <w:tcW w:w="943" w:type="dxa"/>
          </w:tcPr>
          <w:p>
            <w:pPr>
              <w:pStyle w:val="TableParagraph"/>
              <w:spacing w:line="174" w:lineRule="exact"/>
              <w:ind w:right="199"/>
              <w:jc w:val="right"/>
              <w:rPr>
                <w:sz w:val="16"/>
              </w:rPr>
            </w:pPr>
            <w:r>
              <w:rPr>
                <w:spacing w:val="-2"/>
                <w:sz w:val="16"/>
              </w:rPr>
              <w:t>26±1.0</w:t>
            </w:r>
          </w:p>
        </w:tc>
        <w:tc>
          <w:tcPr>
            <w:tcW w:w="763" w:type="dxa"/>
          </w:tcPr>
          <w:p>
            <w:pPr>
              <w:pStyle w:val="TableParagraph"/>
              <w:spacing w:line="174" w:lineRule="exact"/>
              <w:ind w:left="45" w:right="39"/>
              <w:rPr>
                <w:sz w:val="16"/>
              </w:rPr>
            </w:pPr>
            <w:r>
              <w:rPr>
                <w:spacing w:val="-2"/>
                <w:sz w:val="16"/>
              </w:rPr>
              <w:t>12±1.4</w:t>
            </w:r>
          </w:p>
        </w:tc>
        <w:tc>
          <w:tcPr>
            <w:tcW w:w="720" w:type="dxa"/>
          </w:tcPr>
          <w:p>
            <w:pPr>
              <w:pStyle w:val="TableParagraph"/>
              <w:spacing w:line="174" w:lineRule="exact"/>
              <w:ind w:left="38" w:right="72"/>
              <w:rPr>
                <w:sz w:val="16"/>
              </w:rPr>
            </w:pPr>
            <w:r>
              <w:rPr>
                <w:spacing w:val="-2"/>
                <w:sz w:val="16"/>
              </w:rPr>
              <w:t>19±1.4</w:t>
            </w:r>
          </w:p>
        </w:tc>
        <w:tc>
          <w:tcPr>
            <w:tcW w:w="811" w:type="dxa"/>
          </w:tcPr>
          <w:p>
            <w:pPr>
              <w:pStyle w:val="TableParagraph"/>
              <w:spacing w:line="174" w:lineRule="exact"/>
              <w:ind w:left="121"/>
              <w:jc w:val="left"/>
              <w:rPr>
                <w:sz w:val="16"/>
              </w:rPr>
            </w:pPr>
            <w:r>
              <w:rPr>
                <w:spacing w:val="-2"/>
                <w:sz w:val="16"/>
              </w:rPr>
              <w:t>22±1.4</w:t>
            </w:r>
          </w:p>
        </w:tc>
        <w:tc>
          <w:tcPr>
            <w:tcW w:w="881" w:type="dxa"/>
          </w:tcPr>
          <w:p>
            <w:pPr>
              <w:pStyle w:val="TableParagraph"/>
              <w:spacing w:line="174" w:lineRule="exact"/>
              <w:ind w:right="12"/>
              <w:rPr>
                <w:sz w:val="16"/>
              </w:rPr>
            </w:pPr>
            <w:r>
              <w:rPr>
                <w:spacing w:val="-2"/>
                <w:sz w:val="16"/>
              </w:rPr>
              <w:t>30±1.0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18±2.8</w:t>
            </w:r>
          </w:p>
        </w:tc>
        <w:tc>
          <w:tcPr>
            <w:tcW w:w="855" w:type="dxa"/>
          </w:tcPr>
          <w:p>
            <w:pPr>
              <w:pStyle w:val="TableParagraph"/>
              <w:spacing w:line="174" w:lineRule="exact"/>
              <w:ind w:left="94" w:right="85"/>
              <w:rPr>
                <w:sz w:val="16"/>
              </w:rPr>
            </w:pPr>
            <w:r>
              <w:rPr>
                <w:spacing w:val="-2"/>
                <w:sz w:val="16"/>
              </w:rPr>
              <w:t>15±1.0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13±1.4</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B9s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0.0±0.0</w:t>
            </w:r>
          </w:p>
        </w:tc>
        <w:tc>
          <w:tcPr>
            <w:tcW w:w="881" w:type="dxa"/>
          </w:tcPr>
          <w:p>
            <w:pPr>
              <w:pStyle w:val="TableParagraph"/>
              <w:spacing w:line="174" w:lineRule="exact"/>
              <w:ind w:right="12"/>
              <w:rPr>
                <w:sz w:val="16"/>
              </w:rPr>
            </w:pPr>
            <w:r>
              <w:rPr>
                <w:spacing w:val="-2"/>
                <w:sz w:val="16"/>
              </w:rPr>
              <w:t>19±1.4</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B41s</w:t>
            </w:r>
          </w:p>
        </w:tc>
        <w:tc>
          <w:tcPr>
            <w:tcW w:w="1066" w:type="dxa"/>
          </w:tcPr>
          <w:p>
            <w:pPr>
              <w:pStyle w:val="TableParagraph"/>
              <w:spacing w:line="177" w:lineRule="exact"/>
              <w:ind w:right="49"/>
              <w:rPr>
                <w:sz w:val="16"/>
              </w:rPr>
            </w:pPr>
            <w:r>
              <w:rPr>
                <w:spacing w:val="-2"/>
                <w:sz w:val="16"/>
              </w:rPr>
              <w:t>22±1.0</w:t>
            </w:r>
          </w:p>
        </w:tc>
        <w:tc>
          <w:tcPr>
            <w:tcW w:w="943" w:type="dxa"/>
          </w:tcPr>
          <w:p>
            <w:pPr>
              <w:pStyle w:val="TableParagraph"/>
              <w:spacing w:line="177" w:lineRule="exact"/>
              <w:ind w:right="199"/>
              <w:jc w:val="right"/>
              <w:rPr>
                <w:sz w:val="16"/>
              </w:rPr>
            </w:pPr>
            <w:r>
              <w:rPr>
                <w:spacing w:val="-2"/>
                <w:sz w:val="16"/>
              </w:rPr>
              <w:t>21±1.0</w:t>
            </w:r>
          </w:p>
        </w:tc>
        <w:tc>
          <w:tcPr>
            <w:tcW w:w="763" w:type="dxa"/>
          </w:tcPr>
          <w:p>
            <w:pPr>
              <w:pStyle w:val="TableParagraph"/>
              <w:spacing w:line="177" w:lineRule="exact"/>
              <w:ind w:left="45" w:right="39"/>
              <w:rPr>
                <w:sz w:val="16"/>
              </w:rPr>
            </w:pPr>
            <w:r>
              <w:rPr>
                <w:spacing w:val="-2"/>
                <w:sz w:val="16"/>
              </w:rPr>
              <w:t>18±1.4</w:t>
            </w:r>
          </w:p>
        </w:tc>
        <w:tc>
          <w:tcPr>
            <w:tcW w:w="720" w:type="dxa"/>
          </w:tcPr>
          <w:p>
            <w:pPr>
              <w:pStyle w:val="TableParagraph"/>
              <w:spacing w:line="177" w:lineRule="exact"/>
              <w:ind w:left="38" w:right="72"/>
              <w:rPr>
                <w:sz w:val="16"/>
              </w:rPr>
            </w:pPr>
            <w:r>
              <w:rPr>
                <w:spacing w:val="-2"/>
                <w:sz w:val="16"/>
              </w:rPr>
              <w:t>21±4.2</w:t>
            </w:r>
          </w:p>
        </w:tc>
        <w:tc>
          <w:tcPr>
            <w:tcW w:w="811" w:type="dxa"/>
          </w:tcPr>
          <w:p>
            <w:pPr>
              <w:pStyle w:val="TableParagraph"/>
              <w:spacing w:line="177" w:lineRule="exact"/>
              <w:ind w:left="121"/>
              <w:jc w:val="left"/>
              <w:rPr>
                <w:sz w:val="16"/>
              </w:rPr>
            </w:pPr>
            <w:r>
              <w:rPr>
                <w:spacing w:val="-2"/>
                <w:sz w:val="16"/>
              </w:rPr>
              <w:t>23±1.4</w:t>
            </w:r>
          </w:p>
        </w:tc>
        <w:tc>
          <w:tcPr>
            <w:tcW w:w="881" w:type="dxa"/>
          </w:tcPr>
          <w:p>
            <w:pPr>
              <w:pStyle w:val="TableParagraph"/>
              <w:spacing w:line="177" w:lineRule="exact"/>
              <w:ind w:right="12"/>
              <w:rPr>
                <w:sz w:val="16"/>
              </w:rPr>
            </w:pPr>
            <w:r>
              <w:rPr>
                <w:spacing w:val="-2"/>
                <w:sz w:val="16"/>
              </w:rPr>
              <w:t>28±3.6</w:t>
            </w:r>
          </w:p>
        </w:tc>
        <w:tc>
          <w:tcPr>
            <w:tcW w:w="874" w:type="dxa"/>
          </w:tcPr>
          <w:p>
            <w:pPr>
              <w:pStyle w:val="TableParagraph"/>
              <w:spacing w:line="177" w:lineRule="exact"/>
              <w:ind w:left="64" w:right="39"/>
              <w:rPr>
                <w:sz w:val="16"/>
              </w:rPr>
            </w:pPr>
            <w:r>
              <w:rPr>
                <w:spacing w:val="-2"/>
                <w:sz w:val="16"/>
              </w:rPr>
              <w:t>22±2.8</w:t>
            </w:r>
          </w:p>
        </w:tc>
        <w:tc>
          <w:tcPr>
            <w:tcW w:w="857" w:type="dxa"/>
          </w:tcPr>
          <w:p>
            <w:pPr>
              <w:pStyle w:val="TableParagraph"/>
              <w:spacing w:line="177" w:lineRule="exact"/>
              <w:ind w:left="166"/>
              <w:jc w:val="left"/>
              <w:rPr>
                <w:sz w:val="16"/>
              </w:rPr>
            </w:pPr>
            <w:r>
              <w:rPr>
                <w:spacing w:val="-2"/>
                <w:sz w:val="16"/>
              </w:rPr>
              <w:t>20±0.0</w:t>
            </w:r>
          </w:p>
        </w:tc>
        <w:tc>
          <w:tcPr>
            <w:tcW w:w="855" w:type="dxa"/>
          </w:tcPr>
          <w:p>
            <w:pPr>
              <w:pStyle w:val="TableParagraph"/>
              <w:spacing w:line="177" w:lineRule="exact"/>
              <w:ind w:left="94" w:right="85"/>
              <w:rPr>
                <w:sz w:val="16"/>
              </w:rPr>
            </w:pPr>
            <w:r>
              <w:rPr>
                <w:spacing w:val="-2"/>
                <w:sz w:val="16"/>
              </w:rPr>
              <w:t>18±1.4</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11±1.0</w:t>
            </w:r>
          </w:p>
        </w:tc>
        <w:tc>
          <w:tcPr>
            <w:tcW w:w="738" w:type="dxa"/>
          </w:tcPr>
          <w:p>
            <w:pPr>
              <w:pStyle w:val="TableParagraph"/>
              <w:spacing w:line="177"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S36s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17±2.2</w:t>
            </w:r>
          </w:p>
        </w:tc>
        <w:tc>
          <w:tcPr>
            <w:tcW w:w="811" w:type="dxa"/>
          </w:tcPr>
          <w:p>
            <w:pPr>
              <w:pStyle w:val="TableParagraph"/>
              <w:spacing w:line="177" w:lineRule="exact"/>
              <w:ind w:left="121"/>
              <w:jc w:val="left"/>
              <w:rPr>
                <w:sz w:val="16"/>
              </w:rPr>
            </w:pPr>
            <w:r>
              <w:rPr>
                <w:spacing w:val="-2"/>
                <w:sz w:val="16"/>
              </w:rPr>
              <w:t>0.0±0.0</w:t>
            </w:r>
          </w:p>
        </w:tc>
        <w:tc>
          <w:tcPr>
            <w:tcW w:w="881" w:type="dxa"/>
          </w:tcPr>
          <w:p>
            <w:pPr>
              <w:pStyle w:val="TableParagraph"/>
              <w:spacing w:line="177" w:lineRule="exact"/>
              <w:ind w:right="12"/>
              <w:rPr>
                <w:sz w:val="16"/>
              </w:rPr>
            </w:pPr>
            <w:r>
              <w:rPr>
                <w:spacing w:val="-2"/>
                <w:sz w:val="16"/>
              </w:rPr>
              <w:t>21±1.0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11±1.0</w:t>
            </w:r>
          </w:p>
        </w:tc>
        <w:tc>
          <w:tcPr>
            <w:tcW w:w="855" w:type="dxa"/>
          </w:tcPr>
          <w:p>
            <w:pPr>
              <w:pStyle w:val="TableParagraph"/>
              <w:spacing w:line="177" w:lineRule="exact"/>
              <w:ind w:left="94" w:right="85"/>
              <w:rPr>
                <w:sz w:val="16"/>
              </w:rPr>
            </w:pPr>
            <w:r>
              <w:rPr>
                <w:spacing w:val="-2"/>
                <w:sz w:val="16"/>
              </w:rPr>
              <w:t>17±1.4</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B32e</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14±1.4</w:t>
            </w:r>
          </w:p>
        </w:tc>
        <w:tc>
          <w:tcPr>
            <w:tcW w:w="720" w:type="dxa"/>
          </w:tcPr>
          <w:p>
            <w:pPr>
              <w:pStyle w:val="TableParagraph"/>
              <w:spacing w:line="174" w:lineRule="exact"/>
              <w:ind w:left="38" w:right="72"/>
              <w:rPr>
                <w:sz w:val="16"/>
              </w:rPr>
            </w:pPr>
            <w:r>
              <w:rPr>
                <w:spacing w:val="-2"/>
                <w:sz w:val="16"/>
              </w:rPr>
              <w:t>20±0.0</w:t>
            </w:r>
          </w:p>
        </w:tc>
        <w:tc>
          <w:tcPr>
            <w:tcW w:w="811" w:type="dxa"/>
          </w:tcPr>
          <w:p>
            <w:pPr>
              <w:pStyle w:val="TableParagraph"/>
              <w:spacing w:line="174" w:lineRule="exact"/>
              <w:ind w:left="121"/>
              <w:jc w:val="left"/>
              <w:rPr>
                <w:sz w:val="16"/>
              </w:rPr>
            </w:pPr>
            <w:r>
              <w:rPr>
                <w:spacing w:val="-2"/>
                <w:sz w:val="16"/>
              </w:rPr>
              <w:t>23±1.0</w:t>
            </w:r>
          </w:p>
        </w:tc>
        <w:tc>
          <w:tcPr>
            <w:tcW w:w="881" w:type="dxa"/>
          </w:tcPr>
          <w:p>
            <w:pPr>
              <w:pStyle w:val="TableParagraph"/>
              <w:spacing w:line="174" w:lineRule="exact"/>
              <w:ind w:right="12"/>
              <w:rPr>
                <w:sz w:val="16"/>
              </w:rPr>
            </w:pPr>
            <w:r>
              <w:rPr>
                <w:spacing w:val="-2"/>
                <w:sz w:val="16"/>
              </w:rPr>
              <w:t>25±1.0</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B22e</w:t>
            </w:r>
          </w:p>
        </w:tc>
        <w:tc>
          <w:tcPr>
            <w:tcW w:w="1066" w:type="dxa"/>
          </w:tcPr>
          <w:p>
            <w:pPr>
              <w:pStyle w:val="TableParagraph"/>
              <w:spacing w:line="174" w:lineRule="exact"/>
              <w:ind w:right="49"/>
              <w:rPr>
                <w:sz w:val="16"/>
              </w:rPr>
            </w:pPr>
            <w:r>
              <w:rPr>
                <w:spacing w:val="-2"/>
                <w:sz w:val="16"/>
              </w:rPr>
              <w:t>23±1.0</w:t>
            </w:r>
          </w:p>
        </w:tc>
        <w:tc>
          <w:tcPr>
            <w:tcW w:w="943" w:type="dxa"/>
          </w:tcPr>
          <w:p>
            <w:pPr>
              <w:pStyle w:val="TableParagraph"/>
              <w:spacing w:line="174" w:lineRule="exact"/>
              <w:ind w:right="199"/>
              <w:jc w:val="right"/>
              <w:rPr>
                <w:sz w:val="16"/>
              </w:rPr>
            </w:pPr>
            <w:r>
              <w:rPr>
                <w:spacing w:val="-2"/>
                <w:sz w:val="16"/>
              </w:rPr>
              <w:t>20±1.0</w:t>
            </w:r>
          </w:p>
        </w:tc>
        <w:tc>
          <w:tcPr>
            <w:tcW w:w="763" w:type="dxa"/>
          </w:tcPr>
          <w:p>
            <w:pPr>
              <w:pStyle w:val="TableParagraph"/>
              <w:spacing w:line="174" w:lineRule="exact"/>
              <w:ind w:left="45" w:right="39"/>
              <w:rPr>
                <w:sz w:val="16"/>
              </w:rPr>
            </w:pPr>
            <w:r>
              <w:rPr>
                <w:spacing w:val="-2"/>
                <w:sz w:val="16"/>
              </w:rPr>
              <w:t>16±2.2</w:t>
            </w:r>
          </w:p>
        </w:tc>
        <w:tc>
          <w:tcPr>
            <w:tcW w:w="720" w:type="dxa"/>
          </w:tcPr>
          <w:p>
            <w:pPr>
              <w:pStyle w:val="TableParagraph"/>
              <w:spacing w:line="174" w:lineRule="exact"/>
              <w:ind w:left="38" w:right="72"/>
              <w:rPr>
                <w:sz w:val="16"/>
              </w:rPr>
            </w:pPr>
            <w:r>
              <w:rPr>
                <w:spacing w:val="-2"/>
                <w:sz w:val="16"/>
              </w:rPr>
              <w:t>15±1.0</w:t>
            </w:r>
          </w:p>
        </w:tc>
        <w:tc>
          <w:tcPr>
            <w:tcW w:w="811" w:type="dxa"/>
          </w:tcPr>
          <w:p>
            <w:pPr>
              <w:pStyle w:val="TableParagraph"/>
              <w:spacing w:line="174" w:lineRule="exact"/>
              <w:ind w:left="121"/>
              <w:jc w:val="left"/>
              <w:rPr>
                <w:sz w:val="16"/>
              </w:rPr>
            </w:pPr>
            <w:r>
              <w:rPr>
                <w:spacing w:val="-2"/>
                <w:sz w:val="16"/>
              </w:rPr>
              <w:t>17±6.3</w:t>
            </w:r>
          </w:p>
        </w:tc>
        <w:tc>
          <w:tcPr>
            <w:tcW w:w="881" w:type="dxa"/>
          </w:tcPr>
          <w:p>
            <w:pPr>
              <w:pStyle w:val="TableParagraph"/>
              <w:spacing w:line="174" w:lineRule="exact"/>
              <w:ind w:right="12"/>
              <w:rPr>
                <w:sz w:val="16"/>
              </w:rPr>
            </w:pPr>
            <w:r>
              <w:rPr>
                <w:spacing w:val="-2"/>
                <w:sz w:val="16"/>
              </w:rPr>
              <w:t>25±0.0</w:t>
            </w:r>
          </w:p>
        </w:tc>
        <w:tc>
          <w:tcPr>
            <w:tcW w:w="874" w:type="dxa"/>
          </w:tcPr>
          <w:p>
            <w:pPr>
              <w:pStyle w:val="TableParagraph"/>
              <w:spacing w:line="174" w:lineRule="exact"/>
              <w:ind w:left="64" w:right="39"/>
              <w:rPr>
                <w:sz w:val="16"/>
              </w:rPr>
            </w:pPr>
            <w:r>
              <w:rPr>
                <w:spacing w:val="-2"/>
                <w:sz w:val="16"/>
              </w:rPr>
              <w:t>17±6.7</w:t>
            </w:r>
          </w:p>
        </w:tc>
        <w:tc>
          <w:tcPr>
            <w:tcW w:w="857" w:type="dxa"/>
          </w:tcPr>
          <w:p>
            <w:pPr>
              <w:pStyle w:val="TableParagraph"/>
              <w:spacing w:line="174" w:lineRule="exact"/>
              <w:ind w:left="166"/>
              <w:jc w:val="left"/>
              <w:rPr>
                <w:sz w:val="16"/>
              </w:rPr>
            </w:pPr>
            <w:r>
              <w:rPr>
                <w:spacing w:val="-2"/>
                <w:sz w:val="16"/>
              </w:rPr>
              <w:t>12±1.4</w:t>
            </w:r>
          </w:p>
        </w:tc>
        <w:tc>
          <w:tcPr>
            <w:tcW w:w="855" w:type="dxa"/>
          </w:tcPr>
          <w:p>
            <w:pPr>
              <w:pStyle w:val="TableParagraph"/>
              <w:spacing w:line="174" w:lineRule="exact"/>
              <w:ind w:left="94" w:right="85"/>
              <w:rPr>
                <w:sz w:val="16"/>
              </w:rPr>
            </w:pPr>
            <w:r>
              <w:rPr>
                <w:spacing w:val="-2"/>
                <w:sz w:val="16"/>
              </w:rPr>
              <w:t>23±2.2</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12±1.4</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S42e</w:t>
            </w:r>
          </w:p>
        </w:tc>
        <w:tc>
          <w:tcPr>
            <w:tcW w:w="1066" w:type="dxa"/>
          </w:tcPr>
          <w:p>
            <w:pPr>
              <w:pStyle w:val="TableParagraph"/>
              <w:spacing w:line="177" w:lineRule="exact"/>
              <w:ind w:right="49"/>
              <w:rPr>
                <w:sz w:val="16"/>
              </w:rPr>
            </w:pPr>
            <w:r>
              <w:rPr>
                <w:spacing w:val="-2"/>
                <w:sz w:val="16"/>
              </w:rPr>
              <w:t>24±1.0</w:t>
            </w:r>
          </w:p>
        </w:tc>
        <w:tc>
          <w:tcPr>
            <w:tcW w:w="943" w:type="dxa"/>
          </w:tcPr>
          <w:p>
            <w:pPr>
              <w:pStyle w:val="TableParagraph"/>
              <w:spacing w:line="177" w:lineRule="exact"/>
              <w:ind w:right="199"/>
              <w:jc w:val="right"/>
              <w:rPr>
                <w:sz w:val="16"/>
              </w:rPr>
            </w:pPr>
            <w:r>
              <w:rPr>
                <w:spacing w:val="-2"/>
                <w:sz w:val="16"/>
              </w:rPr>
              <w:t>23±0.0</w:t>
            </w:r>
          </w:p>
        </w:tc>
        <w:tc>
          <w:tcPr>
            <w:tcW w:w="763" w:type="dxa"/>
          </w:tcPr>
          <w:p>
            <w:pPr>
              <w:pStyle w:val="TableParagraph"/>
              <w:spacing w:line="177" w:lineRule="exact"/>
              <w:ind w:left="45" w:right="39"/>
              <w:rPr>
                <w:sz w:val="16"/>
              </w:rPr>
            </w:pPr>
            <w:r>
              <w:rPr>
                <w:spacing w:val="-2"/>
                <w:sz w:val="16"/>
              </w:rPr>
              <w:t>23±1.0</w:t>
            </w:r>
          </w:p>
        </w:tc>
        <w:tc>
          <w:tcPr>
            <w:tcW w:w="720" w:type="dxa"/>
          </w:tcPr>
          <w:p>
            <w:pPr>
              <w:pStyle w:val="TableParagraph"/>
              <w:spacing w:line="177" w:lineRule="exact"/>
              <w:ind w:left="38" w:right="72"/>
              <w:rPr>
                <w:sz w:val="16"/>
              </w:rPr>
            </w:pPr>
            <w:r>
              <w:rPr>
                <w:spacing w:val="-2"/>
                <w:sz w:val="16"/>
              </w:rPr>
              <w:t>23±4.2</w:t>
            </w:r>
          </w:p>
        </w:tc>
        <w:tc>
          <w:tcPr>
            <w:tcW w:w="811" w:type="dxa"/>
          </w:tcPr>
          <w:p>
            <w:pPr>
              <w:pStyle w:val="TableParagraph"/>
              <w:spacing w:line="177" w:lineRule="exact"/>
              <w:ind w:left="121"/>
              <w:jc w:val="left"/>
              <w:rPr>
                <w:sz w:val="16"/>
              </w:rPr>
            </w:pPr>
            <w:r>
              <w:rPr>
                <w:spacing w:val="-2"/>
                <w:sz w:val="16"/>
              </w:rPr>
              <w:t>25±1.0</w:t>
            </w:r>
          </w:p>
        </w:tc>
        <w:tc>
          <w:tcPr>
            <w:tcW w:w="881" w:type="dxa"/>
          </w:tcPr>
          <w:p>
            <w:pPr>
              <w:pStyle w:val="TableParagraph"/>
              <w:spacing w:line="177" w:lineRule="exact"/>
              <w:ind w:right="12"/>
              <w:rPr>
                <w:sz w:val="16"/>
              </w:rPr>
            </w:pPr>
            <w:r>
              <w:rPr>
                <w:spacing w:val="-2"/>
                <w:sz w:val="16"/>
              </w:rPr>
              <w:t>30±0.0</w:t>
            </w:r>
          </w:p>
        </w:tc>
        <w:tc>
          <w:tcPr>
            <w:tcW w:w="874" w:type="dxa"/>
          </w:tcPr>
          <w:p>
            <w:pPr>
              <w:pStyle w:val="TableParagraph"/>
              <w:spacing w:line="177" w:lineRule="exact"/>
              <w:ind w:left="64" w:right="39"/>
              <w:rPr>
                <w:sz w:val="16"/>
              </w:rPr>
            </w:pPr>
            <w:r>
              <w:rPr>
                <w:spacing w:val="-2"/>
                <w:sz w:val="16"/>
              </w:rPr>
              <w:t>25±5.0</w:t>
            </w:r>
          </w:p>
        </w:tc>
        <w:tc>
          <w:tcPr>
            <w:tcW w:w="857" w:type="dxa"/>
          </w:tcPr>
          <w:p>
            <w:pPr>
              <w:pStyle w:val="TableParagraph"/>
              <w:spacing w:line="177" w:lineRule="exact"/>
              <w:ind w:left="166"/>
              <w:jc w:val="left"/>
              <w:rPr>
                <w:sz w:val="16"/>
              </w:rPr>
            </w:pPr>
            <w:r>
              <w:rPr>
                <w:spacing w:val="-2"/>
                <w:sz w:val="16"/>
              </w:rPr>
              <w:t>14±1.0</w:t>
            </w:r>
          </w:p>
        </w:tc>
        <w:tc>
          <w:tcPr>
            <w:tcW w:w="855" w:type="dxa"/>
          </w:tcPr>
          <w:p>
            <w:pPr>
              <w:pStyle w:val="TableParagraph"/>
              <w:spacing w:line="177" w:lineRule="exact"/>
              <w:ind w:left="94" w:right="85"/>
              <w:rPr>
                <w:sz w:val="16"/>
              </w:rPr>
            </w:pPr>
            <w:r>
              <w:rPr>
                <w:spacing w:val="-2"/>
                <w:sz w:val="16"/>
              </w:rPr>
              <w:t>22±0.0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12±1.4</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S31s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ight="39"/>
              <w:rPr>
                <w:sz w:val="16"/>
              </w:rPr>
            </w:pPr>
            <w:r>
              <w:rPr>
                <w:spacing w:val="-2"/>
                <w:sz w:val="16"/>
              </w:rPr>
              <w:t>14±1.4</w:t>
            </w:r>
          </w:p>
        </w:tc>
        <w:tc>
          <w:tcPr>
            <w:tcW w:w="720" w:type="dxa"/>
          </w:tcPr>
          <w:p>
            <w:pPr>
              <w:pStyle w:val="TableParagraph"/>
              <w:spacing w:line="174" w:lineRule="exact"/>
              <w:ind w:left="38" w:right="72"/>
              <w:rPr>
                <w:sz w:val="16"/>
              </w:rPr>
            </w:pPr>
            <w:r>
              <w:rPr>
                <w:spacing w:val="-2"/>
                <w:sz w:val="16"/>
              </w:rPr>
              <w:t>18±1.0</w:t>
            </w:r>
          </w:p>
        </w:tc>
        <w:tc>
          <w:tcPr>
            <w:tcW w:w="811" w:type="dxa"/>
          </w:tcPr>
          <w:p>
            <w:pPr>
              <w:pStyle w:val="TableParagraph"/>
              <w:spacing w:line="174" w:lineRule="exact"/>
              <w:ind w:left="121"/>
              <w:jc w:val="left"/>
              <w:rPr>
                <w:sz w:val="16"/>
              </w:rPr>
            </w:pPr>
            <w:r>
              <w:rPr>
                <w:spacing w:val="-2"/>
                <w:sz w:val="16"/>
              </w:rPr>
              <w:t>20±1.0</w:t>
            </w:r>
          </w:p>
        </w:tc>
        <w:tc>
          <w:tcPr>
            <w:tcW w:w="881" w:type="dxa"/>
          </w:tcPr>
          <w:p>
            <w:pPr>
              <w:pStyle w:val="TableParagraph"/>
              <w:spacing w:line="174" w:lineRule="exact"/>
              <w:ind w:right="12"/>
              <w:rPr>
                <w:sz w:val="16"/>
              </w:rPr>
            </w:pPr>
            <w:r>
              <w:rPr>
                <w:spacing w:val="-2"/>
                <w:sz w:val="16"/>
              </w:rPr>
              <w:t>28±1.4</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13±1.0</w:t>
            </w:r>
          </w:p>
        </w:tc>
        <w:tc>
          <w:tcPr>
            <w:tcW w:w="855" w:type="dxa"/>
          </w:tcPr>
          <w:p>
            <w:pPr>
              <w:pStyle w:val="TableParagraph"/>
              <w:spacing w:line="174" w:lineRule="exact"/>
              <w:ind w:left="94" w:right="85"/>
              <w:rPr>
                <w:sz w:val="16"/>
              </w:rPr>
            </w:pPr>
            <w:r>
              <w:rPr>
                <w:spacing w:val="-2"/>
                <w:sz w:val="16"/>
              </w:rPr>
              <w:t>10±0.0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11±1.4</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B45e</w:t>
            </w:r>
          </w:p>
        </w:tc>
        <w:tc>
          <w:tcPr>
            <w:tcW w:w="1066" w:type="dxa"/>
          </w:tcPr>
          <w:p>
            <w:pPr>
              <w:pStyle w:val="TableParagraph"/>
              <w:spacing w:line="174" w:lineRule="exact"/>
              <w:ind w:right="49"/>
              <w:rPr>
                <w:sz w:val="16"/>
              </w:rPr>
            </w:pPr>
            <w:r>
              <w:rPr>
                <w:spacing w:val="-2"/>
                <w:sz w:val="16"/>
              </w:rPr>
              <w:t>21±1.4</w:t>
            </w:r>
          </w:p>
        </w:tc>
        <w:tc>
          <w:tcPr>
            <w:tcW w:w="943" w:type="dxa"/>
          </w:tcPr>
          <w:p>
            <w:pPr>
              <w:pStyle w:val="TableParagraph"/>
              <w:spacing w:line="174" w:lineRule="exact"/>
              <w:ind w:right="199"/>
              <w:jc w:val="right"/>
              <w:rPr>
                <w:sz w:val="16"/>
              </w:rPr>
            </w:pPr>
            <w:r>
              <w:rPr>
                <w:spacing w:val="-2"/>
                <w:sz w:val="16"/>
              </w:rPr>
              <w:t>20±0.0</w:t>
            </w:r>
          </w:p>
        </w:tc>
        <w:tc>
          <w:tcPr>
            <w:tcW w:w="763" w:type="dxa"/>
          </w:tcPr>
          <w:p>
            <w:pPr>
              <w:pStyle w:val="TableParagraph"/>
              <w:spacing w:line="174" w:lineRule="exact"/>
              <w:ind w:left="45" w:right="39"/>
              <w:rPr>
                <w:sz w:val="16"/>
              </w:rPr>
            </w:pPr>
            <w:r>
              <w:rPr>
                <w:spacing w:val="-2"/>
                <w:sz w:val="16"/>
              </w:rPr>
              <w:t>20±0.0</w:t>
            </w:r>
          </w:p>
        </w:tc>
        <w:tc>
          <w:tcPr>
            <w:tcW w:w="720" w:type="dxa"/>
          </w:tcPr>
          <w:p>
            <w:pPr>
              <w:pStyle w:val="TableParagraph"/>
              <w:spacing w:line="174" w:lineRule="exact"/>
              <w:ind w:left="38" w:right="72"/>
              <w:rPr>
                <w:sz w:val="16"/>
              </w:rPr>
            </w:pPr>
            <w:r>
              <w:rPr>
                <w:spacing w:val="-2"/>
                <w:sz w:val="16"/>
              </w:rPr>
              <w:t>16±1.0</w:t>
            </w:r>
          </w:p>
        </w:tc>
        <w:tc>
          <w:tcPr>
            <w:tcW w:w="811" w:type="dxa"/>
          </w:tcPr>
          <w:p>
            <w:pPr>
              <w:pStyle w:val="TableParagraph"/>
              <w:spacing w:line="174" w:lineRule="exact"/>
              <w:ind w:left="121"/>
              <w:jc w:val="left"/>
              <w:rPr>
                <w:sz w:val="16"/>
              </w:rPr>
            </w:pPr>
            <w:r>
              <w:rPr>
                <w:spacing w:val="-2"/>
                <w:sz w:val="16"/>
              </w:rPr>
              <w:t>24±1.0</w:t>
            </w:r>
          </w:p>
        </w:tc>
        <w:tc>
          <w:tcPr>
            <w:tcW w:w="881" w:type="dxa"/>
          </w:tcPr>
          <w:p>
            <w:pPr>
              <w:pStyle w:val="TableParagraph"/>
              <w:spacing w:line="174" w:lineRule="exact"/>
              <w:ind w:right="12"/>
              <w:rPr>
                <w:sz w:val="16"/>
              </w:rPr>
            </w:pPr>
            <w:r>
              <w:rPr>
                <w:spacing w:val="-2"/>
                <w:sz w:val="16"/>
              </w:rPr>
              <w:t>26±1.4</w:t>
            </w:r>
          </w:p>
        </w:tc>
        <w:tc>
          <w:tcPr>
            <w:tcW w:w="874" w:type="dxa"/>
          </w:tcPr>
          <w:p>
            <w:pPr>
              <w:pStyle w:val="TableParagraph"/>
              <w:spacing w:line="174" w:lineRule="exact"/>
              <w:ind w:left="64" w:right="39"/>
              <w:rPr>
                <w:sz w:val="16"/>
              </w:rPr>
            </w:pPr>
            <w:r>
              <w:rPr>
                <w:spacing w:val="-2"/>
                <w:sz w:val="16"/>
              </w:rPr>
              <w:t>21±1.4</w:t>
            </w:r>
          </w:p>
        </w:tc>
        <w:tc>
          <w:tcPr>
            <w:tcW w:w="857" w:type="dxa"/>
          </w:tcPr>
          <w:p>
            <w:pPr>
              <w:pStyle w:val="TableParagraph"/>
              <w:spacing w:line="174" w:lineRule="exact"/>
              <w:ind w:left="166"/>
              <w:jc w:val="left"/>
              <w:rPr>
                <w:sz w:val="16"/>
              </w:rPr>
            </w:pPr>
            <w:r>
              <w:rPr>
                <w:spacing w:val="-2"/>
                <w:sz w:val="16"/>
              </w:rPr>
              <w:t>16±1.4</w:t>
            </w:r>
          </w:p>
        </w:tc>
        <w:tc>
          <w:tcPr>
            <w:tcW w:w="855" w:type="dxa"/>
          </w:tcPr>
          <w:p>
            <w:pPr>
              <w:pStyle w:val="TableParagraph"/>
              <w:spacing w:line="174" w:lineRule="exact"/>
              <w:ind w:left="94" w:right="85"/>
              <w:rPr>
                <w:sz w:val="16"/>
              </w:rPr>
            </w:pPr>
            <w:r>
              <w:rPr>
                <w:spacing w:val="-2"/>
                <w:sz w:val="16"/>
              </w:rPr>
              <w:t>16±1.0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13±1.0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B10s</w:t>
            </w:r>
          </w:p>
        </w:tc>
        <w:tc>
          <w:tcPr>
            <w:tcW w:w="1066" w:type="dxa"/>
          </w:tcPr>
          <w:p>
            <w:pPr>
              <w:pStyle w:val="TableParagraph"/>
              <w:spacing w:line="177" w:lineRule="exact"/>
              <w:ind w:right="49"/>
              <w:rPr>
                <w:sz w:val="16"/>
              </w:rPr>
            </w:pPr>
            <w:r>
              <w:rPr>
                <w:spacing w:val="-2"/>
                <w:sz w:val="16"/>
              </w:rPr>
              <w:t>23±2.2</w:t>
            </w:r>
          </w:p>
        </w:tc>
        <w:tc>
          <w:tcPr>
            <w:tcW w:w="943" w:type="dxa"/>
          </w:tcPr>
          <w:p>
            <w:pPr>
              <w:pStyle w:val="TableParagraph"/>
              <w:spacing w:line="177" w:lineRule="exact"/>
              <w:ind w:right="199"/>
              <w:jc w:val="right"/>
              <w:rPr>
                <w:sz w:val="16"/>
              </w:rPr>
            </w:pPr>
            <w:r>
              <w:rPr>
                <w:spacing w:val="-2"/>
                <w:sz w:val="16"/>
              </w:rPr>
              <w:t>20±2.8</w:t>
            </w:r>
          </w:p>
        </w:tc>
        <w:tc>
          <w:tcPr>
            <w:tcW w:w="763" w:type="dxa"/>
          </w:tcPr>
          <w:p>
            <w:pPr>
              <w:pStyle w:val="TableParagraph"/>
              <w:spacing w:line="177" w:lineRule="exact"/>
              <w:ind w:left="45" w:right="39"/>
              <w:rPr>
                <w:sz w:val="16"/>
              </w:rPr>
            </w:pPr>
            <w:r>
              <w:rPr>
                <w:spacing w:val="-2"/>
                <w:sz w:val="16"/>
              </w:rPr>
              <w:t>17±5.0</w:t>
            </w:r>
          </w:p>
        </w:tc>
        <w:tc>
          <w:tcPr>
            <w:tcW w:w="720" w:type="dxa"/>
          </w:tcPr>
          <w:p>
            <w:pPr>
              <w:pStyle w:val="TableParagraph"/>
              <w:spacing w:line="177" w:lineRule="exact"/>
              <w:ind w:left="38" w:right="72"/>
              <w:rPr>
                <w:sz w:val="16"/>
              </w:rPr>
            </w:pPr>
            <w:r>
              <w:rPr>
                <w:spacing w:val="-2"/>
                <w:sz w:val="16"/>
              </w:rPr>
              <w:t>19±2.2</w:t>
            </w:r>
          </w:p>
        </w:tc>
        <w:tc>
          <w:tcPr>
            <w:tcW w:w="811" w:type="dxa"/>
          </w:tcPr>
          <w:p>
            <w:pPr>
              <w:pStyle w:val="TableParagraph"/>
              <w:spacing w:line="177" w:lineRule="exact"/>
              <w:ind w:left="121"/>
              <w:jc w:val="left"/>
              <w:rPr>
                <w:sz w:val="16"/>
              </w:rPr>
            </w:pPr>
            <w:r>
              <w:rPr>
                <w:spacing w:val="-2"/>
                <w:sz w:val="16"/>
              </w:rPr>
              <w:t>21±2.2</w:t>
            </w:r>
          </w:p>
        </w:tc>
        <w:tc>
          <w:tcPr>
            <w:tcW w:w="881" w:type="dxa"/>
          </w:tcPr>
          <w:p>
            <w:pPr>
              <w:pStyle w:val="TableParagraph"/>
              <w:spacing w:line="177" w:lineRule="exact"/>
              <w:ind w:right="12"/>
              <w:rPr>
                <w:sz w:val="16"/>
              </w:rPr>
            </w:pPr>
            <w:r>
              <w:rPr>
                <w:spacing w:val="-2"/>
                <w:sz w:val="16"/>
              </w:rPr>
              <w:t>28±1.0</w:t>
            </w:r>
          </w:p>
        </w:tc>
        <w:tc>
          <w:tcPr>
            <w:tcW w:w="874" w:type="dxa"/>
          </w:tcPr>
          <w:p>
            <w:pPr>
              <w:pStyle w:val="TableParagraph"/>
              <w:spacing w:line="177" w:lineRule="exact"/>
              <w:ind w:left="64" w:right="39"/>
              <w:rPr>
                <w:sz w:val="16"/>
              </w:rPr>
            </w:pPr>
            <w:r>
              <w:rPr>
                <w:spacing w:val="-2"/>
                <w:sz w:val="16"/>
              </w:rPr>
              <w:t>27±1.4</w:t>
            </w:r>
          </w:p>
        </w:tc>
        <w:tc>
          <w:tcPr>
            <w:tcW w:w="857" w:type="dxa"/>
          </w:tcPr>
          <w:p>
            <w:pPr>
              <w:pStyle w:val="TableParagraph"/>
              <w:spacing w:line="177" w:lineRule="exact"/>
              <w:ind w:left="166"/>
              <w:jc w:val="left"/>
              <w:rPr>
                <w:sz w:val="16"/>
              </w:rPr>
            </w:pPr>
            <w:r>
              <w:rPr>
                <w:spacing w:val="-2"/>
                <w:sz w:val="16"/>
              </w:rPr>
              <w:t>20±1.0</w:t>
            </w:r>
          </w:p>
        </w:tc>
        <w:tc>
          <w:tcPr>
            <w:tcW w:w="855" w:type="dxa"/>
          </w:tcPr>
          <w:p>
            <w:pPr>
              <w:pStyle w:val="TableParagraph"/>
              <w:spacing w:line="177" w:lineRule="exact"/>
              <w:ind w:left="94" w:right="85"/>
              <w:rPr>
                <w:sz w:val="16"/>
              </w:rPr>
            </w:pPr>
            <w:r>
              <w:rPr>
                <w:spacing w:val="-2"/>
                <w:sz w:val="16"/>
              </w:rPr>
              <w:t>26±2.2</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ight="38"/>
              <w:rPr>
                <w:sz w:val="16"/>
              </w:rPr>
            </w:pPr>
            <w:r>
              <w:rPr>
                <w:spacing w:val="-2"/>
                <w:sz w:val="16"/>
              </w:rPr>
              <w:t>11±0.0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B27e</w:t>
            </w:r>
          </w:p>
        </w:tc>
        <w:tc>
          <w:tcPr>
            <w:tcW w:w="1066" w:type="dxa"/>
          </w:tcPr>
          <w:p>
            <w:pPr>
              <w:pStyle w:val="TableParagraph"/>
              <w:spacing w:line="174" w:lineRule="exact"/>
              <w:ind w:right="49"/>
              <w:rPr>
                <w:sz w:val="16"/>
              </w:rPr>
            </w:pPr>
            <w:r>
              <w:rPr>
                <w:spacing w:val="-2"/>
                <w:sz w:val="16"/>
              </w:rPr>
              <w:t>24±0.0</w:t>
            </w:r>
          </w:p>
        </w:tc>
        <w:tc>
          <w:tcPr>
            <w:tcW w:w="943" w:type="dxa"/>
          </w:tcPr>
          <w:p>
            <w:pPr>
              <w:pStyle w:val="TableParagraph"/>
              <w:spacing w:line="174" w:lineRule="exact"/>
              <w:ind w:right="199"/>
              <w:jc w:val="right"/>
              <w:rPr>
                <w:sz w:val="16"/>
              </w:rPr>
            </w:pPr>
            <w:r>
              <w:rPr>
                <w:spacing w:val="-2"/>
                <w:sz w:val="16"/>
              </w:rPr>
              <w:t>22±2.2</w:t>
            </w:r>
          </w:p>
        </w:tc>
        <w:tc>
          <w:tcPr>
            <w:tcW w:w="763" w:type="dxa"/>
          </w:tcPr>
          <w:p>
            <w:pPr>
              <w:pStyle w:val="TableParagraph"/>
              <w:spacing w:line="174" w:lineRule="exact"/>
              <w:ind w:left="45" w:right="39"/>
              <w:rPr>
                <w:sz w:val="16"/>
              </w:rPr>
            </w:pPr>
            <w:r>
              <w:rPr>
                <w:spacing w:val="-2"/>
                <w:sz w:val="16"/>
              </w:rPr>
              <w:t>20±0.0</w:t>
            </w:r>
          </w:p>
        </w:tc>
        <w:tc>
          <w:tcPr>
            <w:tcW w:w="720" w:type="dxa"/>
          </w:tcPr>
          <w:p>
            <w:pPr>
              <w:pStyle w:val="TableParagraph"/>
              <w:spacing w:line="174" w:lineRule="exact"/>
              <w:ind w:left="38" w:right="72"/>
              <w:rPr>
                <w:sz w:val="16"/>
              </w:rPr>
            </w:pPr>
            <w:r>
              <w:rPr>
                <w:spacing w:val="-2"/>
                <w:sz w:val="16"/>
              </w:rPr>
              <w:t>23±7.0</w:t>
            </w:r>
          </w:p>
        </w:tc>
        <w:tc>
          <w:tcPr>
            <w:tcW w:w="811" w:type="dxa"/>
          </w:tcPr>
          <w:p>
            <w:pPr>
              <w:pStyle w:val="TableParagraph"/>
              <w:spacing w:line="174" w:lineRule="exact"/>
              <w:ind w:left="121"/>
              <w:jc w:val="left"/>
              <w:rPr>
                <w:sz w:val="16"/>
              </w:rPr>
            </w:pPr>
            <w:r>
              <w:rPr>
                <w:spacing w:val="-2"/>
                <w:sz w:val="16"/>
              </w:rPr>
              <w:t>22±1.0</w:t>
            </w:r>
          </w:p>
        </w:tc>
        <w:tc>
          <w:tcPr>
            <w:tcW w:w="881" w:type="dxa"/>
          </w:tcPr>
          <w:p>
            <w:pPr>
              <w:pStyle w:val="TableParagraph"/>
              <w:spacing w:line="174" w:lineRule="exact"/>
              <w:ind w:right="12"/>
              <w:rPr>
                <w:sz w:val="16"/>
              </w:rPr>
            </w:pPr>
            <w:r>
              <w:rPr>
                <w:spacing w:val="-2"/>
                <w:sz w:val="16"/>
              </w:rPr>
              <w:t>33±4.2</w:t>
            </w:r>
          </w:p>
        </w:tc>
        <w:tc>
          <w:tcPr>
            <w:tcW w:w="874" w:type="dxa"/>
          </w:tcPr>
          <w:p>
            <w:pPr>
              <w:pStyle w:val="TableParagraph"/>
              <w:spacing w:line="174" w:lineRule="exact"/>
              <w:ind w:left="64" w:right="39"/>
              <w:rPr>
                <w:sz w:val="16"/>
              </w:rPr>
            </w:pPr>
            <w:r>
              <w:rPr>
                <w:spacing w:val="-2"/>
                <w:sz w:val="16"/>
              </w:rPr>
              <w:t>27±5.0</w:t>
            </w:r>
          </w:p>
        </w:tc>
        <w:tc>
          <w:tcPr>
            <w:tcW w:w="857" w:type="dxa"/>
          </w:tcPr>
          <w:p>
            <w:pPr>
              <w:pStyle w:val="TableParagraph"/>
              <w:spacing w:line="174" w:lineRule="exact"/>
              <w:ind w:left="166"/>
              <w:jc w:val="left"/>
              <w:rPr>
                <w:sz w:val="16"/>
              </w:rPr>
            </w:pPr>
            <w:r>
              <w:rPr>
                <w:spacing w:val="-2"/>
                <w:sz w:val="16"/>
              </w:rPr>
              <w:t>18±2.8</w:t>
            </w:r>
          </w:p>
        </w:tc>
        <w:tc>
          <w:tcPr>
            <w:tcW w:w="855" w:type="dxa"/>
          </w:tcPr>
          <w:p>
            <w:pPr>
              <w:pStyle w:val="TableParagraph"/>
              <w:spacing w:line="174" w:lineRule="exact"/>
              <w:ind w:left="94" w:right="85"/>
              <w:rPr>
                <w:sz w:val="16"/>
              </w:rPr>
            </w:pPr>
            <w:r>
              <w:rPr>
                <w:spacing w:val="-2"/>
                <w:sz w:val="16"/>
              </w:rPr>
              <w:t>26±1.0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ight="38"/>
              <w:rPr>
                <w:sz w:val="16"/>
              </w:rPr>
            </w:pPr>
            <w:r>
              <w:rPr>
                <w:spacing w:val="-2"/>
                <w:sz w:val="16"/>
              </w:rPr>
              <w:t>11±1.4</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E18e</w:t>
            </w:r>
          </w:p>
        </w:tc>
        <w:tc>
          <w:tcPr>
            <w:tcW w:w="1066" w:type="dxa"/>
          </w:tcPr>
          <w:p>
            <w:pPr>
              <w:pStyle w:val="TableParagraph"/>
              <w:spacing w:line="174" w:lineRule="exact"/>
              <w:ind w:right="49"/>
              <w:rPr>
                <w:sz w:val="16"/>
              </w:rPr>
            </w:pPr>
            <w:r>
              <w:rPr>
                <w:spacing w:val="-2"/>
                <w:sz w:val="16"/>
              </w:rPr>
              <w:t>13±1.0</w:t>
            </w:r>
          </w:p>
        </w:tc>
        <w:tc>
          <w:tcPr>
            <w:tcW w:w="943" w:type="dxa"/>
          </w:tcPr>
          <w:p>
            <w:pPr>
              <w:pStyle w:val="TableParagraph"/>
              <w:spacing w:line="174" w:lineRule="exact"/>
              <w:ind w:right="199"/>
              <w:jc w:val="right"/>
              <w:rPr>
                <w:sz w:val="16"/>
              </w:rPr>
            </w:pPr>
            <w:r>
              <w:rPr>
                <w:spacing w:val="-2"/>
                <w:sz w:val="16"/>
              </w:rPr>
              <w:t>17±2.7</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16±1.0</w:t>
            </w:r>
          </w:p>
        </w:tc>
        <w:tc>
          <w:tcPr>
            <w:tcW w:w="811" w:type="dxa"/>
          </w:tcPr>
          <w:p>
            <w:pPr>
              <w:pStyle w:val="TableParagraph"/>
              <w:spacing w:line="174" w:lineRule="exact"/>
              <w:ind w:left="121"/>
              <w:jc w:val="left"/>
              <w:rPr>
                <w:sz w:val="16"/>
              </w:rPr>
            </w:pPr>
            <w:r>
              <w:rPr>
                <w:spacing w:val="-2"/>
                <w:sz w:val="16"/>
              </w:rPr>
              <w:t>13±2.2</w:t>
            </w:r>
          </w:p>
        </w:tc>
        <w:tc>
          <w:tcPr>
            <w:tcW w:w="881" w:type="dxa"/>
          </w:tcPr>
          <w:p>
            <w:pPr>
              <w:pStyle w:val="TableParagraph"/>
              <w:spacing w:line="174" w:lineRule="exact"/>
              <w:ind w:right="12"/>
              <w:rPr>
                <w:sz w:val="16"/>
              </w:rPr>
            </w:pPr>
            <w:r>
              <w:rPr>
                <w:spacing w:val="-2"/>
                <w:sz w:val="16"/>
              </w:rPr>
              <w:t>26±1.0</w:t>
            </w:r>
          </w:p>
        </w:tc>
        <w:tc>
          <w:tcPr>
            <w:tcW w:w="874" w:type="dxa"/>
          </w:tcPr>
          <w:p>
            <w:pPr>
              <w:pStyle w:val="TableParagraph"/>
              <w:spacing w:line="174" w:lineRule="exact"/>
              <w:ind w:left="64" w:right="39"/>
              <w:rPr>
                <w:sz w:val="16"/>
              </w:rPr>
            </w:pPr>
            <w:r>
              <w:rPr>
                <w:spacing w:val="-2"/>
                <w:sz w:val="16"/>
              </w:rPr>
              <w:t>11±0.0</w:t>
            </w:r>
          </w:p>
        </w:tc>
        <w:tc>
          <w:tcPr>
            <w:tcW w:w="857" w:type="dxa"/>
          </w:tcPr>
          <w:p>
            <w:pPr>
              <w:pStyle w:val="TableParagraph"/>
              <w:spacing w:line="174" w:lineRule="exact"/>
              <w:ind w:left="166"/>
              <w:jc w:val="left"/>
              <w:rPr>
                <w:sz w:val="16"/>
              </w:rPr>
            </w:pPr>
            <w:r>
              <w:rPr>
                <w:spacing w:val="-2"/>
                <w:sz w:val="16"/>
              </w:rPr>
              <w:t>13±1.0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S18e</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99"/>
              <w:jc w:val="right"/>
              <w:rPr>
                <w:sz w:val="16"/>
              </w:rPr>
            </w:pPr>
            <w:r>
              <w:rPr>
                <w:spacing w:val="-2"/>
                <w:sz w:val="16"/>
              </w:rPr>
              <w:t>13±2.8</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23±1.4</w:t>
            </w:r>
          </w:p>
        </w:tc>
        <w:tc>
          <w:tcPr>
            <w:tcW w:w="811" w:type="dxa"/>
          </w:tcPr>
          <w:p>
            <w:pPr>
              <w:pStyle w:val="TableParagraph"/>
              <w:spacing w:line="177" w:lineRule="exact"/>
              <w:ind w:left="121"/>
              <w:jc w:val="left"/>
              <w:rPr>
                <w:sz w:val="16"/>
              </w:rPr>
            </w:pPr>
            <w:r>
              <w:rPr>
                <w:spacing w:val="-2"/>
                <w:sz w:val="16"/>
              </w:rPr>
              <w:t>10±1.0</w:t>
            </w:r>
          </w:p>
        </w:tc>
        <w:tc>
          <w:tcPr>
            <w:tcW w:w="881" w:type="dxa"/>
          </w:tcPr>
          <w:p>
            <w:pPr>
              <w:pStyle w:val="TableParagraph"/>
              <w:spacing w:line="177" w:lineRule="exact"/>
              <w:ind w:right="12"/>
              <w:rPr>
                <w:sz w:val="16"/>
              </w:rPr>
            </w:pPr>
            <w:r>
              <w:rPr>
                <w:spacing w:val="-2"/>
                <w:sz w:val="16"/>
              </w:rPr>
              <w:t>23±1.4</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23±0.0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E8s</w:t>
            </w:r>
          </w:p>
        </w:tc>
        <w:tc>
          <w:tcPr>
            <w:tcW w:w="1066" w:type="dxa"/>
          </w:tcPr>
          <w:p>
            <w:pPr>
              <w:pStyle w:val="TableParagraph"/>
              <w:spacing w:line="174" w:lineRule="exact"/>
              <w:ind w:left="39" w:right="49"/>
              <w:rPr>
                <w:sz w:val="16"/>
              </w:rPr>
            </w:pPr>
            <w:r>
              <w:rPr>
                <w:spacing w:val="-2"/>
                <w:sz w:val="16"/>
              </w:rPr>
              <w:t>0.0±0.0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17±1.4</w:t>
            </w:r>
          </w:p>
        </w:tc>
        <w:tc>
          <w:tcPr>
            <w:tcW w:w="811" w:type="dxa"/>
          </w:tcPr>
          <w:p>
            <w:pPr>
              <w:pStyle w:val="TableParagraph"/>
              <w:spacing w:line="174" w:lineRule="exact"/>
              <w:ind w:left="121"/>
              <w:jc w:val="left"/>
              <w:rPr>
                <w:sz w:val="16"/>
              </w:rPr>
            </w:pPr>
            <w:r>
              <w:rPr>
                <w:spacing w:val="-2"/>
                <w:sz w:val="16"/>
              </w:rPr>
              <w:t>0.0±0.0</w:t>
            </w:r>
          </w:p>
        </w:tc>
        <w:tc>
          <w:tcPr>
            <w:tcW w:w="881" w:type="dxa"/>
          </w:tcPr>
          <w:p>
            <w:pPr>
              <w:pStyle w:val="TableParagraph"/>
              <w:spacing w:line="174" w:lineRule="exact"/>
              <w:ind w:right="12"/>
              <w:rPr>
                <w:sz w:val="16"/>
              </w:rPr>
            </w:pPr>
            <w:r>
              <w:rPr>
                <w:spacing w:val="-2"/>
                <w:sz w:val="16"/>
              </w:rPr>
              <w:t>20±2.2</w:t>
            </w:r>
          </w:p>
        </w:tc>
        <w:tc>
          <w:tcPr>
            <w:tcW w:w="874" w:type="dxa"/>
          </w:tcPr>
          <w:p>
            <w:pPr>
              <w:pStyle w:val="TableParagraph"/>
              <w:spacing w:line="174" w:lineRule="exact"/>
              <w:ind w:left="64"/>
              <w:rPr>
                <w:sz w:val="16"/>
              </w:rPr>
            </w:pPr>
            <w:r>
              <w:rPr>
                <w:spacing w:val="-2"/>
                <w:sz w:val="16"/>
              </w:rPr>
              <w:t>0.0±0.0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133" w:right="85"/>
              <w:rPr>
                <w:sz w:val="16"/>
              </w:rPr>
            </w:pPr>
            <w:r>
              <w:rPr>
                <w:spacing w:val="-2"/>
                <w:sz w:val="16"/>
              </w:rPr>
              <w:t>0.0±0.0</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5"/>
                <w:sz w:val="16"/>
              </w:rPr>
              <w:t>Z4e</w:t>
            </w:r>
          </w:p>
        </w:tc>
        <w:tc>
          <w:tcPr>
            <w:tcW w:w="1066" w:type="dxa"/>
          </w:tcPr>
          <w:p>
            <w:pPr>
              <w:pStyle w:val="TableParagraph"/>
              <w:spacing w:line="174" w:lineRule="exact"/>
              <w:ind w:right="49"/>
              <w:rPr>
                <w:sz w:val="16"/>
              </w:rPr>
            </w:pPr>
            <w:r>
              <w:rPr>
                <w:spacing w:val="-2"/>
                <w:sz w:val="16"/>
              </w:rPr>
              <w:t>28±2.2</w:t>
            </w:r>
          </w:p>
        </w:tc>
        <w:tc>
          <w:tcPr>
            <w:tcW w:w="943" w:type="dxa"/>
          </w:tcPr>
          <w:p>
            <w:pPr>
              <w:pStyle w:val="TableParagraph"/>
              <w:spacing w:line="174" w:lineRule="exact"/>
              <w:ind w:right="199"/>
              <w:jc w:val="right"/>
              <w:rPr>
                <w:sz w:val="16"/>
              </w:rPr>
            </w:pPr>
            <w:r>
              <w:rPr>
                <w:spacing w:val="-2"/>
                <w:sz w:val="16"/>
              </w:rPr>
              <w:t>23±1.4</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20±1.0</w:t>
            </w:r>
          </w:p>
        </w:tc>
        <w:tc>
          <w:tcPr>
            <w:tcW w:w="811" w:type="dxa"/>
          </w:tcPr>
          <w:p>
            <w:pPr>
              <w:pStyle w:val="TableParagraph"/>
              <w:spacing w:line="174" w:lineRule="exact"/>
              <w:ind w:left="121"/>
              <w:jc w:val="left"/>
              <w:rPr>
                <w:sz w:val="16"/>
              </w:rPr>
            </w:pPr>
            <w:r>
              <w:rPr>
                <w:spacing w:val="-2"/>
                <w:sz w:val="16"/>
              </w:rPr>
              <w:t>15±0.0</w:t>
            </w:r>
          </w:p>
        </w:tc>
        <w:tc>
          <w:tcPr>
            <w:tcW w:w="881" w:type="dxa"/>
          </w:tcPr>
          <w:p>
            <w:pPr>
              <w:pStyle w:val="TableParagraph"/>
              <w:spacing w:line="174" w:lineRule="exact"/>
              <w:ind w:right="12"/>
              <w:rPr>
                <w:sz w:val="16"/>
              </w:rPr>
            </w:pPr>
            <w:r>
              <w:rPr>
                <w:spacing w:val="-2"/>
                <w:sz w:val="16"/>
              </w:rPr>
              <w:t>28±1.0</w:t>
            </w:r>
          </w:p>
        </w:tc>
        <w:tc>
          <w:tcPr>
            <w:tcW w:w="874" w:type="dxa"/>
          </w:tcPr>
          <w:p>
            <w:pPr>
              <w:pStyle w:val="TableParagraph"/>
              <w:spacing w:line="174" w:lineRule="exact"/>
              <w:ind w:left="64" w:right="39"/>
              <w:rPr>
                <w:sz w:val="16"/>
              </w:rPr>
            </w:pPr>
            <w:r>
              <w:rPr>
                <w:spacing w:val="-2"/>
                <w:sz w:val="16"/>
              </w:rPr>
              <w:t>27±1.0</w:t>
            </w:r>
          </w:p>
        </w:tc>
        <w:tc>
          <w:tcPr>
            <w:tcW w:w="857" w:type="dxa"/>
          </w:tcPr>
          <w:p>
            <w:pPr>
              <w:pStyle w:val="TableParagraph"/>
              <w:spacing w:line="174" w:lineRule="exact"/>
              <w:ind w:left="166"/>
              <w:jc w:val="left"/>
              <w:rPr>
                <w:sz w:val="16"/>
              </w:rPr>
            </w:pPr>
            <w:r>
              <w:rPr>
                <w:spacing w:val="-2"/>
                <w:sz w:val="16"/>
              </w:rPr>
              <w:t>24±2.2</w:t>
            </w:r>
          </w:p>
        </w:tc>
        <w:tc>
          <w:tcPr>
            <w:tcW w:w="855" w:type="dxa"/>
          </w:tcPr>
          <w:p>
            <w:pPr>
              <w:pStyle w:val="TableParagraph"/>
              <w:spacing w:line="174" w:lineRule="exact"/>
              <w:ind w:left="94" w:right="85"/>
              <w:rPr>
                <w:sz w:val="16"/>
              </w:rPr>
            </w:pPr>
            <w:r>
              <w:rPr>
                <w:spacing w:val="-2"/>
                <w:sz w:val="16"/>
              </w:rPr>
              <w:t>17±3.6</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196" w:hRule="atLeast"/>
        </w:trPr>
        <w:tc>
          <w:tcPr>
            <w:tcW w:w="665" w:type="dxa"/>
          </w:tcPr>
          <w:p>
            <w:pPr>
              <w:pStyle w:val="TableParagraph"/>
              <w:spacing w:line="177" w:lineRule="exact"/>
              <w:ind w:left="50"/>
              <w:jc w:val="left"/>
              <w:rPr>
                <w:sz w:val="16"/>
              </w:rPr>
            </w:pPr>
            <w:r>
              <w:rPr>
                <w:spacing w:val="-4"/>
                <w:sz w:val="16"/>
              </w:rPr>
              <w:t>E10s</w:t>
            </w:r>
          </w:p>
        </w:tc>
        <w:tc>
          <w:tcPr>
            <w:tcW w:w="1066" w:type="dxa"/>
          </w:tcPr>
          <w:p>
            <w:pPr>
              <w:pStyle w:val="TableParagraph"/>
              <w:spacing w:line="177" w:lineRule="exact"/>
              <w:ind w:left="39" w:right="49"/>
              <w:rPr>
                <w:sz w:val="16"/>
              </w:rPr>
            </w:pPr>
            <w:r>
              <w:rPr>
                <w:spacing w:val="-2"/>
                <w:sz w:val="16"/>
              </w:rPr>
              <w:t>0.0±0.0</w:t>
            </w:r>
          </w:p>
        </w:tc>
        <w:tc>
          <w:tcPr>
            <w:tcW w:w="943" w:type="dxa"/>
          </w:tcPr>
          <w:p>
            <w:pPr>
              <w:pStyle w:val="TableParagraph"/>
              <w:spacing w:line="177" w:lineRule="exact"/>
              <w:ind w:right="161"/>
              <w:jc w:val="right"/>
              <w:rPr>
                <w:sz w:val="16"/>
              </w:rPr>
            </w:pPr>
            <w:r>
              <w:rPr>
                <w:spacing w:val="-2"/>
                <w:sz w:val="16"/>
              </w:rPr>
              <w:t>0.0±0.0</w:t>
            </w:r>
          </w:p>
        </w:tc>
        <w:tc>
          <w:tcPr>
            <w:tcW w:w="763" w:type="dxa"/>
          </w:tcPr>
          <w:p>
            <w:pPr>
              <w:pStyle w:val="TableParagraph"/>
              <w:spacing w:line="177" w:lineRule="exact"/>
              <w:ind w:left="45"/>
              <w:rPr>
                <w:sz w:val="16"/>
              </w:rPr>
            </w:pPr>
            <w:r>
              <w:rPr>
                <w:spacing w:val="-2"/>
                <w:sz w:val="16"/>
              </w:rPr>
              <w:t>0.0±0.0</w:t>
            </w:r>
          </w:p>
        </w:tc>
        <w:tc>
          <w:tcPr>
            <w:tcW w:w="720" w:type="dxa"/>
          </w:tcPr>
          <w:p>
            <w:pPr>
              <w:pStyle w:val="TableParagraph"/>
              <w:spacing w:line="177" w:lineRule="exact"/>
              <w:ind w:left="38" w:right="72"/>
              <w:rPr>
                <w:sz w:val="16"/>
              </w:rPr>
            </w:pPr>
            <w:r>
              <w:rPr>
                <w:spacing w:val="-2"/>
                <w:sz w:val="16"/>
              </w:rPr>
              <w:t>16±2.2</w:t>
            </w:r>
          </w:p>
        </w:tc>
        <w:tc>
          <w:tcPr>
            <w:tcW w:w="811" w:type="dxa"/>
          </w:tcPr>
          <w:p>
            <w:pPr>
              <w:pStyle w:val="TableParagraph"/>
              <w:spacing w:line="177" w:lineRule="exact"/>
              <w:ind w:left="121"/>
              <w:jc w:val="left"/>
              <w:rPr>
                <w:sz w:val="16"/>
              </w:rPr>
            </w:pPr>
            <w:r>
              <w:rPr>
                <w:spacing w:val="-2"/>
                <w:sz w:val="16"/>
              </w:rPr>
              <w:t>15±6.4</w:t>
            </w:r>
          </w:p>
        </w:tc>
        <w:tc>
          <w:tcPr>
            <w:tcW w:w="881" w:type="dxa"/>
          </w:tcPr>
          <w:p>
            <w:pPr>
              <w:pStyle w:val="TableParagraph"/>
              <w:spacing w:line="177" w:lineRule="exact"/>
              <w:ind w:right="12"/>
              <w:rPr>
                <w:sz w:val="16"/>
              </w:rPr>
            </w:pPr>
            <w:r>
              <w:rPr>
                <w:spacing w:val="-2"/>
                <w:sz w:val="16"/>
              </w:rPr>
              <w:t>20±1.0</w:t>
            </w:r>
          </w:p>
        </w:tc>
        <w:tc>
          <w:tcPr>
            <w:tcW w:w="874" w:type="dxa"/>
          </w:tcPr>
          <w:p>
            <w:pPr>
              <w:pStyle w:val="TableParagraph"/>
              <w:spacing w:line="177" w:lineRule="exact"/>
              <w:ind w:left="64"/>
              <w:rPr>
                <w:sz w:val="16"/>
              </w:rPr>
            </w:pPr>
            <w:r>
              <w:rPr>
                <w:spacing w:val="-2"/>
                <w:sz w:val="16"/>
              </w:rPr>
              <w:t>0.0±0.0</w:t>
            </w:r>
          </w:p>
        </w:tc>
        <w:tc>
          <w:tcPr>
            <w:tcW w:w="857" w:type="dxa"/>
          </w:tcPr>
          <w:p>
            <w:pPr>
              <w:pStyle w:val="TableParagraph"/>
              <w:spacing w:line="177" w:lineRule="exact"/>
              <w:ind w:left="166"/>
              <w:jc w:val="left"/>
              <w:rPr>
                <w:sz w:val="16"/>
              </w:rPr>
            </w:pPr>
            <w:r>
              <w:rPr>
                <w:spacing w:val="-2"/>
                <w:sz w:val="16"/>
              </w:rPr>
              <w:t>12±1.0</w:t>
            </w:r>
          </w:p>
        </w:tc>
        <w:tc>
          <w:tcPr>
            <w:tcW w:w="855" w:type="dxa"/>
          </w:tcPr>
          <w:p>
            <w:pPr>
              <w:pStyle w:val="TableParagraph"/>
              <w:spacing w:line="177" w:lineRule="exact"/>
              <w:ind w:left="133" w:right="85"/>
              <w:rPr>
                <w:sz w:val="16"/>
              </w:rPr>
            </w:pPr>
            <w:r>
              <w:rPr>
                <w:spacing w:val="-2"/>
                <w:sz w:val="16"/>
              </w:rPr>
              <w:t>0.0±0.0</w:t>
            </w:r>
          </w:p>
        </w:tc>
        <w:tc>
          <w:tcPr>
            <w:tcW w:w="855" w:type="dxa"/>
          </w:tcPr>
          <w:p>
            <w:pPr>
              <w:pStyle w:val="TableParagraph"/>
              <w:spacing w:line="177" w:lineRule="exact"/>
              <w:ind w:left="48" w:right="94"/>
              <w:rPr>
                <w:sz w:val="16"/>
              </w:rPr>
            </w:pPr>
            <w:r>
              <w:rPr>
                <w:spacing w:val="-2"/>
                <w:sz w:val="16"/>
              </w:rPr>
              <w:t>0.0±0.0</w:t>
            </w:r>
          </w:p>
        </w:tc>
        <w:tc>
          <w:tcPr>
            <w:tcW w:w="857" w:type="dxa"/>
          </w:tcPr>
          <w:p>
            <w:pPr>
              <w:pStyle w:val="TableParagraph"/>
              <w:spacing w:line="177" w:lineRule="exact"/>
              <w:ind w:left="43"/>
              <w:rPr>
                <w:sz w:val="16"/>
              </w:rPr>
            </w:pPr>
            <w:r>
              <w:rPr>
                <w:spacing w:val="-2"/>
                <w:sz w:val="16"/>
              </w:rPr>
              <w:t>0.0±0.0</w:t>
            </w:r>
          </w:p>
        </w:tc>
        <w:tc>
          <w:tcPr>
            <w:tcW w:w="738" w:type="dxa"/>
          </w:tcPr>
          <w:p>
            <w:pPr>
              <w:pStyle w:val="TableParagraph"/>
              <w:spacing w:line="177" w:lineRule="exact"/>
              <w:ind w:left="71"/>
              <w:rPr>
                <w:sz w:val="16"/>
              </w:rPr>
            </w:pPr>
            <w:r>
              <w:rPr>
                <w:spacing w:val="-2"/>
                <w:sz w:val="16"/>
              </w:rPr>
              <w:t>0.0±0.0</w:t>
            </w:r>
          </w:p>
        </w:tc>
      </w:tr>
      <w:tr>
        <w:trPr>
          <w:trHeight w:val="194" w:hRule="atLeast"/>
        </w:trPr>
        <w:tc>
          <w:tcPr>
            <w:tcW w:w="665" w:type="dxa"/>
          </w:tcPr>
          <w:p>
            <w:pPr>
              <w:pStyle w:val="TableParagraph"/>
              <w:spacing w:line="174" w:lineRule="exact"/>
              <w:ind w:left="50"/>
              <w:jc w:val="left"/>
              <w:rPr>
                <w:sz w:val="16"/>
              </w:rPr>
            </w:pPr>
            <w:r>
              <w:rPr>
                <w:spacing w:val="-4"/>
                <w:sz w:val="16"/>
              </w:rPr>
              <w:t>B20e</w:t>
            </w:r>
          </w:p>
        </w:tc>
        <w:tc>
          <w:tcPr>
            <w:tcW w:w="1066" w:type="dxa"/>
          </w:tcPr>
          <w:p>
            <w:pPr>
              <w:pStyle w:val="TableParagraph"/>
              <w:spacing w:line="174" w:lineRule="exact"/>
              <w:ind w:right="49"/>
              <w:rPr>
                <w:sz w:val="16"/>
              </w:rPr>
            </w:pPr>
            <w:r>
              <w:rPr>
                <w:spacing w:val="-2"/>
                <w:sz w:val="16"/>
              </w:rPr>
              <w:t>15±0.0</w:t>
            </w:r>
          </w:p>
        </w:tc>
        <w:tc>
          <w:tcPr>
            <w:tcW w:w="943" w:type="dxa"/>
          </w:tcPr>
          <w:p>
            <w:pPr>
              <w:pStyle w:val="TableParagraph"/>
              <w:spacing w:line="174" w:lineRule="exact"/>
              <w:ind w:right="161"/>
              <w:jc w:val="right"/>
              <w:rPr>
                <w:sz w:val="16"/>
              </w:rPr>
            </w:pPr>
            <w:r>
              <w:rPr>
                <w:spacing w:val="-2"/>
                <w:sz w:val="16"/>
              </w:rPr>
              <w:t>0.0±0.0</w:t>
            </w:r>
          </w:p>
        </w:tc>
        <w:tc>
          <w:tcPr>
            <w:tcW w:w="763" w:type="dxa"/>
          </w:tcPr>
          <w:p>
            <w:pPr>
              <w:pStyle w:val="TableParagraph"/>
              <w:spacing w:line="174" w:lineRule="exact"/>
              <w:ind w:left="45"/>
              <w:rPr>
                <w:sz w:val="16"/>
              </w:rPr>
            </w:pPr>
            <w:r>
              <w:rPr>
                <w:spacing w:val="-2"/>
                <w:sz w:val="16"/>
              </w:rPr>
              <w:t>0.0±0.0</w:t>
            </w:r>
          </w:p>
        </w:tc>
        <w:tc>
          <w:tcPr>
            <w:tcW w:w="720" w:type="dxa"/>
          </w:tcPr>
          <w:p>
            <w:pPr>
              <w:pStyle w:val="TableParagraph"/>
              <w:spacing w:line="174" w:lineRule="exact"/>
              <w:ind w:left="38" w:right="72"/>
              <w:rPr>
                <w:sz w:val="16"/>
              </w:rPr>
            </w:pPr>
            <w:r>
              <w:rPr>
                <w:spacing w:val="-2"/>
                <w:sz w:val="16"/>
              </w:rPr>
              <w:t>18±1.4</w:t>
            </w:r>
          </w:p>
        </w:tc>
        <w:tc>
          <w:tcPr>
            <w:tcW w:w="811" w:type="dxa"/>
          </w:tcPr>
          <w:p>
            <w:pPr>
              <w:pStyle w:val="TableParagraph"/>
              <w:spacing w:line="174" w:lineRule="exact"/>
              <w:ind w:left="121"/>
              <w:jc w:val="left"/>
              <w:rPr>
                <w:sz w:val="16"/>
              </w:rPr>
            </w:pPr>
            <w:r>
              <w:rPr>
                <w:spacing w:val="-2"/>
                <w:sz w:val="16"/>
              </w:rPr>
              <w:t>23±0.0</w:t>
            </w:r>
          </w:p>
        </w:tc>
        <w:tc>
          <w:tcPr>
            <w:tcW w:w="881" w:type="dxa"/>
          </w:tcPr>
          <w:p>
            <w:pPr>
              <w:pStyle w:val="TableParagraph"/>
              <w:spacing w:line="174" w:lineRule="exact"/>
              <w:ind w:right="12"/>
              <w:rPr>
                <w:sz w:val="16"/>
              </w:rPr>
            </w:pPr>
            <w:r>
              <w:rPr>
                <w:spacing w:val="-2"/>
                <w:sz w:val="16"/>
              </w:rPr>
              <w:t>25±2.2</w:t>
            </w:r>
          </w:p>
        </w:tc>
        <w:tc>
          <w:tcPr>
            <w:tcW w:w="874" w:type="dxa"/>
          </w:tcPr>
          <w:p>
            <w:pPr>
              <w:pStyle w:val="TableParagraph"/>
              <w:spacing w:line="174" w:lineRule="exact"/>
              <w:ind w:left="64" w:right="39"/>
              <w:rPr>
                <w:sz w:val="16"/>
              </w:rPr>
            </w:pPr>
            <w:r>
              <w:rPr>
                <w:spacing w:val="-2"/>
                <w:sz w:val="16"/>
              </w:rPr>
              <w:t>13±0.0</w:t>
            </w:r>
          </w:p>
        </w:tc>
        <w:tc>
          <w:tcPr>
            <w:tcW w:w="857" w:type="dxa"/>
          </w:tcPr>
          <w:p>
            <w:pPr>
              <w:pStyle w:val="TableParagraph"/>
              <w:spacing w:line="174" w:lineRule="exact"/>
              <w:ind w:left="166"/>
              <w:jc w:val="left"/>
              <w:rPr>
                <w:sz w:val="16"/>
              </w:rPr>
            </w:pPr>
            <w:r>
              <w:rPr>
                <w:spacing w:val="-2"/>
                <w:sz w:val="16"/>
              </w:rPr>
              <w:t>0.0±0.0</w:t>
            </w:r>
          </w:p>
        </w:tc>
        <w:tc>
          <w:tcPr>
            <w:tcW w:w="855" w:type="dxa"/>
          </w:tcPr>
          <w:p>
            <w:pPr>
              <w:pStyle w:val="TableParagraph"/>
              <w:spacing w:line="174" w:lineRule="exact"/>
              <w:ind w:left="94" w:right="85"/>
              <w:rPr>
                <w:sz w:val="16"/>
              </w:rPr>
            </w:pPr>
            <w:r>
              <w:rPr>
                <w:spacing w:val="-2"/>
                <w:sz w:val="16"/>
              </w:rPr>
              <w:t>17±2.2</w:t>
            </w:r>
          </w:p>
        </w:tc>
        <w:tc>
          <w:tcPr>
            <w:tcW w:w="855" w:type="dxa"/>
          </w:tcPr>
          <w:p>
            <w:pPr>
              <w:pStyle w:val="TableParagraph"/>
              <w:spacing w:line="174" w:lineRule="exact"/>
              <w:ind w:left="48" w:right="94"/>
              <w:rPr>
                <w:sz w:val="16"/>
              </w:rPr>
            </w:pPr>
            <w:r>
              <w:rPr>
                <w:spacing w:val="-2"/>
                <w:sz w:val="16"/>
              </w:rPr>
              <w:t>0.0±0.0</w:t>
            </w:r>
          </w:p>
        </w:tc>
        <w:tc>
          <w:tcPr>
            <w:tcW w:w="857" w:type="dxa"/>
          </w:tcPr>
          <w:p>
            <w:pPr>
              <w:pStyle w:val="TableParagraph"/>
              <w:spacing w:line="174" w:lineRule="exact"/>
              <w:ind w:left="43"/>
              <w:rPr>
                <w:sz w:val="16"/>
              </w:rPr>
            </w:pPr>
            <w:r>
              <w:rPr>
                <w:spacing w:val="-2"/>
                <w:sz w:val="16"/>
              </w:rPr>
              <w:t>0.0±0.0</w:t>
            </w:r>
          </w:p>
        </w:tc>
        <w:tc>
          <w:tcPr>
            <w:tcW w:w="738" w:type="dxa"/>
          </w:tcPr>
          <w:p>
            <w:pPr>
              <w:pStyle w:val="TableParagraph"/>
              <w:spacing w:line="174" w:lineRule="exact"/>
              <w:ind w:left="71"/>
              <w:rPr>
                <w:sz w:val="16"/>
              </w:rPr>
            </w:pPr>
            <w:r>
              <w:rPr>
                <w:spacing w:val="-2"/>
                <w:sz w:val="16"/>
              </w:rPr>
              <w:t>0.0±0.0</w:t>
            </w:r>
          </w:p>
        </w:tc>
      </w:tr>
      <w:tr>
        <w:trPr>
          <w:trHeight w:val="213" w:hRule="atLeast"/>
        </w:trPr>
        <w:tc>
          <w:tcPr>
            <w:tcW w:w="665" w:type="dxa"/>
          </w:tcPr>
          <w:p>
            <w:pPr>
              <w:pStyle w:val="TableParagraph"/>
              <w:spacing w:line="179" w:lineRule="exact"/>
              <w:ind w:left="50"/>
              <w:jc w:val="left"/>
              <w:rPr>
                <w:sz w:val="16"/>
              </w:rPr>
            </w:pPr>
            <w:r>
              <w:rPr>
                <w:spacing w:val="-4"/>
                <w:sz w:val="16"/>
              </w:rPr>
              <w:t>E20e</w:t>
            </w:r>
          </w:p>
        </w:tc>
        <w:tc>
          <w:tcPr>
            <w:tcW w:w="1066" w:type="dxa"/>
          </w:tcPr>
          <w:p>
            <w:pPr>
              <w:pStyle w:val="TableParagraph"/>
              <w:spacing w:line="179" w:lineRule="exact"/>
              <w:ind w:left="39" w:right="49"/>
              <w:rPr>
                <w:sz w:val="16"/>
              </w:rPr>
            </w:pPr>
            <w:r>
              <w:rPr>
                <w:spacing w:val="-2"/>
                <w:sz w:val="16"/>
              </w:rPr>
              <w:t>0.0±0.0</w:t>
            </w:r>
          </w:p>
        </w:tc>
        <w:tc>
          <w:tcPr>
            <w:tcW w:w="943" w:type="dxa"/>
          </w:tcPr>
          <w:p>
            <w:pPr>
              <w:pStyle w:val="TableParagraph"/>
              <w:spacing w:line="179" w:lineRule="exact"/>
              <w:ind w:right="161"/>
              <w:jc w:val="right"/>
              <w:rPr>
                <w:sz w:val="16"/>
              </w:rPr>
            </w:pPr>
            <w:r>
              <w:rPr>
                <w:spacing w:val="-2"/>
                <w:sz w:val="16"/>
              </w:rPr>
              <w:t>0.0±0.0</w:t>
            </w:r>
          </w:p>
        </w:tc>
        <w:tc>
          <w:tcPr>
            <w:tcW w:w="763" w:type="dxa"/>
          </w:tcPr>
          <w:p>
            <w:pPr>
              <w:pStyle w:val="TableParagraph"/>
              <w:spacing w:line="179" w:lineRule="exact"/>
              <w:ind w:left="45"/>
              <w:rPr>
                <w:sz w:val="16"/>
              </w:rPr>
            </w:pPr>
            <w:r>
              <w:rPr>
                <w:spacing w:val="-2"/>
                <w:sz w:val="16"/>
              </w:rPr>
              <w:t>0.0±0.0</w:t>
            </w:r>
          </w:p>
        </w:tc>
        <w:tc>
          <w:tcPr>
            <w:tcW w:w="720" w:type="dxa"/>
          </w:tcPr>
          <w:p>
            <w:pPr>
              <w:pStyle w:val="TableParagraph"/>
              <w:spacing w:line="179" w:lineRule="exact"/>
              <w:ind w:left="2" w:right="74"/>
              <w:rPr>
                <w:sz w:val="16"/>
              </w:rPr>
            </w:pPr>
            <w:r>
              <w:rPr>
                <w:spacing w:val="-2"/>
                <w:sz w:val="16"/>
              </w:rPr>
              <w:t>21±13</w:t>
            </w:r>
          </w:p>
        </w:tc>
        <w:tc>
          <w:tcPr>
            <w:tcW w:w="811" w:type="dxa"/>
          </w:tcPr>
          <w:p>
            <w:pPr>
              <w:pStyle w:val="TableParagraph"/>
              <w:spacing w:line="179" w:lineRule="exact"/>
              <w:ind w:left="121"/>
              <w:jc w:val="left"/>
              <w:rPr>
                <w:sz w:val="16"/>
              </w:rPr>
            </w:pPr>
            <w:r>
              <w:rPr>
                <w:spacing w:val="-2"/>
                <w:sz w:val="16"/>
              </w:rPr>
              <w:t>0.0±0.0</w:t>
            </w:r>
          </w:p>
        </w:tc>
        <w:tc>
          <w:tcPr>
            <w:tcW w:w="881" w:type="dxa"/>
          </w:tcPr>
          <w:p>
            <w:pPr>
              <w:pStyle w:val="TableParagraph"/>
              <w:spacing w:line="179" w:lineRule="exact"/>
              <w:ind w:right="12"/>
              <w:rPr>
                <w:sz w:val="16"/>
              </w:rPr>
            </w:pPr>
            <w:r>
              <w:rPr>
                <w:spacing w:val="-2"/>
                <w:sz w:val="16"/>
              </w:rPr>
              <w:t>19±2.2</w:t>
            </w:r>
          </w:p>
        </w:tc>
        <w:tc>
          <w:tcPr>
            <w:tcW w:w="874" w:type="dxa"/>
          </w:tcPr>
          <w:p>
            <w:pPr>
              <w:pStyle w:val="TableParagraph"/>
              <w:spacing w:line="179" w:lineRule="exact"/>
              <w:ind w:left="64"/>
              <w:rPr>
                <w:sz w:val="16"/>
              </w:rPr>
            </w:pPr>
            <w:r>
              <w:rPr>
                <w:spacing w:val="-2"/>
                <w:sz w:val="16"/>
              </w:rPr>
              <w:t>0.0±0.0</w:t>
            </w:r>
          </w:p>
        </w:tc>
        <w:tc>
          <w:tcPr>
            <w:tcW w:w="857" w:type="dxa"/>
          </w:tcPr>
          <w:p>
            <w:pPr>
              <w:pStyle w:val="TableParagraph"/>
              <w:spacing w:line="179" w:lineRule="exact"/>
              <w:ind w:left="166"/>
              <w:jc w:val="left"/>
              <w:rPr>
                <w:sz w:val="16"/>
              </w:rPr>
            </w:pPr>
            <w:r>
              <w:rPr>
                <w:spacing w:val="-2"/>
                <w:sz w:val="16"/>
              </w:rPr>
              <w:t>11±1.0</w:t>
            </w:r>
          </w:p>
        </w:tc>
        <w:tc>
          <w:tcPr>
            <w:tcW w:w="855" w:type="dxa"/>
          </w:tcPr>
          <w:p>
            <w:pPr>
              <w:pStyle w:val="TableParagraph"/>
              <w:spacing w:line="179" w:lineRule="exact"/>
              <w:ind w:left="133" w:right="85"/>
              <w:rPr>
                <w:sz w:val="16"/>
              </w:rPr>
            </w:pPr>
            <w:r>
              <w:rPr>
                <w:spacing w:val="-2"/>
                <w:sz w:val="16"/>
              </w:rPr>
              <w:t>0.0±0.0</w:t>
            </w:r>
          </w:p>
        </w:tc>
        <w:tc>
          <w:tcPr>
            <w:tcW w:w="855" w:type="dxa"/>
          </w:tcPr>
          <w:p>
            <w:pPr>
              <w:pStyle w:val="TableParagraph"/>
              <w:spacing w:line="179" w:lineRule="exact"/>
              <w:ind w:left="48" w:right="94"/>
              <w:rPr>
                <w:sz w:val="16"/>
              </w:rPr>
            </w:pPr>
            <w:r>
              <w:rPr>
                <w:spacing w:val="-2"/>
                <w:sz w:val="16"/>
              </w:rPr>
              <w:t>0.0±0.0</w:t>
            </w:r>
          </w:p>
        </w:tc>
        <w:tc>
          <w:tcPr>
            <w:tcW w:w="857" w:type="dxa"/>
          </w:tcPr>
          <w:p>
            <w:pPr>
              <w:pStyle w:val="TableParagraph"/>
              <w:spacing w:line="179" w:lineRule="exact"/>
              <w:ind w:left="43"/>
              <w:rPr>
                <w:sz w:val="16"/>
              </w:rPr>
            </w:pPr>
            <w:r>
              <w:rPr>
                <w:spacing w:val="-2"/>
                <w:sz w:val="16"/>
              </w:rPr>
              <w:t>0.0±0.0</w:t>
            </w:r>
          </w:p>
        </w:tc>
        <w:tc>
          <w:tcPr>
            <w:tcW w:w="738" w:type="dxa"/>
          </w:tcPr>
          <w:p>
            <w:pPr>
              <w:pStyle w:val="TableParagraph"/>
              <w:spacing w:line="179" w:lineRule="exact"/>
              <w:ind w:left="71"/>
              <w:rPr>
                <w:sz w:val="16"/>
              </w:rPr>
            </w:pPr>
            <w:r>
              <w:rPr>
                <w:spacing w:val="-2"/>
                <w:sz w:val="16"/>
              </w:rPr>
              <w:t>0.0±0.0</w:t>
            </w:r>
          </w:p>
        </w:tc>
      </w:tr>
      <w:tr>
        <w:trPr>
          <w:trHeight w:val="215" w:hRule="atLeast"/>
        </w:trPr>
        <w:tc>
          <w:tcPr>
            <w:tcW w:w="665" w:type="dxa"/>
          </w:tcPr>
          <w:p>
            <w:pPr>
              <w:pStyle w:val="TableParagraph"/>
              <w:spacing w:line="191" w:lineRule="exact" w:before="5"/>
              <w:ind w:left="50"/>
              <w:jc w:val="left"/>
              <w:rPr>
                <w:sz w:val="16"/>
              </w:rPr>
            </w:pPr>
            <w:r>
              <w:rPr>
                <w:spacing w:val="-4"/>
                <w:sz w:val="16"/>
              </w:rPr>
              <w:t>B30s</w:t>
            </w:r>
          </w:p>
        </w:tc>
        <w:tc>
          <w:tcPr>
            <w:tcW w:w="1066" w:type="dxa"/>
          </w:tcPr>
          <w:p>
            <w:pPr>
              <w:pStyle w:val="TableParagraph"/>
              <w:spacing w:line="191" w:lineRule="exact" w:before="5"/>
              <w:ind w:right="49"/>
              <w:rPr>
                <w:sz w:val="16"/>
              </w:rPr>
            </w:pPr>
            <w:r>
              <w:rPr>
                <w:spacing w:val="-2"/>
                <w:sz w:val="16"/>
              </w:rPr>
              <w:t>24±1.4</w:t>
            </w:r>
          </w:p>
        </w:tc>
        <w:tc>
          <w:tcPr>
            <w:tcW w:w="943" w:type="dxa"/>
          </w:tcPr>
          <w:p>
            <w:pPr>
              <w:pStyle w:val="TableParagraph"/>
              <w:spacing w:line="191" w:lineRule="exact" w:before="5"/>
              <w:ind w:right="199"/>
              <w:jc w:val="right"/>
              <w:rPr>
                <w:sz w:val="16"/>
              </w:rPr>
            </w:pPr>
            <w:r>
              <w:rPr>
                <w:spacing w:val="-2"/>
                <w:sz w:val="16"/>
              </w:rPr>
              <w:t>21±0.0</w:t>
            </w:r>
          </w:p>
        </w:tc>
        <w:tc>
          <w:tcPr>
            <w:tcW w:w="763" w:type="dxa"/>
          </w:tcPr>
          <w:p>
            <w:pPr>
              <w:pStyle w:val="TableParagraph"/>
              <w:spacing w:line="191" w:lineRule="exact" w:before="5"/>
              <w:ind w:left="45" w:right="39"/>
              <w:rPr>
                <w:sz w:val="16"/>
              </w:rPr>
            </w:pPr>
            <w:r>
              <w:rPr>
                <w:spacing w:val="-2"/>
                <w:sz w:val="16"/>
              </w:rPr>
              <w:t>20±0.0</w:t>
            </w:r>
          </w:p>
        </w:tc>
        <w:tc>
          <w:tcPr>
            <w:tcW w:w="720" w:type="dxa"/>
          </w:tcPr>
          <w:p>
            <w:pPr>
              <w:pStyle w:val="TableParagraph"/>
              <w:spacing w:line="191" w:lineRule="exact" w:before="5"/>
              <w:ind w:left="38" w:right="72"/>
              <w:rPr>
                <w:sz w:val="16"/>
              </w:rPr>
            </w:pPr>
            <w:r>
              <w:rPr>
                <w:spacing w:val="-2"/>
                <w:sz w:val="16"/>
              </w:rPr>
              <w:t>20±2.2</w:t>
            </w:r>
          </w:p>
        </w:tc>
        <w:tc>
          <w:tcPr>
            <w:tcW w:w="811" w:type="dxa"/>
          </w:tcPr>
          <w:p>
            <w:pPr>
              <w:pStyle w:val="TableParagraph"/>
              <w:spacing w:line="191" w:lineRule="exact" w:before="5"/>
              <w:ind w:left="121"/>
              <w:jc w:val="left"/>
              <w:rPr>
                <w:sz w:val="16"/>
              </w:rPr>
            </w:pPr>
            <w:r>
              <w:rPr>
                <w:spacing w:val="-2"/>
                <w:sz w:val="16"/>
              </w:rPr>
              <w:t>23±1.4</w:t>
            </w:r>
          </w:p>
        </w:tc>
        <w:tc>
          <w:tcPr>
            <w:tcW w:w="881" w:type="dxa"/>
          </w:tcPr>
          <w:p>
            <w:pPr>
              <w:pStyle w:val="TableParagraph"/>
              <w:spacing w:line="191" w:lineRule="exact" w:before="5"/>
              <w:ind w:right="12"/>
              <w:rPr>
                <w:sz w:val="16"/>
              </w:rPr>
            </w:pPr>
            <w:r>
              <w:rPr>
                <w:spacing w:val="-2"/>
                <w:sz w:val="16"/>
              </w:rPr>
              <w:t>22±2.2</w:t>
            </w:r>
          </w:p>
        </w:tc>
        <w:tc>
          <w:tcPr>
            <w:tcW w:w="874" w:type="dxa"/>
          </w:tcPr>
          <w:p>
            <w:pPr>
              <w:pStyle w:val="TableParagraph"/>
              <w:spacing w:line="191" w:lineRule="exact" w:before="5"/>
              <w:ind w:left="64" w:right="39"/>
              <w:rPr>
                <w:sz w:val="16"/>
              </w:rPr>
            </w:pPr>
            <w:r>
              <w:rPr>
                <w:spacing w:val="-2"/>
                <w:sz w:val="16"/>
              </w:rPr>
              <w:t>20±1.0</w:t>
            </w:r>
          </w:p>
        </w:tc>
        <w:tc>
          <w:tcPr>
            <w:tcW w:w="857" w:type="dxa"/>
          </w:tcPr>
          <w:p>
            <w:pPr>
              <w:pStyle w:val="TableParagraph"/>
              <w:spacing w:line="191" w:lineRule="exact" w:before="5"/>
              <w:ind w:left="166"/>
              <w:jc w:val="left"/>
              <w:rPr>
                <w:sz w:val="16"/>
              </w:rPr>
            </w:pPr>
            <w:r>
              <w:rPr>
                <w:spacing w:val="-2"/>
                <w:sz w:val="16"/>
              </w:rPr>
              <w:t>15±1.0</w:t>
            </w:r>
          </w:p>
        </w:tc>
        <w:tc>
          <w:tcPr>
            <w:tcW w:w="855" w:type="dxa"/>
          </w:tcPr>
          <w:p>
            <w:pPr>
              <w:pStyle w:val="TableParagraph"/>
              <w:spacing w:line="191" w:lineRule="exact" w:before="5"/>
              <w:ind w:left="94" w:right="85"/>
              <w:rPr>
                <w:sz w:val="16"/>
              </w:rPr>
            </w:pPr>
            <w:r>
              <w:rPr>
                <w:spacing w:val="-2"/>
                <w:sz w:val="16"/>
              </w:rPr>
              <w:t>19±1.4</w:t>
            </w:r>
          </w:p>
        </w:tc>
        <w:tc>
          <w:tcPr>
            <w:tcW w:w="855" w:type="dxa"/>
          </w:tcPr>
          <w:p>
            <w:pPr>
              <w:pStyle w:val="TableParagraph"/>
              <w:spacing w:line="191" w:lineRule="exact" w:before="5"/>
              <w:ind w:left="48" w:right="94"/>
              <w:rPr>
                <w:sz w:val="16"/>
              </w:rPr>
            </w:pPr>
            <w:r>
              <w:rPr>
                <w:spacing w:val="-2"/>
                <w:sz w:val="16"/>
              </w:rPr>
              <w:t>0.0±0.0</w:t>
            </w:r>
          </w:p>
        </w:tc>
        <w:tc>
          <w:tcPr>
            <w:tcW w:w="857" w:type="dxa"/>
          </w:tcPr>
          <w:p>
            <w:pPr>
              <w:pStyle w:val="TableParagraph"/>
              <w:spacing w:line="191" w:lineRule="exact" w:before="5"/>
              <w:ind w:left="43" w:right="38"/>
              <w:rPr>
                <w:sz w:val="16"/>
              </w:rPr>
            </w:pPr>
            <w:r>
              <w:rPr>
                <w:spacing w:val="-2"/>
                <w:sz w:val="16"/>
              </w:rPr>
              <w:t>12±1.0</w:t>
            </w:r>
          </w:p>
        </w:tc>
        <w:tc>
          <w:tcPr>
            <w:tcW w:w="738" w:type="dxa"/>
          </w:tcPr>
          <w:p>
            <w:pPr>
              <w:pStyle w:val="TableParagraph"/>
              <w:spacing w:line="191" w:lineRule="exact" w:before="5"/>
              <w:ind w:left="71"/>
              <w:rPr>
                <w:sz w:val="16"/>
              </w:rPr>
            </w:pPr>
            <w:r>
              <w:rPr>
                <w:spacing w:val="-2"/>
                <w:sz w:val="16"/>
              </w:rPr>
              <w:t>0.0±0.0</w:t>
            </w:r>
          </w:p>
        </w:tc>
      </w:tr>
      <w:tr>
        <w:trPr>
          <w:trHeight w:val="177" w:hRule="atLeast"/>
        </w:trPr>
        <w:tc>
          <w:tcPr>
            <w:tcW w:w="665" w:type="dxa"/>
          </w:tcPr>
          <w:p>
            <w:pPr>
              <w:pStyle w:val="TableParagraph"/>
              <w:spacing w:line="158" w:lineRule="exact"/>
              <w:ind w:left="50"/>
              <w:jc w:val="left"/>
              <w:rPr>
                <w:sz w:val="16"/>
              </w:rPr>
            </w:pPr>
            <w:r>
              <w:rPr>
                <w:spacing w:val="-4"/>
                <w:sz w:val="16"/>
              </w:rPr>
              <w:t>Z33e</w:t>
            </w:r>
          </w:p>
        </w:tc>
        <w:tc>
          <w:tcPr>
            <w:tcW w:w="1066" w:type="dxa"/>
          </w:tcPr>
          <w:p>
            <w:pPr>
              <w:pStyle w:val="TableParagraph"/>
              <w:spacing w:line="158" w:lineRule="exact"/>
              <w:ind w:left="39" w:right="49"/>
              <w:rPr>
                <w:sz w:val="16"/>
              </w:rPr>
            </w:pPr>
            <w:r>
              <w:rPr>
                <w:spacing w:val="-2"/>
                <w:sz w:val="16"/>
              </w:rPr>
              <w:t>0.0±0.0</w:t>
            </w:r>
          </w:p>
        </w:tc>
        <w:tc>
          <w:tcPr>
            <w:tcW w:w="943" w:type="dxa"/>
          </w:tcPr>
          <w:p>
            <w:pPr>
              <w:pStyle w:val="TableParagraph"/>
              <w:spacing w:line="158" w:lineRule="exact"/>
              <w:ind w:right="161"/>
              <w:jc w:val="right"/>
              <w:rPr>
                <w:sz w:val="16"/>
              </w:rPr>
            </w:pPr>
            <w:r>
              <w:rPr>
                <w:spacing w:val="-2"/>
                <w:sz w:val="16"/>
              </w:rPr>
              <w:t>0.0±0.0</w:t>
            </w:r>
          </w:p>
        </w:tc>
        <w:tc>
          <w:tcPr>
            <w:tcW w:w="763" w:type="dxa"/>
          </w:tcPr>
          <w:p>
            <w:pPr>
              <w:pStyle w:val="TableParagraph"/>
              <w:spacing w:line="158" w:lineRule="exact"/>
              <w:ind w:left="45"/>
              <w:rPr>
                <w:sz w:val="16"/>
              </w:rPr>
            </w:pPr>
            <w:r>
              <w:rPr>
                <w:spacing w:val="-2"/>
                <w:sz w:val="16"/>
              </w:rPr>
              <w:t>0.0±0.0</w:t>
            </w:r>
          </w:p>
        </w:tc>
        <w:tc>
          <w:tcPr>
            <w:tcW w:w="720" w:type="dxa"/>
          </w:tcPr>
          <w:p>
            <w:pPr>
              <w:pStyle w:val="TableParagraph"/>
              <w:spacing w:line="158" w:lineRule="exact"/>
              <w:ind w:left="38" w:right="72"/>
              <w:rPr>
                <w:sz w:val="16"/>
              </w:rPr>
            </w:pPr>
            <w:r>
              <w:rPr>
                <w:spacing w:val="-2"/>
                <w:sz w:val="16"/>
              </w:rPr>
              <w:t>19±1.4</w:t>
            </w:r>
          </w:p>
        </w:tc>
        <w:tc>
          <w:tcPr>
            <w:tcW w:w="811" w:type="dxa"/>
          </w:tcPr>
          <w:p>
            <w:pPr>
              <w:pStyle w:val="TableParagraph"/>
              <w:spacing w:line="158" w:lineRule="exact"/>
              <w:ind w:left="121"/>
              <w:jc w:val="left"/>
              <w:rPr>
                <w:sz w:val="16"/>
              </w:rPr>
            </w:pPr>
            <w:r>
              <w:rPr>
                <w:spacing w:val="-2"/>
                <w:sz w:val="16"/>
              </w:rPr>
              <w:t>0.0±0.0</w:t>
            </w:r>
          </w:p>
        </w:tc>
        <w:tc>
          <w:tcPr>
            <w:tcW w:w="881" w:type="dxa"/>
          </w:tcPr>
          <w:p>
            <w:pPr>
              <w:pStyle w:val="TableParagraph"/>
              <w:spacing w:line="158" w:lineRule="exact"/>
              <w:ind w:right="12"/>
              <w:rPr>
                <w:sz w:val="16"/>
              </w:rPr>
            </w:pPr>
            <w:r>
              <w:rPr>
                <w:spacing w:val="-2"/>
                <w:sz w:val="16"/>
              </w:rPr>
              <w:t>24±1.0</w:t>
            </w:r>
          </w:p>
        </w:tc>
        <w:tc>
          <w:tcPr>
            <w:tcW w:w="874" w:type="dxa"/>
          </w:tcPr>
          <w:p>
            <w:pPr>
              <w:pStyle w:val="TableParagraph"/>
              <w:spacing w:line="158" w:lineRule="exact"/>
              <w:ind w:left="64"/>
              <w:rPr>
                <w:sz w:val="16"/>
              </w:rPr>
            </w:pPr>
            <w:r>
              <w:rPr>
                <w:spacing w:val="-2"/>
                <w:sz w:val="16"/>
              </w:rPr>
              <w:t>0.0±0.0</w:t>
            </w:r>
          </w:p>
        </w:tc>
        <w:tc>
          <w:tcPr>
            <w:tcW w:w="857" w:type="dxa"/>
          </w:tcPr>
          <w:p>
            <w:pPr>
              <w:pStyle w:val="TableParagraph"/>
              <w:spacing w:line="158" w:lineRule="exact"/>
              <w:ind w:left="166"/>
              <w:jc w:val="left"/>
              <w:rPr>
                <w:sz w:val="16"/>
              </w:rPr>
            </w:pPr>
            <w:r>
              <w:rPr>
                <w:spacing w:val="-2"/>
                <w:sz w:val="16"/>
              </w:rPr>
              <w:t>0.0±0.0</w:t>
            </w:r>
          </w:p>
        </w:tc>
        <w:tc>
          <w:tcPr>
            <w:tcW w:w="855" w:type="dxa"/>
          </w:tcPr>
          <w:p>
            <w:pPr>
              <w:pStyle w:val="TableParagraph"/>
              <w:spacing w:line="158" w:lineRule="exact"/>
              <w:ind w:left="133" w:right="85"/>
              <w:rPr>
                <w:sz w:val="16"/>
              </w:rPr>
            </w:pPr>
            <w:r>
              <w:rPr>
                <w:spacing w:val="-2"/>
                <w:sz w:val="16"/>
              </w:rPr>
              <w:t>0.0±0.0</w:t>
            </w:r>
          </w:p>
        </w:tc>
        <w:tc>
          <w:tcPr>
            <w:tcW w:w="855" w:type="dxa"/>
          </w:tcPr>
          <w:p>
            <w:pPr>
              <w:pStyle w:val="TableParagraph"/>
              <w:spacing w:line="158" w:lineRule="exact"/>
              <w:ind w:left="48" w:right="94"/>
              <w:rPr>
                <w:sz w:val="16"/>
              </w:rPr>
            </w:pPr>
            <w:r>
              <w:rPr>
                <w:spacing w:val="-2"/>
                <w:sz w:val="16"/>
              </w:rPr>
              <w:t>0.0±0.0</w:t>
            </w:r>
          </w:p>
        </w:tc>
        <w:tc>
          <w:tcPr>
            <w:tcW w:w="857" w:type="dxa"/>
          </w:tcPr>
          <w:p>
            <w:pPr>
              <w:pStyle w:val="TableParagraph"/>
              <w:spacing w:line="158" w:lineRule="exact"/>
              <w:ind w:left="43"/>
              <w:rPr>
                <w:sz w:val="16"/>
              </w:rPr>
            </w:pPr>
            <w:r>
              <w:rPr>
                <w:spacing w:val="-2"/>
                <w:sz w:val="16"/>
              </w:rPr>
              <w:t>0.0±0.0</w:t>
            </w:r>
          </w:p>
        </w:tc>
        <w:tc>
          <w:tcPr>
            <w:tcW w:w="738" w:type="dxa"/>
          </w:tcPr>
          <w:p>
            <w:pPr>
              <w:pStyle w:val="TableParagraph"/>
              <w:spacing w:line="158" w:lineRule="exact"/>
              <w:ind w:left="71"/>
              <w:rPr>
                <w:sz w:val="16"/>
              </w:rPr>
            </w:pPr>
            <w:r>
              <w:rPr>
                <w:spacing w:val="-2"/>
                <w:sz w:val="16"/>
              </w:rPr>
              <w:t>0.0±0.0</w:t>
            </w:r>
          </w:p>
        </w:tc>
      </w:tr>
    </w:tbl>
    <w:p>
      <w:pPr>
        <w:spacing w:after="0" w:line="158" w:lineRule="exact"/>
        <w:rPr>
          <w:sz w:val="16"/>
        </w:rPr>
        <w:sectPr>
          <w:pgSz w:w="12240" w:h="15840"/>
          <w:pgMar w:header="0" w:footer="1017" w:top="1440" w:bottom="1200" w:left="520" w:right="260"/>
        </w:sectPr>
      </w:pPr>
    </w:p>
    <w:p>
      <w:pPr>
        <w:pStyle w:val="BodyText"/>
        <w:spacing w:before="5"/>
        <w:rPr>
          <w:b/>
          <w:sz w:val="2"/>
        </w:rPr>
      </w:pPr>
    </w:p>
    <w:tbl>
      <w:tblPr>
        <w:tblW w:w="0" w:type="auto"/>
        <w:jc w:val="lef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1072"/>
        <w:gridCol w:w="944"/>
        <w:gridCol w:w="764"/>
        <w:gridCol w:w="702"/>
        <w:gridCol w:w="832"/>
        <w:gridCol w:w="902"/>
        <w:gridCol w:w="856"/>
        <w:gridCol w:w="858"/>
        <w:gridCol w:w="856"/>
        <w:gridCol w:w="856"/>
        <w:gridCol w:w="858"/>
        <w:gridCol w:w="868"/>
      </w:tblGrid>
      <w:tr>
        <w:trPr>
          <w:trHeight w:val="177" w:hRule="atLeast"/>
        </w:trPr>
        <w:tc>
          <w:tcPr>
            <w:tcW w:w="731" w:type="dxa"/>
          </w:tcPr>
          <w:p>
            <w:pPr>
              <w:pStyle w:val="TableParagraph"/>
              <w:spacing w:line="158" w:lineRule="exact"/>
              <w:ind w:left="120"/>
              <w:jc w:val="left"/>
              <w:rPr>
                <w:sz w:val="16"/>
              </w:rPr>
            </w:pPr>
            <w:r>
              <w:rPr>
                <w:spacing w:val="-4"/>
                <w:sz w:val="16"/>
              </w:rPr>
              <w:t>S20e</w:t>
            </w:r>
          </w:p>
        </w:tc>
        <w:tc>
          <w:tcPr>
            <w:tcW w:w="1072" w:type="dxa"/>
          </w:tcPr>
          <w:p>
            <w:pPr>
              <w:pStyle w:val="TableParagraph"/>
              <w:spacing w:line="158" w:lineRule="exact"/>
              <w:ind w:right="47"/>
              <w:rPr>
                <w:sz w:val="16"/>
              </w:rPr>
            </w:pPr>
            <w:r>
              <w:rPr>
                <w:spacing w:val="-2"/>
                <w:sz w:val="16"/>
              </w:rPr>
              <w:t>11±1.0</w:t>
            </w:r>
          </w:p>
        </w:tc>
        <w:tc>
          <w:tcPr>
            <w:tcW w:w="944" w:type="dxa"/>
          </w:tcPr>
          <w:p>
            <w:pPr>
              <w:pStyle w:val="TableParagraph"/>
              <w:spacing w:line="158" w:lineRule="exact"/>
              <w:ind w:right="168"/>
              <w:jc w:val="right"/>
              <w:rPr>
                <w:sz w:val="16"/>
              </w:rPr>
            </w:pPr>
            <w:r>
              <w:rPr>
                <w:spacing w:val="-2"/>
                <w:sz w:val="16"/>
              </w:rPr>
              <w:t>0.0v0.0</w:t>
            </w:r>
          </w:p>
        </w:tc>
        <w:tc>
          <w:tcPr>
            <w:tcW w:w="764" w:type="dxa"/>
          </w:tcPr>
          <w:p>
            <w:pPr>
              <w:pStyle w:val="TableParagraph"/>
              <w:spacing w:line="158" w:lineRule="exact"/>
              <w:ind w:left="38"/>
              <w:rPr>
                <w:sz w:val="16"/>
              </w:rPr>
            </w:pPr>
            <w:r>
              <w:rPr>
                <w:spacing w:val="-2"/>
                <w:sz w:val="16"/>
              </w:rPr>
              <w:t>0.0±0.0</w:t>
            </w:r>
          </w:p>
        </w:tc>
        <w:tc>
          <w:tcPr>
            <w:tcW w:w="702" w:type="dxa"/>
          </w:tcPr>
          <w:p>
            <w:pPr>
              <w:pStyle w:val="TableParagraph"/>
              <w:spacing w:line="158" w:lineRule="exact"/>
              <w:ind w:left="5" w:right="29"/>
              <w:rPr>
                <w:sz w:val="16"/>
              </w:rPr>
            </w:pPr>
            <w:r>
              <w:rPr>
                <w:spacing w:val="-2"/>
                <w:sz w:val="16"/>
              </w:rPr>
              <w:t>18±2.2</w:t>
            </w:r>
          </w:p>
        </w:tc>
        <w:tc>
          <w:tcPr>
            <w:tcW w:w="832" w:type="dxa"/>
          </w:tcPr>
          <w:p>
            <w:pPr>
              <w:pStyle w:val="TableParagraph"/>
              <w:spacing w:line="158" w:lineRule="exact"/>
              <w:ind w:left="135"/>
              <w:jc w:val="left"/>
              <w:rPr>
                <w:sz w:val="16"/>
              </w:rPr>
            </w:pPr>
            <w:r>
              <w:rPr>
                <w:spacing w:val="-2"/>
                <w:sz w:val="16"/>
              </w:rPr>
              <w:t>15±1.0</w:t>
            </w:r>
          </w:p>
        </w:tc>
        <w:tc>
          <w:tcPr>
            <w:tcW w:w="902" w:type="dxa"/>
          </w:tcPr>
          <w:p>
            <w:pPr>
              <w:pStyle w:val="TableParagraph"/>
              <w:spacing w:line="158" w:lineRule="exact"/>
              <w:ind w:right="47"/>
              <w:rPr>
                <w:sz w:val="16"/>
              </w:rPr>
            </w:pPr>
            <w:r>
              <w:rPr>
                <w:spacing w:val="-2"/>
                <w:sz w:val="16"/>
              </w:rPr>
              <w:t>20±0.0</w:t>
            </w:r>
          </w:p>
        </w:tc>
        <w:tc>
          <w:tcPr>
            <w:tcW w:w="856" w:type="dxa"/>
          </w:tcPr>
          <w:p>
            <w:pPr>
              <w:pStyle w:val="TableParagraph"/>
              <w:spacing w:line="158" w:lineRule="exact"/>
              <w:ind w:left="81" w:right="91"/>
              <w:rPr>
                <w:sz w:val="16"/>
              </w:rPr>
            </w:pPr>
            <w:r>
              <w:rPr>
                <w:spacing w:val="-2"/>
                <w:sz w:val="16"/>
              </w:rPr>
              <w:t>11±1.0</w:t>
            </w:r>
          </w:p>
        </w:tc>
        <w:tc>
          <w:tcPr>
            <w:tcW w:w="858" w:type="dxa"/>
          </w:tcPr>
          <w:p>
            <w:pPr>
              <w:pStyle w:val="TableParagraph"/>
              <w:spacing w:line="158" w:lineRule="exact"/>
              <w:ind w:left="156"/>
              <w:jc w:val="left"/>
              <w:rPr>
                <w:sz w:val="16"/>
              </w:rPr>
            </w:pPr>
            <w:r>
              <w:rPr>
                <w:spacing w:val="-2"/>
                <w:sz w:val="16"/>
              </w:rPr>
              <w:t>14±0.0</w:t>
            </w:r>
          </w:p>
        </w:tc>
        <w:tc>
          <w:tcPr>
            <w:tcW w:w="856" w:type="dxa"/>
          </w:tcPr>
          <w:p>
            <w:pPr>
              <w:pStyle w:val="TableParagraph"/>
              <w:spacing w:line="158" w:lineRule="exact"/>
              <w:ind w:left="201"/>
              <w:jc w:val="left"/>
              <w:rPr>
                <w:sz w:val="16"/>
              </w:rPr>
            </w:pPr>
            <w:r>
              <w:rPr>
                <w:spacing w:val="-2"/>
                <w:sz w:val="16"/>
              </w:rPr>
              <w:t>0.0±0.0</w:t>
            </w:r>
          </w:p>
        </w:tc>
        <w:tc>
          <w:tcPr>
            <w:tcW w:w="856" w:type="dxa"/>
          </w:tcPr>
          <w:p>
            <w:pPr>
              <w:pStyle w:val="TableParagraph"/>
              <w:spacing w:line="158" w:lineRule="exact"/>
              <w:ind w:left="26" w:right="97"/>
              <w:rPr>
                <w:sz w:val="16"/>
              </w:rPr>
            </w:pPr>
            <w:r>
              <w:rPr>
                <w:spacing w:val="-2"/>
                <w:sz w:val="16"/>
              </w:rPr>
              <w:t>0.0±0.0</w:t>
            </w:r>
          </w:p>
        </w:tc>
        <w:tc>
          <w:tcPr>
            <w:tcW w:w="858" w:type="dxa"/>
          </w:tcPr>
          <w:p>
            <w:pPr>
              <w:pStyle w:val="TableParagraph"/>
              <w:spacing w:line="158" w:lineRule="exact"/>
              <w:ind w:left="35" w:right="19"/>
              <w:rPr>
                <w:sz w:val="16"/>
              </w:rPr>
            </w:pPr>
            <w:r>
              <w:rPr>
                <w:spacing w:val="-2"/>
                <w:sz w:val="16"/>
              </w:rPr>
              <w:t>0.0±0.0</w:t>
            </w:r>
          </w:p>
        </w:tc>
        <w:tc>
          <w:tcPr>
            <w:tcW w:w="868" w:type="dxa"/>
          </w:tcPr>
          <w:p>
            <w:pPr>
              <w:pStyle w:val="TableParagraph"/>
              <w:spacing w:line="158"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E19e</w:t>
            </w:r>
          </w:p>
        </w:tc>
        <w:tc>
          <w:tcPr>
            <w:tcW w:w="1072" w:type="dxa"/>
          </w:tcPr>
          <w:p>
            <w:pPr>
              <w:pStyle w:val="TableParagraph"/>
              <w:spacing w:line="174" w:lineRule="exact"/>
              <w:ind w:right="47"/>
              <w:rPr>
                <w:sz w:val="16"/>
              </w:rPr>
            </w:pPr>
            <w:r>
              <w:rPr>
                <w:spacing w:val="-2"/>
                <w:sz w:val="16"/>
              </w:rPr>
              <w:t>14±1.4</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17±2.2</w:t>
            </w:r>
          </w:p>
        </w:tc>
        <w:tc>
          <w:tcPr>
            <w:tcW w:w="832" w:type="dxa"/>
          </w:tcPr>
          <w:p>
            <w:pPr>
              <w:pStyle w:val="TableParagraph"/>
              <w:spacing w:line="174" w:lineRule="exact"/>
              <w:ind w:left="135"/>
              <w:jc w:val="left"/>
              <w:rPr>
                <w:sz w:val="16"/>
              </w:rPr>
            </w:pPr>
            <w:r>
              <w:rPr>
                <w:spacing w:val="-2"/>
                <w:sz w:val="16"/>
              </w:rPr>
              <w:t>20±1.0</w:t>
            </w:r>
          </w:p>
        </w:tc>
        <w:tc>
          <w:tcPr>
            <w:tcW w:w="902" w:type="dxa"/>
          </w:tcPr>
          <w:p>
            <w:pPr>
              <w:pStyle w:val="TableParagraph"/>
              <w:spacing w:line="174" w:lineRule="exact"/>
              <w:ind w:right="47"/>
              <w:rPr>
                <w:sz w:val="16"/>
              </w:rPr>
            </w:pPr>
            <w:r>
              <w:rPr>
                <w:spacing w:val="-2"/>
                <w:sz w:val="16"/>
              </w:rPr>
              <w:t>23±0.0</w:t>
            </w:r>
          </w:p>
        </w:tc>
        <w:tc>
          <w:tcPr>
            <w:tcW w:w="856" w:type="dxa"/>
          </w:tcPr>
          <w:p>
            <w:pPr>
              <w:pStyle w:val="TableParagraph"/>
              <w:spacing w:line="174" w:lineRule="exact"/>
              <w:ind w:left="81" w:right="91"/>
              <w:rPr>
                <w:sz w:val="16"/>
              </w:rPr>
            </w:pPr>
            <w:r>
              <w:rPr>
                <w:spacing w:val="-2"/>
                <w:sz w:val="16"/>
              </w:rPr>
              <w:t>14±1.0</w:t>
            </w:r>
          </w:p>
        </w:tc>
        <w:tc>
          <w:tcPr>
            <w:tcW w:w="858" w:type="dxa"/>
          </w:tcPr>
          <w:p>
            <w:pPr>
              <w:pStyle w:val="TableParagraph"/>
              <w:spacing w:line="174" w:lineRule="exact"/>
              <w:ind w:left="156"/>
              <w:jc w:val="left"/>
              <w:rPr>
                <w:sz w:val="16"/>
              </w:rPr>
            </w:pPr>
            <w:r>
              <w:rPr>
                <w:spacing w:val="-2"/>
                <w:sz w:val="16"/>
              </w:rPr>
              <w:t>0.0±0.0</w:t>
            </w:r>
          </w:p>
        </w:tc>
        <w:tc>
          <w:tcPr>
            <w:tcW w:w="856" w:type="dxa"/>
          </w:tcPr>
          <w:p>
            <w:pPr>
              <w:pStyle w:val="TableParagraph"/>
              <w:spacing w:line="174" w:lineRule="exact"/>
              <w:ind w:left="201"/>
              <w:jc w:val="left"/>
              <w:rPr>
                <w:sz w:val="16"/>
              </w:rPr>
            </w:pPr>
            <w:r>
              <w:rPr>
                <w:spacing w:val="-2"/>
                <w:sz w:val="16"/>
              </w:rPr>
              <w:t>0.0±0.0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5"/>
                <w:sz w:val="16"/>
              </w:rPr>
              <w:t>Z3e</w:t>
            </w:r>
          </w:p>
        </w:tc>
        <w:tc>
          <w:tcPr>
            <w:tcW w:w="1072" w:type="dxa"/>
          </w:tcPr>
          <w:p>
            <w:pPr>
              <w:pStyle w:val="TableParagraph"/>
              <w:spacing w:line="174" w:lineRule="exact"/>
              <w:ind w:right="47"/>
              <w:rPr>
                <w:sz w:val="16"/>
              </w:rPr>
            </w:pPr>
            <w:r>
              <w:rPr>
                <w:spacing w:val="-2"/>
                <w:sz w:val="16"/>
              </w:rPr>
              <w:t>12±1.0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18±1.4</w:t>
            </w:r>
          </w:p>
        </w:tc>
        <w:tc>
          <w:tcPr>
            <w:tcW w:w="832" w:type="dxa"/>
          </w:tcPr>
          <w:p>
            <w:pPr>
              <w:pStyle w:val="TableParagraph"/>
              <w:spacing w:line="174" w:lineRule="exact"/>
              <w:ind w:left="135"/>
              <w:jc w:val="left"/>
              <w:rPr>
                <w:sz w:val="16"/>
              </w:rPr>
            </w:pPr>
            <w:r>
              <w:rPr>
                <w:spacing w:val="-2"/>
                <w:sz w:val="16"/>
              </w:rPr>
              <w:t>20±0.0</w:t>
            </w:r>
          </w:p>
        </w:tc>
        <w:tc>
          <w:tcPr>
            <w:tcW w:w="902" w:type="dxa"/>
          </w:tcPr>
          <w:p>
            <w:pPr>
              <w:pStyle w:val="TableParagraph"/>
              <w:spacing w:line="174" w:lineRule="exact"/>
              <w:ind w:right="47"/>
              <w:rPr>
                <w:sz w:val="16"/>
              </w:rPr>
            </w:pPr>
            <w:r>
              <w:rPr>
                <w:spacing w:val="-2"/>
                <w:sz w:val="16"/>
              </w:rPr>
              <w:t>24±1.0</w:t>
            </w:r>
          </w:p>
        </w:tc>
        <w:tc>
          <w:tcPr>
            <w:tcW w:w="856" w:type="dxa"/>
          </w:tcPr>
          <w:p>
            <w:pPr>
              <w:pStyle w:val="TableParagraph"/>
              <w:spacing w:line="174" w:lineRule="exact"/>
              <w:ind w:left="81" w:right="91"/>
              <w:rPr>
                <w:sz w:val="16"/>
              </w:rPr>
            </w:pPr>
            <w:r>
              <w:rPr>
                <w:spacing w:val="-2"/>
                <w:sz w:val="16"/>
              </w:rPr>
              <w:t>17±2.8</w:t>
            </w:r>
          </w:p>
        </w:tc>
        <w:tc>
          <w:tcPr>
            <w:tcW w:w="858" w:type="dxa"/>
          </w:tcPr>
          <w:p>
            <w:pPr>
              <w:pStyle w:val="TableParagraph"/>
              <w:spacing w:line="174" w:lineRule="exact"/>
              <w:ind w:left="156"/>
              <w:jc w:val="left"/>
              <w:rPr>
                <w:sz w:val="16"/>
              </w:rPr>
            </w:pPr>
            <w:r>
              <w:rPr>
                <w:spacing w:val="-2"/>
                <w:sz w:val="16"/>
              </w:rPr>
              <w:t>0.0±0.0</w:t>
            </w:r>
          </w:p>
        </w:tc>
        <w:tc>
          <w:tcPr>
            <w:tcW w:w="856" w:type="dxa"/>
          </w:tcPr>
          <w:p>
            <w:pPr>
              <w:pStyle w:val="TableParagraph"/>
              <w:spacing w:line="174" w:lineRule="exact"/>
              <w:ind w:left="201"/>
              <w:jc w:val="left"/>
              <w:rPr>
                <w:sz w:val="16"/>
              </w:rPr>
            </w:pPr>
            <w:r>
              <w:rPr>
                <w:spacing w:val="-2"/>
                <w:sz w:val="16"/>
              </w:rPr>
              <w:t>15±1.0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4"/>
                <w:sz w:val="16"/>
              </w:rPr>
              <w:t>E12e</w:t>
            </w:r>
          </w:p>
        </w:tc>
        <w:tc>
          <w:tcPr>
            <w:tcW w:w="1072" w:type="dxa"/>
          </w:tcPr>
          <w:p>
            <w:pPr>
              <w:pStyle w:val="TableParagraph"/>
              <w:spacing w:line="177" w:lineRule="exact"/>
              <w:ind w:left="39" w:right="47"/>
              <w:rPr>
                <w:sz w:val="16"/>
              </w:rPr>
            </w:pPr>
            <w:r>
              <w:rPr>
                <w:spacing w:val="-2"/>
                <w:sz w:val="16"/>
              </w:rPr>
              <w:t>0.0±0.0</w:t>
            </w:r>
          </w:p>
        </w:tc>
        <w:tc>
          <w:tcPr>
            <w:tcW w:w="944" w:type="dxa"/>
          </w:tcPr>
          <w:p>
            <w:pPr>
              <w:pStyle w:val="TableParagraph"/>
              <w:spacing w:line="177" w:lineRule="exact"/>
              <w:ind w:right="164"/>
              <w:jc w:val="right"/>
              <w:rPr>
                <w:sz w:val="16"/>
              </w:rPr>
            </w:pPr>
            <w:r>
              <w:rPr>
                <w:spacing w:val="-2"/>
                <w:sz w:val="16"/>
              </w:rPr>
              <w:t>0.0±0.0</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16±2.8</w:t>
            </w:r>
          </w:p>
        </w:tc>
        <w:tc>
          <w:tcPr>
            <w:tcW w:w="832" w:type="dxa"/>
          </w:tcPr>
          <w:p>
            <w:pPr>
              <w:pStyle w:val="TableParagraph"/>
              <w:spacing w:line="177" w:lineRule="exact"/>
              <w:ind w:left="135"/>
              <w:jc w:val="left"/>
              <w:rPr>
                <w:sz w:val="16"/>
              </w:rPr>
            </w:pPr>
            <w:r>
              <w:rPr>
                <w:spacing w:val="-2"/>
                <w:sz w:val="16"/>
              </w:rPr>
              <w:t>10±1.0</w:t>
            </w:r>
          </w:p>
        </w:tc>
        <w:tc>
          <w:tcPr>
            <w:tcW w:w="902" w:type="dxa"/>
          </w:tcPr>
          <w:p>
            <w:pPr>
              <w:pStyle w:val="TableParagraph"/>
              <w:spacing w:line="177" w:lineRule="exact"/>
              <w:ind w:right="47"/>
              <w:rPr>
                <w:sz w:val="16"/>
              </w:rPr>
            </w:pPr>
            <w:r>
              <w:rPr>
                <w:spacing w:val="-2"/>
                <w:sz w:val="16"/>
              </w:rPr>
              <w:t>20±1.4</w:t>
            </w:r>
          </w:p>
        </w:tc>
        <w:tc>
          <w:tcPr>
            <w:tcW w:w="856" w:type="dxa"/>
          </w:tcPr>
          <w:p>
            <w:pPr>
              <w:pStyle w:val="TableParagraph"/>
              <w:spacing w:line="177" w:lineRule="exact"/>
              <w:ind w:left="117" w:right="91"/>
              <w:rPr>
                <w:sz w:val="16"/>
              </w:rPr>
            </w:pPr>
            <w:r>
              <w:rPr>
                <w:spacing w:val="-2"/>
                <w:sz w:val="16"/>
              </w:rPr>
              <w:t>0.0±0.0</w:t>
            </w:r>
          </w:p>
        </w:tc>
        <w:tc>
          <w:tcPr>
            <w:tcW w:w="858" w:type="dxa"/>
          </w:tcPr>
          <w:p>
            <w:pPr>
              <w:pStyle w:val="TableParagraph"/>
              <w:spacing w:line="177" w:lineRule="exact"/>
              <w:ind w:left="156"/>
              <w:jc w:val="left"/>
              <w:rPr>
                <w:sz w:val="16"/>
              </w:rPr>
            </w:pPr>
            <w:r>
              <w:rPr>
                <w:spacing w:val="-2"/>
                <w:sz w:val="16"/>
              </w:rPr>
              <w:t>10±0.0</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5"/>
                <w:sz w:val="16"/>
              </w:rPr>
              <w:t>Z8e</w:t>
            </w:r>
          </w:p>
        </w:tc>
        <w:tc>
          <w:tcPr>
            <w:tcW w:w="1072" w:type="dxa"/>
          </w:tcPr>
          <w:p>
            <w:pPr>
              <w:pStyle w:val="TableParagraph"/>
              <w:spacing w:line="174" w:lineRule="exact"/>
              <w:ind w:right="47"/>
              <w:rPr>
                <w:sz w:val="16"/>
              </w:rPr>
            </w:pPr>
            <w:r>
              <w:rPr>
                <w:spacing w:val="-2"/>
                <w:sz w:val="16"/>
              </w:rPr>
              <w:t>23±0.0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22±1.0</w:t>
            </w:r>
          </w:p>
        </w:tc>
        <w:tc>
          <w:tcPr>
            <w:tcW w:w="832" w:type="dxa"/>
          </w:tcPr>
          <w:p>
            <w:pPr>
              <w:pStyle w:val="TableParagraph"/>
              <w:spacing w:line="174" w:lineRule="exact"/>
              <w:ind w:left="135"/>
              <w:jc w:val="left"/>
              <w:rPr>
                <w:sz w:val="16"/>
              </w:rPr>
            </w:pPr>
            <w:r>
              <w:rPr>
                <w:spacing w:val="-2"/>
                <w:sz w:val="16"/>
              </w:rPr>
              <w:t>15±2.8</w:t>
            </w:r>
          </w:p>
        </w:tc>
        <w:tc>
          <w:tcPr>
            <w:tcW w:w="902" w:type="dxa"/>
          </w:tcPr>
          <w:p>
            <w:pPr>
              <w:pStyle w:val="TableParagraph"/>
              <w:spacing w:line="174" w:lineRule="exact"/>
              <w:ind w:right="47"/>
              <w:rPr>
                <w:sz w:val="16"/>
              </w:rPr>
            </w:pPr>
            <w:r>
              <w:rPr>
                <w:spacing w:val="-2"/>
                <w:sz w:val="16"/>
              </w:rPr>
              <w:t>25±2.2</w:t>
            </w:r>
          </w:p>
        </w:tc>
        <w:tc>
          <w:tcPr>
            <w:tcW w:w="856" w:type="dxa"/>
          </w:tcPr>
          <w:p>
            <w:pPr>
              <w:pStyle w:val="TableParagraph"/>
              <w:spacing w:line="174" w:lineRule="exact"/>
              <w:ind w:left="81" w:right="91"/>
              <w:rPr>
                <w:sz w:val="16"/>
              </w:rPr>
            </w:pPr>
            <w:r>
              <w:rPr>
                <w:spacing w:val="-2"/>
                <w:sz w:val="16"/>
              </w:rPr>
              <w:t>20±1.0</w:t>
            </w:r>
          </w:p>
        </w:tc>
        <w:tc>
          <w:tcPr>
            <w:tcW w:w="858" w:type="dxa"/>
          </w:tcPr>
          <w:p>
            <w:pPr>
              <w:pStyle w:val="TableParagraph"/>
              <w:spacing w:line="174" w:lineRule="exact"/>
              <w:ind w:left="156"/>
              <w:jc w:val="left"/>
              <w:rPr>
                <w:sz w:val="16"/>
              </w:rPr>
            </w:pPr>
            <w:r>
              <w:rPr>
                <w:spacing w:val="-2"/>
                <w:sz w:val="16"/>
              </w:rPr>
              <w:t>23±1.0</w:t>
            </w:r>
          </w:p>
        </w:tc>
        <w:tc>
          <w:tcPr>
            <w:tcW w:w="856" w:type="dxa"/>
          </w:tcPr>
          <w:p>
            <w:pPr>
              <w:pStyle w:val="TableParagraph"/>
              <w:spacing w:line="174" w:lineRule="exact"/>
              <w:ind w:left="201"/>
              <w:jc w:val="left"/>
              <w:rPr>
                <w:sz w:val="16"/>
              </w:rPr>
            </w:pPr>
            <w:r>
              <w:rPr>
                <w:spacing w:val="-2"/>
                <w:sz w:val="16"/>
              </w:rPr>
              <w:t>19±1.4</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S10c</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right="29"/>
              <w:rPr>
                <w:sz w:val="16"/>
              </w:rPr>
            </w:pPr>
            <w:r>
              <w:rPr>
                <w:spacing w:val="-2"/>
                <w:sz w:val="16"/>
              </w:rPr>
              <w:t>14v1.0</w:t>
            </w:r>
          </w:p>
        </w:tc>
        <w:tc>
          <w:tcPr>
            <w:tcW w:w="832" w:type="dxa"/>
          </w:tcPr>
          <w:p>
            <w:pPr>
              <w:pStyle w:val="TableParagraph"/>
              <w:spacing w:line="174" w:lineRule="exact"/>
              <w:ind w:left="135"/>
              <w:jc w:val="left"/>
              <w:rPr>
                <w:sz w:val="16"/>
              </w:rPr>
            </w:pPr>
            <w:r>
              <w:rPr>
                <w:spacing w:val="-2"/>
                <w:sz w:val="16"/>
              </w:rPr>
              <w:t>11±2.4</w:t>
            </w:r>
          </w:p>
        </w:tc>
        <w:tc>
          <w:tcPr>
            <w:tcW w:w="902" w:type="dxa"/>
          </w:tcPr>
          <w:p>
            <w:pPr>
              <w:pStyle w:val="TableParagraph"/>
              <w:spacing w:line="174" w:lineRule="exact"/>
              <w:ind w:right="47"/>
              <w:rPr>
                <w:sz w:val="16"/>
              </w:rPr>
            </w:pPr>
            <w:r>
              <w:rPr>
                <w:spacing w:val="-2"/>
                <w:sz w:val="16"/>
              </w:rPr>
              <w:t>15±0.0</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10±1.4</w:t>
            </w:r>
          </w:p>
        </w:tc>
        <w:tc>
          <w:tcPr>
            <w:tcW w:w="856" w:type="dxa"/>
          </w:tcPr>
          <w:p>
            <w:pPr>
              <w:pStyle w:val="TableParagraph"/>
              <w:spacing w:line="174" w:lineRule="exact"/>
              <w:ind w:left="201"/>
              <w:jc w:val="left"/>
              <w:rPr>
                <w:sz w:val="16"/>
              </w:rPr>
            </w:pPr>
            <w:r>
              <w:rPr>
                <w:spacing w:val="-2"/>
                <w:sz w:val="16"/>
              </w:rPr>
              <w:t>14±1.4</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5"/>
                <w:sz w:val="16"/>
              </w:rPr>
              <w:t>Z5e</w:t>
            </w:r>
          </w:p>
        </w:tc>
        <w:tc>
          <w:tcPr>
            <w:tcW w:w="1072" w:type="dxa"/>
          </w:tcPr>
          <w:p>
            <w:pPr>
              <w:pStyle w:val="TableParagraph"/>
              <w:spacing w:line="177" w:lineRule="exact"/>
              <w:ind w:right="47"/>
              <w:rPr>
                <w:sz w:val="16"/>
              </w:rPr>
            </w:pPr>
            <w:r>
              <w:rPr>
                <w:spacing w:val="-2"/>
                <w:sz w:val="16"/>
              </w:rPr>
              <w:t>22±1.4</w:t>
            </w:r>
          </w:p>
        </w:tc>
        <w:tc>
          <w:tcPr>
            <w:tcW w:w="944" w:type="dxa"/>
          </w:tcPr>
          <w:p>
            <w:pPr>
              <w:pStyle w:val="TableParagraph"/>
              <w:spacing w:line="177" w:lineRule="exact"/>
              <w:ind w:right="202"/>
              <w:jc w:val="right"/>
              <w:rPr>
                <w:sz w:val="16"/>
              </w:rPr>
            </w:pPr>
            <w:r>
              <w:rPr>
                <w:spacing w:val="-2"/>
                <w:sz w:val="16"/>
              </w:rPr>
              <w:t>28±2.2</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22±1.0</w:t>
            </w:r>
          </w:p>
        </w:tc>
        <w:tc>
          <w:tcPr>
            <w:tcW w:w="832" w:type="dxa"/>
          </w:tcPr>
          <w:p>
            <w:pPr>
              <w:pStyle w:val="TableParagraph"/>
              <w:spacing w:line="177" w:lineRule="exact"/>
              <w:ind w:left="135"/>
              <w:jc w:val="left"/>
              <w:rPr>
                <w:sz w:val="16"/>
              </w:rPr>
            </w:pPr>
            <w:r>
              <w:rPr>
                <w:spacing w:val="-2"/>
                <w:sz w:val="16"/>
              </w:rPr>
              <w:t>22±2.2</w:t>
            </w:r>
          </w:p>
        </w:tc>
        <w:tc>
          <w:tcPr>
            <w:tcW w:w="902" w:type="dxa"/>
          </w:tcPr>
          <w:p>
            <w:pPr>
              <w:pStyle w:val="TableParagraph"/>
              <w:spacing w:line="177" w:lineRule="exact"/>
              <w:ind w:right="47"/>
              <w:rPr>
                <w:sz w:val="16"/>
              </w:rPr>
            </w:pPr>
            <w:r>
              <w:rPr>
                <w:spacing w:val="-2"/>
                <w:sz w:val="16"/>
              </w:rPr>
              <w:t>28±3.6</w:t>
            </w:r>
          </w:p>
        </w:tc>
        <w:tc>
          <w:tcPr>
            <w:tcW w:w="856" w:type="dxa"/>
          </w:tcPr>
          <w:p>
            <w:pPr>
              <w:pStyle w:val="TableParagraph"/>
              <w:spacing w:line="177" w:lineRule="exact"/>
              <w:ind w:left="81" w:right="91"/>
              <w:rPr>
                <w:sz w:val="16"/>
              </w:rPr>
            </w:pPr>
            <w:r>
              <w:rPr>
                <w:spacing w:val="-2"/>
                <w:sz w:val="16"/>
              </w:rPr>
              <w:t>23±2.3</w:t>
            </w:r>
          </w:p>
        </w:tc>
        <w:tc>
          <w:tcPr>
            <w:tcW w:w="858" w:type="dxa"/>
          </w:tcPr>
          <w:p>
            <w:pPr>
              <w:pStyle w:val="TableParagraph"/>
              <w:spacing w:line="177" w:lineRule="exact"/>
              <w:ind w:left="156"/>
              <w:jc w:val="left"/>
              <w:rPr>
                <w:sz w:val="16"/>
              </w:rPr>
            </w:pPr>
            <w:r>
              <w:rPr>
                <w:spacing w:val="-2"/>
                <w:sz w:val="16"/>
              </w:rPr>
              <w:t>25±2.2</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4"/>
                <w:sz w:val="16"/>
              </w:rPr>
              <w:t>S44e</w:t>
            </w:r>
          </w:p>
        </w:tc>
        <w:tc>
          <w:tcPr>
            <w:tcW w:w="1072" w:type="dxa"/>
          </w:tcPr>
          <w:p>
            <w:pPr>
              <w:pStyle w:val="TableParagraph"/>
              <w:spacing w:line="177" w:lineRule="exact"/>
              <w:ind w:left="39" w:right="47"/>
              <w:rPr>
                <w:sz w:val="16"/>
              </w:rPr>
            </w:pPr>
            <w:r>
              <w:rPr>
                <w:spacing w:val="-2"/>
                <w:sz w:val="16"/>
              </w:rPr>
              <w:t>0.0±0.0</w:t>
            </w:r>
          </w:p>
        </w:tc>
        <w:tc>
          <w:tcPr>
            <w:tcW w:w="944" w:type="dxa"/>
          </w:tcPr>
          <w:p>
            <w:pPr>
              <w:pStyle w:val="TableParagraph"/>
              <w:spacing w:line="177" w:lineRule="exact"/>
              <w:ind w:right="164"/>
              <w:jc w:val="right"/>
              <w:rPr>
                <w:sz w:val="16"/>
              </w:rPr>
            </w:pPr>
            <w:r>
              <w:rPr>
                <w:spacing w:val="-2"/>
                <w:sz w:val="16"/>
              </w:rPr>
              <w:t>0.0±0.0</w:t>
            </w:r>
          </w:p>
        </w:tc>
        <w:tc>
          <w:tcPr>
            <w:tcW w:w="764" w:type="dxa"/>
          </w:tcPr>
          <w:p>
            <w:pPr>
              <w:pStyle w:val="TableParagraph"/>
              <w:spacing w:line="177" w:lineRule="exact"/>
              <w:ind w:left="38" w:right="38"/>
              <w:rPr>
                <w:sz w:val="16"/>
              </w:rPr>
            </w:pPr>
            <w:r>
              <w:rPr>
                <w:spacing w:val="-2"/>
                <w:sz w:val="16"/>
              </w:rPr>
              <w:t>12±1.0</w:t>
            </w:r>
          </w:p>
        </w:tc>
        <w:tc>
          <w:tcPr>
            <w:tcW w:w="702" w:type="dxa"/>
          </w:tcPr>
          <w:p>
            <w:pPr>
              <w:pStyle w:val="TableParagraph"/>
              <w:spacing w:line="177" w:lineRule="exact"/>
              <w:ind w:left="5" w:right="29"/>
              <w:rPr>
                <w:sz w:val="16"/>
              </w:rPr>
            </w:pPr>
            <w:r>
              <w:rPr>
                <w:spacing w:val="-2"/>
                <w:sz w:val="16"/>
              </w:rPr>
              <w:t>18±0.0</w:t>
            </w:r>
          </w:p>
        </w:tc>
        <w:tc>
          <w:tcPr>
            <w:tcW w:w="832" w:type="dxa"/>
          </w:tcPr>
          <w:p>
            <w:pPr>
              <w:pStyle w:val="TableParagraph"/>
              <w:spacing w:line="177" w:lineRule="exact"/>
              <w:ind w:left="135"/>
              <w:jc w:val="left"/>
              <w:rPr>
                <w:sz w:val="16"/>
              </w:rPr>
            </w:pPr>
            <w:r>
              <w:rPr>
                <w:spacing w:val="-2"/>
                <w:sz w:val="16"/>
              </w:rPr>
              <w:t>22±1.0</w:t>
            </w:r>
          </w:p>
        </w:tc>
        <w:tc>
          <w:tcPr>
            <w:tcW w:w="902" w:type="dxa"/>
          </w:tcPr>
          <w:p>
            <w:pPr>
              <w:pStyle w:val="TableParagraph"/>
              <w:spacing w:line="177" w:lineRule="exact"/>
              <w:ind w:right="47"/>
              <w:rPr>
                <w:sz w:val="16"/>
              </w:rPr>
            </w:pPr>
            <w:r>
              <w:rPr>
                <w:spacing w:val="-2"/>
                <w:sz w:val="16"/>
              </w:rPr>
              <w:t>20±1.0</w:t>
            </w:r>
          </w:p>
        </w:tc>
        <w:tc>
          <w:tcPr>
            <w:tcW w:w="856" w:type="dxa"/>
          </w:tcPr>
          <w:p>
            <w:pPr>
              <w:pStyle w:val="TableParagraph"/>
              <w:spacing w:line="177" w:lineRule="exact"/>
              <w:ind w:left="117" w:right="91"/>
              <w:rPr>
                <w:sz w:val="16"/>
              </w:rPr>
            </w:pPr>
            <w:r>
              <w:rPr>
                <w:spacing w:val="-2"/>
                <w:sz w:val="16"/>
              </w:rPr>
              <w:t>9.0±1.4</w:t>
            </w:r>
          </w:p>
        </w:tc>
        <w:tc>
          <w:tcPr>
            <w:tcW w:w="858" w:type="dxa"/>
          </w:tcPr>
          <w:p>
            <w:pPr>
              <w:pStyle w:val="TableParagraph"/>
              <w:spacing w:line="177" w:lineRule="exact"/>
              <w:ind w:left="156"/>
              <w:jc w:val="left"/>
              <w:rPr>
                <w:sz w:val="16"/>
              </w:rPr>
            </w:pPr>
            <w:r>
              <w:rPr>
                <w:spacing w:val="-2"/>
                <w:sz w:val="16"/>
              </w:rPr>
              <w:t>0.0±0.0</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S16c</w:t>
            </w:r>
          </w:p>
        </w:tc>
        <w:tc>
          <w:tcPr>
            <w:tcW w:w="1072" w:type="dxa"/>
          </w:tcPr>
          <w:p>
            <w:pPr>
              <w:pStyle w:val="TableParagraph"/>
              <w:spacing w:line="174" w:lineRule="exact"/>
              <w:ind w:left="39" w:right="47"/>
              <w:rPr>
                <w:sz w:val="16"/>
              </w:rPr>
            </w:pPr>
            <w:r>
              <w:rPr>
                <w:spacing w:val="-2"/>
                <w:sz w:val="16"/>
              </w:rPr>
              <w:t>9.0±1.4</w:t>
            </w:r>
          </w:p>
        </w:tc>
        <w:tc>
          <w:tcPr>
            <w:tcW w:w="944" w:type="dxa"/>
          </w:tcPr>
          <w:p>
            <w:pPr>
              <w:pStyle w:val="TableParagraph"/>
              <w:spacing w:line="174" w:lineRule="exact"/>
              <w:ind w:right="202"/>
              <w:jc w:val="right"/>
              <w:rPr>
                <w:sz w:val="16"/>
              </w:rPr>
            </w:pPr>
            <w:r>
              <w:rPr>
                <w:spacing w:val="-2"/>
                <w:sz w:val="16"/>
              </w:rPr>
              <w:t>14±1.4</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25±2.2</w:t>
            </w:r>
          </w:p>
        </w:tc>
        <w:tc>
          <w:tcPr>
            <w:tcW w:w="832" w:type="dxa"/>
          </w:tcPr>
          <w:p>
            <w:pPr>
              <w:pStyle w:val="TableParagraph"/>
              <w:spacing w:line="174" w:lineRule="exact"/>
              <w:ind w:left="135"/>
              <w:jc w:val="left"/>
              <w:rPr>
                <w:sz w:val="16"/>
              </w:rPr>
            </w:pPr>
            <w:r>
              <w:rPr>
                <w:spacing w:val="-2"/>
                <w:sz w:val="16"/>
              </w:rPr>
              <w:t>18±3.6</w:t>
            </w:r>
          </w:p>
        </w:tc>
        <w:tc>
          <w:tcPr>
            <w:tcW w:w="902" w:type="dxa"/>
          </w:tcPr>
          <w:p>
            <w:pPr>
              <w:pStyle w:val="TableParagraph"/>
              <w:spacing w:line="174" w:lineRule="exact"/>
              <w:ind w:right="47"/>
              <w:rPr>
                <w:sz w:val="16"/>
              </w:rPr>
            </w:pPr>
            <w:r>
              <w:rPr>
                <w:spacing w:val="-2"/>
                <w:sz w:val="16"/>
              </w:rPr>
              <w:t>28±1.4</w:t>
            </w:r>
          </w:p>
        </w:tc>
        <w:tc>
          <w:tcPr>
            <w:tcW w:w="856" w:type="dxa"/>
          </w:tcPr>
          <w:p>
            <w:pPr>
              <w:pStyle w:val="TableParagraph"/>
              <w:spacing w:line="174" w:lineRule="exact"/>
              <w:ind w:left="26" w:right="117"/>
              <w:rPr>
                <w:sz w:val="16"/>
              </w:rPr>
            </w:pPr>
            <w:r>
              <w:rPr>
                <w:spacing w:val="-2"/>
                <w:sz w:val="16"/>
              </w:rPr>
              <w:t>9±0.0</w:t>
            </w:r>
          </w:p>
        </w:tc>
        <w:tc>
          <w:tcPr>
            <w:tcW w:w="858" w:type="dxa"/>
          </w:tcPr>
          <w:p>
            <w:pPr>
              <w:pStyle w:val="TableParagraph"/>
              <w:spacing w:line="174" w:lineRule="exact"/>
              <w:ind w:left="156"/>
              <w:jc w:val="left"/>
              <w:rPr>
                <w:sz w:val="16"/>
              </w:rPr>
            </w:pPr>
            <w:r>
              <w:rPr>
                <w:spacing w:val="-2"/>
                <w:sz w:val="16"/>
              </w:rPr>
              <w:t>13±1.0</w:t>
            </w:r>
          </w:p>
        </w:tc>
        <w:tc>
          <w:tcPr>
            <w:tcW w:w="856" w:type="dxa"/>
          </w:tcPr>
          <w:p>
            <w:pPr>
              <w:pStyle w:val="TableParagraph"/>
              <w:spacing w:line="174" w:lineRule="exact"/>
              <w:ind w:left="201"/>
              <w:jc w:val="left"/>
              <w:rPr>
                <w:sz w:val="16"/>
              </w:rPr>
            </w:pPr>
            <w:r>
              <w:rPr>
                <w:spacing w:val="-2"/>
                <w:sz w:val="16"/>
              </w:rPr>
              <w:t>0.0±0.0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5"/>
                <w:sz w:val="16"/>
              </w:rPr>
              <w:t>B4e</w:t>
            </w:r>
          </w:p>
        </w:tc>
        <w:tc>
          <w:tcPr>
            <w:tcW w:w="1072" w:type="dxa"/>
          </w:tcPr>
          <w:p>
            <w:pPr>
              <w:pStyle w:val="TableParagraph"/>
              <w:spacing w:line="174" w:lineRule="exact"/>
              <w:ind w:right="47"/>
              <w:rPr>
                <w:sz w:val="16"/>
              </w:rPr>
            </w:pPr>
            <w:r>
              <w:rPr>
                <w:spacing w:val="-2"/>
                <w:sz w:val="16"/>
              </w:rPr>
              <w:t>10±1.4</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21±1.0</w:t>
            </w:r>
          </w:p>
        </w:tc>
        <w:tc>
          <w:tcPr>
            <w:tcW w:w="832" w:type="dxa"/>
          </w:tcPr>
          <w:p>
            <w:pPr>
              <w:pStyle w:val="TableParagraph"/>
              <w:spacing w:line="174" w:lineRule="exact"/>
              <w:ind w:left="135"/>
              <w:jc w:val="left"/>
              <w:rPr>
                <w:sz w:val="16"/>
              </w:rPr>
            </w:pPr>
            <w:r>
              <w:rPr>
                <w:spacing w:val="-2"/>
                <w:sz w:val="16"/>
              </w:rPr>
              <w:t>21±1.0</w:t>
            </w:r>
          </w:p>
        </w:tc>
        <w:tc>
          <w:tcPr>
            <w:tcW w:w="902" w:type="dxa"/>
          </w:tcPr>
          <w:p>
            <w:pPr>
              <w:pStyle w:val="TableParagraph"/>
              <w:spacing w:line="174" w:lineRule="exact"/>
              <w:ind w:left="38" w:right="47"/>
              <w:rPr>
                <w:sz w:val="16"/>
              </w:rPr>
            </w:pPr>
            <w:r>
              <w:rPr>
                <w:spacing w:val="-2"/>
                <w:sz w:val="16"/>
              </w:rPr>
              <w:t>3.0±7.1</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23±1.4</w:t>
            </w:r>
          </w:p>
        </w:tc>
        <w:tc>
          <w:tcPr>
            <w:tcW w:w="856" w:type="dxa"/>
          </w:tcPr>
          <w:p>
            <w:pPr>
              <w:pStyle w:val="TableParagraph"/>
              <w:spacing w:line="174" w:lineRule="exact"/>
              <w:ind w:left="201"/>
              <w:jc w:val="left"/>
              <w:rPr>
                <w:sz w:val="16"/>
              </w:rPr>
            </w:pPr>
            <w:r>
              <w:rPr>
                <w:spacing w:val="-2"/>
                <w:sz w:val="16"/>
              </w:rPr>
              <w:t>13±1.4</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5"/>
                <w:sz w:val="16"/>
              </w:rPr>
              <w:t>Z6e</w:t>
            </w:r>
          </w:p>
        </w:tc>
        <w:tc>
          <w:tcPr>
            <w:tcW w:w="1072" w:type="dxa"/>
          </w:tcPr>
          <w:p>
            <w:pPr>
              <w:pStyle w:val="TableParagraph"/>
              <w:spacing w:line="177" w:lineRule="exact"/>
              <w:ind w:right="47"/>
              <w:rPr>
                <w:sz w:val="16"/>
              </w:rPr>
            </w:pPr>
            <w:r>
              <w:rPr>
                <w:spacing w:val="-2"/>
                <w:sz w:val="16"/>
              </w:rPr>
              <w:t>22±1.0</w:t>
            </w:r>
          </w:p>
        </w:tc>
        <w:tc>
          <w:tcPr>
            <w:tcW w:w="944" w:type="dxa"/>
          </w:tcPr>
          <w:p>
            <w:pPr>
              <w:pStyle w:val="TableParagraph"/>
              <w:spacing w:line="177" w:lineRule="exact"/>
              <w:ind w:right="202"/>
              <w:jc w:val="right"/>
              <w:rPr>
                <w:sz w:val="16"/>
              </w:rPr>
            </w:pPr>
            <w:r>
              <w:rPr>
                <w:spacing w:val="-2"/>
                <w:sz w:val="16"/>
              </w:rPr>
              <w:t>16±6.4</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19±2.2</w:t>
            </w:r>
          </w:p>
        </w:tc>
        <w:tc>
          <w:tcPr>
            <w:tcW w:w="832" w:type="dxa"/>
          </w:tcPr>
          <w:p>
            <w:pPr>
              <w:pStyle w:val="TableParagraph"/>
              <w:spacing w:line="177" w:lineRule="exact"/>
              <w:ind w:left="135"/>
              <w:jc w:val="left"/>
              <w:rPr>
                <w:sz w:val="16"/>
              </w:rPr>
            </w:pPr>
            <w:r>
              <w:rPr>
                <w:spacing w:val="-2"/>
                <w:sz w:val="16"/>
              </w:rPr>
              <w:t>0.0±0.0</w:t>
            </w:r>
          </w:p>
        </w:tc>
        <w:tc>
          <w:tcPr>
            <w:tcW w:w="902" w:type="dxa"/>
          </w:tcPr>
          <w:p>
            <w:pPr>
              <w:pStyle w:val="TableParagraph"/>
              <w:spacing w:line="177" w:lineRule="exact"/>
              <w:ind w:right="47"/>
              <w:rPr>
                <w:sz w:val="16"/>
              </w:rPr>
            </w:pPr>
            <w:r>
              <w:rPr>
                <w:spacing w:val="-2"/>
                <w:sz w:val="16"/>
              </w:rPr>
              <w:t>27±2.2</w:t>
            </w:r>
          </w:p>
        </w:tc>
        <w:tc>
          <w:tcPr>
            <w:tcW w:w="856" w:type="dxa"/>
          </w:tcPr>
          <w:p>
            <w:pPr>
              <w:pStyle w:val="TableParagraph"/>
              <w:spacing w:line="177" w:lineRule="exact"/>
              <w:ind w:left="81" w:right="91"/>
              <w:rPr>
                <w:sz w:val="16"/>
              </w:rPr>
            </w:pPr>
            <w:r>
              <w:rPr>
                <w:spacing w:val="-2"/>
                <w:sz w:val="16"/>
              </w:rPr>
              <w:t>24±2.2</w:t>
            </w:r>
          </w:p>
        </w:tc>
        <w:tc>
          <w:tcPr>
            <w:tcW w:w="858" w:type="dxa"/>
          </w:tcPr>
          <w:p>
            <w:pPr>
              <w:pStyle w:val="TableParagraph"/>
              <w:spacing w:line="177" w:lineRule="exact"/>
              <w:ind w:left="156"/>
              <w:jc w:val="left"/>
              <w:rPr>
                <w:sz w:val="16"/>
              </w:rPr>
            </w:pPr>
            <w:r>
              <w:rPr>
                <w:spacing w:val="-2"/>
                <w:sz w:val="16"/>
              </w:rPr>
              <w:t>20±2.2</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S19c</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202"/>
              <w:jc w:val="right"/>
              <w:rPr>
                <w:sz w:val="16"/>
              </w:rPr>
            </w:pPr>
            <w:r>
              <w:rPr>
                <w:spacing w:val="-2"/>
                <w:sz w:val="16"/>
              </w:rPr>
              <w:t>12±1.4</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19±1.4</w:t>
            </w:r>
          </w:p>
        </w:tc>
        <w:tc>
          <w:tcPr>
            <w:tcW w:w="832" w:type="dxa"/>
          </w:tcPr>
          <w:p>
            <w:pPr>
              <w:pStyle w:val="TableParagraph"/>
              <w:spacing w:line="174" w:lineRule="exact"/>
              <w:ind w:left="135"/>
              <w:jc w:val="left"/>
              <w:rPr>
                <w:sz w:val="16"/>
              </w:rPr>
            </w:pPr>
            <w:r>
              <w:rPr>
                <w:spacing w:val="-2"/>
                <w:sz w:val="16"/>
              </w:rPr>
              <w:t>11±0.0</w:t>
            </w:r>
          </w:p>
        </w:tc>
        <w:tc>
          <w:tcPr>
            <w:tcW w:w="902" w:type="dxa"/>
          </w:tcPr>
          <w:p>
            <w:pPr>
              <w:pStyle w:val="TableParagraph"/>
              <w:spacing w:line="174" w:lineRule="exact"/>
              <w:ind w:right="47"/>
              <w:rPr>
                <w:sz w:val="16"/>
              </w:rPr>
            </w:pPr>
            <w:r>
              <w:rPr>
                <w:spacing w:val="-2"/>
                <w:sz w:val="16"/>
              </w:rPr>
              <w:t>17±3.6</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0.0±0.0</w:t>
            </w:r>
          </w:p>
        </w:tc>
        <w:tc>
          <w:tcPr>
            <w:tcW w:w="856" w:type="dxa"/>
          </w:tcPr>
          <w:p>
            <w:pPr>
              <w:pStyle w:val="TableParagraph"/>
              <w:spacing w:line="174" w:lineRule="exact"/>
              <w:ind w:left="201"/>
              <w:jc w:val="left"/>
              <w:rPr>
                <w:sz w:val="16"/>
              </w:rPr>
            </w:pPr>
            <w:r>
              <w:rPr>
                <w:spacing w:val="-2"/>
                <w:sz w:val="16"/>
              </w:rPr>
              <w:t>0.0±0.0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S22e</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16±2.2</w:t>
            </w:r>
          </w:p>
        </w:tc>
        <w:tc>
          <w:tcPr>
            <w:tcW w:w="832" w:type="dxa"/>
          </w:tcPr>
          <w:p>
            <w:pPr>
              <w:pStyle w:val="TableParagraph"/>
              <w:spacing w:line="174" w:lineRule="exact"/>
              <w:ind w:left="135"/>
              <w:jc w:val="left"/>
              <w:rPr>
                <w:sz w:val="16"/>
              </w:rPr>
            </w:pPr>
            <w:r>
              <w:rPr>
                <w:spacing w:val="-2"/>
                <w:sz w:val="16"/>
              </w:rPr>
              <w:t>8±1.0</w:t>
            </w:r>
          </w:p>
        </w:tc>
        <w:tc>
          <w:tcPr>
            <w:tcW w:w="902" w:type="dxa"/>
          </w:tcPr>
          <w:p>
            <w:pPr>
              <w:pStyle w:val="TableParagraph"/>
              <w:spacing w:line="174" w:lineRule="exact"/>
              <w:ind w:right="47"/>
              <w:rPr>
                <w:sz w:val="16"/>
              </w:rPr>
            </w:pPr>
            <w:r>
              <w:rPr>
                <w:spacing w:val="-2"/>
                <w:sz w:val="16"/>
              </w:rPr>
              <w:t>24±1.0</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11±1.0</w:t>
            </w:r>
          </w:p>
        </w:tc>
        <w:tc>
          <w:tcPr>
            <w:tcW w:w="856" w:type="dxa"/>
          </w:tcPr>
          <w:p>
            <w:pPr>
              <w:pStyle w:val="TableParagraph"/>
              <w:spacing w:line="174" w:lineRule="exact"/>
              <w:ind w:left="201"/>
              <w:jc w:val="left"/>
              <w:rPr>
                <w:sz w:val="16"/>
              </w:rPr>
            </w:pPr>
            <w:r>
              <w:rPr>
                <w:spacing w:val="-2"/>
                <w:sz w:val="16"/>
              </w:rPr>
              <w:t>9±1.0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5"/>
                <w:sz w:val="16"/>
              </w:rPr>
              <w:t>S6c</w:t>
            </w:r>
          </w:p>
        </w:tc>
        <w:tc>
          <w:tcPr>
            <w:tcW w:w="1072" w:type="dxa"/>
          </w:tcPr>
          <w:p>
            <w:pPr>
              <w:pStyle w:val="TableParagraph"/>
              <w:spacing w:line="177" w:lineRule="exact"/>
              <w:ind w:left="39" w:right="47"/>
              <w:rPr>
                <w:sz w:val="16"/>
              </w:rPr>
            </w:pPr>
            <w:r>
              <w:rPr>
                <w:spacing w:val="-2"/>
                <w:sz w:val="16"/>
              </w:rPr>
              <w:t>0.0±0.0</w:t>
            </w:r>
          </w:p>
        </w:tc>
        <w:tc>
          <w:tcPr>
            <w:tcW w:w="944" w:type="dxa"/>
          </w:tcPr>
          <w:p>
            <w:pPr>
              <w:pStyle w:val="TableParagraph"/>
              <w:spacing w:line="177" w:lineRule="exact"/>
              <w:ind w:right="164"/>
              <w:jc w:val="right"/>
              <w:rPr>
                <w:sz w:val="16"/>
              </w:rPr>
            </w:pPr>
            <w:r>
              <w:rPr>
                <w:spacing w:val="-2"/>
                <w:sz w:val="16"/>
              </w:rPr>
              <w:t>0.0±0.0</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17±2.2</w:t>
            </w:r>
          </w:p>
        </w:tc>
        <w:tc>
          <w:tcPr>
            <w:tcW w:w="832" w:type="dxa"/>
          </w:tcPr>
          <w:p>
            <w:pPr>
              <w:pStyle w:val="TableParagraph"/>
              <w:spacing w:line="177" w:lineRule="exact"/>
              <w:ind w:left="135"/>
              <w:jc w:val="left"/>
              <w:rPr>
                <w:sz w:val="16"/>
              </w:rPr>
            </w:pPr>
            <w:r>
              <w:rPr>
                <w:spacing w:val="-2"/>
                <w:sz w:val="16"/>
              </w:rPr>
              <w:t>10±0.0</w:t>
            </w:r>
          </w:p>
        </w:tc>
        <w:tc>
          <w:tcPr>
            <w:tcW w:w="902" w:type="dxa"/>
          </w:tcPr>
          <w:p>
            <w:pPr>
              <w:pStyle w:val="TableParagraph"/>
              <w:spacing w:line="177" w:lineRule="exact"/>
              <w:ind w:right="47"/>
              <w:rPr>
                <w:sz w:val="16"/>
              </w:rPr>
            </w:pPr>
            <w:r>
              <w:rPr>
                <w:spacing w:val="-2"/>
                <w:sz w:val="16"/>
              </w:rPr>
              <w:t>21±1.0</w:t>
            </w:r>
          </w:p>
        </w:tc>
        <w:tc>
          <w:tcPr>
            <w:tcW w:w="856" w:type="dxa"/>
          </w:tcPr>
          <w:p>
            <w:pPr>
              <w:pStyle w:val="TableParagraph"/>
              <w:spacing w:line="177" w:lineRule="exact"/>
              <w:ind w:left="117" w:right="91"/>
              <w:rPr>
                <w:sz w:val="16"/>
              </w:rPr>
            </w:pPr>
            <w:r>
              <w:rPr>
                <w:spacing w:val="-2"/>
                <w:sz w:val="16"/>
              </w:rPr>
              <w:t>0.0±0.0</w:t>
            </w:r>
          </w:p>
        </w:tc>
        <w:tc>
          <w:tcPr>
            <w:tcW w:w="858" w:type="dxa"/>
          </w:tcPr>
          <w:p>
            <w:pPr>
              <w:pStyle w:val="TableParagraph"/>
              <w:spacing w:line="177" w:lineRule="exact"/>
              <w:ind w:left="156"/>
              <w:jc w:val="left"/>
              <w:rPr>
                <w:sz w:val="16"/>
              </w:rPr>
            </w:pPr>
            <w:r>
              <w:rPr>
                <w:spacing w:val="-2"/>
                <w:sz w:val="16"/>
              </w:rPr>
              <w:t>11±0.0</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E13e</w:t>
            </w:r>
          </w:p>
        </w:tc>
        <w:tc>
          <w:tcPr>
            <w:tcW w:w="1072" w:type="dxa"/>
          </w:tcPr>
          <w:p>
            <w:pPr>
              <w:pStyle w:val="TableParagraph"/>
              <w:spacing w:line="174" w:lineRule="exact"/>
              <w:ind w:right="47"/>
              <w:rPr>
                <w:sz w:val="16"/>
              </w:rPr>
            </w:pPr>
            <w:r>
              <w:rPr>
                <w:spacing w:val="-2"/>
                <w:sz w:val="16"/>
              </w:rPr>
              <w:t>22±1.4</w:t>
            </w:r>
          </w:p>
        </w:tc>
        <w:tc>
          <w:tcPr>
            <w:tcW w:w="944" w:type="dxa"/>
          </w:tcPr>
          <w:p>
            <w:pPr>
              <w:pStyle w:val="TableParagraph"/>
              <w:spacing w:line="174" w:lineRule="exact"/>
              <w:ind w:right="202"/>
              <w:jc w:val="right"/>
              <w:rPr>
                <w:sz w:val="16"/>
              </w:rPr>
            </w:pPr>
            <w:r>
              <w:rPr>
                <w:spacing w:val="-2"/>
                <w:sz w:val="16"/>
              </w:rPr>
              <w:t>21±1.4</w:t>
            </w:r>
          </w:p>
        </w:tc>
        <w:tc>
          <w:tcPr>
            <w:tcW w:w="764" w:type="dxa"/>
          </w:tcPr>
          <w:p>
            <w:pPr>
              <w:pStyle w:val="TableParagraph"/>
              <w:spacing w:line="174" w:lineRule="exact"/>
              <w:ind w:left="38" w:right="38"/>
              <w:rPr>
                <w:sz w:val="16"/>
              </w:rPr>
            </w:pPr>
            <w:r>
              <w:rPr>
                <w:spacing w:val="-2"/>
                <w:sz w:val="16"/>
              </w:rPr>
              <w:t>20±1.0</w:t>
            </w:r>
          </w:p>
        </w:tc>
        <w:tc>
          <w:tcPr>
            <w:tcW w:w="702" w:type="dxa"/>
          </w:tcPr>
          <w:p>
            <w:pPr>
              <w:pStyle w:val="TableParagraph"/>
              <w:spacing w:line="174" w:lineRule="exact"/>
              <w:ind w:left="5" w:right="29"/>
              <w:rPr>
                <w:sz w:val="16"/>
              </w:rPr>
            </w:pPr>
            <w:r>
              <w:rPr>
                <w:spacing w:val="-2"/>
                <w:sz w:val="16"/>
              </w:rPr>
              <w:t>17±1.4</w:t>
            </w:r>
          </w:p>
        </w:tc>
        <w:tc>
          <w:tcPr>
            <w:tcW w:w="832" w:type="dxa"/>
          </w:tcPr>
          <w:p>
            <w:pPr>
              <w:pStyle w:val="TableParagraph"/>
              <w:spacing w:line="174" w:lineRule="exact"/>
              <w:ind w:left="135"/>
              <w:jc w:val="left"/>
              <w:rPr>
                <w:sz w:val="16"/>
              </w:rPr>
            </w:pPr>
            <w:r>
              <w:rPr>
                <w:spacing w:val="-2"/>
                <w:sz w:val="16"/>
              </w:rPr>
              <w:t>19±1.4</w:t>
            </w:r>
          </w:p>
        </w:tc>
        <w:tc>
          <w:tcPr>
            <w:tcW w:w="902" w:type="dxa"/>
          </w:tcPr>
          <w:p>
            <w:pPr>
              <w:pStyle w:val="TableParagraph"/>
              <w:spacing w:line="174" w:lineRule="exact"/>
              <w:ind w:right="47"/>
              <w:rPr>
                <w:sz w:val="16"/>
              </w:rPr>
            </w:pPr>
            <w:r>
              <w:rPr>
                <w:spacing w:val="-2"/>
                <w:sz w:val="16"/>
              </w:rPr>
              <w:t>26±1.4</w:t>
            </w:r>
          </w:p>
        </w:tc>
        <w:tc>
          <w:tcPr>
            <w:tcW w:w="856" w:type="dxa"/>
          </w:tcPr>
          <w:p>
            <w:pPr>
              <w:pStyle w:val="TableParagraph"/>
              <w:spacing w:line="174" w:lineRule="exact"/>
              <w:ind w:left="81" w:right="91"/>
              <w:rPr>
                <w:sz w:val="16"/>
              </w:rPr>
            </w:pPr>
            <w:r>
              <w:rPr>
                <w:spacing w:val="-2"/>
                <w:sz w:val="16"/>
              </w:rPr>
              <w:t>21±1.4</w:t>
            </w:r>
          </w:p>
        </w:tc>
        <w:tc>
          <w:tcPr>
            <w:tcW w:w="858" w:type="dxa"/>
          </w:tcPr>
          <w:p>
            <w:pPr>
              <w:pStyle w:val="TableParagraph"/>
              <w:spacing w:line="174" w:lineRule="exact"/>
              <w:ind w:left="156"/>
              <w:jc w:val="left"/>
              <w:rPr>
                <w:sz w:val="16"/>
              </w:rPr>
            </w:pPr>
            <w:r>
              <w:rPr>
                <w:spacing w:val="-2"/>
                <w:sz w:val="16"/>
              </w:rPr>
              <w:t>13±1.0</w:t>
            </w:r>
          </w:p>
        </w:tc>
        <w:tc>
          <w:tcPr>
            <w:tcW w:w="856" w:type="dxa"/>
          </w:tcPr>
          <w:p>
            <w:pPr>
              <w:pStyle w:val="TableParagraph"/>
              <w:spacing w:line="174" w:lineRule="exact"/>
              <w:ind w:left="201"/>
              <w:jc w:val="left"/>
              <w:rPr>
                <w:sz w:val="16"/>
              </w:rPr>
            </w:pPr>
            <w:r>
              <w:rPr>
                <w:spacing w:val="-2"/>
                <w:sz w:val="16"/>
              </w:rPr>
              <w:t>16±2.2</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16" w:right="35"/>
              <w:rPr>
                <w:sz w:val="16"/>
              </w:rPr>
            </w:pPr>
            <w:r>
              <w:rPr>
                <w:spacing w:val="-2"/>
                <w:sz w:val="16"/>
              </w:rPr>
              <w:t>10±0.0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E32s</w:t>
            </w:r>
          </w:p>
        </w:tc>
        <w:tc>
          <w:tcPr>
            <w:tcW w:w="1072" w:type="dxa"/>
          </w:tcPr>
          <w:p>
            <w:pPr>
              <w:pStyle w:val="TableParagraph"/>
              <w:spacing w:line="174" w:lineRule="exact"/>
              <w:ind w:right="47"/>
              <w:rPr>
                <w:sz w:val="16"/>
              </w:rPr>
            </w:pPr>
            <w:r>
              <w:rPr>
                <w:spacing w:val="-2"/>
                <w:sz w:val="16"/>
              </w:rPr>
              <w:t>13±1.0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18±2.8</w:t>
            </w:r>
          </w:p>
        </w:tc>
        <w:tc>
          <w:tcPr>
            <w:tcW w:w="832" w:type="dxa"/>
          </w:tcPr>
          <w:p>
            <w:pPr>
              <w:pStyle w:val="TableParagraph"/>
              <w:spacing w:line="174" w:lineRule="exact"/>
              <w:ind w:left="135"/>
              <w:jc w:val="left"/>
              <w:rPr>
                <w:sz w:val="16"/>
              </w:rPr>
            </w:pPr>
            <w:r>
              <w:rPr>
                <w:spacing w:val="-2"/>
                <w:sz w:val="16"/>
              </w:rPr>
              <w:t>0.0±0.0</w:t>
            </w:r>
          </w:p>
        </w:tc>
        <w:tc>
          <w:tcPr>
            <w:tcW w:w="902" w:type="dxa"/>
          </w:tcPr>
          <w:p>
            <w:pPr>
              <w:pStyle w:val="TableParagraph"/>
              <w:spacing w:line="174" w:lineRule="exact"/>
              <w:ind w:left="38" w:right="47"/>
              <w:rPr>
                <w:sz w:val="16"/>
              </w:rPr>
            </w:pPr>
            <w:r>
              <w:rPr>
                <w:spacing w:val="-2"/>
                <w:sz w:val="16"/>
              </w:rPr>
              <w:t>0.0±0.0</w:t>
            </w:r>
          </w:p>
        </w:tc>
        <w:tc>
          <w:tcPr>
            <w:tcW w:w="856" w:type="dxa"/>
          </w:tcPr>
          <w:p>
            <w:pPr>
              <w:pStyle w:val="TableParagraph"/>
              <w:spacing w:line="174" w:lineRule="exact"/>
              <w:ind w:left="81" w:right="91"/>
              <w:rPr>
                <w:sz w:val="16"/>
              </w:rPr>
            </w:pPr>
            <w:r>
              <w:rPr>
                <w:spacing w:val="-2"/>
                <w:sz w:val="16"/>
              </w:rPr>
              <w:t>11±1.0</w:t>
            </w:r>
          </w:p>
        </w:tc>
        <w:tc>
          <w:tcPr>
            <w:tcW w:w="858" w:type="dxa"/>
          </w:tcPr>
          <w:p>
            <w:pPr>
              <w:pStyle w:val="TableParagraph"/>
              <w:spacing w:line="174" w:lineRule="exact"/>
              <w:ind w:left="156"/>
              <w:jc w:val="left"/>
              <w:rPr>
                <w:sz w:val="16"/>
              </w:rPr>
            </w:pPr>
            <w:r>
              <w:rPr>
                <w:spacing w:val="-2"/>
                <w:sz w:val="16"/>
              </w:rPr>
              <w:t>12±0.0</w:t>
            </w:r>
          </w:p>
        </w:tc>
        <w:tc>
          <w:tcPr>
            <w:tcW w:w="856" w:type="dxa"/>
          </w:tcPr>
          <w:p>
            <w:pPr>
              <w:pStyle w:val="TableParagraph"/>
              <w:spacing w:line="174" w:lineRule="exact"/>
              <w:ind w:left="201"/>
              <w:jc w:val="left"/>
              <w:rPr>
                <w:sz w:val="16"/>
              </w:rPr>
            </w:pPr>
            <w:r>
              <w:rPr>
                <w:spacing w:val="-2"/>
                <w:sz w:val="16"/>
              </w:rPr>
              <w:t>0.0±0.0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5"/>
                <w:sz w:val="16"/>
              </w:rPr>
              <w:t>E4e</w:t>
            </w:r>
          </w:p>
        </w:tc>
        <w:tc>
          <w:tcPr>
            <w:tcW w:w="1072" w:type="dxa"/>
          </w:tcPr>
          <w:p>
            <w:pPr>
              <w:pStyle w:val="TableParagraph"/>
              <w:spacing w:line="177" w:lineRule="exact"/>
              <w:ind w:left="39" w:right="47"/>
              <w:rPr>
                <w:sz w:val="16"/>
              </w:rPr>
            </w:pPr>
            <w:r>
              <w:rPr>
                <w:spacing w:val="-2"/>
                <w:sz w:val="16"/>
              </w:rPr>
              <w:t>0.0±0.0</w:t>
            </w:r>
          </w:p>
        </w:tc>
        <w:tc>
          <w:tcPr>
            <w:tcW w:w="944" w:type="dxa"/>
          </w:tcPr>
          <w:p>
            <w:pPr>
              <w:pStyle w:val="TableParagraph"/>
              <w:spacing w:line="177" w:lineRule="exact"/>
              <w:ind w:right="164"/>
              <w:jc w:val="right"/>
              <w:rPr>
                <w:sz w:val="16"/>
              </w:rPr>
            </w:pPr>
            <w:r>
              <w:rPr>
                <w:spacing w:val="-2"/>
                <w:sz w:val="16"/>
              </w:rPr>
              <w:t>0.0±0.0</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15±1.0</w:t>
            </w:r>
          </w:p>
        </w:tc>
        <w:tc>
          <w:tcPr>
            <w:tcW w:w="832" w:type="dxa"/>
          </w:tcPr>
          <w:p>
            <w:pPr>
              <w:pStyle w:val="TableParagraph"/>
              <w:spacing w:line="177" w:lineRule="exact"/>
              <w:ind w:left="135"/>
              <w:jc w:val="left"/>
              <w:rPr>
                <w:sz w:val="16"/>
              </w:rPr>
            </w:pPr>
            <w:r>
              <w:rPr>
                <w:spacing w:val="-2"/>
                <w:sz w:val="16"/>
              </w:rPr>
              <w:t>0.0±0.0</w:t>
            </w:r>
          </w:p>
        </w:tc>
        <w:tc>
          <w:tcPr>
            <w:tcW w:w="902" w:type="dxa"/>
          </w:tcPr>
          <w:p>
            <w:pPr>
              <w:pStyle w:val="TableParagraph"/>
              <w:spacing w:line="177" w:lineRule="exact"/>
              <w:ind w:right="47"/>
              <w:rPr>
                <w:sz w:val="16"/>
              </w:rPr>
            </w:pPr>
            <w:r>
              <w:rPr>
                <w:spacing w:val="-2"/>
                <w:sz w:val="16"/>
              </w:rPr>
              <w:t>17±2.2</w:t>
            </w:r>
          </w:p>
        </w:tc>
        <w:tc>
          <w:tcPr>
            <w:tcW w:w="856" w:type="dxa"/>
          </w:tcPr>
          <w:p>
            <w:pPr>
              <w:pStyle w:val="TableParagraph"/>
              <w:spacing w:line="177" w:lineRule="exact"/>
              <w:ind w:left="117" w:right="91"/>
              <w:rPr>
                <w:sz w:val="16"/>
              </w:rPr>
            </w:pPr>
            <w:r>
              <w:rPr>
                <w:spacing w:val="-2"/>
                <w:sz w:val="16"/>
              </w:rPr>
              <w:t>0.0±0.0</w:t>
            </w:r>
          </w:p>
        </w:tc>
        <w:tc>
          <w:tcPr>
            <w:tcW w:w="858" w:type="dxa"/>
          </w:tcPr>
          <w:p>
            <w:pPr>
              <w:pStyle w:val="TableParagraph"/>
              <w:spacing w:line="177" w:lineRule="exact"/>
              <w:ind w:left="156"/>
              <w:jc w:val="left"/>
              <w:rPr>
                <w:sz w:val="16"/>
              </w:rPr>
            </w:pPr>
            <w:r>
              <w:rPr>
                <w:spacing w:val="-2"/>
                <w:sz w:val="16"/>
              </w:rPr>
              <w:t>11±1.0</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S13c</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202"/>
              <w:jc w:val="right"/>
              <w:rPr>
                <w:sz w:val="16"/>
              </w:rPr>
            </w:pPr>
            <w:r>
              <w:rPr>
                <w:spacing w:val="-2"/>
                <w:sz w:val="16"/>
              </w:rPr>
              <w:t>15±1.0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23±1.0</w:t>
            </w:r>
          </w:p>
        </w:tc>
        <w:tc>
          <w:tcPr>
            <w:tcW w:w="832" w:type="dxa"/>
          </w:tcPr>
          <w:p>
            <w:pPr>
              <w:pStyle w:val="TableParagraph"/>
              <w:spacing w:line="174" w:lineRule="exact"/>
              <w:ind w:left="135"/>
              <w:jc w:val="left"/>
              <w:rPr>
                <w:sz w:val="16"/>
              </w:rPr>
            </w:pPr>
            <w:r>
              <w:rPr>
                <w:spacing w:val="-2"/>
                <w:sz w:val="16"/>
              </w:rPr>
              <w:t>11±1.4</w:t>
            </w:r>
          </w:p>
        </w:tc>
        <w:tc>
          <w:tcPr>
            <w:tcW w:w="902" w:type="dxa"/>
          </w:tcPr>
          <w:p>
            <w:pPr>
              <w:pStyle w:val="TableParagraph"/>
              <w:spacing w:line="174" w:lineRule="exact"/>
              <w:ind w:right="47"/>
              <w:rPr>
                <w:sz w:val="16"/>
              </w:rPr>
            </w:pPr>
            <w:r>
              <w:rPr>
                <w:spacing w:val="-2"/>
                <w:sz w:val="16"/>
              </w:rPr>
              <w:t>25±4.2</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13±1.0</w:t>
            </w:r>
          </w:p>
        </w:tc>
        <w:tc>
          <w:tcPr>
            <w:tcW w:w="856" w:type="dxa"/>
          </w:tcPr>
          <w:p>
            <w:pPr>
              <w:pStyle w:val="TableParagraph"/>
              <w:spacing w:line="174" w:lineRule="exact"/>
              <w:ind w:left="201"/>
              <w:jc w:val="left"/>
              <w:rPr>
                <w:sz w:val="16"/>
              </w:rPr>
            </w:pPr>
            <w:r>
              <w:rPr>
                <w:spacing w:val="-2"/>
                <w:sz w:val="16"/>
              </w:rPr>
              <w:t>0.0±0.0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S24e</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164"/>
              <w:jc w:val="right"/>
              <w:rPr>
                <w:sz w:val="16"/>
              </w:rPr>
            </w:pPr>
            <w:r>
              <w:rPr>
                <w:spacing w:val="-2"/>
                <w:sz w:val="16"/>
              </w:rPr>
              <w:t>0.0±0.0</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15±1.0</w:t>
            </w:r>
          </w:p>
        </w:tc>
        <w:tc>
          <w:tcPr>
            <w:tcW w:w="832" w:type="dxa"/>
          </w:tcPr>
          <w:p>
            <w:pPr>
              <w:pStyle w:val="TableParagraph"/>
              <w:spacing w:line="174" w:lineRule="exact"/>
              <w:ind w:left="135"/>
              <w:jc w:val="left"/>
              <w:rPr>
                <w:sz w:val="16"/>
              </w:rPr>
            </w:pPr>
            <w:r>
              <w:rPr>
                <w:spacing w:val="-2"/>
                <w:sz w:val="16"/>
              </w:rPr>
              <w:t>10±1.4</w:t>
            </w:r>
          </w:p>
        </w:tc>
        <w:tc>
          <w:tcPr>
            <w:tcW w:w="902" w:type="dxa"/>
          </w:tcPr>
          <w:p>
            <w:pPr>
              <w:pStyle w:val="TableParagraph"/>
              <w:spacing w:line="174" w:lineRule="exact"/>
              <w:ind w:right="47"/>
              <w:rPr>
                <w:sz w:val="16"/>
              </w:rPr>
            </w:pPr>
            <w:r>
              <w:rPr>
                <w:spacing w:val="-2"/>
                <w:sz w:val="16"/>
              </w:rPr>
              <w:t>18±1.0</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12±1.0</w:t>
            </w:r>
          </w:p>
        </w:tc>
        <w:tc>
          <w:tcPr>
            <w:tcW w:w="856" w:type="dxa"/>
          </w:tcPr>
          <w:p>
            <w:pPr>
              <w:pStyle w:val="TableParagraph"/>
              <w:spacing w:line="174" w:lineRule="exact"/>
              <w:ind w:left="201"/>
              <w:jc w:val="left"/>
              <w:rPr>
                <w:sz w:val="16"/>
              </w:rPr>
            </w:pPr>
            <w:r>
              <w:rPr>
                <w:spacing w:val="-2"/>
                <w:sz w:val="16"/>
              </w:rPr>
              <w:t>10±1.0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96" w:hRule="atLeast"/>
        </w:trPr>
        <w:tc>
          <w:tcPr>
            <w:tcW w:w="731" w:type="dxa"/>
          </w:tcPr>
          <w:p>
            <w:pPr>
              <w:pStyle w:val="TableParagraph"/>
              <w:spacing w:line="177" w:lineRule="exact"/>
              <w:ind w:left="120"/>
              <w:jc w:val="left"/>
              <w:rPr>
                <w:sz w:val="16"/>
              </w:rPr>
            </w:pPr>
            <w:r>
              <w:rPr>
                <w:spacing w:val="-4"/>
                <w:sz w:val="16"/>
              </w:rPr>
              <w:t>E41c</w:t>
            </w:r>
          </w:p>
        </w:tc>
        <w:tc>
          <w:tcPr>
            <w:tcW w:w="1072" w:type="dxa"/>
          </w:tcPr>
          <w:p>
            <w:pPr>
              <w:pStyle w:val="TableParagraph"/>
              <w:spacing w:line="177" w:lineRule="exact"/>
              <w:ind w:left="39" w:right="47"/>
              <w:rPr>
                <w:sz w:val="16"/>
              </w:rPr>
            </w:pPr>
            <w:r>
              <w:rPr>
                <w:spacing w:val="-2"/>
                <w:sz w:val="16"/>
              </w:rPr>
              <w:t>0.0±0.0</w:t>
            </w:r>
          </w:p>
        </w:tc>
        <w:tc>
          <w:tcPr>
            <w:tcW w:w="944" w:type="dxa"/>
          </w:tcPr>
          <w:p>
            <w:pPr>
              <w:pStyle w:val="TableParagraph"/>
              <w:spacing w:line="177" w:lineRule="exact"/>
              <w:ind w:right="164"/>
              <w:jc w:val="right"/>
              <w:rPr>
                <w:sz w:val="16"/>
              </w:rPr>
            </w:pPr>
            <w:r>
              <w:rPr>
                <w:spacing w:val="-2"/>
                <w:sz w:val="16"/>
              </w:rPr>
              <w:t>0.0±0.0</w:t>
            </w:r>
          </w:p>
        </w:tc>
        <w:tc>
          <w:tcPr>
            <w:tcW w:w="764" w:type="dxa"/>
          </w:tcPr>
          <w:p>
            <w:pPr>
              <w:pStyle w:val="TableParagraph"/>
              <w:spacing w:line="177" w:lineRule="exact"/>
              <w:ind w:left="38"/>
              <w:rPr>
                <w:sz w:val="16"/>
              </w:rPr>
            </w:pPr>
            <w:r>
              <w:rPr>
                <w:spacing w:val="-2"/>
                <w:sz w:val="16"/>
              </w:rPr>
              <w:t>0.0±0.0</w:t>
            </w:r>
          </w:p>
        </w:tc>
        <w:tc>
          <w:tcPr>
            <w:tcW w:w="702" w:type="dxa"/>
          </w:tcPr>
          <w:p>
            <w:pPr>
              <w:pStyle w:val="TableParagraph"/>
              <w:spacing w:line="177" w:lineRule="exact"/>
              <w:ind w:left="5" w:right="29"/>
              <w:rPr>
                <w:sz w:val="16"/>
              </w:rPr>
            </w:pPr>
            <w:r>
              <w:rPr>
                <w:spacing w:val="-2"/>
                <w:sz w:val="16"/>
              </w:rPr>
              <w:t>17±1.4</w:t>
            </w:r>
          </w:p>
        </w:tc>
        <w:tc>
          <w:tcPr>
            <w:tcW w:w="832" w:type="dxa"/>
          </w:tcPr>
          <w:p>
            <w:pPr>
              <w:pStyle w:val="TableParagraph"/>
              <w:spacing w:line="177" w:lineRule="exact"/>
              <w:ind w:left="135"/>
              <w:jc w:val="left"/>
              <w:rPr>
                <w:sz w:val="16"/>
              </w:rPr>
            </w:pPr>
            <w:r>
              <w:rPr>
                <w:spacing w:val="-2"/>
                <w:sz w:val="16"/>
              </w:rPr>
              <w:t>10±0.0</w:t>
            </w:r>
          </w:p>
        </w:tc>
        <w:tc>
          <w:tcPr>
            <w:tcW w:w="902" w:type="dxa"/>
          </w:tcPr>
          <w:p>
            <w:pPr>
              <w:pStyle w:val="TableParagraph"/>
              <w:spacing w:line="177" w:lineRule="exact"/>
              <w:ind w:right="47"/>
              <w:rPr>
                <w:sz w:val="16"/>
              </w:rPr>
            </w:pPr>
            <w:r>
              <w:rPr>
                <w:spacing w:val="-2"/>
                <w:sz w:val="16"/>
              </w:rPr>
              <w:t>19±1.0</w:t>
            </w:r>
          </w:p>
        </w:tc>
        <w:tc>
          <w:tcPr>
            <w:tcW w:w="856" w:type="dxa"/>
          </w:tcPr>
          <w:p>
            <w:pPr>
              <w:pStyle w:val="TableParagraph"/>
              <w:spacing w:line="177" w:lineRule="exact"/>
              <w:ind w:left="117" w:right="91"/>
              <w:rPr>
                <w:sz w:val="16"/>
              </w:rPr>
            </w:pPr>
            <w:r>
              <w:rPr>
                <w:spacing w:val="-2"/>
                <w:sz w:val="16"/>
              </w:rPr>
              <w:t>0.0±0.0</w:t>
            </w:r>
          </w:p>
        </w:tc>
        <w:tc>
          <w:tcPr>
            <w:tcW w:w="858" w:type="dxa"/>
          </w:tcPr>
          <w:p>
            <w:pPr>
              <w:pStyle w:val="TableParagraph"/>
              <w:spacing w:line="177" w:lineRule="exact"/>
              <w:ind w:left="156"/>
              <w:jc w:val="left"/>
              <w:rPr>
                <w:sz w:val="16"/>
              </w:rPr>
            </w:pPr>
            <w:r>
              <w:rPr>
                <w:spacing w:val="-2"/>
                <w:sz w:val="16"/>
              </w:rPr>
              <w:t>11±1.4</w:t>
            </w:r>
          </w:p>
        </w:tc>
        <w:tc>
          <w:tcPr>
            <w:tcW w:w="856" w:type="dxa"/>
          </w:tcPr>
          <w:p>
            <w:pPr>
              <w:pStyle w:val="TableParagraph"/>
              <w:spacing w:line="177" w:lineRule="exact"/>
              <w:ind w:left="201"/>
              <w:jc w:val="left"/>
              <w:rPr>
                <w:sz w:val="16"/>
              </w:rPr>
            </w:pPr>
            <w:r>
              <w:rPr>
                <w:spacing w:val="-2"/>
                <w:sz w:val="16"/>
              </w:rPr>
              <w:t>0.0±0.0</w:t>
            </w:r>
          </w:p>
        </w:tc>
        <w:tc>
          <w:tcPr>
            <w:tcW w:w="856" w:type="dxa"/>
          </w:tcPr>
          <w:p>
            <w:pPr>
              <w:pStyle w:val="TableParagraph"/>
              <w:spacing w:line="177" w:lineRule="exact"/>
              <w:ind w:left="26" w:right="97"/>
              <w:rPr>
                <w:sz w:val="16"/>
              </w:rPr>
            </w:pPr>
            <w:r>
              <w:rPr>
                <w:spacing w:val="-2"/>
                <w:sz w:val="16"/>
              </w:rPr>
              <w:t>0.0±0.0</w:t>
            </w:r>
          </w:p>
        </w:tc>
        <w:tc>
          <w:tcPr>
            <w:tcW w:w="858" w:type="dxa"/>
          </w:tcPr>
          <w:p>
            <w:pPr>
              <w:pStyle w:val="TableParagraph"/>
              <w:spacing w:line="177" w:lineRule="exact"/>
              <w:ind w:left="35" w:right="19"/>
              <w:rPr>
                <w:sz w:val="16"/>
              </w:rPr>
            </w:pPr>
            <w:r>
              <w:rPr>
                <w:spacing w:val="-2"/>
                <w:sz w:val="16"/>
              </w:rPr>
              <w:t>0.0±0.0</w:t>
            </w:r>
          </w:p>
        </w:tc>
        <w:tc>
          <w:tcPr>
            <w:tcW w:w="868" w:type="dxa"/>
          </w:tcPr>
          <w:p>
            <w:pPr>
              <w:pStyle w:val="TableParagraph"/>
              <w:spacing w:line="177" w:lineRule="exact"/>
              <w:ind w:right="84"/>
              <w:rPr>
                <w:sz w:val="16"/>
              </w:rPr>
            </w:pPr>
            <w:r>
              <w:rPr>
                <w:spacing w:val="-2"/>
                <w:sz w:val="16"/>
              </w:rPr>
              <w:t>0.0±0.0</w:t>
            </w:r>
          </w:p>
        </w:tc>
      </w:tr>
      <w:tr>
        <w:trPr>
          <w:trHeight w:val="194" w:hRule="atLeast"/>
        </w:trPr>
        <w:tc>
          <w:tcPr>
            <w:tcW w:w="731" w:type="dxa"/>
          </w:tcPr>
          <w:p>
            <w:pPr>
              <w:pStyle w:val="TableParagraph"/>
              <w:spacing w:line="174" w:lineRule="exact"/>
              <w:ind w:left="120"/>
              <w:jc w:val="left"/>
              <w:rPr>
                <w:sz w:val="16"/>
              </w:rPr>
            </w:pPr>
            <w:r>
              <w:rPr>
                <w:spacing w:val="-4"/>
                <w:sz w:val="16"/>
              </w:rPr>
              <w:t>S19e</w:t>
            </w:r>
          </w:p>
        </w:tc>
        <w:tc>
          <w:tcPr>
            <w:tcW w:w="1072" w:type="dxa"/>
          </w:tcPr>
          <w:p>
            <w:pPr>
              <w:pStyle w:val="TableParagraph"/>
              <w:spacing w:line="174" w:lineRule="exact"/>
              <w:ind w:left="39" w:right="47"/>
              <w:rPr>
                <w:sz w:val="16"/>
              </w:rPr>
            </w:pPr>
            <w:r>
              <w:rPr>
                <w:spacing w:val="-2"/>
                <w:sz w:val="16"/>
              </w:rPr>
              <w:t>0.0±0.0</w:t>
            </w:r>
          </w:p>
        </w:tc>
        <w:tc>
          <w:tcPr>
            <w:tcW w:w="944" w:type="dxa"/>
          </w:tcPr>
          <w:p>
            <w:pPr>
              <w:pStyle w:val="TableParagraph"/>
              <w:spacing w:line="174" w:lineRule="exact"/>
              <w:ind w:right="202"/>
              <w:jc w:val="right"/>
              <w:rPr>
                <w:sz w:val="16"/>
              </w:rPr>
            </w:pPr>
            <w:r>
              <w:rPr>
                <w:spacing w:val="-2"/>
                <w:sz w:val="16"/>
              </w:rPr>
              <w:t>13±4.2</w:t>
            </w:r>
          </w:p>
        </w:tc>
        <w:tc>
          <w:tcPr>
            <w:tcW w:w="764" w:type="dxa"/>
          </w:tcPr>
          <w:p>
            <w:pPr>
              <w:pStyle w:val="TableParagraph"/>
              <w:spacing w:line="174" w:lineRule="exact"/>
              <w:ind w:left="38"/>
              <w:rPr>
                <w:sz w:val="16"/>
              </w:rPr>
            </w:pPr>
            <w:r>
              <w:rPr>
                <w:spacing w:val="-2"/>
                <w:sz w:val="16"/>
              </w:rPr>
              <w:t>0.0±0.0</w:t>
            </w:r>
          </w:p>
        </w:tc>
        <w:tc>
          <w:tcPr>
            <w:tcW w:w="702" w:type="dxa"/>
          </w:tcPr>
          <w:p>
            <w:pPr>
              <w:pStyle w:val="TableParagraph"/>
              <w:spacing w:line="174" w:lineRule="exact"/>
              <w:ind w:left="5" w:right="29"/>
              <w:rPr>
                <w:sz w:val="16"/>
              </w:rPr>
            </w:pPr>
            <w:r>
              <w:rPr>
                <w:spacing w:val="-2"/>
                <w:sz w:val="16"/>
              </w:rPr>
              <w:t>21±2.2</w:t>
            </w:r>
          </w:p>
        </w:tc>
        <w:tc>
          <w:tcPr>
            <w:tcW w:w="832" w:type="dxa"/>
          </w:tcPr>
          <w:p>
            <w:pPr>
              <w:pStyle w:val="TableParagraph"/>
              <w:spacing w:line="174" w:lineRule="exact"/>
              <w:ind w:left="135"/>
              <w:jc w:val="left"/>
              <w:rPr>
                <w:sz w:val="16"/>
              </w:rPr>
            </w:pPr>
            <w:r>
              <w:rPr>
                <w:spacing w:val="-2"/>
                <w:sz w:val="16"/>
              </w:rPr>
              <w:t>11±1.4</w:t>
            </w:r>
          </w:p>
        </w:tc>
        <w:tc>
          <w:tcPr>
            <w:tcW w:w="902" w:type="dxa"/>
          </w:tcPr>
          <w:p>
            <w:pPr>
              <w:pStyle w:val="TableParagraph"/>
              <w:spacing w:line="174" w:lineRule="exact"/>
              <w:ind w:right="47"/>
              <w:rPr>
                <w:sz w:val="16"/>
              </w:rPr>
            </w:pPr>
            <w:r>
              <w:rPr>
                <w:spacing w:val="-2"/>
                <w:sz w:val="16"/>
              </w:rPr>
              <w:t>24±1.0</w:t>
            </w:r>
          </w:p>
        </w:tc>
        <w:tc>
          <w:tcPr>
            <w:tcW w:w="856" w:type="dxa"/>
          </w:tcPr>
          <w:p>
            <w:pPr>
              <w:pStyle w:val="TableParagraph"/>
              <w:spacing w:line="174" w:lineRule="exact"/>
              <w:ind w:left="117" w:right="91"/>
              <w:rPr>
                <w:sz w:val="16"/>
              </w:rPr>
            </w:pPr>
            <w:r>
              <w:rPr>
                <w:spacing w:val="-2"/>
                <w:sz w:val="16"/>
              </w:rPr>
              <w:t>0.0±0.0</w:t>
            </w:r>
          </w:p>
        </w:tc>
        <w:tc>
          <w:tcPr>
            <w:tcW w:w="858" w:type="dxa"/>
          </w:tcPr>
          <w:p>
            <w:pPr>
              <w:pStyle w:val="TableParagraph"/>
              <w:spacing w:line="174" w:lineRule="exact"/>
              <w:ind w:left="156"/>
              <w:jc w:val="left"/>
              <w:rPr>
                <w:sz w:val="16"/>
              </w:rPr>
            </w:pPr>
            <w:r>
              <w:rPr>
                <w:spacing w:val="-2"/>
                <w:sz w:val="16"/>
              </w:rPr>
              <w:t>11±1.0</w:t>
            </w:r>
          </w:p>
        </w:tc>
        <w:tc>
          <w:tcPr>
            <w:tcW w:w="856" w:type="dxa"/>
          </w:tcPr>
          <w:p>
            <w:pPr>
              <w:pStyle w:val="TableParagraph"/>
              <w:spacing w:line="174" w:lineRule="exact"/>
              <w:ind w:left="201"/>
              <w:jc w:val="left"/>
              <w:rPr>
                <w:sz w:val="16"/>
              </w:rPr>
            </w:pPr>
            <w:r>
              <w:rPr>
                <w:spacing w:val="-2"/>
                <w:sz w:val="16"/>
              </w:rPr>
              <w:t>9±1.0</w:t>
            </w:r>
          </w:p>
        </w:tc>
        <w:tc>
          <w:tcPr>
            <w:tcW w:w="856" w:type="dxa"/>
          </w:tcPr>
          <w:p>
            <w:pPr>
              <w:pStyle w:val="TableParagraph"/>
              <w:spacing w:line="174" w:lineRule="exact"/>
              <w:ind w:left="26" w:right="97"/>
              <w:rPr>
                <w:sz w:val="16"/>
              </w:rPr>
            </w:pPr>
            <w:r>
              <w:rPr>
                <w:spacing w:val="-2"/>
                <w:sz w:val="16"/>
              </w:rPr>
              <w:t>0.0±0.0</w:t>
            </w:r>
          </w:p>
        </w:tc>
        <w:tc>
          <w:tcPr>
            <w:tcW w:w="858" w:type="dxa"/>
          </w:tcPr>
          <w:p>
            <w:pPr>
              <w:pStyle w:val="TableParagraph"/>
              <w:spacing w:line="174" w:lineRule="exact"/>
              <w:ind w:left="35" w:right="19"/>
              <w:rPr>
                <w:sz w:val="16"/>
              </w:rPr>
            </w:pPr>
            <w:r>
              <w:rPr>
                <w:spacing w:val="-2"/>
                <w:sz w:val="16"/>
              </w:rPr>
              <w:t>0.0±0.0</w:t>
            </w:r>
          </w:p>
        </w:tc>
        <w:tc>
          <w:tcPr>
            <w:tcW w:w="868" w:type="dxa"/>
          </w:tcPr>
          <w:p>
            <w:pPr>
              <w:pStyle w:val="TableParagraph"/>
              <w:spacing w:line="174" w:lineRule="exact"/>
              <w:ind w:right="84"/>
              <w:rPr>
                <w:sz w:val="16"/>
              </w:rPr>
            </w:pPr>
            <w:r>
              <w:rPr>
                <w:spacing w:val="-2"/>
                <w:sz w:val="16"/>
              </w:rPr>
              <w:t>0.0±0.0</w:t>
            </w:r>
          </w:p>
        </w:tc>
      </w:tr>
      <w:tr>
        <w:trPr>
          <w:trHeight w:val="183" w:hRule="atLeast"/>
        </w:trPr>
        <w:tc>
          <w:tcPr>
            <w:tcW w:w="731" w:type="dxa"/>
            <w:tcBorders>
              <w:bottom w:val="single" w:sz="4" w:space="0" w:color="000000"/>
            </w:tcBorders>
          </w:tcPr>
          <w:p>
            <w:pPr>
              <w:pStyle w:val="TableParagraph"/>
              <w:spacing w:line="163" w:lineRule="exact"/>
              <w:ind w:left="120"/>
              <w:jc w:val="left"/>
              <w:rPr>
                <w:sz w:val="16"/>
              </w:rPr>
            </w:pPr>
            <w:r>
              <w:rPr>
                <w:spacing w:val="-5"/>
                <w:sz w:val="16"/>
              </w:rPr>
              <w:t>E7e</w:t>
            </w:r>
          </w:p>
        </w:tc>
        <w:tc>
          <w:tcPr>
            <w:tcW w:w="1072" w:type="dxa"/>
            <w:tcBorders>
              <w:bottom w:val="single" w:sz="4" w:space="0" w:color="000000"/>
            </w:tcBorders>
          </w:tcPr>
          <w:p>
            <w:pPr>
              <w:pStyle w:val="TableParagraph"/>
              <w:spacing w:line="163" w:lineRule="exact"/>
              <w:ind w:left="39" w:right="47"/>
              <w:rPr>
                <w:sz w:val="16"/>
              </w:rPr>
            </w:pPr>
            <w:r>
              <w:rPr>
                <w:spacing w:val="-2"/>
                <w:sz w:val="16"/>
              </w:rPr>
              <w:t>0.0±0.0</w:t>
            </w:r>
          </w:p>
        </w:tc>
        <w:tc>
          <w:tcPr>
            <w:tcW w:w="944" w:type="dxa"/>
            <w:tcBorders>
              <w:bottom w:val="single" w:sz="4" w:space="0" w:color="000000"/>
            </w:tcBorders>
          </w:tcPr>
          <w:p>
            <w:pPr>
              <w:pStyle w:val="TableParagraph"/>
              <w:spacing w:line="163" w:lineRule="exact"/>
              <w:ind w:right="164"/>
              <w:jc w:val="right"/>
              <w:rPr>
                <w:sz w:val="16"/>
              </w:rPr>
            </w:pPr>
            <w:r>
              <w:rPr>
                <w:spacing w:val="-2"/>
                <w:sz w:val="16"/>
              </w:rPr>
              <w:t>0.0±0.0</w:t>
            </w:r>
          </w:p>
        </w:tc>
        <w:tc>
          <w:tcPr>
            <w:tcW w:w="764" w:type="dxa"/>
            <w:tcBorders>
              <w:bottom w:val="single" w:sz="4" w:space="0" w:color="000000"/>
            </w:tcBorders>
          </w:tcPr>
          <w:p>
            <w:pPr>
              <w:pStyle w:val="TableParagraph"/>
              <w:spacing w:line="163" w:lineRule="exact"/>
              <w:ind w:left="38"/>
              <w:rPr>
                <w:sz w:val="16"/>
              </w:rPr>
            </w:pPr>
            <w:r>
              <w:rPr>
                <w:spacing w:val="-2"/>
                <w:sz w:val="16"/>
              </w:rPr>
              <w:t>0.0±0.0</w:t>
            </w:r>
          </w:p>
        </w:tc>
        <w:tc>
          <w:tcPr>
            <w:tcW w:w="702" w:type="dxa"/>
            <w:tcBorders>
              <w:bottom w:val="single" w:sz="4" w:space="0" w:color="000000"/>
            </w:tcBorders>
          </w:tcPr>
          <w:p>
            <w:pPr>
              <w:pStyle w:val="TableParagraph"/>
              <w:spacing w:line="163" w:lineRule="exact"/>
              <w:ind w:left="5" w:right="29"/>
              <w:rPr>
                <w:sz w:val="16"/>
              </w:rPr>
            </w:pPr>
            <w:r>
              <w:rPr>
                <w:spacing w:val="-2"/>
                <w:sz w:val="16"/>
              </w:rPr>
              <w:t>17±1.4</w:t>
            </w:r>
          </w:p>
        </w:tc>
        <w:tc>
          <w:tcPr>
            <w:tcW w:w="832" w:type="dxa"/>
            <w:tcBorders>
              <w:bottom w:val="single" w:sz="4" w:space="0" w:color="000000"/>
            </w:tcBorders>
          </w:tcPr>
          <w:p>
            <w:pPr>
              <w:pStyle w:val="TableParagraph"/>
              <w:spacing w:line="163" w:lineRule="exact"/>
              <w:ind w:left="135"/>
              <w:jc w:val="left"/>
              <w:rPr>
                <w:sz w:val="16"/>
              </w:rPr>
            </w:pPr>
            <w:r>
              <w:rPr>
                <w:spacing w:val="-2"/>
                <w:sz w:val="16"/>
              </w:rPr>
              <w:t>10±1.0</w:t>
            </w:r>
          </w:p>
        </w:tc>
        <w:tc>
          <w:tcPr>
            <w:tcW w:w="902" w:type="dxa"/>
            <w:tcBorders>
              <w:bottom w:val="single" w:sz="4" w:space="0" w:color="000000"/>
            </w:tcBorders>
          </w:tcPr>
          <w:p>
            <w:pPr>
              <w:pStyle w:val="TableParagraph"/>
              <w:spacing w:line="163" w:lineRule="exact"/>
              <w:ind w:right="47"/>
              <w:rPr>
                <w:sz w:val="16"/>
              </w:rPr>
            </w:pPr>
            <w:r>
              <w:rPr>
                <w:spacing w:val="-2"/>
                <w:sz w:val="16"/>
              </w:rPr>
              <w:t>21±1.0</w:t>
            </w:r>
          </w:p>
        </w:tc>
        <w:tc>
          <w:tcPr>
            <w:tcW w:w="856" w:type="dxa"/>
            <w:tcBorders>
              <w:bottom w:val="single" w:sz="4" w:space="0" w:color="000000"/>
            </w:tcBorders>
          </w:tcPr>
          <w:p>
            <w:pPr>
              <w:pStyle w:val="TableParagraph"/>
              <w:spacing w:line="163" w:lineRule="exact"/>
              <w:ind w:left="117" w:right="91"/>
              <w:rPr>
                <w:sz w:val="16"/>
              </w:rPr>
            </w:pPr>
            <w:r>
              <w:rPr>
                <w:spacing w:val="-2"/>
                <w:sz w:val="16"/>
              </w:rPr>
              <w:t>0.0±0.0</w:t>
            </w:r>
          </w:p>
        </w:tc>
        <w:tc>
          <w:tcPr>
            <w:tcW w:w="858" w:type="dxa"/>
            <w:tcBorders>
              <w:bottom w:val="single" w:sz="4" w:space="0" w:color="000000"/>
            </w:tcBorders>
          </w:tcPr>
          <w:p>
            <w:pPr>
              <w:pStyle w:val="TableParagraph"/>
              <w:spacing w:line="163" w:lineRule="exact"/>
              <w:ind w:left="156"/>
              <w:jc w:val="left"/>
              <w:rPr>
                <w:sz w:val="16"/>
              </w:rPr>
            </w:pPr>
            <w:r>
              <w:rPr>
                <w:spacing w:val="-2"/>
                <w:sz w:val="16"/>
              </w:rPr>
              <w:t>11±1.4</w:t>
            </w:r>
          </w:p>
        </w:tc>
        <w:tc>
          <w:tcPr>
            <w:tcW w:w="856" w:type="dxa"/>
            <w:tcBorders>
              <w:bottom w:val="single" w:sz="4" w:space="0" w:color="000000"/>
            </w:tcBorders>
          </w:tcPr>
          <w:p>
            <w:pPr>
              <w:pStyle w:val="TableParagraph"/>
              <w:spacing w:line="163" w:lineRule="exact"/>
              <w:ind w:left="201"/>
              <w:jc w:val="left"/>
              <w:rPr>
                <w:sz w:val="16"/>
              </w:rPr>
            </w:pPr>
            <w:r>
              <w:rPr>
                <w:spacing w:val="-2"/>
                <w:sz w:val="16"/>
              </w:rPr>
              <w:t>0.0±0.0</w:t>
            </w:r>
          </w:p>
        </w:tc>
        <w:tc>
          <w:tcPr>
            <w:tcW w:w="856" w:type="dxa"/>
            <w:tcBorders>
              <w:bottom w:val="single" w:sz="4" w:space="0" w:color="000000"/>
            </w:tcBorders>
          </w:tcPr>
          <w:p>
            <w:pPr>
              <w:pStyle w:val="TableParagraph"/>
              <w:spacing w:line="163" w:lineRule="exact"/>
              <w:ind w:left="26" w:right="97"/>
              <w:rPr>
                <w:sz w:val="16"/>
              </w:rPr>
            </w:pPr>
            <w:r>
              <w:rPr>
                <w:spacing w:val="-2"/>
                <w:sz w:val="16"/>
              </w:rPr>
              <w:t>0.0±0.0</w:t>
            </w:r>
          </w:p>
        </w:tc>
        <w:tc>
          <w:tcPr>
            <w:tcW w:w="858" w:type="dxa"/>
            <w:tcBorders>
              <w:bottom w:val="single" w:sz="4" w:space="0" w:color="000000"/>
            </w:tcBorders>
          </w:tcPr>
          <w:p>
            <w:pPr>
              <w:pStyle w:val="TableParagraph"/>
              <w:spacing w:line="163" w:lineRule="exact"/>
              <w:ind w:left="35" w:right="19"/>
              <w:rPr>
                <w:sz w:val="16"/>
              </w:rPr>
            </w:pPr>
            <w:r>
              <w:rPr>
                <w:spacing w:val="-2"/>
                <w:sz w:val="16"/>
              </w:rPr>
              <w:t>0.0±0.0</w:t>
            </w:r>
          </w:p>
        </w:tc>
        <w:tc>
          <w:tcPr>
            <w:tcW w:w="868" w:type="dxa"/>
            <w:tcBorders>
              <w:bottom w:val="single" w:sz="4" w:space="0" w:color="000000"/>
            </w:tcBorders>
          </w:tcPr>
          <w:p>
            <w:pPr>
              <w:pStyle w:val="TableParagraph"/>
              <w:spacing w:line="163" w:lineRule="exact"/>
              <w:ind w:right="84"/>
              <w:rPr>
                <w:sz w:val="16"/>
              </w:rPr>
            </w:pPr>
            <w:r>
              <w:rPr>
                <w:spacing w:val="-2"/>
                <w:sz w:val="16"/>
              </w:rPr>
              <w:t>0.0±0.0</w:t>
            </w:r>
          </w:p>
        </w:tc>
      </w:tr>
    </w:tbl>
    <w:p>
      <w:pPr>
        <w:pStyle w:val="BodyText"/>
        <w:spacing w:before="172"/>
        <w:rPr>
          <w:b/>
        </w:rPr>
      </w:pPr>
    </w:p>
    <w:p>
      <w:pPr>
        <w:pStyle w:val="BodyText"/>
        <w:tabs>
          <w:tab w:pos="4519" w:val="left" w:leader="none"/>
        </w:tabs>
        <w:ind w:left="920"/>
      </w:pPr>
      <w:r>
        <w:rPr>
          <w:spacing w:val="-2"/>
        </w:rPr>
        <w:t>Antibiotics</w:t>
      </w:r>
      <w:r>
        <w:rPr/>
        <w:tab/>
      </w:r>
      <w:r>
        <w:rPr>
          <w:spacing w:val="-2"/>
        </w:rPr>
        <w:t>Abbreviation</w:t>
      </w:r>
    </w:p>
    <w:p>
      <w:pPr>
        <w:pStyle w:val="BodyText"/>
        <w:tabs>
          <w:tab w:pos="4519" w:val="left" w:leader="none"/>
        </w:tabs>
        <w:spacing w:before="241"/>
        <w:ind w:left="920"/>
      </w:pPr>
      <w:r>
        <w:rPr>
          <w:spacing w:val="-2"/>
        </w:rPr>
        <w:t>Amoxicillin</w:t>
      </w:r>
      <w:r>
        <w:rPr/>
        <w:tab/>
      </w:r>
      <w:r>
        <w:rPr>
          <w:spacing w:val="-5"/>
        </w:rPr>
        <w:t>AMX</w:t>
      </w:r>
    </w:p>
    <w:p>
      <w:pPr>
        <w:pStyle w:val="BodyText"/>
        <w:tabs>
          <w:tab w:pos="4519" w:val="left" w:leader="none"/>
        </w:tabs>
        <w:spacing w:before="240"/>
        <w:ind w:left="920"/>
      </w:pPr>
      <w:r>
        <w:rPr>
          <w:spacing w:val="-2"/>
        </w:rPr>
        <w:t>Cotrimoxazole</w:t>
      </w:r>
      <w:r>
        <w:rPr/>
        <w:tab/>
      </w:r>
      <w:r>
        <w:rPr>
          <w:spacing w:val="-5"/>
        </w:rPr>
        <w:t>COT</w:t>
      </w:r>
    </w:p>
    <w:p>
      <w:pPr>
        <w:pStyle w:val="BodyText"/>
        <w:tabs>
          <w:tab w:pos="4519" w:val="left" w:leader="none"/>
        </w:tabs>
        <w:spacing w:before="240"/>
        <w:ind w:left="920"/>
      </w:pPr>
      <w:r>
        <w:rPr>
          <w:spacing w:val="-2"/>
        </w:rPr>
        <w:t>Nitrofurantoin</w:t>
      </w:r>
      <w:r>
        <w:rPr/>
        <w:tab/>
      </w:r>
      <w:r>
        <w:rPr>
          <w:spacing w:val="-5"/>
        </w:rPr>
        <w:t>NIT</w:t>
      </w:r>
    </w:p>
    <w:p>
      <w:pPr>
        <w:pStyle w:val="BodyText"/>
        <w:tabs>
          <w:tab w:pos="4519" w:val="left" w:leader="none"/>
        </w:tabs>
        <w:spacing w:before="240"/>
        <w:ind w:left="920"/>
      </w:pPr>
      <w:r>
        <w:rPr>
          <w:spacing w:val="-2"/>
        </w:rPr>
        <w:t>Gentamicin</w:t>
      </w:r>
      <w:r>
        <w:rPr/>
        <w:tab/>
      </w:r>
      <w:r>
        <w:rPr>
          <w:spacing w:val="-5"/>
        </w:rPr>
        <w:t>GEN</w:t>
      </w:r>
    </w:p>
    <w:p>
      <w:pPr>
        <w:pStyle w:val="BodyText"/>
        <w:tabs>
          <w:tab w:pos="4519" w:val="left" w:leader="none"/>
        </w:tabs>
        <w:spacing w:before="240"/>
        <w:ind w:left="920"/>
      </w:pPr>
      <w:r>
        <w:rPr/>
        <w:t>Nalidixic</w:t>
      </w:r>
      <w:r>
        <w:rPr>
          <w:spacing w:val="-4"/>
        </w:rPr>
        <w:t> acid</w:t>
      </w:r>
      <w:r>
        <w:rPr/>
        <w:tab/>
      </w:r>
      <w:r>
        <w:rPr>
          <w:spacing w:val="-5"/>
        </w:rPr>
        <w:t>NAL</w:t>
      </w:r>
    </w:p>
    <w:p>
      <w:pPr>
        <w:pStyle w:val="BodyText"/>
        <w:tabs>
          <w:tab w:pos="4519" w:val="left" w:leader="none"/>
        </w:tabs>
        <w:spacing w:before="241"/>
        <w:ind w:left="920"/>
      </w:pPr>
      <w:r>
        <w:rPr>
          <w:spacing w:val="-2"/>
        </w:rPr>
        <w:t>Ofloxacin</w:t>
      </w:r>
      <w:r>
        <w:rPr/>
        <w:tab/>
      </w:r>
      <w:r>
        <w:rPr>
          <w:spacing w:val="-5"/>
        </w:rPr>
        <w:t>OFL</w:t>
      </w:r>
    </w:p>
    <w:p>
      <w:pPr>
        <w:pStyle w:val="BodyText"/>
        <w:tabs>
          <w:tab w:pos="4519" w:val="left" w:leader="none"/>
        </w:tabs>
        <w:spacing w:before="240"/>
        <w:ind w:left="920"/>
      </w:pPr>
      <w:r>
        <w:rPr/>
        <w:t>Amoxicillin/clavulanic</w:t>
      </w:r>
      <w:r>
        <w:rPr>
          <w:spacing w:val="-9"/>
        </w:rPr>
        <w:t> </w:t>
      </w:r>
      <w:r>
        <w:rPr>
          <w:spacing w:val="-4"/>
        </w:rPr>
        <w:t>acid</w:t>
      </w:r>
      <w:r>
        <w:rPr/>
        <w:tab/>
      </w:r>
      <w:r>
        <w:rPr>
          <w:spacing w:val="-5"/>
        </w:rPr>
        <w:t>AMC</w:t>
      </w:r>
    </w:p>
    <w:p>
      <w:pPr>
        <w:pStyle w:val="BodyText"/>
        <w:tabs>
          <w:tab w:pos="4519" w:val="left" w:leader="none"/>
        </w:tabs>
        <w:spacing w:before="240"/>
        <w:ind w:left="920"/>
      </w:pPr>
      <w:r>
        <w:rPr>
          <w:spacing w:val="-2"/>
        </w:rPr>
        <w:t>Tetracycline</w:t>
      </w:r>
      <w:r>
        <w:rPr/>
        <w:tab/>
      </w:r>
      <w:r>
        <w:rPr>
          <w:spacing w:val="-5"/>
        </w:rPr>
        <w:t>TET</w:t>
      </w:r>
    </w:p>
    <w:p>
      <w:pPr>
        <w:pStyle w:val="BodyText"/>
        <w:tabs>
          <w:tab w:pos="4519" w:val="left" w:leader="none"/>
        </w:tabs>
        <w:spacing w:before="240"/>
        <w:ind w:left="920"/>
      </w:pPr>
      <w:r>
        <w:rPr>
          <w:spacing w:val="-2"/>
        </w:rPr>
        <w:t>Cefuroxime</w:t>
      </w:r>
      <w:r>
        <w:rPr/>
        <w:tab/>
      </w:r>
      <w:r>
        <w:rPr>
          <w:spacing w:val="-5"/>
        </w:rPr>
        <w:t>CXM</w:t>
      </w:r>
    </w:p>
    <w:p>
      <w:pPr>
        <w:pStyle w:val="BodyText"/>
        <w:tabs>
          <w:tab w:pos="4519" w:val="left" w:leader="none"/>
        </w:tabs>
        <w:spacing w:before="241"/>
        <w:ind w:left="920"/>
      </w:pPr>
      <w:r>
        <w:rPr>
          <w:spacing w:val="-2"/>
        </w:rPr>
        <w:t>Erythromycin</w:t>
      </w:r>
      <w:r>
        <w:rPr/>
        <w:tab/>
      </w:r>
      <w:r>
        <w:rPr>
          <w:spacing w:val="-5"/>
        </w:rPr>
        <w:t>ERY</w:t>
      </w:r>
    </w:p>
    <w:p>
      <w:pPr>
        <w:pStyle w:val="BodyText"/>
        <w:tabs>
          <w:tab w:pos="4519" w:val="left" w:leader="none"/>
        </w:tabs>
        <w:spacing w:before="240"/>
        <w:ind w:left="920"/>
      </w:pPr>
      <w:r>
        <w:rPr>
          <w:spacing w:val="-2"/>
        </w:rPr>
        <w:t>Chloramphenicol</w:t>
      </w:r>
      <w:r>
        <w:rPr/>
        <w:tab/>
      </w:r>
      <w:r>
        <w:rPr>
          <w:spacing w:val="-5"/>
        </w:rPr>
        <w:t>CHL</w:t>
      </w:r>
    </w:p>
    <w:p>
      <w:pPr>
        <w:pStyle w:val="BodyText"/>
        <w:tabs>
          <w:tab w:pos="4519" w:val="left" w:leader="none"/>
        </w:tabs>
        <w:spacing w:before="240"/>
        <w:ind w:left="920"/>
      </w:pPr>
      <w:r>
        <w:rPr>
          <w:spacing w:val="-2"/>
        </w:rPr>
        <w:t>Cloxacillin</w:t>
      </w:r>
      <w:r>
        <w:rPr/>
        <w:tab/>
      </w:r>
      <w:r>
        <w:rPr>
          <w:spacing w:val="-5"/>
        </w:rPr>
        <w:t>CXC</w:t>
      </w:r>
    </w:p>
    <w:p>
      <w:pPr>
        <w:spacing w:after="0"/>
        <w:sectPr>
          <w:pgSz w:w="12240" w:h="15840"/>
          <w:pgMar w:header="0" w:footer="1017" w:top="1440" w:bottom="1200" w:left="520" w:right="260"/>
        </w:sectPr>
      </w:pPr>
    </w:p>
    <w:p>
      <w:pPr>
        <w:pStyle w:val="Heading6"/>
        <w:spacing w:before="37"/>
        <w:ind w:left="920" w:firstLine="0"/>
      </w:pPr>
      <w:r>
        <w:rPr/>
        <w:t>APPENDIX</w:t>
      </w:r>
      <w:r>
        <w:rPr>
          <w:spacing w:val="-7"/>
        </w:rPr>
        <w:t> </w:t>
      </w:r>
      <w:r>
        <w:rPr/>
        <w:t>IV:</w:t>
      </w:r>
      <w:r>
        <w:rPr>
          <w:spacing w:val="-5"/>
        </w:rPr>
        <w:t> </w:t>
      </w:r>
      <w:r>
        <w:rPr/>
        <w:t>Antibiotics</w:t>
      </w:r>
      <w:r>
        <w:rPr>
          <w:spacing w:val="-8"/>
        </w:rPr>
        <w:t> </w:t>
      </w:r>
      <w:r>
        <w:rPr/>
        <w:t>Susceptibility</w:t>
      </w:r>
      <w:r>
        <w:rPr>
          <w:spacing w:val="-6"/>
        </w:rPr>
        <w:t> </w:t>
      </w:r>
      <w:r>
        <w:rPr/>
        <w:t>Pattern</w:t>
      </w:r>
      <w:r>
        <w:rPr>
          <w:spacing w:val="-6"/>
        </w:rPr>
        <w:t> </w:t>
      </w:r>
      <w:r>
        <w:rPr/>
        <w:t>of</w:t>
      </w:r>
      <w:r>
        <w:rPr>
          <w:spacing w:val="-5"/>
        </w:rPr>
        <w:t> </w:t>
      </w:r>
      <w:r>
        <w:rPr/>
        <w:t>Bacterial</w:t>
      </w:r>
      <w:r>
        <w:rPr>
          <w:spacing w:val="-8"/>
        </w:rPr>
        <w:t> </w:t>
      </w:r>
      <w:r>
        <w:rPr>
          <w:spacing w:val="-2"/>
        </w:rPr>
        <w:t>Isolates</w:t>
      </w:r>
    </w:p>
    <w:p>
      <w:pPr>
        <w:pStyle w:val="BodyText"/>
        <w:spacing w:before="205"/>
        <w:rPr>
          <w:b/>
          <w:sz w:val="20"/>
        </w:rPr>
      </w:pPr>
      <w:r>
        <w:rPr/>
        <mc:AlternateContent>
          <mc:Choice Requires="wps">
            <w:drawing>
              <wp:anchor distT="0" distB="0" distL="0" distR="0" allowOverlap="1" layoutInCell="1" locked="0" behindDoc="1" simplePos="0" relativeHeight="487616512">
                <wp:simplePos x="0" y="0"/>
                <wp:positionH relativeFrom="page">
                  <wp:posOffset>627888</wp:posOffset>
                </wp:positionH>
                <wp:positionV relativeFrom="paragraph">
                  <wp:posOffset>300443</wp:posOffset>
                </wp:positionV>
                <wp:extent cx="6858000" cy="635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6858000" cy="6350"/>
                        </a:xfrm>
                        <a:custGeom>
                          <a:avLst/>
                          <a:gdLst/>
                          <a:ahLst/>
                          <a:cxnLst/>
                          <a:rect l="l" t="t" r="r" b="b"/>
                          <a:pathLst>
                            <a:path w="6858000" h="6350">
                              <a:moveTo>
                                <a:pt x="6858000" y="0"/>
                              </a:moveTo>
                              <a:lnTo>
                                <a:pt x="6858000" y="0"/>
                              </a:lnTo>
                              <a:lnTo>
                                <a:pt x="0" y="0"/>
                              </a:lnTo>
                              <a:lnTo>
                                <a:pt x="0" y="6096"/>
                              </a:lnTo>
                              <a:lnTo>
                                <a:pt x="6858000" y="6096"/>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9.440002pt;margin-top:23.657pt;width:540.000026pt;height:.48pt;mso-position-horizontal-relative:page;mso-position-vertical-relative:paragraph;z-index:-15699968;mso-wrap-distance-left:0;mso-wrap-distance-right:0" id="docshape76" filled="true" fillcolor="#000000" stroked="false">
                <v:fill type="solid"/>
                <w10:wrap type="topAndBottom"/>
              </v:rect>
            </w:pict>
          </mc:Fallback>
        </mc:AlternateContent>
      </w:r>
    </w:p>
    <w:p>
      <w:pPr>
        <w:tabs>
          <w:tab w:pos="1385" w:val="left" w:leader="none"/>
          <w:tab w:pos="3099" w:val="left" w:leader="none"/>
          <w:tab w:pos="3819" w:val="left" w:leader="none"/>
          <w:tab w:pos="4539" w:val="left" w:leader="none"/>
          <w:tab w:pos="5167" w:val="left" w:leader="none"/>
          <w:tab w:pos="5887" w:val="left" w:leader="none"/>
          <w:tab w:pos="6607" w:val="left" w:leader="none"/>
          <w:tab w:pos="7236" w:val="left" w:leader="none"/>
          <w:tab w:pos="7956" w:val="left" w:leader="none"/>
          <w:tab w:pos="8585" w:val="left" w:leader="none"/>
          <w:tab w:pos="9305" w:val="left" w:leader="none"/>
          <w:tab w:pos="9939" w:val="left" w:leader="none"/>
          <w:tab w:pos="10567" w:val="left" w:leader="none"/>
        </w:tabs>
        <w:spacing w:before="0"/>
        <w:ind w:left="579" w:right="0" w:firstLine="0"/>
        <w:jc w:val="left"/>
        <w:rPr>
          <w:sz w:val="20"/>
        </w:rPr>
      </w:pPr>
      <w:r>
        <w:rPr>
          <w:spacing w:val="-5"/>
          <w:sz w:val="20"/>
        </w:rPr>
        <w:t>LAB</w:t>
      </w:r>
      <w:r>
        <w:rPr>
          <w:sz w:val="20"/>
        </w:rPr>
        <w:tab/>
      </w:r>
      <w:r>
        <w:rPr>
          <w:spacing w:val="-2"/>
          <w:sz w:val="20"/>
        </w:rPr>
        <w:t>ISOLATE</w:t>
      </w:r>
      <w:r>
        <w:rPr>
          <w:sz w:val="20"/>
        </w:rPr>
        <w:tab/>
      </w:r>
      <w:r>
        <w:rPr>
          <w:spacing w:val="-5"/>
          <w:sz w:val="20"/>
        </w:rPr>
        <w:t>AMX</w:t>
      </w:r>
      <w:r>
        <w:rPr>
          <w:sz w:val="20"/>
        </w:rPr>
        <w:tab/>
      </w:r>
      <w:r>
        <w:rPr>
          <w:spacing w:val="-5"/>
          <w:sz w:val="20"/>
        </w:rPr>
        <w:t>COT</w:t>
      </w:r>
      <w:r>
        <w:rPr>
          <w:sz w:val="20"/>
        </w:rPr>
        <w:tab/>
      </w:r>
      <w:r>
        <w:rPr>
          <w:spacing w:val="-5"/>
          <w:sz w:val="20"/>
        </w:rPr>
        <w:t>NIT</w:t>
      </w:r>
      <w:r>
        <w:rPr>
          <w:sz w:val="20"/>
        </w:rPr>
        <w:tab/>
      </w:r>
      <w:r>
        <w:rPr>
          <w:spacing w:val="-5"/>
          <w:sz w:val="20"/>
        </w:rPr>
        <w:t>GEN</w:t>
      </w:r>
      <w:r>
        <w:rPr>
          <w:sz w:val="20"/>
        </w:rPr>
        <w:tab/>
      </w:r>
      <w:r>
        <w:rPr>
          <w:spacing w:val="-5"/>
          <w:sz w:val="20"/>
        </w:rPr>
        <w:t>NAL</w:t>
      </w:r>
      <w:r>
        <w:rPr>
          <w:sz w:val="20"/>
        </w:rPr>
        <w:tab/>
      </w:r>
      <w:r>
        <w:rPr>
          <w:spacing w:val="-5"/>
          <w:sz w:val="20"/>
        </w:rPr>
        <w:t>OFL</w:t>
      </w:r>
      <w:r>
        <w:rPr>
          <w:sz w:val="20"/>
        </w:rPr>
        <w:tab/>
      </w:r>
      <w:r>
        <w:rPr>
          <w:spacing w:val="-5"/>
          <w:sz w:val="20"/>
        </w:rPr>
        <w:t>AMC</w:t>
      </w:r>
      <w:r>
        <w:rPr>
          <w:sz w:val="20"/>
        </w:rPr>
        <w:tab/>
      </w:r>
      <w:r>
        <w:rPr>
          <w:spacing w:val="-5"/>
          <w:sz w:val="20"/>
        </w:rPr>
        <w:t>TET</w:t>
      </w:r>
      <w:r>
        <w:rPr>
          <w:sz w:val="20"/>
        </w:rPr>
        <w:tab/>
      </w:r>
      <w:r>
        <w:rPr>
          <w:spacing w:val="-5"/>
          <w:sz w:val="20"/>
        </w:rPr>
        <w:t>CXM</w:t>
      </w:r>
      <w:r>
        <w:rPr>
          <w:sz w:val="20"/>
        </w:rPr>
        <w:tab/>
      </w:r>
      <w:r>
        <w:rPr>
          <w:spacing w:val="-5"/>
          <w:sz w:val="20"/>
        </w:rPr>
        <w:t>ERY</w:t>
      </w:r>
      <w:r>
        <w:rPr>
          <w:sz w:val="20"/>
        </w:rPr>
        <w:tab/>
      </w:r>
      <w:r>
        <w:rPr>
          <w:spacing w:val="-5"/>
          <w:sz w:val="20"/>
        </w:rPr>
        <w:t>CHL</w:t>
      </w:r>
      <w:r>
        <w:rPr>
          <w:sz w:val="20"/>
        </w:rPr>
        <w:tab/>
      </w:r>
      <w:r>
        <w:rPr>
          <w:spacing w:val="-5"/>
          <w:sz w:val="20"/>
        </w:rPr>
        <w:t>CXC</w:t>
      </w:r>
    </w:p>
    <w:p>
      <w:pPr>
        <w:tabs>
          <w:tab w:pos="11268" w:val="left" w:leader="none"/>
        </w:tabs>
        <w:spacing w:line="242" w:lineRule="exact" w:before="0" w:after="45"/>
        <w:ind w:left="468" w:right="0" w:firstLine="0"/>
        <w:jc w:val="left"/>
        <w:rPr>
          <w:sz w:val="20"/>
        </w:rPr>
      </w:pPr>
      <w:r>
        <w:rPr>
          <w:spacing w:val="64"/>
          <w:sz w:val="20"/>
          <w:u w:val="single"/>
        </w:rPr>
        <w:t> </w:t>
      </w:r>
      <w:r>
        <w:rPr>
          <w:spacing w:val="-5"/>
          <w:sz w:val="20"/>
          <w:u w:val="single"/>
        </w:rPr>
        <w:t>NO</w:t>
      </w:r>
      <w:r>
        <w:rPr>
          <w:sz w:val="20"/>
          <w:u w:val="single"/>
        </w:rPr>
        <w:tab/>
      </w: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1746"/>
        <w:gridCol w:w="579"/>
        <w:gridCol w:w="720"/>
        <w:gridCol w:w="674"/>
        <w:gridCol w:w="674"/>
        <w:gridCol w:w="720"/>
        <w:gridCol w:w="666"/>
        <w:gridCol w:w="683"/>
        <w:gridCol w:w="675"/>
        <w:gridCol w:w="675"/>
        <w:gridCol w:w="677"/>
        <w:gridCol w:w="631"/>
        <w:gridCol w:w="419"/>
      </w:tblGrid>
      <w:tr>
        <w:trPr>
          <w:trHeight w:val="223" w:hRule="atLeast"/>
        </w:trPr>
        <w:tc>
          <w:tcPr>
            <w:tcW w:w="659" w:type="dxa"/>
          </w:tcPr>
          <w:p>
            <w:pPr>
              <w:pStyle w:val="TableParagraph"/>
              <w:spacing w:line="203" w:lineRule="exact"/>
              <w:ind w:left="50"/>
              <w:jc w:val="left"/>
              <w:rPr>
                <w:sz w:val="20"/>
              </w:rPr>
            </w:pPr>
            <w:r>
              <w:rPr>
                <w:spacing w:val="-5"/>
                <w:sz w:val="20"/>
              </w:rPr>
              <w:t>S5e</w:t>
            </w:r>
          </w:p>
        </w:tc>
        <w:tc>
          <w:tcPr>
            <w:tcW w:w="1746" w:type="dxa"/>
          </w:tcPr>
          <w:p>
            <w:pPr>
              <w:pStyle w:val="TableParagraph"/>
              <w:spacing w:line="203" w:lineRule="exact"/>
              <w:ind w:left="197"/>
              <w:jc w:val="left"/>
              <w:rPr>
                <w:i/>
                <w:sz w:val="20"/>
              </w:rPr>
            </w:pPr>
            <w:r>
              <w:rPr>
                <w:i/>
                <w:sz w:val="20"/>
              </w:rPr>
              <w:t>E.</w:t>
            </w:r>
            <w:r>
              <w:rPr>
                <w:i/>
                <w:spacing w:val="1"/>
                <w:sz w:val="20"/>
              </w:rPr>
              <w:t> </w:t>
            </w:r>
            <w:r>
              <w:rPr>
                <w:i/>
                <w:spacing w:val="-4"/>
                <w:sz w:val="20"/>
              </w:rPr>
              <w:t>coli</w:t>
            </w:r>
          </w:p>
        </w:tc>
        <w:tc>
          <w:tcPr>
            <w:tcW w:w="579" w:type="dxa"/>
          </w:tcPr>
          <w:p>
            <w:pPr>
              <w:pStyle w:val="TableParagraph"/>
              <w:spacing w:line="203" w:lineRule="exact"/>
              <w:ind w:left="165"/>
              <w:jc w:val="left"/>
              <w:rPr>
                <w:sz w:val="20"/>
              </w:rPr>
            </w:pPr>
            <w:r>
              <w:rPr>
                <w:spacing w:val="-10"/>
                <w:sz w:val="20"/>
              </w:rPr>
              <w:t>R</w:t>
            </w:r>
          </w:p>
        </w:tc>
        <w:tc>
          <w:tcPr>
            <w:tcW w:w="720" w:type="dxa"/>
          </w:tcPr>
          <w:p>
            <w:pPr>
              <w:pStyle w:val="TableParagraph"/>
              <w:spacing w:line="203" w:lineRule="exact"/>
              <w:ind w:left="73" w:right="72"/>
              <w:rPr>
                <w:sz w:val="20"/>
              </w:rPr>
            </w:pPr>
            <w:r>
              <w:rPr>
                <w:spacing w:val="-10"/>
                <w:sz w:val="20"/>
              </w:rPr>
              <w:t>R</w:t>
            </w:r>
          </w:p>
        </w:tc>
        <w:tc>
          <w:tcPr>
            <w:tcW w:w="674" w:type="dxa"/>
          </w:tcPr>
          <w:p>
            <w:pPr>
              <w:pStyle w:val="TableParagraph"/>
              <w:spacing w:line="203" w:lineRule="exact"/>
              <w:ind w:left="149" w:right="102"/>
              <w:rPr>
                <w:sz w:val="20"/>
              </w:rPr>
            </w:pPr>
            <w:r>
              <w:rPr>
                <w:spacing w:val="-10"/>
                <w:sz w:val="20"/>
              </w:rPr>
              <w:t>R</w:t>
            </w:r>
          </w:p>
        </w:tc>
        <w:tc>
          <w:tcPr>
            <w:tcW w:w="674" w:type="dxa"/>
          </w:tcPr>
          <w:p>
            <w:pPr>
              <w:pStyle w:val="TableParagraph"/>
              <w:spacing w:line="203" w:lineRule="exact"/>
              <w:ind w:left="47" w:right="104"/>
              <w:rPr>
                <w:sz w:val="20"/>
              </w:rPr>
            </w:pPr>
            <w:r>
              <w:rPr>
                <w:spacing w:val="-10"/>
                <w:sz w:val="20"/>
              </w:rPr>
              <w:t>S</w:t>
            </w:r>
          </w:p>
        </w:tc>
        <w:tc>
          <w:tcPr>
            <w:tcW w:w="720" w:type="dxa"/>
          </w:tcPr>
          <w:p>
            <w:pPr>
              <w:pStyle w:val="TableParagraph"/>
              <w:spacing w:line="203" w:lineRule="exact"/>
              <w:ind w:left="74" w:right="72"/>
              <w:rPr>
                <w:sz w:val="20"/>
              </w:rPr>
            </w:pPr>
            <w:r>
              <w:rPr>
                <w:spacing w:val="-10"/>
                <w:sz w:val="20"/>
              </w:rPr>
              <w:t>R</w:t>
            </w:r>
          </w:p>
        </w:tc>
        <w:tc>
          <w:tcPr>
            <w:tcW w:w="666" w:type="dxa"/>
          </w:tcPr>
          <w:p>
            <w:pPr>
              <w:pStyle w:val="TableParagraph"/>
              <w:spacing w:line="203" w:lineRule="exact"/>
              <w:ind w:left="41" w:right="1"/>
              <w:rPr>
                <w:sz w:val="20"/>
              </w:rPr>
            </w:pPr>
            <w:r>
              <w:rPr>
                <w:spacing w:val="-10"/>
                <w:sz w:val="20"/>
              </w:rPr>
              <w:t>S</w:t>
            </w:r>
          </w:p>
        </w:tc>
        <w:tc>
          <w:tcPr>
            <w:tcW w:w="683" w:type="dxa"/>
          </w:tcPr>
          <w:p>
            <w:pPr>
              <w:pStyle w:val="TableParagraph"/>
              <w:spacing w:line="203" w:lineRule="exact"/>
              <w:ind w:left="61" w:right="93"/>
              <w:rPr>
                <w:sz w:val="20"/>
              </w:rPr>
            </w:pPr>
            <w:r>
              <w:rPr>
                <w:spacing w:val="-10"/>
                <w:sz w:val="20"/>
              </w:rPr>
              <w:t>R</w:t>
            </w:r>
          </w:p>
        </w:tc>
        <w:tc>
          <w:tcPr>
            <w:tcW w:w="675" w:type="dxa"/>
          </w:tcPr>
          <w:p>
            <w:pPr>
              <w:pStyle w:val="TableParagraph"/>
              <w:spacing w:line="203" w:lineRule="exact"/>
              <w:ind w:left="150" w:right="103"/>
              <w:rPr>
                <w:sz w:val="20"/>
              </w:rPr>
            </w:pPr>
            <w:r>
              <w:rPr>
                <w:spacing w:val="-10"/>
                <w:sz w:val="20"/>
              </w:rPr>
              <w:t>R</w:t>
            </w:r>
          </w:p>
        </w:tc>
        <w:tc>
          <w:tcPr>
            <w:tcW w:w="675" w:type="dxa"/>
          </w:tcPr>
          <w:p>
            <w:pPr>
              <w:pStyle w:val="TableParagraph"/>
              <w:spacing w:line="203" w:lineRule="exact"/>
              <w:ind w:left="61" w:right="103"/>
              <w:rPr>
                <w:sz w:val="20"/>
              </w:rPr>
            </w:pPr>
            <w:r>
              <w:rPr>
                <w:spacing w:val="-10"/>
                <w:sz w:val="20"/>
              </w:rPr>
              <w:t>R</w:t>
            </w:r>
          </w:p>
        </w:tc>
        <w:tc>
          <w:tcPr>
            <w:tcW w:w="677" w:type="dxa"/>
          </w:tcPr>
          <w:p>
            <w:pPr>
              <w:pStyle w:val="TableParagraph"/>
              <w:spacing w:line="203" w:lineRule="exact"/>
              <w:ind w:left="58" w:right="15"/>
              <w:rPr>
                <w:sz w:val="20"/>
              </w:rPr>
            </w:pPr>
            <w:r>
              <w:rPr>
                <w:spacing w:val="-10"/>
                <w:sz w:val="20"/>
              </w:rPr>
              <w:t>R</w:t>
            </w:r>
          </w:p>
        </w:tc>
        <w:tc>
          <w:tcPr>
            <w:tcW w:w="631" w:type="dxa"/>
          </w:tcPr>
          <w:p>
            <w:pPr>
              <w:pStyle w:val="TableParagraph"/>
              <w:spacing w:line="203" w:lineRule="exact"/>
              <w:ind w:left="58" w:right="56"/>
              <w:rPr>
                <w:sz w:val="20"/>
              </w:rPr>
            </w:pPr>
            <w:r>
              <w:rPr>
                <w:spacing w:val="-10"/>
                <w:sz w:val="20"/>
              </w:rPr>
              <w:t>R</w:t>
            </w:r>
          </w:p>
        </w:tc>
        <w:tc>
          <w:tcPr>
            <w:tcW w:w="419" w:type="dxa"/>
          </w:tcPr>
          <w:p>
            <w:pPr>
              <w:pStyle w:val="TableParagraph"/>
              <w:spacing w:line="203"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S32e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B50e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S</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44" w:right="93"/>
              <w:rPr>
                <w:sz w:val="20"/>
              </w:rPr>
            </w:pPr>
            <w:r>
              <w:rPr>
                <w:spacing w:val="-10"/>
                <w:sz w:val="20"/>
              </w:rPr>
              <w:t>S</w:t>
            </w:r>
          </w:p>
        </w:tc>
        <w:tc>
          <w:tcPr>
            <w:tcW w:w="675" w:type="dxa"/>
          </w:tcPr>
          <w:p>
            <w:pPr>
              <w:pStyle w:val="TableParagraph"/>
              <w:ind w:left="94" w:right="103"/>
              <w:rPr>
                <w:sz w:val="20"/>
              </w:rPr>
            </w:pPr>
            <w:r>
              <w:rPr>
                <w:spacing w:val="-10"/>
                <w:sz w:val="20"/>
              </w:rPr>
              <w:t>I</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S4e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E39e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93" w:right="102"/>
              <w:rPr>
                <w:sz w:val="20"/>
              </w:rPr>
            </w:pPr>
            <w:r>
              <w:rPr>
                <w:spacing w:val="-10"/>
                <w:sz w:val="20"/>
              </w:rPr>
              <w:t>I</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S38e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59" w:right="72"/>
              <w:rPr>
                <w:sz w:val="20"/>
              </w:rPr>
            </w:pPr>
            <w:r>
              <w:rPr>
                <w:spacing w:val="-10"/>
                <w:sz w:val="20"/>
              </w:rPr>
              <w:t>S</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5"/>
                <w:sz w:val="20"/>
              </w:rPr>
              <w:t>S8e</w:t>
            </w:r>
          </w:p>
        </w:tc>
        <w:tc>
          <w:tcPr>
            <w:tcW w:w="1746" w:type="dxa"/>
          </w:tcPr>
          <w:p>
            <w:pPr>
              <w:pStyle w:val="TableParagraph"/>
              <w:spacing w:line="222" w:lineRule="exact"/>
              <w:ind w:left="197"/>
              <w:jc w:val="left"/>
              <w:rPr>
                <w:i/>
                <w:sz w:val="20"/>
              </w:rPr>
            </w:pPr>
            <w:r>
              <w:rPr>
                <w:i/>
                <w:sz w:val="20"/>
              </w:rPr>
              <w:t>E.</w:t>
            </w:r>
            <w:r>
              <w:rPr>
                <w:i/>
                <w:spacing w:val="1"/>
                <w:sz w:val="20"/>
              </w:rPr>
              <w:t> </w:t>
            </w:r>
            <w:r>
              <w:rPr>
                <w:i/>
                <w:spacing w:val="-4"/>
                <w:sz w:val="20"/>
              </w:rPr>
              <w:t>coli</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61" w:right="102"/>
              <w:rPr>
                <w:sz w:val="20"/>
              </w:rPr>
            </w:pPr>
            <w:r>
              <w:rPr>
                <w:spacing w:val="-10"/>
                <w:sz w:val="20"/>
              </w:rPr>
              <w:t>R</w:t>
            </w:r>
          </w:p>
        </w:tc>
        <w:tc>
          <w:tcPr>
            <w:tcW w:w="720" w:type="dxa"/>
          </w:tcPr>
          <w:p>
            <w:pPr>
              <w:pStyle w:val="TableParagraph"/>
              <w:spacing w:line="222" w:lineRule="exact"/>
              <w:ind w:left="74" w:right="72"/>
              <w:rPr>
                <w:sz w:val="20"/>
              </w:rPr>
            </w:pPr>
            <w:r>
              <w:rPr>
                <w:spacing w:val="-10"/>
                <w:sz w:val="20"/>
              </w:rPr>
              <w:t>R</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E46e</w:t>
            </w:r>
          </w:p>
        </w:tc>
        <w:tc>
          <w:tcPr>
            <w:tcW w:w="1746" w:type="dxa"/>
          </w:tcPr>
          <w:p>
            <w:pPr>
              <w:pStyle w:val="TableParagraph"/>
              <w:spacing w:line="222" w:lineRule="exact"/>
              <w:ind w:left="197"/>
              <w:jc w:val="left"/>
              <w:rPr>
                <w:i/>
                <w:sz w:val="20"/>
              </w:rPr>
            </w:pPr>
            <w:r>
              <w:rPr>
                <w:i/>
                <w:sz w:val="20"/>
              </w:rPr>
              <w:t>E.</w:t>
            </w:r>
            <w:r>
              <w:rPr>
                <w:i/>
                <w:spacing w:val="1"/>
                <w:sz w:val="20"/>
              </w:rPr>
              <w:t> </w:t>
            </w:r>
            <w:r>
              <w:rPr>
                <w:i/>
                <w:spacing w:val="-4"/>
                <w:sz w:val="20"/>
              </w:rPr>
              <w:t>coli</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32" w:right="102"/>
              <w:rPr>
                <w:sz w:val="20"/>
              </w:rPr>
            </w:pPr>
            <w:r>
              <w:rPr>
                <w:spacing w:val="-10"/>
                <w:sz w:val="20"/>
              </w:rPr>
              <w:t>S</w:t>
            </w:r>
          </w:p>
        </w:tc>
        <w:tc>
          <w:tcPr>
            <w:tcW w:w="674" w:type="dxa"/>
          </w:tcPr>
          <w:p>
            <w:pPr>
              <w:pStyle w:val="TableParagraph"/>
              <w:spacing w:line="222" w:lineRule="exact"/>
              <w:ind w:left="47" w:right="146"/>
              <w:rPr>
                <w:sz w:val="20"/>
              </w:rPr>
            </w:pPr>
            <w:r>
              <w:rPr>
                <w:spacing w:val="-10"/>
                <w:sz w:val="20"/>
              </w:rPr>
              <w:t>I</w:t>
            </w:r>
          </w:p>
        </w:tc>
        <w:tc>
          <w:tcPr>
            <w:tcW w:w="720" w:type="dxa"/>
          </w:tcPr>
          <w:p>
            <w:pPr>
              <w:pStyle w:val="TableParagraph"/>
              <w:spacing w:line="222" w:lineRule="exact"/>
              <w:ind w:left="74" w:right="72"/>
              <w:rPr>
                <w:sz w:val="20"/>
              </w:rPr>
            </w:pPr>
            <w:r>
              <w:rPr>
                <w:spacing w:val="-10"/>
                <w:sz w:val="20"/>
              </w:rPr>
              <w:t>R</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Z24s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S</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44" w:right="93"/>
              <w:rPr>
                <w:sz w:val="20"/>
              </w:rPr>
            </w:pPr>
            <w:r>
              <w:rPr>
                <w:spacing w:val="-10"/>
                <w:sz w:val="20"/>
              </w:rPr>
              <w:t>S</w:t>
            </w:r>
          </w:p>
        </w:tc>
        <w:tc>
          <w:tcPr>
            <w:tcW w:w="675" w:type="dxa"/>
          </w:tcPr>
          <w:p>
            <w:pPr>
              <w:pStyle w:val="TableParagraph"/>
              <w:ind w:left="133" w:right="103"/>
              <w:rPr>
                <w:sz w:val="20"/>
              </w:rPr>
            </w:pPr>
            <w:r>
              <w:rPr>
                <w:spacing w:val="-10"/>
                <w:sz w:val="20"/>
              </w:rPr>
              <w:t>S</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44" w:right="56"/>
              <w:rPr>
                <w:sz w:val="20"/>
              </w:rPr>
            </w:pPr>
            <w:r>
              <w:rPr>
                <w:spacing w:val="-10"/>
                <w:sz w:val="20"/>
              </w:rPr>
              <w:t>S</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E34e</w:t>
            </w:r>
          </w:p>
        </w:tc>
        <w:tc>
          <w:tcPr>
            <w:tcW w:w="1746" w:type="dxa"/>
          </w:tcPr>
          <w:p>
            <w:pPr>
              <w:pStyle w:val="TableParagraph"/>
              <w:ind w:left="197"/>
              <w:jc w:val="left"/>
              <w:rPr>
                <w:i/>
                <w:sz w:val="20"/>
              </w:rPr>
            </w:pPr>
            <w:r>
              <w:rPr>
                <w:i/>
                <w:sz w:val="20"/>
              </w:rPr>
              <w:t>Klebsiella</w:t>
            </w:r>
            <w:r>
              <w:rPr>
                <w:i/>
                <w:spacing w:val="-8"/>
                <w:sz w:val="20"/>
              </w:rPr>
              <w:t> </w:t>
            </w:r>
            <w:r>
              <w:rPr>
                <w:i/>
                <w:spacing w:val="-5"/>
                <w:sz w:val="20"/>
              </w:rPr>
              <w:t>spp</w:t>
            </w:r>
          </w:p>
        </w:tc>
        <w:tc>
          <w:tcPr>
            <w:tcW w:w="579" w:type="dxa"/>
          </w:tcPr>
          <w:p>
            <w:pPr>
              <w:pStyle w:val="TableParagraph"/>
              <w:ind w:left="165"/>
              <w:jc w:val="left"/>
              <w:rPr>
                <w:sz w:val="20"/>
              </w:rPr>
            </w:pPr>
            <w:r>
              <w:rPr>
                <w:spacing w:val="-10"/>
                <w:sz w:val="20"/>
              </w:rPr>
              <w:t>S</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S46e</w:t>
            </w:r>
          </w:p>
        </w:tc>
        <w:tc>
          <w:tcPr>
            <w:tcW w:w="1746" w:type="dxa"/>
          </w:tcPr>
          <w:p>
            <w:pPr>
              <w:pStyle w:val="TableParagraph"/>
              <w:ind w:left="197"/>
              <w:jc w:val="left"/>
              <w:rPr>
                <w:i/>
                <w:sz w:val="20"/>
              </w:rPr>
            </w:pPr>
            <w:r>
              <w:rPr>
                <w:i/>
                <w:sz w:val="20"/>
              </w:rPr>
              <w:t>Klebsiella</w:t>
            </w:r>
            <w:r>
              <w:rPr>
                <w:i/>
                <w:spacing w:val="-8"/>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E25s</w:t>
            </w:r>
          </w:p>
        </w:tc>
        <w:tc>
          <w:tcPr>
            <w:tcW w:w="1746" w:type="dxa"/>
          </w:tcPr>
          <w:p>
            <w:pPr>
              <w:pStyle w:val="TableParagraph"/>
              <w:ind w:left="197"/>
              <w:jc w:val="left"/>
              <w:rPr>
                <w:i/>
                <w:sz w:val="20"/>
              </w:rPr>
            </w:pPr>
            <w:r>
              <w:rPr>
                <w:i/>
                <w:sz w:val="20"/>
              </w:rPr>
              <w:t>Citrobacter</w:t>
            </w:r>
            <w:r>
              <w:rPr>
                <w:i/>
                <w:spacing w:val="-7"/>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Z2s</w:t>
            </w:r>
          </w:p>
        </w:tc>
        <w:tc>
          <w:tcPr>
            <w:tcW w:w="1746" w:type="dxa"/>
          </w:tcPr>
          <w:p>
            <w:pPr>
              <w:pStyle w:val="TableParagraph"/>
              <w:ind w:left="197"/>
              <w:jc w:val="left"/>
              <w:rPr>
                <w:i/>
                <w:sz w:val="20"/>
              </w:rPr>
            </w:pPr>
            <w:r>
              <w:rPr>
                <w:i/>
                <w:sz w:val="20"/>
              </w:rPr>
              <w:t>Yersinia</w:t>
            </w:r>
            <w:r>
              <w:rPr>
                <w:i/>
                <w:spacing w:val="-5"/>
                <w:sz w:val="20"/>
              </w:rPr>
              <w:t> 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2" w:right="93"/>
              <w:rPr>
                <w:sz w:val="20"/>
              </w:rPr>
            </w:pPr>
            <w:r>
              <w:rPr>
                <w:spacing w:val="-10"/>
                <w:sz w:val="20"/>
              </w:rPr>
              <w:t>I</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44" w:right="56"/>
              <w:rPr>
                <w:sz w:val="20"/>
              </w:rPr>
            </w:pPr>
            <w:r>
              <w:rPr>
                <w:spacing w:val="-10"/>
                <w:sz w:val="20"/>
              </w:rPr>
              <w:t>S</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E6e</w:t>
            </w:r>
          </w:p>
        </w:tc>
        <w:tc>
          <w:tcPr>
            <w:tcW w:w="1746" w:type="dxa"/>
          </w:tcPr>
          <w:p>
            <w:pPr>
              <w:pStyle w:val="TableParagraph"/>
              <w:ind w:left="197"/>
              <w:jc w:val="left"/>
              <w:rPr>
                <w:i/>
                <w:sz w:val="20"/>
              </w:rPr>
            </w:pPr>
            <w:r>
              <w:rPr>
                <w:i/>
                <w:sz w:val="20"/>
              </w:rPr>
              <w:t>Providencia</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61" w:right="102"/>
              <w:rPr>
                <w:sz w:val="20"/>
              </w:rPr>
            </w:pPr>
            <w:r>
              <w:rPr>
                <w:spacing w:val="-10"/>
                <w:sz w:val="20"/>
              </w:rPr>
              <w:t>R</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S39s</w:t>
            </w:r>
          </w:p>
        </w:tc>
        <w:tc>
          <w:tcPr>
            <w:tcW w:w="1746" w:type="dxa"/>
          </w:tcPr>
          <w:p>
            <w:pPr>
              <w:pStyle w:val="TableParagraph"/>
              <w:spacing w:line="222" w:lineRule="exact"/>
              <w:ind w:left="197"/>
              <w:jc w:val="left"/>
              <w:rPr>
                <w:i/>
                <w:sz w:val="20"/>
              </w:rPr>
            </w:pPr>
            <w:r>
              <w:rPr>
                <w:i/>
                <w:sz w:val="20"/>
              </w:rPr>
              <w:t>Providencia</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59" w:right="72"/>
              <w:rPr>
                <w:sz w:val="20"/>
              </w:rPr>
            </w:pPr>
            <w:r>
              <w:rPr>
                <w:spacing w:val="-10"/>
                <w:sz w:val="20"/>
              </w:rPr>
              <w:t>S</w:t>
            </w:r>
          </w:p>
        </w:tc>
        <w:tc>
          <w:tcPr>
            <w:tcW w:w="674" w:type="dxa"/>
          </w:tcPr>
          <w:p>
            <w:pPr>
              <w:pStyle w:val="TableParagraph"/>
              <w:spacing w:line="222" w:lineRule="exact"/>
              <w:ind w:left="132" w:right="102"/>
              <w:rPr>
                <w:sz w:val="20"/>
              </w:rPr>
            </w:pPr>
            <w:r>
              <w:rPr>
                <w:spacing w:val="-10"/>
                <w:sz w:val="20"/>
              </w:rPr>
              <w:t>S</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44" w:right="93"/>
              <w:rPr>
                <w:sz w:val="20"/>
              </w:rPr>
            </w:pPr>
            <w:r>
              <w:rPr>
                <w:spacing w:val="-10"/>
                <w:sz w:val="20"/>
              </w:rPr>
              <w:t>S</w:t>
            </w:r>
          </w:p>
        </w:tc>
        <w:tc>
          <w:tcPr>
            <w:tcW w:w="675" w:type="dxa"/>
          </w:tcPr>
          <w:p>
            <w:pPr>
              <w:pStyle w:val="TableParagraph"/>
              <w:spacing w:line="222" w:lineRule="exact"/>
              <w:ind w:left="133" w:right="103"/>
              <w:rPr>
                <w:sz w:val="20"/>
              </w:rPr>
            </w:pPr>
            <w:r>
              <w:rPr>
                <w:spacing w:val="-10"/>
                <w:sz w:val="20"/>
              </w:rPr>
              <w:t>S</w:t>
            </w:r>
          </w:p>
        </w:tc>
        <w:tc>
          <w:tcPr>
            <w:tcW w:w="675" w:type="dxa"/>
          </w:tcPr>
          <w:p>
            <w:pPr>
              <w:pStyle w:val="TableParagraph"/>
              <w:spacing w:line="222" w:lineRule="exact"/>
              <w:ind w:left="47" w:right="106"/>
              <w:rPr>
                <w:sz w:val="20"/>
              </w:rPr>
            </w:pPr>
            <w:r>
              <w:rPr>
                <w:spacing w:val="-10"/>
                <w:sz w:val="20"/>
              </w:rPr>
              <w:t>S</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44" w:right="56"/>
              <w:rPr>
                <w:sz w:val="20"/>
              </w:rPr>
            </w:pPr>
            <w:r>
              <w:rPr>
                <w:spacing w:val="-10"/>
                <w:sz w:val="20"/>
              </w:rPr>
              <w:t>S</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S17e</w:t>
            </w:r>
          </w:p>
        </w:tc>
        <w:tc>
          <w:tcPr>
            <w:tcW w:w="1746" w:type="dxa"/>
          </w:tcPr>
          <w:p>
            <w:pPr>
              <w:pStyle w:val="TableParagraph"/>
              <w:spacing w:line="222" w:lineRule="exact"/>
              <w:ind w:left="197"/>
              <w:jc w:val="left"/>
              <w:rPr>
                <w:i/>
                <w:sz w:val="20"/>
              </w:rPr>
            </w:pPr>
            <w:r>
              <w:rPr>
                <w:i/>
                <w:sz w:val="20"/>
              </w:rPr>
              <w:t>Providencia</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59" w:right="72"/>
              <w:rPr>
                <w:sz w:val="20"/>
              </w:rPr>
            </w:pPr>
            <w:r>
              <w:rPr>
                <w:spacing w:val="-10"/>
                <w:sz w:val="20"/>
              </w:rPr>
              <w:t>S</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46"/>
              <w:rPr>
                <w:sz w:val="20"/>
              </w:rPr>
            </w:pPr>
            <w:r>
              <w:rPr>
                <w:spacing w:val="-10"/>
                <w:sz w:val="20"/>
              </w:rPr>
              <w:t>I</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44" w:right="56"/>
              <w:rPr>
                <w:sz w:val="20"/>
              </w:rPr>
            </w:pPr>
            <w:r>
              <w:rPr>
                <w:spacing w:val="-10"/>
                <w:sz w:val="20"/>
              </w:rPr>
              <w:t>S</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E10e</w:t>
            </w:r>
          </w:p>
        </w:tc>
        <w:tc>
          <w:tcPr>
            <w:tcW w:w="1746" w:type="dxa"/>
          </w:tcPr>
          <w:p>
            <w:pPr>
              <w:pStyle w:val="TableParagraph"/>
              <w:ind w:left="197"/>
              <w:jc w:val="left"/>
              <w:rPr>
                <w:i/>
                <w:sz w:val="20"/>
              </w:rPr>
            </w:pPr>
            <w:r>
              <w:rPr>
                <w:i/>
                <w:sz w:val="20"/>
              </w:rPr>
              <w:t>Providencia</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S15e</w:t>
            </w:r>
          </w:p>
        </w:tc>
        <w:tc>
          <w:tcPr>
            <w:tcW w:w="1746" w:type="dxa"/>
          </w:tcPr>
          <w:p>
            <w:pPr>
              <w:pStyle w:val="TableParagraph"/>
              <w:ind w:left="197"/>
              <w:jc w:val="left"/>
              <w:rPr>
                <w:i/>
                <w:sz w:val="20"/>
              </w:rPr>
            </w:pPr>
            <w:r>
              <w:rPr>
                <w:i/>
                <w:sz w:val="20"/>
              </w:rPr>
              <w:t>Providencia</w:t>
            </w:r>
            <w:r>
              <w:rPr>
                <w:i/>
                <w:spacing w:val="-8"/>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Z2e</w:t>
            </w:r>
          </w:p>
        </w:tc>
        <w:tc>
          <w:tcPr>
            <w:tcW w:w="1746" w:type="dxa"/>
          </w:tcPr>
          <w:p>
            <w:pPr>
              <w:pStyle w:val="TableParagraph"/>
              <w:ind w:left="197"/>
              <w:jc w:val="left"/>
              <w:rPr>
                <w:i/>
                <w:sz w:val="20"/>
              </w:rPr>
            </w:pPr>
            <w:r>
              <w:rPr>
                <w:i/>
                <w:sz w:val="20"/>
              </w:rPr>
              <w:t>Proteus</w:t>
            </w:r>
            <w:r>
              <w:rPr>
                <w:i/>
                <w:spacing w:val="-3"/>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59" w:right="72"/>
              <w:rPr>
                <w:sz w:val="20"/>
              </w:rPr>
            </w:pPr>
            <w:r>
              <w:rPr>
                <w:spacing w:val="-10"/>
                <w:sz w:val="20"/>
              </w:rPr>
              <w:t>S</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E8s</w:t>
            </w:r>
          </w:p>
        </w:tc>
        <w:tc>
          <w:tcPr>
            <w:tcW w:w="1746" w:type="dxa"/>
          </w:tcPr>
          <w:p>
            <w:pPr>
              <w:pStyle w:val="TableParagraph"/>
              <w:ind w:left="197"/>
              <w:jc w:val="left"/>
              <w:rPr>
                <w:i/>
                <w:sz w:val="20"/>
              </w:rPr>
            </w:pPr>
            <w:r>
              <w:rPr>
                <w:i/>
                <w:sz w:val="20"/>
              </w:rPr>
              <w:t>Proteus</w:t>
            </w:r>
            <w:r>
              <w:rPr>
                <w:i/>
                <w:spacing w:val="-3"/>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E5s</w:t>
            </w:r>
          </w:p>
        </w:tc>
        <w:tc>
          <w:tcPr>
            <w:tcW w:w="1746" w:type="dxa"/>
          </w:tcPr>
          <w:p>
            <w:pPr>
              <w:pStyle w:val="TableParagraph"/>
              <w:ind w:left="197"/>
              <w:jc w:val="left"/>
              <w:rPr>
                <w:i/>
                <w:sz w:val="20"/>
              </w:rPr>
            </w:pPr>
            <w:r>
              <w:rPr>
                <w:i/>
                <w:sz w:val="20"/>
              </w:rPr>
              <w:t>Proteus</w:t>
            </w:r>
            <w:r>
              <w:rPr>
                <w:i/>
                <w:spacing w:val="-3"/>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5"/>
                <w:sz w:val="20"/>
              </w:rPr>
              <w:t>E4s</w:t>
            </w:r>
          </w:p>
        </w:tc>
        <w:tc>
          <w:tcPr>
            <w:tcW w:w="1746" w:type="dxa"/>
          </w:tcPr>
          <w:p>
            <w:pPr>
              <w:pStyle w:val="TableParagraph"/>
              <w:spacing w:line="222" w:lineRule="exact"/>
              <w:ind w:left="197"/>
              <w:jc w:val="left"/>
              <w:rPr>
                <w:i/>
                <w:sz w:val="20"/>
              </w:rPr>
            </w:pPr>
            <w:r>
              <w:rPr>
                <w:i/>
                <w:sz w:val="20"/>
              </w:rPr>
              <w:t>Proteus</w:t>
            </w:r>
            <w:r>
              <w:rPr>
                <w:i/>
                <w:spacing w:val="-3"/>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46"/>
              <w:rPr>
                <w:sz w:val="20"/>
              </w:rPr>
            </w:pPr>
            <w:r>
              <w:rPr>
                <w:spacing w:val="-10"/>
                <w:sz w:val="20"/>
              </w:rPr>
              <w:t>I</w:t>
            </w:r>
          </w:p>
        </w:tc>
        <w:tc>
          <w:tcPr>
            <w:tcW w:w="720" w:type="dxa"/>
          </w:tcPr>
          <w:p>
            <w:pPr>
              <w:pStyle w:val="TableParagraph"/>
              <w:spacing w:line="222" w:lineRule="exact"/>
              <w:ind w:left="74" w:right="72"/>
              <w:rPr>
                <w:sz w:val="20"/>
              </w:rPr>
            </w:pPr>
            <w:r>
              <w:rPr>
                <w:spacing w:val="-10"/>
                <w:sz w:val="20"/>
              </w:rPr>
              <w:t>R</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S48e</w:t>
            </w:r>
          </w:p>
        </w:tc>
        <w:tc>
          <w:tcPr>
            <w:tcW w:w="1746" w:type="dxa"/>
          </w:tcPr>
          <w:p>
            <w:pPr>
              <w:pStyle w:val="TableParagraph"/>
              <w:spacing w:line="222"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E28s</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93" w:right="102"/>
              <w:rPr>
                <w:sz w:val="20"/>
              </w:rPr>
            </w:pPr>
            <w:r>
              <w:rPr>
                <w:spacing w:val="-10"/>
                <w:sz w:val="20"/>
              </w:rPr>
              <w:t>I</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44" w:right="56"/>
              <w:rPr>
                <w:sz w:val="20"/>
              </w:rPr>
            </w:pPr>
            <w:r>
              <w:rPr>
                <w:spacing w:val="-10"/>
                <w:sz w:val="20"/>
              </w:rPr>
              <w:t>S</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B7e</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19" w:right="72"/>
              <w:rPr>
                <w:sz w:val="20"/>
              </w:rPr>
            </w:pPr>
            <w:r>
              <w:rPr>
                <w:spacing w:val="-10"/>
                <w:sz w:val="20"/>
              </w:rPr>
              <w:t>I</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B6s</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46"/>
              <w:rPr>
                <w:sz w:val="20"/>
              </w:rPr>
            </w:pPr>
            <w:r>
              <w:rPr>
                <w:spacing w:val="-10"/>
                <w:sz w:val="20"/>
              </w:rPr>
              <w:t>I</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94" w:right="103"/>
              <w:rPr>
                <w:sz w:val="20"/>
              </w:rPr>
            </w:pPr>
            <w:r>
              <w:rPr>
                <w:spacing w:val="-10"/>
                <w:sz w:val="20"/>
              </w:rPr>
              <w:t>I</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E22s</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S31e</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5"/>
                <w:sz w:val="20"/>
              </w:rPr>
              <w:t>B5s</w:t>
            </w:r>
          </w:p>
        </w:tc>
        <w:tc>
          <w:tcPr>
            <w:tcW w:w="1746" w:type="dxa"/>
          </w:tcPr>
          <w:p>
            <w:pPr>
              <w:pStyle w:val="TableParagraph"/>
              <w:spacing w:line="222"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32" w:right="102"/>
              <w:rPr>
                <w:sz w:val="20"/>
              </w:rPr>
            </w:pPr>
            <w:r>
              <w:rPr>
                <w:spacing w:val="-10"/>
                <w:sz w:val="20"/>
              </w:rPr>
              <w:t>S</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47" w:right="148"/>
              <w:rPr>
                <w:sz w:val="20"/>
              </w:rPr>
            </w:pPr>
            <w:r>
              <w:rPr>
                <w:spacing w:val="-10"/>
                <w:sz w:val="20"/>
              </w:rPr>
              <w:t>I</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5"/>
                <w:sz w:val="20"/>
              </w:rPr>
              <w:t>B2e</w:t>
            </w:r>
          </w:p>
        </w:tc>
        <w:tc>
          <w:tcPr>
            <w:tcW w:w="1746" w:type="dxa"/>
          </w:tcPr>
          <w:p>
            <w:pPr>
              <w:pStyle w:val="TableParagraph"/>
              <w:spacing w:line="222"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2" w:right="93"/>
              <w:rPr>
                <w:sz w:val="20"/>
              </w:rPr>
            </w:pPr>
            <w:r>
              <w:rPr>
                <w:spacing w:val="-10"/>
                <w:sz w:val="20"/>
              </w:rPr>
              <w:t>I</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B36s</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5"/>
                <w:sz w:val="20"/>
              </w:rPr>
              <w:t>B7s</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2" w:right="93"/>
              <w:rPr>
                <w:sz w:val="20"/>
              </w:rPr>
            </w:pPr>
            <w:r>
              <w:rPr>
                <w:spacing w:val="-10"/>
                <w:sz w:val="20"/>
              </w:rPr>
              <w:t>I</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44" w:right="56"/>
              <w:rPr>
                <w:sz w:val="20"/>
              </w:rPr>
            </w:pPr>
            <w:r>
              <w:rPr>
                <w:spacing w:val="-10"/>
                <w:sz w:val="20"/>
              </w:rPr>
              <w:t>S</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S47e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S48s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59" w:right="72"/>
              <w:rPr>
                <w:sz w:val="20"/>
              </w:rPr>
            </w:pPr>
            <w:r>
              <w:rPr>
                <w:spacing w:val="-10"/>
                <w:sz w:val="20"/>
              </w:rPr>
              <w:t>S</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S44s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S35s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S49e</w:t>
            </w:r>
          </w:p>
        </w:tc>
        <w:tc>
          <w:tcPr>
            <w:tcW w:w="1746" w:type="dxa"/>
          </w:tcPr>
          <w:p>
            <w:pPr>
              <w:pStyle w:val="TableParagraph"/>
              <w:spacing w:line="222" w:lineRule="exact"/>
              <w:ind w:left="197"/>
              <w:jc w:val="left"/>
              <w:rPr>
                <w:i/>
                <w:sz w:val="20"/>
              </w:rPr>
            </w:pPr>
            <w:r>
              <w:rPr>
                <w:i/>
                <w:sz w:val="20"/>
              </w:rPr>
              <w:t>E.</w:t>
            </w:r>
            <w:r>
              <w:rPr>
                <w:i/>
                <w:spacing w:val="1"/>
                <w:sz w:val="20"/>
              </w:rPr>
              <w:t> </w:t>
            </w:r>
            <w:r>
              <w:rPr>
                <w:i/>
                <w:spacing w:val="-4"/>
                <w:sz w:val="20"/>
              </w:rPr>
              <w:t>coli</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59" w:right="72"/>
              <w:rPr>
                <w:sz w:val="20"/>
              </w:rPr>
            </w:pPr>
            <w:r>
              <w:rPr>
                <w:spacing w:val="-10"/>
                <w:sz w:val="20"/>
              </w:rPr>
              <w:t>S</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61" w:right="93"/>
              <w:rPr>
                <w:sz w:val="20"/>
              </w:rPr>
            </w:pPr>
            <w:r>
              <w:rPr>
                <w:spacing w:val="-10"/>
                <w:sz w:val="20"/>
              </w:rPr>
              <w:t>R</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47" w:right="148"/>
              <w:rPr>
                <w:sz w:val="20"/>
              </w:rPr>
            </w:pPr>
            <w:r>
              <w:rPr>
                <w:spacing w:val="-10"/>
                <w:sz w:val="20"/>
              </w:rPr>
              <w:t>I</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Z27s</w:t>
            </w:r>
          </w:p>
        </w:tc>
        <w:tc>
          <w:tcPr>
            <w:tcW w:w="1746" w:type="dxa"/>
          </w:tcPr>
          <w:p>
            <w:pPr>
              <w:pStyle w:val="TableParagraph"/>
              <w:spacing w:line="222" w:lineRule="exact"/>
              <w:ind w:left="197"/>
              <w:jc w:val="left"/>
              <w:rPr>
                <w:i/>
                <w:sz w:val="20"/>
              </w:rPr>
            </w:pPr>
            <w:r>
              <w:rPr>
                <w:i/>
                <w:sz w:val="20"/>
              </w:rPr>
              <w:t>E.</w:t>
            </w:r>
            <w:r>
              <w:rPr>
                <w:i/>
                <w:spacing w:val="1"/>
                <w:sz w:val="20"/>
              </w:rPr>
              <w:t> </w:t>
            </w:r>
            <w:r>
              <w:rPr>
                <w:i/>
                <w:spacing w:val="-4"/>
                <w:sz w:val="20"/>
              </w:rPr>
              <w:t>coli</w:t>
            </w:r>
          </w:p>
        </w:tc>
        <w:tc>
          <w:tcPr>
            <w:tcW w:w="579" w:type="dxa"/>
          </w:tcPr>
          <w:p>
            <w:pPr>
              <w:pStyle w:val="TableParagraph"/>
              <w:spacing w:line="222" w:lineRule="exact"/>
              <w:ind w:left="165"/>
              <w:jc w:val="left"/>
              <w:rPr>
                <w:sz w:val="20"/>
              </w:rPr>
            </w:pPr>
            <w:r>
              <w:rPr>
                <w:spacing w:val="-10"/>
                <w:sz w:val="20"/>
              </w:rPr>
              <w:t>R</w:t>
            </w:r>
          </w:p>
        </w:tc>
        <w:tc>
          <w:tcPr>
            <w:tcW w:w="720" w:type="dxa"/>
          </w:tcPr>
          <w:p>
            <w:pPr>
              <w:pStyle w:val="TableParagraph"/>
              <w:spacing w:line="222" w:lineRule="exact"/>
              <w:ind w:left="59" w:right="72"/>
              <w:rPr>
                <w:sz w:val="20"/>
              </w:rPr>
            </w:pPr>
            <w:r>
              <w:rPr>
                <w:spacing w:val="-10"/>
                <w:sz w:val="20"/>
              </w:rPr>
              <w:t>S</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2" w:right="93"/>
              <w:rPr>
                <w:sz w:val="20"/>
              </w:rPr>
            </w:pPr>
            <w:r>
              <w:rPr>
                <w:spacing w:val="-10"/>
                <w:sz w:val="20"/>
              </w:rPr>
              <w:t>I</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47" w:right="148"/>
              <w:rPr>
                <w:sz w:val="20"/>
              </w:rPr>
            </w:pPr>
            <w:r>
              <w:rPr>
                <w:spacing w:val="-10"/>
                <w:sz w:val="20"/>
              </w:rPr>
              <w:t>I</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2" w:right="56"/>
              <w:rPr>
                <w:sz w:val="20"/>
              </w:rPr>
            </w:pPr>
            <w:r>
              <w:rPr>
                <w:spacing w:val="-10"/>
                <w:sz w:val="20"/>
              </w:rPr>
              <w:t>I</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S50s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59" w:right="72"/>
              <w:rPr>
                <w:sz w:val="20"/>
              </w:rPr>
            </w:pPr>
            <w:r>
              <w:rPr>
                <w:spacing w:val="-10"/>
                <w:sz w:val="20"/>
              </w:rPr>
              <w:t>S</w:t>
            </w:r>
          </w:p>
        </w:tc>
        <w:tc>
          <w:tcPr>
            <w:tcW w:w="674" w:type="dxa"/>
          </w:tcPr>
          <w:p>
            <w:pPr>
              <w:pStyle w:val="TableParagraph"/>
              <w:ind w:left="93" w:right="102"/>
              <w:rPr>
                <w:sz w:val="20"/>
              </w:rPr>
            </w:pPr>
            <w:r>
              <w:rPr>
                <w:spacing w:val="-10"/>
                <w:sz w:val="20"/>
              </w:rPr>
              <w:t>I</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S43s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S32s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59" w:right="72"/>
              <w:rPr>
                <w:sz w:val="20"/>
              </w:rPr>
            </w:pPr>
            <w:r>
              <w:rPr>
                <w:spacing w:val="-10"/>
                <w:sz w:val="20"/>
              </w:rPr>
              <w:t>S</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E23e</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46"/>
              <w:rPr>
                <w:sz w:val="20"/>
              </w:rPr>
            </w:pPr>
            <w:r>
              <w:rPr>
                <w:spacing w:val="-10"/>
                <w:sz w:val="20"/>
              </w:rPr>
              <w:t>I</w:t>
            </w:r>
          </w:p>
        </w:tc>
        <w:tc>
          <w:tcPr>
            <w:tcW w:w="720" w:type="dxa"/>
          </w:tcPr>
          <w:p>
            <w:pPr>
              <w:pStyle w:val="TableParagraph"/>
              <w:ind w:left="74" w:right="72"/>
              <w:rPr>
                <w:sz w:val="20"/>
              </w:rPr>
            </w:pPr>
            <w:r>
              <w:rPr>
                <w:spacing w:val="-10"/>
                <w:sz w:val="20"/>
              </w:rPr>
              <w:t>R</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61" w:right="103"/>
              <w:rPr>
                <w:sz w:val="20"/>
              </w:rPr>
            </w:pPr>
            <w:r>
              <w:rPr>
                <w:spacing w:val="-10"/>
                <w:sz w:val="20"/>
              </w:rPr>
              <w:t>R</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S37s</w:t>
            </w:r>
          </w:p>
        </w:tc>
        <w:tc>
          <w:tcPr>
            <w:tcW w:w="1746" w:type="dxa"/>
          </w:tcPr>
          <w:p>
            <w:pPr>
              <w:pStyle w:val="TableParagraph"/>
              <w:ind w:left="197"/>
              <w:jc w:val="left"/>
              <w:rPr>
                <w:i/>
                <w:sz w:val="20"/>
              </w:rPr>
            </w:pPr>
            <w:r>
              <w:rPr>
                <w:i/>
                <w:sz w:val="20"/>
              </w:rPr>
              <w:t>E.</w:t>
            </w:r>
            <w:r>
              <w:rPr>
                <w:i/>
                <w:spacing w:val="1"/>
                <w:sz w:val="20"/>
              </w:rPr>
              <w:t> </w:t>
            </w:r>
            <w:r>
              <w:rPr>
                <w:i/>
                <w:spacing w:val="-4"/>
                <w:sz w:val="20"/>
              </w:rPr>
              <w:t>coli</w:t>
            </w:r>
          </w:p>
        </w:tc>
        <w:tc>
          <w:tcPr>
            <w:tcW w:w="579" w:type="dxa"/>
          </w:tcPr>
          <w:p>
            <w:pPr>
              <w:pStyle w:val="TableParagraph"/>
              <w:ind w:left="165"/>
              <w:jc w:val="left"/>
              <w:rPr>
                <w:sz w:val="20"/>
              </w:rPr>
            </w:pPr>
            <w:r>
              <w:rPr>
                <w:spacing w:val="-10"/>
                <w:sz w:val="20"/>
              </w:rPr>
              <w:t>R</w:t>
            </w:r>
          </w:p>
        </w:tc>
        <w:tc>
          <w:tcPr>
            <w:tcW w:w="720" w:type="dxa"/>
          </w:tcPr>
          <w:p>
            <w:pPr>
              <w:pStyle w:val="TableParagraph"/>
              <w:ind w:left="73" w:right="72"/>
              <w:rPr>
                <w:sz w:val="20"/>
              </w:rPr>
            </w:pPr>
            <w:r>
              <w:rPr>
                <w:spacing w:val="-10"/>
                <w:sz w:val="20"/>
              </w:rPr>
              <w:t>R</w:t>
            </w:r>
          </w:p>
        </w:tc>
        <w:tc>
          <w:tcPr>
            <w:tcW w:w="674" w:type="dxa"/>
          </w:tcPr>
          <w:p>
            <w:pPr>
              <w:pStyle w:val="TableParagraph"/>
              <w:ind w:left="149" w:right="102"/>
              <w:rPr>
                <w:sz w:val="20"/>
              </w:rPr>
            </w:pPr>
            <w:r>
              <w:rPr>
                <w:spacing w:val="-10"/>
                <w:sz w:val="20"/>
              </w:rPr>
              <w:t>R</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61" w:right="93"/>
              <w:rPr>
                <w:sz w:val="20"/>
              </w:rPr>
            </w:pPr>
            <w:r>
              <w:rPr>
                <w:spacing w:val="-10"/>
                <w:sz w:val="20"/>
              </w:rPr>
              <w:t>R</w:t>
            </w:r>
          </w:p>
        </w:tc>
        <w:tc>
          <w:tcPr>
            <w:tcW w:w="675" w:type="dxa"/>
          </w:tcPr>
          <w:p>
            <w:pPr>
              <w:pStyle w:val="TableParagraph"/>
              <w:ind w:left="150" w:right="103"/>
              <w:rPr>
                <w:sz w:val="20"/>
              </w:rPr>
            </w:pPr>
            <w:r>
              <w:rPr>
                <w:spacing w:val="-10"/>
                <w:sz w:val="20"/>
              </w:rPr>
              <w:t>R</w:t>
            </w:r>
          </w:p>
        </w:tc>
        <w:tc>
          <w:tcPr>
            <w:tcW w:w="675" w:type="dxa"/>
          </w:tcPr>
          <w:p>
            <w:pPr>
              <w:pStyle w:val="TableParagraph"/>
              <w:ind w:left="47" w:right="148"/>
              <w:rPr>
                <w:sz w:val="20"/>
              </w:rPr>
            </w:pPr>
            <w:r>
              <w:rPr>
                <w:spacing w:val="-10"/>
                <w:sz w:val="20"/>
              </w:rPr>
              <w:t>I</w:t>
            </w:r>
          </w:p>
        </w:tc>
        <w:tc>
          <w:tcPr>
            <w:tcW w:w="677" w:type="dxa"/>
          </w:tcPr>
          <w:p>
            <w:pPr>
              <w:pStyle w:val="TableParagraph"/>
              <w:ind w:left="58" w:right="15"/>
              <w:rPr>
                <w:sz w:val="20"/>
              </w:rPr>
            </w:pPr>
            <w:r>
              <w:rPr>
                <w:spacing w:val="-10"/>
                <w:sz w:val="20"/>
              </w:rPr>
              <w:t>R</w:t>
            </w:r>
          </w:p>
        </w:tc>
        <w:tc>
          <w:tcPr>
            <w:tcW w:w="631" w:type="dxa"/>
          </w:tcPr>
          <w:p>
            <w:pPr>
              <w:pStyle w:val="TableParagraph"/>
              <w:ind w:left="58" w:right="56"/>
              <w:rPr>
                <w:sz w:val="20"/>
              </w:rPr>
            </w:pPr>
            <w:r>
              <w:rPr>
                <w:spacing w:val="-10"/>
                <w:sz w:val="20"/>
              </w:rPr>
              <w:t>R</w:t>
            </w:r>
          </w:p>
        </w:tc>
        <w:tc>
          <w:tcPr>
            <w:tcW w:w="419" w:type="dxa"/>
          </w:tcPr>
          <w:p>
            <w:pPr>
              <w:pStyle w:val="TableParagraph"/>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4"/>
                <w:sz w:val="20"/>
              </w:rPr>
              <w:t>Z23e</w:t>
            </w:r>
          </w:p>
        </w:tc>
        <w:tc>
          <w:tcPr>
            <w:tcW w:w="1746" w:type="dxa"/>
          </w:tcPr>
          <w:p>
            <w:pPr>
              <w:pStyle w:val="TableParagraph"/>
              <w:spacing w:line="222"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74" w:type="dxa"/>
          </w:tcPr>
          <w:p>
            <w:pPr>
              <w:pStyle w:val="TableParagraph"/>
              <w:spacing w:line="222" w:lineRule="exact"/>
              <w:ind w:left="132" w:right="102"/>
              <w:rPr>
                <w:sz w:val="20"/>
              </w:rPr>
            </w:pPr>
            <w:r>
              <w:rPr>
                <w:spacing w:val="-10"/>
                <w:sz w:val="20"/>
              </w:rPr>
              <w:t>S</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44" w:right="93"/>
              <w:rPr>
                <w:sz w:val="20"/>
              </w:rPr>
            </w:pPr>
            <w:r>
              <w:rPr>
                <w:spacing w:val="-10"/>
                <w:sz w:val="20"/>
              </w:rPr>
              <w:t>S</w:t>
            </w:r>
          </w:p>
        </w:tc>
        <w:tc>
          <w:tcPr>
            <w:tcW w:w="675" w:type="dxa"/>
          </w:tcPr>
          <w:p>
            <w:pPr>
              <w:pStyle w:val="TableParagraph"/>
              <w:spacing w:line="222" w:lineRule="exact"/>
              <w:ind w:left="150" w:right="103"/>
              <w:rPr>
                <w:sz w:val="20"/>
              </w:rPr>
            </w:pPr>
            <w:r>
              <w:rPr>
                <w:spacing w:val="-10"/>
                <w:sz w:val="20"/>
              </w:rPr>
              <w:t>R</w:t>
            </w:r>
          </w:p>
        </w:tc>
        <w:tc>
          <w:tcPr>
            <w:tcW w:w="675" w:type="dxa"/>
          </w:tcPr>
          <w:p>
            <w:pPr>
              <w:pStyle w:val="TableParagraph"/>
              <w:spacing w:line="222" w:lineRule="exact"/>
              <w:ind w:left="47" w:right="148"/>
              <w:rPr>
                <w:sz w:val="20"/>
              </w:rPr>
            </w:pPr>
            <w:r>
              <w:rPr>
                <w:spacing w:val="-10"/>
                <w:sz w:val="20"/>
              </w:rPr>
              <w:t>I</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2" w:hRule="atLeast"/>
        </w:trPr>
        <w:tc>
          <w:tcPr>
            <w:tcW w:w="659" w:type="dxa"/>
          </w:tcPr>
          <w:p>
            <w:pPr>
              <w:pStyle w:val="TableParagraph"/>
              <w:spacing w:line="222" w:lineRule="exact"/>
              <w:ind w:left="50"/>
              <w:jc w:val="left"/>
              <w:rPr>
                <w:sz w:val="20"/>
              </w:rPr>
            </w:pPr>
            <w:r>
              <w:rPr>
                <w:spacing w:val="-5"/>
                <w:sz w:val="20"/>
              </w:rPr>
              <w:t>B3e</w:t>
            </w:r>
          </w:p>
        </w:tc>
        <w:tc>
          <w:tcPr>
            <w:tcW w:w="1746" w:type="dxa"/>
          </w:tcPr>
          <w:p>
            <w:pPr>
              <w:pStyle w:val="TableParagraph"/>
              <w:spacing w:line="222"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22" w:lineRule="exact"/>
              <w:ind w:left="165"/>
              <w:jc w:val="left"/>
              <w:rPr>
                <w:sz w:val="20"/>
              </w:rPr>
            </w:pPr>
            <w:r>
              <w:rPr>
                <w:spacing w:val="-10"/>
                <w:sz w:val="20"/>
              </w:rPr>
              <w:t>S</w:t>
            </w:r>
          </w:p>
        </w:tc>
        <w:tc>
          <w:tcPr>
            <w:tcW w:w="720" w:type="dxa"/>
          </w:tcPr>
          <w:p>
            <w:pPr>
              <w:pStyle w:val="TableParagraph"/>
              <w:spacing w:line="222" w:lineRule="exact"/>
              <w:ind w:left="73" w:right="72"/>
              <w:rPr>
                <w:sz w:val="20"/>
              </w:rPr>
            </w:pPr>
            <w:r>
              <w:rPr>
                <w:spacing w:val="-10"/>
                <w:sz w:val="20"/>
              </w:rPr>
              <w:t>R</w:t>
            </w:r>
          </w:p>
        </w:tc>
        <w:tc>
          <w:tcPr>
            <w:tcW w:w="674" w:type="dxa"/>
          </w:tcPr>
          <w:p>
            <w:pPr>
              <w:pStyle w:val="TableParagraph"/>
              <w:spacing w:line="222" w:lineRule="exact"/>
              <w:ind w:left="149" w:right="102"/>
              <w:rPr>
                <w:sz w:val="20"/>
              </w:rPr>
            </w:pPr>
            <w:r>
              <w:rPr>
                <w:spacing w:val="-10"/>
                <w:sz w:val="20"/>
              </w:rPr>
              <w:t>R</w:t>
            </w:r>
          </w:p>
        </w:tc>
        <w:tc>
          <w:tcPr>
            <w:tcW w:w="674" w:type="dxa"/>
          </w:tcPr>
          <w:p>
            <w:pPr>
              <w:pStyle w:val="TableParagraph"/>
              <w:spacing w:line="222" w:lineRule="exact"/>
              <w:ind w:left="47" w:right="104"/>
              <w:rPr>
                <w:sz w:val="20"/>
              </w:rPr>
            </w:pPr>
            <w:r>
              <w:rPr>
                <w:spacing w:val="-10"/>
                <w:sz w:val="20"/>
              </w:rPr>
              <w:t>S</w:t>
            </w:r>
          </w:p>
        </w:tc>
        <w:tc>
          <w:tcPr>
            <w:tcW w:w="720" w:type="dxa"/>
          </w:tcPr>
          <w:p>
            <w:pPr>
              <w:pStyle w:val="TableParagraph"/>
              <w:spacing w:line="222" w:lineRule="exact"/>
              <w:ind w:left="61" w:right="72"/>
              <w:rPr>
                <w:sz w:val="20"/>
              </w:rPr>
            </w:pPr>
            <w:r>
              <w:rPr>
                <w:spacing w:val="-10"/>
                <w:sz w:val="20"/>
              </w:rPr>
              <w:t>S</w:t>
            </w:r>
          </w:p>
        </w:tc>
        <w:tc>
          <w:tcPr>
            <w:tcW w:w="666" w:type="dxa"/>
          </w:tcPr>
          <w:p>
            <w:pPr>
              <w:pStyle w:val="TableParagraph"/>
              <w:spacing w:line="222" w:lineRule="exact"/>
              <w:ind w:left="41" w:right="1"/>
              <w:rPr>
                <w:sz w:val="20"/>
              </w:rPr>
            </w:pPr>
            <w:r>
              <w:rPr>
                <w:spacing w:val="-10"/>
                <w:sz w:val="20"/>
              </w:rPr>
              <w:t>S</w:t>
            </w:r>
          </w:p>
        </w:tc>
        <w:tc>
          <w:tcPr>
            <w:tcW w:w="683" w:type="dxa"/>
          </w:tcPr>
          <w:p>
            <w:pPr>
              <w:pStyle w:val="TableParagraph"/>
              <w:spacing w:line="222" w:lineRule="exact"/>
              <w:ind w:left="44" w:right="93"/>
              <w:rPr>
                <w:sz w:val="20"/>
              </w:rPr>
            </w:pPr>
            <w:r>
              <w:rPr>
                <w:spacing w:val="-10"/>
                <w:sz w:val="20"/>
              </w:rPr>
              <w:t>S</w:t>
            </w:r>
          </w:p>
        </w:tc>
        <w:tc>
          <w:tcPr>
            <w:tcW w:w="675" w:type="dxa"/>
          </w:tcPr>
          <w:p>
            <w:pPr>
              <w:pStyle w:val="TableParagraph"/>
              <w:spacing w:line="222" w:lineRule="exact"/>
              <w:ind w:left="133" w:right="103"/>
              <w:rPr>
                <w:sz w:val="20"/>
              </w:rPr>
            </w:pPr>
            <w:r>
              <w:rPr>
                <w:spacing w:val="-10"/>
                <w:sz w:val="20"/>
              </w:rPr>
              <w:t>S</w:t>
            </w:r>
          </w:p>
        </w:tc>
        <w:tc>
          <w:tcPr>
            <w:tcW w:w="675" w:type="dxa"/>
          </w:tcPr>
          <w:p>
            <w:pPr>
              <w:pStyle w:val="TableParagraph"/>
              <w:spacing w:line="222" w:lineRule="exact"/>
              <w:ind w:left="61" w:right="103"/>
              <w:rPr>
                <w:sz w:val="20"/>
              </w:rPr>
            </w:pPr>
            <w:r>
              <w:rPr>
                <w:spacing w:val="-10"/>
                <w:sz w:val="20"/>
              </w:rPr>
              <w:t>R</w:t>
            </w:r>
          </w:p>
        </w:tc>
        <w:tc>
          <w:tcPr>
            <w:tcW w:w="677" w:type="dxa"/>
          </w:tcPr>
          <w:p>
            <w:pPr>
              <w:pStyle w:val="TableParagraph"/>
              <w:spacing w:line="222" w:lineRule="exact"/>
              <w:ind w:left="58" w:right="15"/>
              <w:rPr>
                <w:sz w:val="20"/>
              </w:rPr>
            </w:pPr>
            <w:r>
              <w:rPr>
                <w:spacing w:val="-10"/>
                <w:sz w:val="20"/>
              </w:rPr>
              <w:t>R</w:t>
            </w:r>
          </w:p>
        </w:tc>
        <w:tc>
          <w:tcPr>
            <w:tcW w:w="631" w:type="dxa"/>
          </w:tcPr>
          <w:p>
            <w:pPr>
              <w:pStyle w:val="TableParagraph"/>
              <w:spacing w:line="222" w:lineRule="exact"/>
              <w:ind w:left="58" w:right="56"/>
              <w:rPr>
                <w:sz w:val="20"/>
              </w:rPr>
            </w:pPr>
            <w:r>
              <w:rPr>
                <w:spacing w:val="-10"/>
                <w:sz w:val="20"/>
              </w:rPr>
              <w:t>R</w:t>
            </w:r>
          </w:p>
        </w:tc>
        <w:tc>
          <w:tcPr>
            <w:tcW w:w="419" w:type="dxa"/>
          </w:tcPr>
          <w:p>
            <w:pPr>
              <w:pStyle w:val="TableParagraph"/>
              <w:spacing w:line="222" w:lineRule="exact"/>
              <w:ind w:right="47"/>
              <w:jc w:val="right"/>
              <w:rPr>
                <w:sz w:val="20"/>
              </w:rPr>
            </w:pPr>
            <w:r>
              <w:rPr>
                <w:spacing w:val="-10"/>
                <w:sz w:val="20"/>
              </w:rPr>
              <w:t>R</w:t>
            </w:r>
          </w:p>
        </w:tc>
      </w:tr>
      <w:tr>
        <w:trPr>
          <w:trHeight w:val="244" w:hRule="atLeast"/>
        </w:trPr>
        <w:tc>
          <w:tcPr>
            <w:tcW w:w="659" w:type="dxa"/>
          </w:tcPr>
          <w:p>
            <w:pPr>
              <w:pStyle w:val="TableParagraph"/>
              <w:ind w:left="50"/>
              <w:jc w:val="left"/>
              <w:rPr>
                <w:sz w:val="20"/>
              </w:rPr>
            </w:pPr>
            <w:r>
              <w:rPr>
                <w:spacing w:val="-4"/>
                <w:sz w:val="20"/>
              </w:rPr>
              <w:t>B29e</w:t>
            </w:r>
          </w:p>
        </w:tc>
        <w:tc>
          <w:tcPr>
            <w:tcW w:w="1746" w:type="dxa"/>
          </w:tcPr>
          <w:p>
            <w:pPr>
              <w:pStyle w:val="TableParagraph"/>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ind w:left="165"/>
              <w:jc w:val="left"/>
              <w:rPr>
                <w:sz w:val="20"/>
              </w:rPr>
            </w:pPr>
            <w:r>
              <w:rPr>
                <w:spacing w:val="-10"/>
                <w:sz w:val="20"/>
              </w:rPr>
              <w:t>S</w:t>
            </w:r>
          </w:p>
        </w:tc>
        <w:tc>
          <w:tcPr>
            <w:tcW w:w="720" w:type="dxa"/>
          </w:tcPr>
          <w:p>
            <w:pPr>
              <w:pStyle w:val="TableParagraph"/>
              <w:ind w:left="59" w:right="72"/>
              <w:rPr>
                <w:sz w:val="20"/>
              </w:rPr>
            </w:pPr>
            <w:r>
              <w:rPr>
                <w:spacing w:val="-10"/>
                <w:sz w:val="20"/>
              </w:rPr>
              <w:t>S</w:t>
            </w:r>
          </w:p>
        </w:tc>
        <w:tc>
          <w:tcPr>
            <w:tcW w:w="674" w:type="dxa"/>
          </w:tcPr>
          <w:p>
            <w:pPr>
              <w:pStyle w:val="TableParagraph"/>
              <w:ind w:left="132" w:right="102"/>
              <w:rPr>
                <w:sz w:val="20"/>
              </w:rPr>
            </w:pPr>
            <w:r>
              <w:rPr>
                <w:spacing w:val="-10"/>
                <w:sz w:val="20"/>
              </w:rPr>
              <w:t>S</w:t>
            </w:r>
          </w:p>
        </w:tc>
        <w:tc>
          <w:tcPr>
            <w:tcW w:w="674" w:type="dxa"/>
          </w:tcPr>
          <w:p>
            <w:pPr>
              <w:pStyle w:val="TableParagraph"/>
              <w:ind w:left="47" w:right="104"/>
              <w:rPr>
                <w:sz w:val="20"/>
              </w:rPr>
            </w:pPr>
            <w:r>
              <w:rPr>
                <w:spacing w:val="-10"/>
                <w:sz w:val="20"/>
              </w:rPr>
              <w:t>S</w:t>
            </w:r>
          </w:p>
        </w:tc>
        <w:tc>
          <w:tcPr>
            <w:tcW w:w="720" w:type="dxa"/>
          </w:tcPr>
          <w:p>
            <w:pPr>
              <w:pStyle w:val="TableParagraph"/>
              <w:ind w:left="61" w:right="72"/>
              <w:rPr>
                <w:sz w:val="20"/>
              </w:rPr>
            </w:pPr>
            <w:r>
              <w:rPr>
                <w:spacing w:val="-10"/>
                <w:sz w:val="20"/>
              </w:rPr>
              <w:t>S</w:t>
            </w:r>
          </w:p>
        </w:tc>
        <w:tc>
          <w:tcPr>
            <w:tcW w:w="666" w:type="dxa"/>
          </w:tcPr>
          <w:p>
            <w:pPr>
              <w:pStyle w:val="TableParagraph"/>
              <w:ind w:left="41" w:right="1"/>
              <w:rPr>
                <w:sz w:val="20"/>
              </w:rPr>
            </w:pPr>
            <w:r>
              <w:rPr>
                <w:spacing w:val="-10"/>
                <w:sz w:val="20"/>
              </w:rPr>
              <w:t>S</w:t>
            </w:r>
          </w:p>
        </w:tc>
        <w:tc>
          <w:tcPr>
            <w:tcW w:w="683" w:type="dxa"/>
          </w:tcPr>
          <w:p>
            <w:pPr>
              <w:pStyle w:val="TableParagraph"/>
              <w:ind w:left="44" w:right="93"/>
              <w:rPr>
                <w:sz w:val="20"/>
              </w:rPr>
            </w:pPr>
            <w:r>
              <w:rPr>
                <w:spacing w:val="-10"/>
                <w:sz w:val="20"/>
              </w:rPr>
              <w:t>S</w:t>
            </w:r>
          </w:p>
        </w:tc>
        <w:tc>
          <w:tcPr>
            <w:tcW w:w="675" w:type="dxa"/>
          </w:tcPr>
          <w:p>
            <w:pPr>
              <w:pStyle w:val="TableParagraph"/>
              <w:ind w:left="94" w:right="103"/>
              <w:rPr>
                <w:sz w:val="20"/>
              </w:rPr>
            </w:pPr>
            <w:r>
              <w:rPr>
                <w:spacing w:val="-10"/>
                <w:sz w:val="20"/>
              </w:rPr>
              <w:t>I</w:t>
            </w:r>
          </w:p>
        </w:tc>
        <w:tc>
          <w:tcPr>
            <w:tcW w:w="675" w:type="dxa"/>
          </w:tcPr>
          <w:p>
            <w:pPr>
              <w:pStyle w:val="TableParagraph"/>
              <w:ind w:left="47" w:right="106"/>
              <w:rPr>
                <w:sz w:val="20"/>
              </w:rPr>
            </w:pPr>
            <w:r>
              <w:rPr>
                <w:spacing w:val="-10"/>
                <w:sz w:val="20"/>
              </w:rPr>
              <w:t>S</w:t>
            </w:r>
          </w:p>
        </w:tc>
        <w:tc>
          <w:tcPr>
            <w:tcW w:w="677" w:type="dxa"/>
          </w:tcPr>
          <w:p>
            <w:pPr>
              <w:pStyle w:val="TableParagraph"/>
              <w:ind w:left="58" w:right="15"/>
              <w:rPr>
                <w:sz w:val="20"/>
              </w:rPr>
            </w:pPr>
            <w:r>
              <w:rPr>
                <w:spacing w:val="-10"/>
                <w:sz w:val="20"/>
              </w:rPr>
              <w:t>R</w:t>
            </w:r>
          </w:p>
        </w:tc>
        <w:tc>
          <w:tcPr>
            <w:tcW w:w="631" w:type="dxa"/>
          </w:tcPr>
          <w:p>
            <w:pPr>
              <w:pStyle w:val="TableParagraph"/>
              <w:ind w:left="2" w:right="56"/>
              <w:rPr>
                <w:sz w:val="20"/>
              </w:rPr>
            </w:pPr>
            <w:r>
              <w:rPr>
                <w:spacing w:val="-10"/>
                <w:sz w:val="20"/>
              </w:rPr>
              <w:t>I</w:t>
            </w:r>
          </w:p>
        </w:tc>
        <w:tc>
          <w:tcPr>
            <w:tcW w:w="419" w:type="dxa"/>
          </w:tcPr>
          <w:p>
            <w:pPr>
              <w:pStyle w:val="TableParagraph"/>
              <w:ind w:right="47"/>
              <w:jc w:val="right"/>
              <w:rPr>
                <w:sz w:val="20"/>
              </w:rPr>
            </w:pPr>
            <w:r>
              <w:rPr>
                <w:spacing w:val="-10"/>
                <w:sz w:val="20"/>
              </w:rPr>
              <w:t>R</w:t>
            </w:r>
          </w:p>
        </w:tc>
      </w:tr>
      <w:tr>
        <w:trPr>
          <w:trHeight w:val="223" w:hRule="atLeast"/>
        </w:trPr>
        <w:tc>
          <w:tcPr>
            <w:tcW w:w="659" w:type="dxa"/>
          </w:tcPr>
          <w:p>
            <w:pPr>
              <w:pStyle w:val="TableParagraph"/>
              <w:spacing w:line="203" w:lineRule="exact"/>
              <w:ind w:left="50"/>
              <w:jc w:val="left"/>
              <w:rPr>
                <w:sz w:val="20"/>
              </w:rPr>
            </w:pPr>
            <w:r>
              <w:rPr>
                <w:spacing w:val="-5"/>
                <w:sz w:val="20"/>
              </w:rPr>
              <w:t>B8e</w:t>
            </w:r>
          </w:p>
        </w:tc>
        <w:tc>
          <w:tcPr>
            <w:tcW w:w="1746" w:type="dxa"/>
          </w:tcPr>
          <w:p>
            <w:pPr>
              <w:pStyle w:val="TableParagraph"/>
              <w:spacing w:line="203" w:lineRule="exact"/>
              <w:ind w:left="197"/>
              <w:jc w:val="left"/>
              <w:rPr>
                <w:i/>
                <w:sz w:val="20"/>
              </w:rPr>
            </w:pPr>
            <w:r>
              <w:rPr>
                <w:i/>
                <w:sz w:val="20"/>
              </w:rPr>
              <w:t>Enterobacter</w:t>
            </w:r>
            <w:r>
              <w:rPr>
                <w:i/>
                <w:spacing w:val="-9"/>
                <w:sz w:val="20"/>
              </w:rPr>
              <w:t> </w:t>
            </w:r>
            <w:r>
              <w:rPr>
                <w:i/>
                <w:spacing w:val="-5"/>
                <w:sz w:val="20"/>
              </w:rPr>
              <w:t>spp</w:t>
            </w:r>
          </w:p>
        </w:tc>
        <w:tc>
          <w:tcPr>
            <w:tcW w:w="579" w:type="dxa"/>
          </w:tcPr>
          <w:p>
            <w:pPr>
              <w:pStyle w:val="TableParagraph"/>
              <w:spacing w:line="203" w:lineRule="exact"/>
              <w:ind w:left="165"/>
              <w:jc w:val="left"/>
              <w:rPr>
                <w:sz w:val="20"/>
              </w:rPr>
            </w:pPr>
            <w:r>
              <w:rPr>
                <w:spacing w:val="-10"/>
                <w:sz w:val="20"/>
              </w:rPr>
              <w:t>R</w:t>
            </w:r>
          </w:p>
        </w:tc>
        <w:tc>
          <w:tcPr>
            <w:tcW w:w="720" w:type="dxa"/>
          </w:tcPr>
          <w:p>
            <w:pPr>
              <w:pStyle w:val="TableParagraph"/>
              <w:spacing w:line="203" w:lineRule="exact"/>
              <w:ind w:left="59" w:right="72"/>
              <w:rPr>
                <w:sz w:val="20"/>
              </w:rPr>
            </w:pPr>
            <w:r>
              <w:rPr>
                <w:spacing w:val="-10"/>
                <w:sz w:val="20"/>
              </w:rPr>
              <w:t>S</w:t>
            </w:r>
          </w:p>
        </w:tc>
        <w:tc>
          <w:tcPr>
            <w:tcW w:w="674" w:type="dxa"/>
          </w:tcPr>
          <w:p>
            <w:pPr>
              <w:pStyle w:val="TableParagraph"/>
              <w:spacing w:line="203" w:lineRule="exact"/>
              <w:ind w:left="149" w:right="102"/>
              <w:rPr>
                <w:sz w:val="20"/>
              </w:rPr>
            </w:pPr>
            <w:r>
              <w:rPr>
                <w:spacing w:val="-10"/>
                <w:sz w:val="20"/>
              </w:rPr>
              <w:t>R</w:t>
            </w:r>
          </w:p>
        </w:tc>
        <w:tc>
          <w:tcPr>
            <w:tcW w:w="674" w:type="dxa"/>
          </w:tcPr>
          <w:p>
            <w:pPr>
              <w:pStyle w:val="TableParagraph"/>
              <w:spacing w:line="203" w:lineRule="exact"/>
              <w:ind w:left="47" w:right="104"/>
              <w:rPr>
                <w:sz w:val="20"/>
              </w:rPr>
            </w:pPr>
            <w:r>
              <w:rPr>
                <w:spacing w:val="-10"/>
                <w:sz w:val="20"/>
              </w:rPr>
              <w:t>S</w:t>
            </w:r>
          </w:p>
        </w:tc>
        <w:tc>
          <w:tcPr>
            <w:tcW w:w="720" w:type="dxa"/>
          </w:tcPr>
          <w:p>
            <w:pPr>
              <w:pStyle w:val="TableParagraph"/>
              <w:spacing w:line="203" w:lineRule="exact"/>
              <w:ind w:left="61" w:right="72"/>
              <w:rPr>
                <w:sz w:val="20"/>
              </w:rPr>
            </w:pPr>
            <w:r>
              <w:rPr>
                <w:spacing w:val="-10"/>
                <w:sz w:val="20"/>
              </w:rPr>
              <w:t>S</w:t>
            </w:r>
          </w:p>
        </w:tc>
        <w:tc>
          <w:tcPr>
            <w:tcW w:w="666" w:type="dxa"/>
          </w:tcPr>
          <w:p>
            <w:pPr>
              <w:pStyle w:val="TableParagraph"/>
              <w:spacing w:line="203" w:lineRule="exact"/>
              <w:ind w:left="41" w:right="1"/>
              <w:rPr>
                <w:sz w:val="20"/>
              </w:rPr>
            </w:pPr>
            <w:r>
              <w:rPr>
                <w:spacing w:val="-10"/>
                <w:sz w:val="20"/>
              </w:rPr>
              <w:t>S</w:t>
            </w:r>
          </w:p>
        </w:tc>
        <w:tc>
          <w:tcPr>
            <w:tcW w:w="683" w:type="dxa"/>
          </w:tcPr>
          <w:p>
            <w:pPr>
              <w:pStyle w:val="TableParagraph"/>
              <w:spacing w:line="203" w:lineRule="exact"/>
              <w:ind w:left="61" w:right="93"/>
              <w:rPr>
                <w:sz w:val="20"/>
              </w:rPr>
            </w:pPr>
            <w:r>
              <w:rPr>
                <w:spacing w:val="-10"/>
                <w:sz w:val="20"/>
              </w:rPr>
              <w:t>R</w:t>
            </w:r>
          </w:p>
        </w:tc>
        <w:tc>
          <w:tcPr>
            <w:tcW w:w="675" w:type="dxa"/>
          </w:tcPr>
          <w:p>
            <w:pPr>
              <w:pStyle w:val="TableParagraph"/>
              <w:spacing w:line="203" w:lineRule="exact"/>
              <w:ind w:left="150" w:right="103"/>
              <w:rPr>
                <w:sz w:val="20"/>
              </w:rPr>
            </w:pPr>
            <w:r>
              <w:rPr>
                <w:spacing w:val="-10"/>
                <w:sz w:val="20"/>
              </w:rPr>
              <w:t>R</w:t>
            </w:r>
          </w:p>
        </w:tc>
        <w:tc>
          <w:tcPr>
            <w:tcW w:w="675" w:type="dxa"/>
          </w:tcPr>
          <w:p>
            <w:pPr>
              <w:pStyle w:val="TableParagraph"/>
              <w:spacing w:line="203" w:lineRule="exact"/>
              <w:ind w:left="47" w:right="106"/>
              <w:rPr>
                <w:sz w:val="20"/>
              </w:rPr>
            </w:pPr>
            <w:r>
              <w:rPr>
                <w:spacing w:val="-10"/>
                <w:sz w:val="20"/>
              </w:rPr>
              <w:t>S</w:t>
            </w:r>
          </w:p>
        </w:tc>
        <w:tc>
          <w:tcPr>
            <w:tcW w:w="677" w:type="dxa"/>
          </w:tcPr>
          <w:p>
            <w:pPr>
              <w:pStyle w:val="TableParagraph"/>
              <w:spacing w:line="203" w:lineRule="exact"/>
              <w:ind w:left="58" w:right="15"/>
              <w:rPr>
                <w:sz w:val="20"/>
              </w:rPr>
            </w:pPr>
            <w:r>
              <w:rPr>
                <w:spacing w:val="-10"/>
                <w:sz w:val="20"/>
              </w:rPr>
              <w:t>R</w:t>
            </w:r>
          </w:p>
        </w:tc>
        <w:tc>
          <w:tcPr>
            <w:tcW w:w="631" w:type="dxa"/>
          </w:tcPr>
          <w:p>
            <w:pPr>
              <w:pStyle w:val="TableParagraph"/>
              <w:spacing w:line="203" w:lineRule="exact"/>
              <w:ind w:left="2" w:right="56"/>
              <w:rPr>
                <w:sz w:val="20"/>
              </w:rPr>
            </w:pPr>
            <w:r>
              <w:rPr>
                <w:spacing w:val="-10"/>
                <w:sz w:val="20"/>
              </w:rPr>
              <w:t>I</w:t>
            </w:r>
          </w:p>
        </w:tc>
        <w:tc>
          <w:tcPr>
            <w:tcW w:w="419" w:type="dxa"/>
          </w:tcPr>
          <w:p>
            <w:pPr>
              <w:pStyle w:val="TableParagraph"/>
              <w:spacing w:line="203" w:lineRule="exact"/>
              <w:ind w:right="47"/>
              <w:jc w:val="right"/>
              <w:rPr>
                <w:sz w:val="20"/>
              </w:rPr>
            </w:pPr>
            <w:r>
              <w:rPr>
                <w:spacing w:val="-10"/>
                <w:sz w:val="20"/>
              </w:rPr>
              <w:t>R</w:t>
            </w:r>
          </w:p>
        </w:tc>
      </w:tr>
    </w:tbl>
    <w:p>
      <w:pPr>
        <w:spacing w:after="0" w:line="203" w:lineRule="exact"/>
        <w:jc w:val="right"/>
        <w:rPr>
          <w:sz w:val="20"/>
        </w:rPr>
        <w:sectPr>
          <w:pgSz w:w="12240" w:h="15840"/>
          <w:pgMar w:header="0" w:footer="1017" w:top="1400" w:bottom="1607" w:left="520" w:right="260"/>
        </w:sectPr>
      </w:pP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5"/>
        <w:gridCol w:w="1759"/>
        <w:gridCol w:w="541"/>
        <w:gridCol w:w="720"/>
        <w:gridCol w:w="674"/>
        <w:gridCol w:w="674"/>
        <w:gridCol w:w="720"/>
        <w:gridCol w:w="666"/>
        <w:gridCol w:w="683"/>
        <w:gridCol w:w="675"/>
        <w:gridCol w:w="675"/>
        <w:gridCol w:w="677"/>
        <w:gridCol w:w="631"/>
        <w:gridCol w:w="419"/>
      </w:tblGrid>
      <w:tr>
        <w:trPr>
          <w:trHeight w:val="223" w:hRule="atLeast"/>
        </w:trPr>
        <w:tc>
          <w:tcPr>
            <w:tcW w:w="685" w:type="dxa"/>
          </w:tcPr>
          <w:p>
            <w:pPr>
              <w:pStyle w:val="TableParagraph"/>
              <w:spacing w:line="203" w:lineRule="exact"/>
              <w:ind w:left="50"/>
              <w:jc w:val="left"/>
              <w:rPr>
                <w:sz w:val="20"/>
              </w:rPr>
            </w:pPr>
            <w:r>
              <w:rPr>
                <w:spacing w:val="-4"/>
                <w:sz w:val="20"/>
              </w:rPr>
              <w:t>B24s</w:t>
            </w:r>
          </w:p>
        </w:tc>
        <w:tc>
          <w:tcPr>
            <w:tcW w:w="1759" w:type="dxa"/>
          </w:tcPr>
          <w:p>
            <w:pPr>
              <w:pStyle w:val="TableParagraph"/>
              <w:spacing w:line="203"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03" w:lineRule="exact"/>
              <w:ind w:left="125"/>
              <w:jc w:val="left"/>
              <w:rPr>
                <w:sz w:val="20"/>
              </w:rPr>
            </w:pPr>
            <w:r>
              <w:rPr>
                <w:spacing w:val="-10"/>
                <w:sz w:val="20"/>
              </w:rPr>
              <w:t>R</w:t>
            </w:r>
          </w:p>
        </w:tc>
        <w:tc>
          <w:tcPr>
            <w:tcW w:w="720" w:type="dxa"/>
          </w:tcPr>
          <w:p>
            <w:pPr>
              <w:pStyle w:val="TableParagraph"/>
              <w:spacing w:line="203" w:lineRule="exact"/>
              <w:ind w:left="72" w:right="72"/>
              <w:rPr>
                <w:sz w:val="20"/>
              </w:rPr>
            </w:pPr>
            <w:r>
              <w:rPr>
                <w:spacing w:val="-10"/>
                <w:sz w:val="20"/>
              </w:rPr>
              <w:t>R</w:t>
            </w:r>
          </w:p>
        </w:tc>
        <w:tc>
          <w:tcPr>
            <w:tcW w:w="674" w:type="dxa"/>
          </w:tcPr>
          <w:p>
            <w:pPr>
              <w:pStyle w:val="TableParagraph"/>
              <w:spacing w:line="203" w:lineRule="exact"/>
              <w:ind w:left="130" w:right="102"/>
              <w:rPr>
                <w:sz w:val="20"/>
              </w:rPr>
            </w:pPr>
            <w:r>
              <w:rPr>
                <w:spacing w:val="-10"/>
                <w:sz w:val="20"/>
              </w:rPr>
              <w:t>S</w:t>
            </w:r>
          </w:p>
        </w:tc>
        <w:tc>
          <w:tcPr>
            <w:tcW w:w="674" w:type="dxa"/>
          </w:tcPr>
          <w:p>
            <w:pPr>
              <w:pStyle w:val="TableParagraph"/>
              <w:spacing w:line="203" w:lineRule="exact"/>
              <w:ind w:left="47" w:right="106"/>
              <w:rPr>
                <w:sz w:val="20"/>
              </w:rPr>
            </w:pPr>
            <w:r>
              <w:rPr>
                <w:spacing w:val="-10"/>
                <w:sz w:val="20"/>
              </w:rPr>
              <w:t>S</w:t>
            </w:r>
          </w:p>
        </w:tc>
        <w:tc>
          <w:tcPr>
            <w:tcW w:w="720" w:type="dxa"/>
          </w:tcPr>
          <w:p>
            <w:pPr>
              <w:pStyle w:val="TableParagraph"/>
              <w:spacing w:line="203" w:lineRule="exact"/>
              <w:ind w:left="59" w:right="72"/>
              <w:rPr>
                <w:sz w:val="20"/>
              </w:rPr>
            </w:pPr>
            <w:r>
              <w:rPr>
                <w:spacing w:val="-10"/>
                <w:sz w:val="20"/>
              </w:rPr>
              <w:t>S</w:t>
            </w:r>
          </w:p>
        </w:tc>
        <w:tc>
          <w:tcPr>
            <w:tcW w:w="666" w:type="dxa"/>
          </w:tcPr>
          <w:p>
            <w:pPr>
              <w:pStyle w:val="TableParagraph"/>
              <w:spacing w:line="203" w:lineRule="exact"/>
              <w:ind w:left="40" w:right="2"/>
              <w:rPr>
                <w:sz w:val="20"/>
              </w:rPr>
            </w:pPr>
            <w:r>
              <w:rPr>
                <w:spacing w:val="-10"/>
                <w:sz w:val="20"/>
              </w:rPr>
              <w:t>S</w:t>
            </w:r>
          </w:p>
        </w:tc>
        <w:tc>
          <w:tcPr>
            <w:tcW w:w="683" w:type="dxa"/>
          </w:tcPr>
          <w:p>
            <w:pPr>
              <w:pStyle w:val="TableParagraph"/>
              <w:spacing w:line="203" w:lineRule="exact"/>
              <w:ind w:left="59" w:right="93"/>
              <w:rPr>
                <w:sz w:val="20"/>
              </w:rPr>
            </w:pPr>
            <w:r>
              <w:rPr>
                <w:spacing w:val="-10"/>
                <w:sz w:val="20"/>
              </w:rPr>
              <w:t>R</w:t>
            </w:r>
          </w:p>
        </w:tc>
        <w:tc>
          <w:tcPr>
            <w:tcW w:w="675" w:type="dxa"/>
          </w:tcPr>
          <w:p>
            <w:pPr>
              <w:pStyle w:val="TableParagraph"/>
              <w:spacing w:line="203" w:lineRule="exact"/>
              <w:ind w:left="148" w:right="103"/>
              <w:rPr>
                <w:sz w:val="20"/>
              </w:rPr>
            </w:pPr>
            <w:r>
              <w:rPr>
                <w:spacing w:val="-10"/>
                <w:sz w:val="20"/>
              </w:rPr>
              <w:t>R</w:t>
            </w:r>
          </w:p>
        </w:tc>
        <w:tc>
          <w:tcPr>
            <w:tcW w:w="675" w:type="dxa"/>
          </w:tcPr>
          <w:p>
            <w:pPr>
              <w:pStyle w:val="TableParagraph"/>
              <w:spacing w:line="203" w:lineRule="exact"/>
              <w:ind w:left="47" w:right="108"/>
              <w:rPr>
                <w:sz w:val="20"/>
              </w:rPr>
            </w:pPr>
            <w:r>
              <w:rPr>
                <w:spacing w:val="-10"/>
                <w:sz w:val="20"/>
              </w:rPr>
              <w:t>S</w:t>
            </w:r>
          </w:p>
        </w:tc>
        <w:tc>
          <w:tcPr>
            <w:tcW w:w="677" w:type="dxa"/>
          </w:tcPr>
          <w:p>
            <w:pPr>
              <w:pStyle w:val="TableParagraph"/>
              <w:spacing w:line="203" w:lineRule="exact"/>
              <w:ind w:left="56" w:right="15"/>
              <w:rPr>
                <w:sz w:val="20"/>
              </w:rPr>
            </w:pPr>
            <w:r>
              <w:rPr>
                <w:spacing w:val="-10"/>
                <w:sz w:val="20"/>
              </w:rPr>
              <w:t>R</w:t>
            </w:r>
          </w:p>
        </w:tc>
        <w:tc>
          <w:tcPr>
            <w:tcW w:w="631" w:type="dxa"/>
          </w:tcPr>
          <w:p>
            <w:pPr>
              <w:pStyle w:val="TableParagraph"/>
              <w:spacing w:line="203" w:lineRule="exact"/>
              <w:ind w:left="56" w:right="56"/>
              <w:rPr>
                <w:sz w:val="20"/>
              </w:rPr>
            </w:pPr>
            <w:r>
              <w:rPr>
                <w:spacing w:val="-10"/>
                <w:sz w:val="20"/>
              </w:rPr>
              <w:t>R</w:t>
            </w:r>
          </w:p>
        </w:tc>
        <w:tc>
          <w:tcPr>
            <w:tcW w:w="419" w:type="dxa"/>
          </w:tcPr>
          <w:p>
            <w:pPr>
              <w:pStyle w:val="TableParagraph"/>
              <w:spacing w:line="203"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B33e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S47s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right="93"/>
              <w:rPr>
                <w:sz w:val="20"/>
              </w:rPr>
            </w:pPr>
            <w:r>
              <w:rPr>
                <w:spacing w:val="-10"/>
                <w:sz w:val="20"/>
              </w:rPr>
              <w:t>I</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S43e</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E33s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48"/>
              <w:rPr>
                <w:sz w:val="20"/>
              </w:rPr>
            </w:pPr>
            <w:r>
              <w:rPr>
                <w:spacing w:val="-10"/>
                <w:sz w:val="20"/>
              </w:rPr>
              <w:t>I</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S40e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S39e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92" w:right="103"/>
              <w:rPr>
                <w:sz w:val="20"/>
              </w:rPr>
            </w:pPr>
            <w:r>
              <w:rPr>
                <w:spacing w:val="-10"/>
                <w:sz w:val="20"/>
              </w:rPr>
              <w:t>I</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2" w:right="58"/>
              <w:rPr>
                <w:sz w:val="20"/>
              </w:rPr>
            </w:pPr>
            <w:r>
              <w:rPr>
                <w:spacing w:val="-10"/>
                <w:sz w:val="20"/>
              </w:rPr>
              <w:t>I</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Z9s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91" w:right="102"/>
              <w:rPr>
                <w:sz w:val="20"/>
              </w:rPr>
            </w:pPr>
            <w:r>
              <w:rPr>
                <w:spacing w:val="-10"/>
                <w:sz w:val="20"/>
              </w:rPr>
              <w:t>I</w:t>
            </w:r>
          </w:p>
        </w:tc>
        <w:tc>
          <w:tcPr>
            <w:tcW w:w="674" w:type="dxa"/>
          </w:tcPr>
          <w:p>
            <w:pPr>
              <w:pStyle w:val="TableParagraph"/>
              <w:ind w:left="47" w:right="148"/>
              <w:rPr>
                <w:sz w:val="20"/>
              </w:rPr>
            </w:pPr>
            <w:r>
              <w:rPr>
                <w:spacing w:val="-10"/>
                <w:sz w:val="20"/>
              </w:rPr>
              <w:t>I</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B1e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48"/>
              <w:rPr>
                <w:sz w:val="20"/>
              </w:rPr>
            </w:pPr>
            <w:r>
              <w:rPr>
                <w:spacing w:val="-10"/>
                <w:sz w:val="20"/>
              </w:rPr>
              <w:t>I</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B23s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5"/>
                <w:sz w:val="20"/>
              </w:rPr>
              <w:t>B5s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9" w:right="103"/>
              <w:rPr>
                <w:sz w:val="20"/>
              </w:rPr>
            </w:pPr>
            <w:r>
              <w:rPr>
                <w:spacing w:val="-10"/>
                <w:sz w:val="20"/>
              </w:rPr>
              <w:t>R</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S36e</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B23e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59" w:right="102"/>
              <w:rPr>
                <w:sz w:val="20"/>
              </w:rPr>
            </w:pPr>
            <w:r>
              <w:rPr>
                <w:spacing w:val="-10"/>
                <w:sz w:val="20"/>
              </w:rPr>
              <w:t>R</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B40e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E36e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S50e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42" w:right="56"/>
              <w:rPr>
                <w:sz w:val="20"/>
              </w:rPr>
            </w:pPr>
            <w:r>
              <w:rPr>
                <w:spacing w:val="-10"/>
                <w:sz w:val="20"/>
              </w:rPr>
              <w:t>S</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S45s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S7s</w:t>
            </w:r>
          </w:p>
        </w:tc>
        <w:tc>
          <w:tcPr>
            <w:tcW w:w="1759" w:type="dxa"/>
          </w:tcPr>
          <w:p>
            <w:pPr>
              <w:pStyle w:val="TableParagraph"/>
              <w:ind w:left="171"/>
              <w:jc w:val="left"/>
              <w:rPr>
                <w:i/>
                <w:sz w:val="20"/>
              </w:rPr>
            </w:pPr>
            <w:r>
              <w:rPr>
                <w:i/>
                <w:sz w:val="20"/>
              </w:rPr>
              <w:t>Salmonella</w:t>
            </w:r>
            <w:r>
              <w:rPr>
                <w:i/>
                <w:spacing w:val="-8"/>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91" w:right="102"/>
              <w:rPr>
                <w:sz w:val="20"/>
              </w:rPr>
            </w:pPr>
            <w:r>
              <w:rPr>
                <w:spacing w:val="-10"/>
                <w:sz w:val="20"/>
              </w:rPr>
              <w:t>I</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S35e</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30" w:right="102"/>
              <w:rPr>
                <w:sz w:val="20"/>
              </w:rPr>
            </w:pPr>
            <w:r>
              <w:rPr>
                <w:spacing w:val="-10"/>
                <w:sz w:val="20"/>
              </w:rPr>
              <w:t>S</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9" w:right="103"/>
              <w:rPr>
                <w:sz w:val="20"/>
              </w:rPr>
            </w:pPr>
            <w:r>
              <w:rPr>
                <w:spacing w:val="-10"/>
                <w:sz w:val="20"/>
              </w:rPr>
              <w:t>R</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B27s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9" w:right="103"/>
              <w:rPr>
                <w:sz w:val="20"/>
              </w:rPr>
            </w:pPr>
            <w:r>
              <w:rPr>
                <w:spacing w:val="-10"/>
                <w:sz w:val="20"/>
              </w:rPr>
              <w:t>R</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Z17s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S33s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right="93"/>
              <w:rPr>
                <w:sz w:val="20"/>
              </w:rPr>
            </w:pPr>
            <w:r>
              <w:rPr>
                <w:spacing w:val="-10"/>
                <w:sz w:val="20"/>
              </w:rPr>
              <w:t>I</w:t>
            </w:r>
          </w:p>
        </w:tc>
        <w:tc>
          <w:tcPr>
            <w:tcW w:w="675" w:type="dxa"/>
          </w:tcPr>
          <w:p>
            <w:pPr>
              <w:pStyle w:val="TableParagraph"/>
              <w:ind w:left="92" w:right="103"/>
              <w:rPr>
                <w:sz w:val="20"/>
              </w:rPr>
            </w:pPr>
            <w:r>
              <w:rPr>
                <w:spacing w:val="-10"/>
                <w:sz w:val="20"/>
              </w:rPr>
              <w:t>I</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B42s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17" w:right="72"/>
              <w:rPr>
                <w:sz w:val="20"/>
              </w:rPr>
            </w:pPr>
            <w:r>
              <w:rPr>
                <w:spacing w:val="-10"/>
                <w:sz w:val="20"/>
              </w:rPr>
              <w:t>I</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S41e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92" w:right="103"/>
              <w:rPr>
                <w:sz w:val="20"/>
              </w:rPr>
            </w:pPr>
            <w:r>
              <w:rPr>
                <w:spacing w:val="-10"/>
                <w:sz w:val="20"/>
              </w:rPr>
              <w:t>I</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42" w:right="56"/>
              <w:rPr>
                <w:sz w:val="20"/>
              </w:rPr>
            </w:pPr>
            <w:r>
              <w:rPr>
                <w:spacing w:val="-10"/>
                <w:sz w:val="20"/>
              </w:rPr>
              <w:t>S</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B21e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92" w:right="103"/>
              <w:rPr>
                <w:sz w:val="20"/>
              </w:rPr>
            </w:pPr>
            <w:r>
              <w:rPr>
                <w:spacing w:val="-10"/>
                <w:sz w:val="20"/>
              </w:rPr>
              <w:t>I</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E22e</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41"/>
              <w:rPr>
                <w:sz w:val="20"/>
              </w:rPr>
            </w:pPr>
            <w:r>
              <w:rPr>
                <w:spacing w:val="-10"/>
                <w:sz w:val="20"/>
              </w:rPr>
              <w:t>I</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31" w:right="103"/>
              <w:rPr>
                <w:sz w:val="20"/>
              </w:rPr>
            </w:pPr>
            <w:r>
              <w:rPr>
                <w:spacing w:val="-10"/>
                <w:sz w:val="20"/>
              </w:rPr>
              <w:t>S</w:t>
            </w:r>
          </w:p>
        </w:tc>
        <w:tc>
          <w:tcPr>
            <w:tcW w:w="675" w:type="dxa"/>
          </w:tcPr>
          <w:p>
            <w:pPr>
              <w:pStyle w:val="TableParagraph"/>
              <w:spacing w:line="222" w:lineRule="exact"/>
              <w:ind w:left="59" w:right="103"/>
              <w:rPr>
                <w:sz w:val="20"/>
              </w:rPr>
            </w:pPr>
            <w:r>
              <w:rPr>
                <w:spacing w:val="-10"/>
                <w:sz w:val="20"/>
              </w:rPr>
              <w:t>R</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B25s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B22s</w:t>
            </w:r>
          </w:p>
        </w:tc>
        <w:tc>
          <w:tcPr>
            <w:tcW w:w="1759" w:type="dxa"/>
          </w:tcPr>
          <w:p>
            <w:pPr>
              <w:pStyle w:val="TableParagraph"/>
              <w:ind w:left="171"/>
              <w:jc w:val="left"/>
              <w:rPr>
                <w:i/>
                <w:sz w:val="20"/>
              </w:rPr>
            </w:pPr>
            <w:r>
              <w:rPr>
                <w:i/>
                <w:sz w:val="20"/>
              </w:rPr>
              <w:t>Enterobacter</w:t>
            </w:r>
            <w:r>
              <w:rPr>
                <w:i/>
                <w:spacing w:val="-8"/>
                <w:sz w:val="20"/>
              </w:rPr>
              <w:t> </w:t>
            </w:r>
            <w:r>
              <w:rPr>
                <w:i/>
                <w:spacing w:val="-5"/>
                <w:sz w:val="20"/>
              </w:rPr>
              <w:t>spp</w:t>
            </w:r>
          </w:p>
        </w:tc>
        <w:tc>
          <w:tcPr>
            <w:tcW w:w="541" w:type="dxa"/>
          </w:tcPr>
          <w:p>
            <w:pPr>
              <w:pStyle w:val="TableParagraph"/>
              <w:ind w:left="125"/>
              <w:jc w:val="left"/>
              <w:rPr>
                <w:sz w:val="20"/>
              </w:rPr>
            </w:pPr>
            <w:r>
              <w:rPr>
                <w:spacing w:val="-10"/>
                <w:sz w:val="20"/>
              </w:rPr>
              <w:t>I</w:t>
            </w:r>
          </w:p>
        </w:tc>
        <w:tc>
          <w:tcPr>
            <w:tcW w:w="720" w:type="dxa"/>
          </w:tcPr>
          <w:p>
            <w:pPr>
              <w:pStyle w:val="TableParagraph"/>
              <w:ind w:left="15" w:right="72"/>
              <w:rPr>
                <w:sz w:val="20"/>
              </w:rPr>
            </w:pPr>
            <w:r>
              <w:rPr>
                <w:spacing w:val="-10"/>
                <w:sz w:val="20"/>
              </w:rPr>
              <w:t>I</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right="93"/>
              <w:rPr>
                <w:sz w:val="20"/>
              </w:rPr>
            </w:pPr>
            <w:r>
              <w:rPr>
                <w:spacing w:val="-10"/>
                <w:sz w:val="20"/>
              </w:rPr>
              <w:t>I</w:t>
            </w:r>
          </w:p>
        </w:tc>
        <w:tc>
          <w:tcPr>
            <w:tcW w:w="675" w:type="dxa"/>
          </w:tcPr>
          <w:p>
            <w:pPr>
              <w:pStyle w:val="TableParagraph"/>
              <w:ind w:left="92" w:right="103"/>
              <w:rPr>
                <w:sz w:val="20"/>
              </w:rPr>
            </w:pPr>
            <w:r>
              <w:rPr>
                <w:spacing w:val="-10"/>
                <w:sz w:val="20"/>
              </w:rPr>
              <w:t>I</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2" w:right="58"/>
              <w:rPr>
                <w:sz w:val="20"/>
              </w:rPr>
            </w:pPr>
            <w:r>
              <w:rPr>
                <w:spacing w:val="-10"/>
                <w:sz w:val="20"/>
              </w:rPr>
              <w:t>I</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S40s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B25e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59" w:right="102"/>
              <w:rPr>
                <w:sz w:val="20"/>
              </w:rPr>
            </w:pPr>
            <w:r>
              <w:rPr>
                <w:spacing w:val="-10"/>
                <w:sz w:val="20"/>
              </w:rPr>
              <w:t>R</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S34s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92" w:right="103"/>
              <w:rPr>
                <w:sz w:val="20"/>
              </w:rPr>
            </w:pPr>
            <w:r>
              <w:rPr>
                <w:spacing w:val="-10"/>
                <w:sz w:val="20"/>
              </w:rPr>
              <w:t>I</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2" w:right="58"/>
              <w:rPr>
                <w:sz w:val="20"/>
              </w:rPr>
            </w:pPr>
            <w:r>
              <w:rPr>
                <w:spacing w:val="-10"/>
                <w:sz w:val="20"/>
              </w:rPr>
              <w:t>I</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B9s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B41s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S</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30" w:right="102"/>
              <w:rPr>
                <w:sz w:val="20"/>
              </w:rPr>
            </w:pPr>
            <w:r>
              <w:rPr>
                <w:spacing w:val="-10"/>
                <w:sz w:val="20"/>
              </w:rPr>
              <w:t>S</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42" w:right="93"/>
              <w:rPr>
                <w:sz w:val="20"/>
              </w:rPr>
            </w:pPr>
            <w:r>
              <w:rPr>
                <w:spacing w:val="-10"/>
                <w:sz w:val="20"/>
              </w:rPr>
              <w:t>S</w:t>
            </w:r>
          </w:p>
        </w:tc>
        <w:tc>
          <w:tcPr>
            <w:tcW w:w="675" w:type="dxa"/>
          </w:tcPr>
          <w:p>
            <w:pPr>
              <w:pStyle w:val="TableParagraph"/>
              <w:spacing w:line="222" w:lineRule="exact"/>
              <w:ind w:left="131" w:right="103"/>
              <w:rPr>
                <w:sz w:val="20"/>
              </w:rPr>
            </w:pPr>
            <w:r>
              <w:rPr>
                <w:spacing w:val="-10"/>
                <w:sz w:val="20"/>
              </w:rPr>
              <w:t>S</w:t>
            </w:r>
          </w:p>
        </w:tc>
        <w:tc>
          <w:tcPr>
            <w:tcW w:w="675" w:type="dxa"/>
          </w:tcPr>
          <w:p>
            <w:pPr>
              <w:pStyle w:val="TableParagraph"/>
              <w:spacing w:line="222" w:lineRule="exact"/>
              <w:ind w:left="47" w:right="108"/>
              <w:rPr>
                <w:sz w:val="20"/>
              </w:rPr>
            </w:pPr>
            <w:r>
              <w:rPr>
                <w:spacing w:val="-10"/>
                <w:sz w:val="20"/>
              </w:rPr>
              <w:t>S</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S36s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B32e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B22e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91" w:right="102"/>
              <w:rPr>
                <w:sz w:val="20"/>
              </w:rPr>
            </w:pPr>
            <w:r>
              <w:rPr>
                <w:spacing w:val="-10"/>
                <w:sz w:val="20"/>
              </w:rPr>
              <w:t>I</w:t>
            </w:r>
          </w:p>
        </w:tc>
        <w:tc>
          <w:tcPr>
            <w:tcW w:w="674" w:type="dxa"/>
          </w:tcPr>
          <w:p>
            <w:pPr>
              <w:pStyle w:val="TableParagraph"/>
              <w:ind w:left="47" w:right="106"/>
              <w:rPr>
                <w:sz w:val="20"/>
              </w:rPr>
            </w:pPr>
            <w:r>
              <w:rPr>
                <w:spacing w:val="-10"/>
                <w:sz w:val="20"/>
              </w:rPr>
              <w:t>S</w:t>
            </w:r>
          </w:p>
        </w:tc>
        <w:tc>
          <w:tcPr>
            <w:tcW w:w="720" w:type="dxa"/>
          </w:tcPr>
          <w:p>
            <w:pPr>
              <w:pStyle w:val="TableParagraph"/>
              <w:ind w:left="17" w:right="72"/>
              <w:rPr>
                <w:sz w:val="20"/>
              </w:rPr>
            </w:pPr>
            <w:r>
              <w:rPr>
                <w:spacing w:val="-10"/>
                <w:sz w:val="20"/>
              </w:rPr>
              <w:t>I</w:t>
            </w:r>
          </w:p>
        </w:tc>
        <w:tc>
          <w:tcPr>
            <w:tcW w:w="666" w:type="dxa"/>
          </w:tcPr>
          <w:p>
            <w:pPr>
              <w:pStyle w:val="TableParagraph"/>
              <w:ind w:left="40" w:right="2"/>
              <w:rPr>
                <w:sz w:val="20"/>
              </w:rPr>
            </w:pPr>
            <w:r>
              <w:rPr>
                <w:spacing w:val="-10"/>
                <w:sz w:val="20"/>
              </w:rPr>
              <w:t>S</w:t>
            </w:r>
          </w:p>
        </w:tc>
        <w:tc>
          <w:tcPr>
            <w:tcW w:w="683" w:type="dxa"/>
          </w:tcPr>
          <w:p>
            <w:pPr>
              <w:pStyle w:val="TableParagraph"/>
              <w:ind w:right="93"/>
              <w:rPr>
                <w:sz w:val="20"/>
              </w:rPr>
            </w:pPr>
            <w:r>
              <w:rPr>
                <w:spacing w:val="-10"/>
                <w:sz w:val="20"/>
              </w:rPr>
              <w:t>I</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S42e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S31s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B45e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92" w:right="103"/>
              <w:rPr>
                <w:sz w:val="20"/>
              </w:rPr>
            </w:pPr>
            <w:r>
              <w:rPr>
                <w:spacing w:val="-10"/>
                <w:sz w:val="20"/>
              </w:rPr>
              <w:t>I</w:t>
            </w:r>
          </w:p>
        </w:tc>
        <w:tc>
          <w:tcPr>
            <w:tcW w:w="675" w:type="dxa"/>
          </w:tcPr>
          <w:p>
            <w:pPr>
              <w:pStyle w:val="TableParagraph"/>
              <w:ind w:left="47" w:right="150"/>
              <w:rPr>
                <w:sz w:val="20"/>
              </w:rPr>
            </w:pPr>
            <w:r>
              <w:rPr>
                <w:spacing w:val="-10"/>
                <w:sz w:val="20"/>
              </w:rPr>
              <w:t>I</w:t>
            </w:r>
          </w:p>
        </w:tc>
        <w:tc>
          <w:tcPr>
            <w:tcW w:w="677" w:type="dxa"/>
          </w:tcPr>
          <w:p>
            <w:pPr>
              <w:pStyle w:val="TableParagraph"/>
              <w:ind w:left="56" w:right="15"/>
              <w:rPr>
                <w:sz w:val="20"/>
              </w:rPr>
            </w:pPr>
            <w:r>
              <w:rPr>
                <w:spacing w:val="-10"/>
                <w:sz w:val="20"/>
              </w:rPr>
              <w:t>R</w:t>
            </w:r>
          </w:p>
        </w:tc>
        <w:tc>
          <w:tcPr>
            <w:tcW w:w="631" w:type="dxa"/>
          </w:tcPr>
          <w:p>
            <w:pPr>
              <w:pStyle w:val="TableParagraph"/>
              <w:ind w:left="2" w:right="58"/>
              <w:rPr>
                <w:sz w:val="20"/>
              </w:rPr>
            </w:pPr>
            <w:r>
              <w:rPr>
                <w:spacing w:val="-10"/>
                <w:sz w:val="20"/>
              </w:rPr>
              <w:t>I</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B10s</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B27e</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S</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30" w:right="102"/>
              <w:rPr>
                <w:sz w:val="20"/>
              </w:rPr>
            </w:pPr>
            <w:r>
              <w:rPr>
                <w:spacing w:val="-10"/>
                <w:sz w:val="20"/>
              </w:rPr>
              <w:t>S</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42" w:right="93"/>
              <w:rPr>
                <w:sz w:val="20"/>
              </w:rPr>
            </w:pPr>
            <w:r>
              <w:rPr>
                <w:spacing w:val="-10"/>
                <w:sz w:val="20"/>
              </w:rPr>
              <w:t>S</w:t>
            </w:r>
          </w:p>
        </w:tc>
        <w:tc>
          <w:tcPr>
            <w:tcW w:w="675" w:type="dxa"/>
          </w:tcPr>
          <w:p>
            <w:pPr>
              <w:pStyle w:val="TableParagraph"/>
              <w:spacing w:line="222" w:lineRule="exact"/>
              <w:ind w:left="92" w:right="103"/>
              <w:rPr>
                <w:sz w:val="20"/>
              </w:rPr>
            </w:pPr>
            <w:r>
              <w:rPr>
                <w:spacing w:val="-10"/>
                <w:sz w:val="20"/>
              </w:rPr>
              <w:t>I</w:t>
            </w:r>
          </w:p>
        </w:tc>
        <w:tc>
          <w:tcPr>
            <w:tcW w:w="675" w:type="dxa"/>
          </w:tcPr>
          <w:p>
            <w:pPr>
              <w:pStyle w:val="TableParagraph"/>
              <w:spacing w:line="222" w:lineRule="exact"/>
              <w:ind w:left="47" w:right="108"/>
              <w:rPr>
                <w:sz w:val="20"/>
              </w:rPr>
            </w:pPr>
            <w:r>
              <w:rPr>
                <w:spacing w:val="-10"/>
                <w:sz w:val="20"/>
              </w:rPr>
              <w:t>S</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B30s</w:t>
            </w:r>
          </w:p>
        </w:tc>
        <w:tc>
          <w:tcPr>
            <w:tcW w:w="1759" w:type="dxa"/>
          </w:tcPr>
          <w:p>
            <w:pPr>
              <w:pStyle w:val="TableParagraph"/>
              <w:spacing w:line="222" w:lineRule="exact"/>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S</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30" w:right="102"/>
              <w:rPr>
                <w:sz w:val="20"/>
              </w:rPr>
            </w:pPr>
            <w:r>
              <w:rPr>
                <w:spacing w:val="-10"/>
                <w:sz w:val="20"/>
              </w:rPr>
              <w:t>S</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42" w:right="93"/>
              <w:rPr>
                <w:sz w:val="20"/>
              </w:rPr>
            </w:pPr>
            <w:r>
              <w:rPr>
                <w:spacing w:val="-10"/>
                <w:sz w:val="20"/>
              </w:rPr>
              <w:t>S</w:t>
            </w:r>
          </w:p>
        </w:tc>
        <w:tc>
          <w:tcPr>
            <w:tcW w:w="675" w:type="dxa"/>
          </w:tcPr>
          <w:p>
            <w:pPr>
              <w:pStyle w:val="TableParagraph"/>
              <w:spacing w:line="222" w:lineRule="exact"/>
              <w:ind w:left="92" w:right="103"/>
              <w:rPr>
                <w:sz w:val="20"/>
              </w:rPr>
            </w:pPr>
            <w:r>
              <w:rPr>
                <w:spacing w:val="-10"/>
                <w:sz w:val="20"/>
              </w:rPr>
              <w:t>I</w:t>
            </w:r>
          </w:p>
        </w:tc>
        <w:tc>
          <w:tcPr>
            <w:tcW w:w="675" w:type="dxa"/>
          </w:tcPr>
          <w:p>
            <w:pPr>
              <w:pStyle w:val="TableParagraph"/>
              <w:spacing w:line="222" w:lineRule="exact"/>
              <w:ind w:left="47" w:right="108"/>
              <w:rPr>
                <w:sz w:val="20"/>
              </w:rPr>
            </w:pPr>
            <w:r>
              <w:rPr>
                <w:spacing w:val="-10"/>
                <w:sz w:val="20"/>
              </w:rPr>
              <w:t>S</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S44e</w:t>
            </w:r>
          </w:p>
        </w:tc>
        <w:tc>
          <w:tcPr>
            <w:tcW w:w="1759" w:type="dxa"/>
          </w:tcPr>
          <w:p>
            <w:pPr>
              <w:pStyle w:val="TableParagraph"/>
              <w:ind w:left="171"/>
              <w:jc w:val="left"/>
              <w:rPr>
                <w:i/>
                <w:sz w:val="20"/>
              </w:rPr>
            </w:pPr>
            <w:r>
              <w:rPr>
                <w:i/>
                <w:sz w:val="20"/>
              </w:rPr>
              <w:t>Enterobacter</w:t>
            </w:r>
            <w:r>
              <w:rPr>
                <w:i/>
                <w:spacing w:val="-9"/>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59" w:right="72"/>
              <w:rPr>
                <w:sz w:val="20"/>
              </w:rPr>
            </w:pPr>
            <w:r>
              <w:rPr>
                <w:spacing w:val="-10"/>
                <w:sz w:val="20"/>
              </w:rPr>
              <w:t>S</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E1m</w:t>
            </w:r>
          </w:p>
        </w:tc>
        <w:tc>
          <w:tcPr>
            <w:tcW w:w="1759" w:type="dxa"/>
          </w:tcPr>
          <w:p>
            <w:pPr>
              <w:pStyle w:val="TableParagraph"/>
              <w:ind w:left="171"/>
              <w:jc w:val="left"/>
              <w:rPr>
                <w:i/>
                <w:sz w:val="20"/>
              </w:rPr>
            </w:pPr>
            <w:r>
              <w:rPr>
                <w:i/>
                <w:sz w:val="20"/>
              </w:rPr>
              <w:t>Staph.</w:t>
            </w:r>
            <w:r>
              <w:rPr>
                <w:i/>
                <w:spacing w:val="-7"/>
                <w:sz w:val="20"/>
              </w:rPr>
              <w:t> </w:t>
            </w:r>
            <w:r>
              <w:rPr>
                <w:i/>
                <w:spacing w:val="-2"/>
                <w:sz w:val="20"/>
              </w:rPr>
              <w:t>aureus</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59" w:right="102"/>
              <w:rPr>
                <w:sz w:val="20"/>
              </w:rPr>
            </w:pPr>
            <w:r>
              <w:rPr>
                <w:spacing w:val="-10"/>
                <w:sz w:val="20"/>
              </w:rPr>
              <w:t>R</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E2m</w:t>
            </w:r>
          </w:p>
        </w:tc>
        <w:tc>
          <w:tcPr>
            <w:tcW w:w="1759" w:type="dxa"/>
          </w:tcPr>
          <w:p>
            <w:pPr>
              <w:pStyle w:val="TableParagraph"/>
              <w:ind w:left="171"/>
              <w:jc w:val="left"/>
              <w:rPr>
                <w:i/>
                <w:sz w:val="20"/>
              </w:rPr>
            </w:pPr>
            <w:r>
              <w:rPr>
                <w:i/>
                <w:sz w:val="20"/>
              </w:rPr>
              <w:t>Staph.</w:t>
            </w:r>
            <w:r>
              <w:rPr>
                <w:i/>
                <w:spacing w:val="-7"/>
                <w:sz w:val="20"/>
              </w:rPr>
              <w:t> </w:t>
            </w:r>
            <w:r>
              <w:rPr>
                <w:i/>
                <w:spacing w:val="-2"/>
                <w:sz w:val="20"/>
              </w:rPr>
              <w:t>aureus</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47" w:right="108"/>
              <w:rPr>
                <w:sz w:val="20"/>
              </w:rPr>
            </w:pPr>
            <w:r>
              <w:rPr>
                <w:spacing w:val="-10"/>
                <w:sz w:val="20"/>
              </w:rPr>
              <w:t>S</w:t>
            </w:r>
          </w:p>
        </w:tc>
        <w:tc>
          <w:tcPr>
            <w:tcW w:w="677" w:type="dxa"/>
          </w:tcPr>
          <w:p>
            <w:pPr>
              <w:pStyle w:val="TableParagraph"/>
              <w:ind w:left="56" w:right="15"/>
              <w:rPr>
                <w:sz w:val="20"/>
              </w:rPr>
            </w:pPr>
            <w:r>
              <w:rPr>
                <w:spacing w:val="-10"/>
                <w:sz w:val="20"/>
              </w:rPr>
              <w:t>R</w:t>
            </w:r>
          </w:p>
        </w:tc>
        <w:tc>
          <w:tcPr>
            <w:tcW w:w="631" w:type="dxa"/>
          </w:tcPr>
          <w:p>
            <w:pPr>
              <w:pStyle w:val="TableParagraph"/>
              <w:ind w:left="42" w:right="56"/>
              <w:rPr>
                <w:sz w:val="20"/>
              </w:rPr>
            </w:pPr>
            <w:r>
              <w:rPr>
                <w:spacing w:val="-10"/>
                <w:sz w:val="20"/>
              </w:rPr>
              <w:t>S</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S5m</w:t>
            </w:r>
          </w:p>
        </w:tc>
        <w:tc>
          <w:tcPr>
            <w:tcW w:w="1759" w:type="dxa"/>
          </w:tcPr>
          <w:p>
            <w:pPr>
              <w:pStyle w:val="TableParagraph"/>
              <w:ind w:left="171"/>
              <w:jc w:val="left"/>
              <w:rPr>
                <w:i/>
                <w:sz w:val="20"/>
              </w:rPr>
            </w:pPr>
            <w:r>
              <w:rPr>
                <w:i/>
                <w:sz w:val="20"/>
              </w:rPr>
              <w:t>Staph.</w:t>
            </w:r>
            <w:r>
              <w:rPr>
                <w:i/>
                <w:spacing w:val="-7"/>
                <w:sz w:val="20"/>
              </w:rPr>
              <w:t> </w:t>
            </w:r>
            <w:r>
              <w:rPr>
                <w:i/>
                <w:spacing w:val="-2"/>
                <w:sz w:val="20"/>
              </w:rPr>
              <w:t>aureus</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6"/>
              <w:rPr>
                <w:sz w:val="20"/>
              </w:rPr>
            </w:pPr>
            <w:r>
              <w:rPr>
                <w:spacing w:val="-10"/>
                <w:sz w:val="20"/>
              </w:rPr>
              <w:t>S</w:t>
            </w:r>
          </w:p>
        </w:tc>
        <w:tc>
          <w:tcPr>
            <w:tcW w:w="720" w:type="dxa"/>
          </w:tcPr>
          <w:p>
            <w:pPr>
              <w:pStyle w:val="TableParagraph"/>
              <w:ind w:left="17" w:right="72"/>
              <w:rPr>
                <w:sz w:val="20"/>
              </w:rPr>
            </w:pPr>
            <w:r>
              <w:rPr>
                <w:spacing w:val="-10"/>
                <w:sz w:val="20"/>
              </w:rPr>
              <w:t>I</w:t>
            </w:r>
          </w:p>
        </w:tc>
        <w:tc>
          <w:tcPr>
            <w:tcW w:w="666" w:type="dxa"/>
          </w:tcPr>
          <w:p>
            <w:pPr>
              <w:pStyle w:val="TableParagraph"/>
              <w:ind w:left="40" w:right="2"/>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08"/>
              <w:rPr>
                <w:sz w:val="20"/>
              </w:rPr>
            </w:pPr>
            <w:r>
              <w:rPr>
                <w:spacing w:val="-10"/>
                <w:sz w:val="20"/>
              </w:rPr>
              <w:t>S</w:t>
            </w:r>
          </w:p>
        </w:tc>
        <w:tc>
          <w:tcPr>
            <w:tcW w:w="677" w:type="dxa"/>
          </w:tcPr>
          <w:p>
            <w:pPr>
              <w:pStyle w:val="TableParagraph"/>
              <w:ind w:left="43" w:right="58"/>
              <w:rPr>
                <w:sz w:val="20"/>
              </w:rPr>
            </w:pPr>
            <w:r>
              <w:rPr>
                <w:spacing w:val="-10"/>
                <w:sz w:val="20"/>
              </w:rPr>
              <w:t>I</w:t>
            </w:r>
          </w:p>
        </w:tc>
        <w:tc>
          <w:tcPr>
            <w:tcW w:w="631" w:type="dxa"/>
          </w:tcPr>
          <w:p>
            <w:pPr>
              <w:pStyle w:val="TableParagraph"/>
              <w:ind w:left="42" w:right="56"/>
              <w:rPr>
                <w:sz w:val="20"/>
              </w:rPr>
            </w:pPr>
            <w:r>
              <w:rPr>
                <w:spacing w:val="-10"/>
                <w:sz w:val="20"/>
              </w:rPr>
              <w:t>S</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E43m</w:t>
            </w:r>
          </w:p>
        </w:tc>
        <w:tc>
          <w:tcPr>
            <w:tcW w:w="1759" w:type="dxa"/>
          </w:tcPr>
          <w:p>
            <w:pPr>
              <w:pStyle w:val="TableParagraph"/>
              <w:ind w:left="171"/>
              <w:jc w:val="left"/>
              <w:rPr>
                <w:i/>
                <w:sz w:val="20"/>
              </w:rPr>
            </w:pPr>
            <w:r>
              <w:rPr>
                <w:i/>
                <w:sz w:val="20"/>
              </w:rPr>
              <w:t>Staph.</w:t>
            </w:r>
            <w:r>
              <w:rPr>
                <w:i/>
                <w:spacing w:val="-7"/>
                <w:sz w:val="20"/>
              </w:rPr>
              <w:t> </w:t>
            </w:r>
            <w:r>
              <w:rPr>
                <w:i/>
                <w:spacing w:val="-2"/>
                <w:sz w:val="20"/>
              </w:rPr>
              <w:t>aureus</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30" w:right="102"/>
              <w:rPr>
                <w:sz w:val="20"/>
              </w:rPr>
            </w:pPr>
            <w:r>
              <w:rPr>
                <w:spacing w:val="-10"/>
                <w:sz w:val="20"/>
              </w:rPr>
              <w:t>S</w:t>
            </w:r>
          </w:p>
        </w:tc>
        <w:tc>
          <w:tcPr>
            <w:tcW w:w="674" w:type="dxa"/>
          </w:tcPr>
          <w:p>
            <w:pPr>
              <w:pStyle w:val="TableParagraph"/>
              <w:ind w:left="59" w:right="102"/>
              <w:rPr>
                <w:sz w:val="20"/>
              </w:rPr>
            </w:pPr>
            <w:r>
              <w:rPr>
                <w:spacing w:val="-10"/>
                <w:sz w:val="20"/>
              </w:rPr>
              <w:t>R</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43" w:right="58"/>
              <w:rPr>
                <w:sz w:val="20"/>
              </w:rPr>
            </w:pPr>
            <w:r>
              <w:rPr>
                <w:spacing w:val="-10"/>
                <w:sz w:val="20"/>
              </w:rPr>
              <w:t>I</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Z22m</w:t>
            </w:r>
          </w:p>
        </w:tc>
        <w:tc>
          <w:tcPr>
            <w:tcW w:w="1759" w:type="dxa"/>
          </w:tcPr>
          <w:p>
            <w:pPr>
              <w:pStyle w:val="TableParagraph"/>
              <w:spacing w:line="222" w:lineRule="exact"/>
              <w:ind w:left="171"/>
              <w:jc w:val="left"/>
              <w:rPr>
                <w:i/>
                <w:sz w:val="20"/>
              </w:rPr>
            </w:pPr>
            <w:r>
              <w:rPr>
                <w:i/>
                <w:sz w:val="20"/>
              </w:rPr>
              <w:t>Staph.</w:t>
            </w:r>
            <w:r>
              <w:rPr>
                <w:i/>
                <w:spacing w:val="-7"/>
                <w:sz w:val="20"/>
              </w:rPr>
              <w:t> </w:t>
            </w:r>
            <w:r>
              <w:rPr>
                <w:i/>
                <w:spacing w:val="-2"/>
                <w:sz w:val="20"/>
              </w:rPr>
              <w:t>aureus</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30" w:right="102"/>
              <w:rPr>
                <w:sz w:val="20"/>
              </w:rPr>
            </w:pPr>
            <w:r>
              <w:rPr>
                <w:spacing w:val="-10"/>
                <w:sz w:val="20"/>
              </w:rPr>
              <w:t>S</w:t>
            </w:r>
          </w:p>
        </w:tc>
        <w:tc>
          <w:tcPr>
            <w:tcW w:w="674" w:type="dxa"/>
          </w:tcPr>
          <w:p>
            <w:pPr>
              <w:pStyle w:val="TableParagraph"/>
              <w:spacing w:line="222" w:lineRule="exact"/>
              <w:ind w:left="59" w:right="102"/>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50"/>
              <w:rPr>
                <w:sz w:val="20"/>
              </w:rPr>
            </w:pPr>
            <w:r>
              <w:rPr>
                <w:spacing w:val="-10"/>
                <w:sz w:val="20"/>
              </w:rPr>
              <w:t>I</w:t>
            </w:r>
          </w:p>
        </w:tc>
        <w:tc>
          <w:tcPr>
            <w:tcW w:w="677" w:type="dxa"/>
          </w:tcPr>
          <w:p>
            <w:pPr>
              <w:pStyle w:val="TableParagraph"/>
              <w:spacing w:line="222" w:lineRule="exact"/>
              <w:ind w:left="43" w:right="58"/>
              <w:rPr>
                <w:sz w:val="20"/>
              </w:rPr>
            </w:pPr>
            <w:r>
              <w:rPr>
                <w:spacing w:val="-10"/>
                <w:sz w:val="20"/>
              </w:rPr>
              <w:t>I</w:t>
            </w:r>
          </w:p>
        </w:tc>
        <w:tc>
          <w:tcPr>
            <w:tcW w:w="631" w:type="dxa"/>
          </w:tcPr>
          <w:p>
            <w:pPr>
              <w:pStyle w:val="TableParagraph"/>
              <w:spacing w:line="222" w:lineRule="exact"/>
              <w:ind w:left="56" w:right="56"/>
              <w:rPr>
                <w:sz w:val="20"/>
              </w:rPr>
            </w:pPr>
            <w:r>
              <w:rPr>
                <w:spacing w:val="-10"/>
                <w:sz w:val="20"/>
              </w:rPr>
              <w:t>R</w:t>
            </w:r>
          </w:p>
        </w:tc>
        <w:tc>
          <w:tcPr>
            <w:tcW w:w="419" w:type="dxa"/>
          </w:tcPr>
          <w:p>
            <w:pPr>
              <w:pStyle w:val="TableParagraph"/>
              <w:spacing w:line="222" w:lineRule="exact"/>
              <w:ind w:right="48"/>
              <w:jc w:val="right"/>
              <w:rPr>
                <w:sz w:val="20"/>
              </w:rPr>
            </w:pPr>
            <w:r>
              <w:rPr>
                <w:spacing w:val="-10"/>
                <w:sz w:val="20"/>
              </w:rPr>
              <w:t>R</w:t>
            </w:r>
          </w:p>
        </w:tc>
      </w:tr>
      <w:tr>
        <w:trPr>
          <w:trHeight w:val="242" w:hRule="atLeast"/>
        </w:trPr>
        <w:tc>
          <w:tcPr>
            <w:tcW w:w="685" w:type="dxa"/>
          </w:tcPr>
          <w:p>
            <w:pPr>
              <w:pStyle w:val="TableParagraph"/>
              <w:spacing w:line="222" w:lineRule="exact"/>
              <w:ind w:left="50"/>
              <w:jc w:val="left"/>
              <w:rPr>
                <w:sz w:val="20"/>
              </w:rPr>
            </w:pPr>
            <w:r>
              <w:rPr>
                <w:spacing w:val="-4"/>
                <w:sz w:val="20"/>
              </w:rPr>
              <w:t>S23e</w:t>
            </w:r>
          </w:p>
        </w:tc>
        <w:tc>
          <w:tcPr>
            <w:tcW w:w="1759" w:type="dxa"/>
          </w:tcPr>
          <w:p>
            <w:pPr>
              <w:pStyle w:val="TableParagraph"/>
              <w:spacing w:line="222" w:lineRule="exact"/>
              <w:ind w:left="171"/>
              <w:jc w:val="left"/>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2" w:right="72"/>
              <w:rPr>
                <w:sz w:val="20"/>
              </w:rPr>
            </w:pPr>
            <w:r>
              <w:rPr>
                <w:spacing w:val="-10"/>
                <w:sz w:val="20"/>
              </w:rPr>
              <w:t>R</w:t>
            </w:r>
          </w:p>
        </w:tc>
        <w:tc>
          <w:tcPr>
            <w:tcW w:w="674" w:type="dxa"/>
          </w:tcPr>
          <w:p>
            <w:pPr>
              <w:pStyle w:val="TableParagraph"/>
              <w:spacing w:line="222" w:lineRule="exact"/>
              <w:ind w:left="147" w:right="102"/>
              <w:rPr>
                <w:sz w:val="20"/>
              </w:rPr>
            </w:pPr>
            <w:r>
              <w:rPr>
                <w:spacing w:val="-10"/>
                <w:sz w:val="20"/>
              </w:rPr>
              <w:t>R</w:t>
            </w:r>
          </w:p>
        </w:tc>
        <w:tc>
          <w:tcPr>
            <w:tcW w:w="674" w:type="dxa"/>
          </w:tcPr>
          <w:p>
            <w:pPr>
              <w:pStyle w:val="TableParagraph"/>
              <w:spacing w:line="222" w:lineRule="exact"/>
              <w:ind w:left="47" w:right="106"/>
              <w:rPr>
                <w:sz w:val="20"/>
              </w:rPr>
            </w:pPr>
            <w:r>
              <w:rPr>
                <w:spacing w:val="-10"/>
                <w:sz w:val="20"/>
              </w:rPr>
              <w:t>S</w:t>
            </w:r>
          </w:p>
        </w:tc>
        <w:tc>
          <w:tcPr>
            <w:tcW w:w="720" w:type="dxa"/>
          </w:tcPr>
          <w:p>
            <w:pPr>
              <w:pStyle w:val="TableParagraph"/>
              <w:spacing w:line="222" w:lineRule="exact"/>
              <w:ind w:left="59" w:right="72"/>
              <w:rPr>
                <w:sz w:val="20"/>
              </w:rPr>
            </w:pPr>
            <w:r>
              <w:rPr>
                <w:spacing w:val="-10"/>
                <w:sz w:val="20"/>
              </w:rPr>
              <w:t>S</w:t>
            </w:r>
          </w:p>
        </w:tc>
        <w:tc>
          <w:tcPr>
            <w:tcW w:w="666" w:type="dxa"/>
          </w:tcPr>
          <w:p>
            <w:pPr>
              <w:pStyle w:val="TableParagraph"/>
              <w:spacing w:line="222" w:lineRule="exact"/>
              <w:ind w:left="40" w:right="2"/>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47" w:right="108"/>
              <w:rPr>
                <w:sz w:val="20"/>
              </w:rPr>
            </w:pPr>
            <w:r>
              <w:rPr>
                <w:spacing w:val="-10"/>
                <w:sz w:val="20"/>
              </w:rPr>
              <w:t>S</w:t>
            </w:r>
          </w:p>
        </w:tc>
        <w:tc>
          <w:tcPr>
            <w:tcW w:w="677" w:type="dxa"/>
          </w:tcPr>
          <w:p>
            <w:pPr>
              <w:pStyle w:val="TableParagraph"/>
              <w:spacing w:line="222" w:lineRule="exact"/>
              <w:ind w:left="56" w:right="15"/>
              <w:rPr>
                <w:sz w:val="20"/>
              </w:rPr>
            </w:pPr>
            <w:r>
              <w:rPr>
                <w:spacing w:val="-10"/>
                <w:sz w:val="20"/>
              </w:rPr>
              <w:t>R</w:t>
            </w:r>
          </w:p>
        </w:tc>
        <w:tc>
          <w:tcPr>
            <w:tcW w:w="631" w:type="dxa"/>
          </w:tcPr>
          <w:p>
            <w:pPr>
              <w:pStyle w:val="TableParagraph"/>
              <w:spacing w:line="222" w:lineRule="exact"/>
              <w:ind w:left="2" w:right="58"/>
              <w:rPr>
                <w:sz w:val="20"/>
              </w:rPr>
            </w:pPr>
            <w:r>
              <w:rPr>
                <w:spacing w:val="-10"/>
                <w:sz w:val="20"/>
              </w:rPr>
              <w:t>I</w:t>
            </w:r>
          </w:p>
        </w:tc>
        <w:tc>
          <w:tcPr>
            <w:tcW w:w="419" w:type="dxa"/>
          </w:tcPr>
          <w:p>
            <w:pPr>
              <w:pStyle w:val="TableParagraph"/>
              <w:spacing w:line="222" w:lineRule="exact"/>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E6c</w:t>
            </w:r>
          </w:p>
        </w:tc>
        <w:tc>
          <w:tcPr>
            <w:tcW w:w="1759" w:type="dxa"/>
          </w:tcPr>
          <w:p>
            <w:pPr>
              <w:pStyle w:val="TableParagraph"/>
              <w:ind w:left="171"/>
              <w:jc w:val="left"/>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48"/>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4"/>
                <w:sz w:val="20"/>
              </w:rPr>
              <w:t>E31c</w:t>
            </w:r>
          </w:p>
        </w:tc>
        <w:tc>
          <w:tcPr>
            <w:tcW w:w="1759" w:type="dxa"/>
          </w:tcPr>
          <w:p>
            <w:pPr>
              <w:pStyle w:val="TableParagraph"/>
              <w:ind w:left="171"/>
              <w:jc w:val="left"/>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48"/>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44" w:hRule="atLeast"/>
        </w:trPr>
        <w:tc>
          <w:tcPr>
            <w:tcW w:w="685" w:type="dxa"/>
          </w:tcPr>
          <w:p>
            <w:pPr>
              <w:pStyle w:val="TableParagraph"/>
              <w:ind w:left="50"/>
              <w:jc w:val="left"/>
              <w:rPr>
                <w:sz w:val="20"/>
              </w:rPr>
            </w:pPr>
            <w:r>
              <w:rPr>
                <w:spacing w:val="-5"/>
                <w:sz w:val="20"/>
              </w:rPr>
              <w:t>E6s</w:t>
            </w:r>
          </w:p>
        </w:tc>
        <w:tc>
          <w:tcPr>
            <w:tcW w:w="1759" w:type="dxa"/>
          </w:tcPr>
          <w:p>
            <w:pPr>
              <w:pStyle w:val="TableParagraph"/>
              <w:ind w:left="171"/>
              <w:jc w:val="left"/>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2" w:right="72"/>
              <w:rPr>
                <w:sz w:val="20"/>
              </w:rPr>
            </w:pPr>
            <w:r>
              <w:rPr>
                <w:spacing w:val="-10"/>
                <w:sz w:val="20"/>
              </w:rPr>
              <w:t>R</w:t>
            </w:r>
          </w:p>
        </w:tc>
        <w:tc>
          <w:tcPr>
            <w:tcW w:w="674" w:type="dxa"/>
          </w:tcPr>
          <w:p>
            <w:pPr>
              <w:pStyle w:val="TableParagraph"/>
              <w:ind w:left="147" w:right="102"/>
              <w:rPr>
                <w:sz w:val="20"/>
              </w:rPr>
            </w:pPr>
            <w:r>
              <w:rPr>
                <w:spacing w:val="-10"/>
                <w:sz w:val="20"/>
              </w:rPr>
              <w:t>R</w:t>
            </w:r>
          </w:p>
        </w:tc>
        <w:tc>
          <w:tcPr>
            <w:tcW w:w="674" w:type="dxa"/>
          </w:tcPr>
          <w:p>
            <w:pPr>
              <w:pStyle w:val="TableParagraph"/>
              <w:ind w:left="47" w:right="106"/>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2"/>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9" w:right="103"/>
              <w:rPr>
                <w:sz w:val="20"/>
              </w:rPr>
            </w:pPr>
            <w:r>
              <w:rPr>
                <w:spacing w:val="-10"/>
                <w:sz w:val="20"/>
              </w:rPr>
              <w:t>R</w:t>
            </w:r>
          </w:p>
        </w:tc>
        <w:tc>
          <w:tcPr>
            <w:tcW w:w="677" w:type="dxa"/>
          </w:tcPr>
          <w:p>
            <w:pPr>
              <w:pStyle w:val="TableParagraph"/>
              <w:ind w:left="56"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419" w:type="dxa"/>
          </w:tcPr>
          <w:p>
            <w:pPr>
              <w:pStyle w:val="TableParagraph"/>
              <w:ind w:right="48"/>
              <w:jc w:val="right"/>
              <w:rPr>
                <w:sz w:val="20"/>
              </w:rPr>
            </w:pPr>
            <w:r>
              <w:rPr>
                <w:spacing w:val="-10"/>
                <w:sz w:val="20"/>
              </w:rPr>
              <w:t>R</w:t>
            </w:r>
          </w:p>
        </w:tc>
      </w:tr>
      <w:tr>
        <w:trPr>
          <w:trHeight w:val="223" w:hRule="atLeast"/>
        </w:trPr>
        <w:tc>
          <w:tcPr>
            <w:tcW w:w="685" w:type="dxa"/>
          </w:tcPr>
          <w:p>
            <w:pPr>
              <w:pStyle w:val="TableParagraph"/>
              <w:spacing w:line="203" w:lineRule="exact"/>
              <w:ind w:left="50"/>
              <w:jc w:val="left"/>
              <w:rPr>
                <w:sz w:val="20"/>
              </w:rPr>
            </w:pPr>
            <w:r>
              <w:rPr>
                <w:spacing w:val="-4"/>
                <w:sz w:val="20"/>
              </w:rPr>
              <w:t>E37e</w:t>
            </w:r>
          </w:p>
        </w:tc>
        <w:tc>
          <w:tcPr>
            <w:tcW w:w="1759" w:type="dxa"/>
          </w:tcPr>
          <w:p>
            <w:pPr>
              <w:pStyle w:val="TableParagraph"/>
              <w:spacing w:line="203" w:lineRule="exact"/>
              <w:ind w:left="171"/>
              <w:jc w:val="left"/>
              <w:rPr>
                <w:i/>
                <w:sz w:val="20"/>
              </w:rPr>
            </w:pPr>
            <w:r>
              <w:rPr>
                <w:i/>
                <w:sz w:val="20"/>
              </w:rPr>
              <w:t>Pseudomonas</w:t>
            </w:r>
            <w:r>
              <w:rPr>
                <w:i/>
                <w:spacing w:val="-7"/>
                <w:sz w:val="20"/>
              </w:rPr>
              <w:t> </w:t>
            </w:r>
            <w:r>
              <w:rPr>
                <w:i/>
                <w:spacing w:val="-5"/>
                <w:sz w:val="20"/>
              </w:rPr>
              <w:t>spp</w:t>
            </w:r>
          </w:p>
        </w:tc>
        <w:tc>
          <w:tcPr>
            <w:tcW w:w="541" w:type="dxa"/>
          </w:tcPr>
          <w:p>
            <w:pPr>
              <w:pStyle w:val="TableParagraph"/>
              <w:spacing w:line="203" w:lineRule="exact"/>
              <w:ind w:left="125"/>
              <w:jc w:val="left"/>
              <w:rPr>
                <w:sz w:val="20"/>
              </w:rPr>
            </w:pPr>
            <w:r>
              <w:rPr>
                <w:spacing w:val="-10"/>
                <w:sz w:val="20"/>
              </w:rPr>
              <w:t>R</w:t>
            </w:r>
          </w:p>
        </w:tc>
        <w:tc>
          <w:tcPr>
            <w:tcW w:w="720" w:type="dxa"/>
          </w:tcPr>
          <w:p>
            <w:pPr>
              <w:pStyle w:val="TableParagraph"/>
              <w:spacing w:line="203" w:lineRule="exact"/>
              <w:ind w:left="72" w:right="72"/>
              <w:rPr>
                <w:sz w:val="20"/>
              </w:rPr>
            </w:pPr>
            <w:r>
              <w:rPr>
                <w:spacing w:val="-10"/>
                <w:sz w:val="20"/>
              </w:rPr>
              <w:t>R</w:t>
            </w:r>
          </w:p>
        </w:tc>
        <w:tc>
          <w:tcPr>
            <w:tcW w:w="674" w:type="dxa"/>
          </w:tcPr>
          <w:p>
            <w:pPr>
              <w:pStyle w:val="TableParagraph"/>
              <w:spacing w:line="203" w:lineRule="exact"/>
              <w:ind w:left="147" w:right="102"/>
              <w:rPr>
                <w:sz w:val="20"/>
              </w:rPr>
            </w:pPr>
            <w:r>
              <w:rPr>
                <w:spacing w:val="-10"/>
                <w:sz w:val="20"/>
              </w:rPr>
              <w:t>R</w:t>
            </w:r>
          </w:p>
        </w:tc>
        <w:tc>
          <w:tcPr>
            <w:tcW w:w="674" w:type="dxa"/>
          </w:tcPr>
          <w:p>
            <w:pPr>
              <w:pStyle w:val="TableParagraph"/>
              <w:spacing w:line="203" w:lineRule="exact"/>
              <w:ind w:left="47" w:right="148"/>
              <w:rPr>
                <w:sz w:val="20"/>
              </w:rPr>
            </w:pPr>
            <w:r>
              <w:rPr>
                <w:spacing w:val="-10"/>
                <w:sz w:val="20"/>
              </w:rPr>
              <w:t>I</w:t>
            </w:r>
          </w:p>
        </w:tc>
        <w:tc>
          <w:tcPr>
            <w:tcW w:w="720" w:type="dxa"/>
          </w:tcPr>
          <w:p>
            <w:pPr>
              <w:pStyle w:val="TableParagraph"/>
              <w:spacing w:line="203" w:lineRule="exact"/>
              <w:ind w:left="72" w:right="72"/>
              <w:rPr>
                <w:sz w:val="20"/>
              </w:rPr>
            </w:pPr>
            <w:r>
              <w:rPr>
                <w:spacing w:val="-10"/>
                <w:sz w:val="20"/>
              </w:rPr>
              <w:t>R</w:t>
            </w:r>
          </w:p>
        </w:tc>
        <w:tc>
          <w:tcPr>
            <w:tcW w:w="666" w:type="dxa"/>
          </w:tcPr>
          <w:p>
            <w:pPr>
              <w:pStyle w:val="TableParagraph"/>
              <w:spacing w:line="203" w:lineRule="exact"/>
              <w:ind w:left="40" w:right="2"/>
              <w:rPr>
                <w:sz w:val="20"/>
              </w:rPr>
            </w:pPr>
            <w:r>
              <w:rPr>
                <w:spacing w:val="-10"/>
                <w:sz w:val="20"/>
              </w:rPr>
              <w:t>S</w:t>
            </w:r>
          </w:p>
        </w:tc>
        <w:tc>
          <w:tcPr>
            <w:tcW w:w="683" w:type="dxa"/>
          </w:tcPr>
          <w:p>
            <w:pPr>
              <w:pStyle w:val="TableParagraph"/>
              <w:spacing w:line="203" w:lineRule="exact"/>
              <w:ind w:left="59" w:right="93"/>
              <w:rPr>
                <w:sz w:val="20"/>
              </w:rPr>
            </w:pPr>
            <w:r>
              <w:rPr>
                <w:spacing w:val="-10"/>
                <w:sz w:val="20"/>
              </w:rPr>
              <w:t>R</w:t>
            </w:r>
          </w:p>
        </w:tc>
        <w:tc>
          <w:tcPr>
            <w:tcW w:w="675" w:type="dxa"/>
          </w:tcPr>
          <w:p>
            <w:pPr>
              <w:pStyle w:val="TableParagraph"/>
              <w:spacing w:line="203" w:lineRule="exact"/>
              <w:ind w:left="148" w:right="103"/>
              <w:rPr>
                <w:sz w:val="20"/>
              </w:rPr>
            </w:pPr>
            <w:r>
              <w:rPr>
                <w:spacing w:val="-10"/>
                <w:sz w:val="20"/>
              </w:rPr>
              <w:t>R</w:t>
            </w:r>
          </w:p>
        </w:tc>
        <w:tc>
          <w:tcPr>
            <w:tcW w:w="675" w:type="dxa"/>
          </w:tcPr>
          <w:p>
            <w:pPr>
              <w:pStyle w:val="TableParagraph"/>
              <w:spacing w:line="203" w:lineRule="exact"/>
              <w:ind w:left="59" w:right="103"/>
              <w:rPr>
                <w:sz w:val="20"/>
              </w:rPr>
            </w:pPr>
            <w:r>
              <w:rPr>
                <w:spacing w:val="-10"/>
                <w:sz w:val="20"/>
              </w:rPr>
              <w:t>R</w:t>
            </w:r>
          </w:p>
        </w:tc>
        <w:tc>
          <w:tcPr>
            <w:tcW w:w="677" w:type="dxa"/>
          </w:tcPr>
          <w:p>
            <w:pPr>
              <w:pStyle w:val="TableParagraph"/>
              <w:spacing w:line="203" w:lineRule="exact"/>
              <w:ind w:left="56" w:right="15"/>
              <w:rPr>
                <w:sz w:val="20"/>
              </w:rPr>
            </w:pPr>
            <w:r>
              <w:rPr>
                <w:spacing w:val="-10"/>
                <w:sz w:val="20"/>
              </w:rPr>
              <w:t>R</w:t>
            </w:r>
          </w:p>
        </w:tc>
        <w:tc>
          <w:tcPr>
            <w:tcW w:w="631" w:type="dxa"/>
          </w:tcPr>
          <w:p>
            <w:pPr>
              <w:pStyle w:val="TableParagraph"/>
              <w:spacing w:line="203" w:lineRule="exact"/>
              <w:ind w:left="56" w:right="56"/>
              <w:rPr>
                <w:sz w:val="20"/>
              </w:rPr>
            </w:pPr>
            <w:r>
              <w:rPr>
                <w:spacing w:val="-10"/>
                <w:sz w:val="20"/>
              </w:rPr>
              <w:t>R</w:t>
            </w:r>
          </w:p>
        </w:tc>
        <w:tc>
          <w:tcPr>
            <w:tcW w:w="419" w:type="dxa"/>
          </w:tcPr>
          <w:p>
            <w:pPr>
              <w:pStyle w:val="TableParagraph"/>
              <w:spacing w:line="203" w:lineRule="exact"/>
              <w:ind w:right="48"/>
              <w:jc w:val="right"/>
              <w:rPr>
                <w:sz w:val="20"/>
              </w:rPr>
            </w:pPr>
            <w:r>
              <w:rPr>
                <w:spacing w:val="-10"/>
                <w:sz w:val="20"/>
              </w:rPr>
              <w:t>R</w:t>
            </w:r>
          </w:p>
        </w:tc>
      </w:tr>
    </w:tbl>
    <w:p>
      <w:pPr>
        <w:spacing w:after="0" w:line="203" w:lineRule="exact"/>
        <w:jc w:val="right"/>
        <w:rPr>
          <w:sz w:val="20"/>
        </w:rPr>
        <w:sectPr>
          <w:type w:val="continuous"/>
          <w:pgSz w:w="12240" w:h="15840"/>
          <w:pgMar w:header="0" w:footer="1017" w:top="1460" w:bottom="1406" w:left="520" w:right="260"/>
        </w:sectPr>
      </w:pP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1785"/>
        <w:gridCol w:w="541"/>
        <w:gridCol w:w="720"/>
        <w:gridCol w:w="674"/>
        <w:gridCol w:w="674"/>
        <w:gridCol w:w="720"/>
        <w:gridCol w:w="666"/>
        <w:gridCol w:w="683"/>
        <w:gridCol w:w="675"/>
        <w:gridCol w:w="675"/>
        <w:gridCol w:w="677"/>
        <w:gridCol w:w="631"/>
        <w:gridCol w:w="960"/>
      </w:tblGrid>
      <w:tr>
        <w:trPr>
          <w:trHeight w:val="223" w:hRule="atLeast"/>
        </w:trPr>
        <w:tc>
          <w:tcPr>
            <w:tcW w:w="734" w:type="dxa"/>
          </w:tcPr>
          <w:p>
            <w:pPr>
              <w:pStyle w:val="TableParagraph"/>
              <w:spacing w:line="203" w:lineRule="exact"/>
              <w:ind w:left="124"/>
              <w:jc w:val="left"/>
              <w:rPr>
                <w:sz w:val="20"/>
              </w:rPr>
            </w:pPr>
            <w:r>
              <w:rPr>
                <w:spacing w:val="-5"/>
                <w:sz w:val="20"/>
              </w:rPr>
              <w:t>S4c</w:t>
            </w:r>
          </w:p>
        </w:tc>
        <w:tc>
          <w:tcPr>
            <w:tcW w:w="1785" w:type="dxa"/>
          </w:tcPr>
          <w:p>
            <w:pPr>
              <w:pStyle w:val="TableParagraph"/>
              <w:spacing w:line="203"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03" w:lineRule="exact"/>
              <w:ind w:left="125"/>
              <w:jc w:val="left"/>
              <w:rPr>
                <w:sz w:val="20"/>
              </w:rPr>
            </w:pPr>
            <w:r>
              <w:rPr>
                <w:spacing w:val="-10"/>
                <w:sz w:val="20"/>
              </w:rPr>
              <w:t>R</w:t>
            </w:r>
          </w:p>
        </w:tc>
        <w:tc>
          <w:tcPr>
            <w:tcW w:w="720" w:type="dxa"/>
          </w:tcPr>
          <w:p>
            <w:pPr>
              <w:pStyle w:val="TableParagraph"/>
              <w:spacing w:line="203" w:lineRule="exact"/>
              <w:ind w:left="71" w:right="72"/>
              <w:rPr>
                <w:sz w:val="20"/>
              </w:rPr>
            </w:pPr>
            <w:r>
              <w:rPr>
                <w:spacing w:val="-10"/>
                <w:sz w:val="20"/>
              </w:rPr>
              <w:t>R</w:t>
            </w:r>
          </w:p>
        </w:tc>
        <w:tc>
          <w:tcPr>
            <w:tcW w:w="674" w:type="dxa"/>
          </w:tcPr>
          <w:p>
            <w:pPr>
              <w:pStyle w:val="TableParagraph"/>
              <w:spacing w:line="203" w:lineRule="exact"/>
              <w:ind w:left="146" w:right="102"/>
              <w:rPr>
                <w:sz w:val="20"/>
              </w:rPr>
            </w:pPr>
            <w:r>
              <w:rPr>
                <w:spacing w:val="-10"/>
                <w:sz w:val="20"/>
              </w:rPr>
              <w:t>R</w:t>
            </w:r>
          </w:p>
        </w:tc>
        <w:tc>
          <w:tcPr>
            <w:tcW w:w="674" w:type="dxa"/>
          </w:tcPr>
          <w:p>
            <w:pPr>
              <w:pStyle w:val="TableParagraph"/>
              <w:spacing w:line="203" w:lineRule="exact"/>
              <w:ind w:left="47" w:right="107"/>
              <w:rPr>
                <w:sz w:val="20"/>
              </w:rPr>
            </w:pPr>
            <w:r>
              <w:rPr>
                <w:spacing w:val="-10"/>
                <w:sz w:val="20"/>
              </w:rPr>
              <w:t>S</w:t>
            </w:r>
          </w:p>
        </w:tc>
        <w:tc>
          <w:tcPr>
            <w:tcW w:w="720" w:type="dxa"/>
          </w:tcPr>
          <w:p>
            <w:pPr>
              <w:pStyle w:val="TableParagraph"/>
              <w:spacing w:line="203" w:lineRule="exact"/>
              <w:ind w:left="72" w:right="72"/>
              <w:rPr>
                <w:sz w:val="20"/>
              </w:rPr>
            </w:pPr>
            <w:r>
              <w:rPr>
                <w:spacing w:val="-10"/>
                <w:sz w:val="20"/>
              </w:rPr>
              <w:t>R</w:t>
            </w:r>
          </w:p>
        </w:tc>
        <w:tc>
          <w:tcPr>
            <w:tcW w:w="666" w:type="dxa"/>
          </w:tcPr>
          <w:p>
            <w:pPr>
              <w:pStyle w:val="TableParagraph"/>
              <w:spacing w:line="203" w:lineRule="exact"/>
              <w:ind w:left="40" w:right="3"/>
              <w:rPr>
                <w:sz w:val="20"/>
              </w:rPr>
            </w:pPr>
            <w:r>
              <w:rPr>
                <w:spacing w:val="-10"/>
                <w:sz w:val="20"/>
              </w:rPr>
              <w:t>S</w:t>
            </w:r>
          </w:p>
        </w:tc>
        <w:tc>
          <w:tcPr>
            <w:tcW w:w="683" w:type="dxa"/>
          </w:tcPr>
          <w:p>
            <w:pPr>
              <w:pStyle w:val="TableParagraph"/>
              <w:spacing w:line="203" w:lineRule="exact"/>
              <w:ind w:left="59" w:right="93"/>
              <w:rPr>
                <w:sz w:val="20"/>
              </w:rPr>
            </w:pPr>
            <w:r>
              <w:rPr>
                <w:spacing w:val="-10"/>
                <w:sz w:val="20"/>
              </w:rPr>
              <w:t>R</w:t>
            </w:r>
          </w:p>
        </w:tc>
        <w:tc>
          <w:tcPr>
            <w:tcW w:w="675" w:type="dxa"/>
          </w:tcPr>
          <w:p>
            <w:pPr>
              <w:pStyle w:val="TableParagraph"/>
              <w:spacing w:line="203" w:lineRule="exact"/>
              <w:ind w:left="148" w:right="103"/>
              <w:rPr>
                <w:sz w:val="20"/>
              </w:rPr>
            </w:pPr>
            <w:r>
              <w:rPr>
                <w:spacing w:val="-10"/>
                <w:sz w:val="20"/>
              </w:rPr>
              <w:t>R</w:t>
            </w:r>
          </w:p>
        </w:tc>
        <w:tc>
          <w:tcPr>
            <w:tcW w:w="675" w:type="dxa"/>
          </w:tcPr>
          <w:p>
            <w:pPr>
              <w:pStyle w:val="TableParagraph"/>
              <w:spacing w:line="203" w:lineRule="exact"/>
              <w:ind w:left="58" w:right="103"/>
              <w:rPr>
                <w:sz w:val="20"/>
              </w:rPr>
            </w:pPr>
            <w:r>
              <w:rPr>
                <w:spacing w:val="-10"/>
                <w:sz w:val="20"/>
              </w:rPr>
              <w:t>R</w:t>
            </w:r>
          </w:p>
        </w:tc>
        <w:tc>
          <w:tcPr>
            <w:tcW w:w="677" w:type="dxa"/>
          </w:tcPr>
          <w:p>
            <w:pPr>
              <w:pStyle w:val="TableParagraph"/>
              <w:spacing w:line="203" w:lineRule="exact"/>
              <w:ind w:left="55" w:right="15"/>
              <w:rPr>
                <w:sz w:val="20"/>
              </w:rPr>
            </w:pPr>
            <w:r>
              <w:rPr>
                <w:spacing w:val="-10"/>
                <w:sz w:val="20"/>
              </w:rPr>
              <w:t>R</w:t>
            </w:r>
          </w:p>
        </w:tc>
        <w:tc>
          <w:tcPr>
            <w:tcW w:w="631" w:type="dxa"/>
          </w:tcPr>
          <w:p>
            <w:pPr>
              <w:pStyle w:val="TableParagraph"/>
              <w:spacing w:line="203" w:lineRule="exact"/>
              <w:ind w:left="56" w:right="56"/>
              <w:rPr>
                <w:sz w:val="20"/>
              </w:rPr>
            </w:pPr>
            <w:r>
              <w:rPr>
                <w:spacing w:val="-10"/>
                <w:sz w:val="20"/>
              </w:rPr>
              <w:t>R</w:t>
            </w:r>
          </w:p>
        </w:tc>
        <w:tc>
          <w:tcPr>
            <w:tcW w:w="960" w:type="dxa"/>
          </w:tcPr>
          <w:p>
            <w:pPr>
              <w:pStyle w:val="TableParagraph"/>
              <w:spacing w:line="203"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B15e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59" w:right="102"/>
              <w:rPr>
                <w:sz w:val="20"/>
              </w:rPr>
            </w:pPr>
            <w:r>
              <w:rPr>
                <w:spacing w:val="-10"/>
                <w:sz w:val="20"/>
              </w:rPr>
              <w:t>R</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42" w:right="56"/>
              <w:rPr>
                <w:sz w:val="20"/>
              </w:rPr>
            </w:pPr>
            <w:r>
              <w:rPr>
                <w:spacing w:val="-10"/>
                <w:sz w:val="20"/>
              </w:rPr>
              <w:t>S</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Z32s</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S1c</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S7c</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49"/>
              <w:rPr>
                <w:sz w:val="20"/>
              </w:rPr>
            </w:pPr>
            <w:r>
              <w:rPr>
                <w:spacing w:val="-10"/>
                <w:sz w:val="20"/>
              </w:rPr>
              <w:t>I</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E4c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49"/>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B12e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E23s</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49"/>
              <w:rPr>
                <w:sz w:val="20"/>
              </w:rPr>
            </w:pPr>
            <w:r>
              <w:rPr>
                <w:spacing w:val="-10"/>
                <w:sz w:val="20"/>
              </w:rPr>
              <w:t>I</w:t>
            </w:r>
          </w:p>
        </w:tc>
        <w:tc>
          <w:tcPr>
            <w:tcW w:w="720" w:type="dxa"/>
          </w:tcPr>
          <w:p>
            <w:pPr>
              <w:pStyle w:val="TableParagraph"/>
              <w:ind w:left="16" w:right="72"/>
              <w:rPr>
                <w:sz w:val="20"/>
              </w:rPr>
            </w:pPr>
            <w:r>
              <w:rPr>
                <w:spacing w:val="-10"/>
                <w:sz w:val="20"/>
              </w:rPr>
              <w:t>I</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92" w:right="103"/>
              <w:rPr>
                <w:sz w:val="20"/>
              </w:rPr>
            </w:pPr>
            <w:r>
              <w:rPr>
                <w:spacing w:val="-10"/>
                <w:sz w:val="20"/>
              </w:rPr>
              <w:t>I</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E8c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S3c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49"/>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E3c</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49"/>
              <w:rPr>
                <w:sz w:val="20"/>
              </w:rPr>
            </w:pPr>
            <w:r>
              <w:rPr>
                <w:spacing w:val="-10"/>
                <w:sz w:val="20"/>
              </w:rPr>
              <w:t>I</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S21e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58" w:right="72"/>
              <w:rPr>
                <w:sz w:val="20"/>
              </w:rPr>
            </w:pPr>
            <w:r>
              <w:rPr>
                <w:spacing w:val="-10"/>
                <w:sz w:val="20"/>
              </w:rPr>
              <w:t>S</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Z13c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E1c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S26e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47" w:right="150"/>
              <w:rPr>
                <w:sz w:val="20"/>
              </w:rPr>
            </w:pPr>
            <w:r>
              <w:rPr>
                <w:spacing w:val="-10"/>
                <w:sz w:val="20"/>
              </w:rPr>
              <w:t>I</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E48c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S12c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Z35c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E21s</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E10c</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E5c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S5c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49"/>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S9c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S25e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E18e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S18e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15" w:right="72"/>
              <w:rPr>
                <w:sz w:val="20"/>
              </w:rPr>
            </w:pPr>
            <w:r>
              <w:rPr>
                <w:spacing w:val="-10"/>
                <w:sz w:val="20"/>
              </w:rPr>
              <w:t>I</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E8e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Z4e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16" w:right="72"/>
              <w:rPr>
                <w:sz w:val="20"/>
              </w:rPr>
            </w:pPr>
            <w:r>
              <w:rPr>
                <w:spacing w:val="-10"/>
                <w:sz w:val="20"/>
              </w:rPr>
              <w:t>I</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E10s</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16" w:right="72"/>
              <w:rPr>
                <w:sz w:val="20"/>
              </w:rPr>
            </w:pPr>
            <w:r>
              <w:rPr>
                <w:spacing w:val="-10"/>
                <w:sz w:val="20"/>
              </w:rPr>
              <w:t>I</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B20e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I</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right="93"/>
              <w:rPr>
                <w:sz w:val="20"/>
              </w:rPr>
            </w:pPr>
            <w:r>
              <w:rPr>
                <w:spacing w:val="-10"/>
                <w:sz w:val="20"/>
              </w:rPr>
              <w:t>I</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E20e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Z33e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S20e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16" w:right="72"/>
              <w:rPr>
                <w:sz w:val="20"/>
              </w:rPr>
            </w:pPr>
            <w:r>
              <w:rPr>
                <w:spacing w:val="-10"/>
                <w:sz w:val="20"/>
              </w:rPr>
              <w:t>I</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E19e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I</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58" w:right="72"/>
              <w:rPr>
                <w:sz w:val="20"/>
              </w:rPr>
            </w:pPr>
            <w:r>
              <w:rPr>
                <w:spacing w:val="-10"/>
                <w:sz w:val="20"/>
              </w:rPr>
              <w:t>S</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right="93"/>
              <w:rPr>
                <w:sz w:val="20"/>
              </w:rPr>
            </w:pPr>
            <w:r>
              <w:rPr>
                <w:spacing w:val="-10"/>
                <w:sz w:val="20"/>
              </w:rPr>
              <w:t>I</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Z3e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E12s</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31" w:right="103"/>
              <w:rPr>
                <w:sz w:val="20"/>
              </w:rPr>
            </w:pPr>
            <w:r>
              <w:rPr>
                <w:spacing w:val="-10"/>
                <w:sz w:val="20"/>
              </w:rPr>
              <w:t>S</w:t>
            </w:r>
          </w:p>
        </w:tc>
        <w:tc>
          <w:tcPr>
            <w:tcW w:w="675" w:type="dxa"/>
          </w:tcPr>
          <w:p>
            <w:pPr>
              <w:pStyle w:val="TableParagraph"/>
              <w:ind w:left="47" w:right="109"/>
              <w:rPr>
                <w:sz w:val="20"/>
              </w:rPr>
            </w:pPr>
            <w:r>
              <w:rPr>
                <w:spacing w:val="-10"/>
                <w:sz w:val="20"/>
              </w:rPr>
              <w:t>S</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Z8e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16" w:right="72"/>
              <w:rPr>
                <w:sz w:val="20"/>
              </w:rPr>
            </w:pPr>
            <w:r>
              <w:rPr>
                <w:spacing w:val="-10"/>
                <w:sz w:val="20"/>
              </w:rPr>
              <w:t>I</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47" w:right="150"/>
              <w:rPr>
                <w:sz w:val="20"/>
              </w:rPr>
            </w:pPr>
            <w:r>
              <w:rPr>
                <w:spacing w:val="-10"/>
                <w:sz w:val="20"/>
              </w:rPr>
              <w:t>I</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S10c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49"/>
              <w:rPr>
                <w:sz w:val="20"/>
              </w:rPr>
            </w:pPr>
            <w:r>
              <w:rPr>
                <w:spacing w:val="-10"/>
                <w:sz w:val="20"/>
              </w:rPr>
              <w:t>I</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Z5e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31" w:right="103"/>
              <w:rPr>
                <w:sz w:val="20"/>
              </w:rPr>
            </w:pPr>
            <w:r>
              <w:rPr>
                <w:spacing w:val="-10"/>
                <w:sz w:val="20"/>
              </w:rPr>
              <w:t>S</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S16c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15" w:right="72"/>
              <w:rPr>
                <w:sz w:val="20"/>
              </w:rPr>
            </w:pPr>
            <w:r>
              <w:rPr>
                <w:spacing w:val="-10"/>
                <w:sz w:val="20"/>
              </w:rPr>
              <w:t>I</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16" w:right="72"/>
              <w:rPr>
                <w:sz w:val="20"/>
              </w:rPr>
            </w:pPr>
            <w:r>
              <w:rPr>
                <w:spacing w:val="-10"/>
                <w:sz w:val="20"/>
              </w:rPr>
              <w:t>I</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B4e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58" w:right="72"/>
              <w:rPr>
                <w:sz w:val="20"/>
              </w:rPr>
            </w:pPr>
            <w:r>
              <w:rPr>
                <w:spacing w:val="-10"/>
                <w:sz w:val="20"/>
              </w:rPr>
              <w:t>S</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31" w:right="103"/>
              <w:rPr>
                <w:sz w:val="20"/>
              </w:rPr>
            </w:pPr>
            <w:r>
              <w:rPr>
                <w:spacing w:val="-10"/>
                <w:sz w:val="20"/>
              </w:rPr>
              <w:t>S</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Z6e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S</w:t>
            </w:r>
          </w:p>
        </w:tc>
        <w:tc>
          <w:tcPr>
            <w:tcW w:w="720" w:type="dxa"/>
          </w:tcPr>
          <w:p>
            <w:pPr>
              <w:pStyle w:val="TableParagraph"/>
              <w:spacing w:line="222" w:lineRule="exact"/>
              <w:ind w:left="57" w:right="72"/>
              <w:rPr>
                <w:sz w:val="20"/>
              </w:rPr>
            </w:pPr>
            <w:r>
              <w:rPr>
                <w:spacing w:val="-10"/>
                <w:sz w:val="20"/>
              </w:rPr>
              <w:t>S</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42" w:right="93"/>
              <w:rPr>
                <w:sz w:val="20"/>
              </w:rPr>
            </w:pPr>
            <w:r>
              <w:rPr>
                <w:spacing w:val="-10"/>
                <w:sz w:val="20"/>
              </w:rPr>
              <w:t>S</w:t>
            </w:r>
          </w:p>
        </w:tc>
        <w:tc>
          <w:tcPr>
            <w:tcW w:w="675" w:type="dxa"/>
          </w:tcPr>
          <w:p>
            <w:pPr>
              <w:pStyle w:val="TableParagraph"/>
              <w:spacing w:line="222" w:lineRule="exact"/>
              <w:ind w:left="131" w:right="103"/>
              <w:rPr>
                <w:sz w:val="20"/>
              </w:rPr>
            </w:pPr>
            <w:r>
              <w:rPr>
                <w:spacing w:val="-10"/>
                <w:sz w:val="20"/>
              </w:rPr>
              <w:t>S</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S19c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15" w:right="72"/>
              <w:rPr>
                <w:sz w:val="20"/>
              </w:rPr>
            </w:pPr>
            <w:r>
              <w:rPr>
                <w:spacing w:val="-10"/>
                <w:sz w:val="20"/>
              </w:rPr>
              <w:t>I</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S22e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5"/>
                <w:sz w:val="20"/>
              </w:rPr>
              <w:t>S6c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30" w:right="102"/>
              <w:rPr>
                <w:sz w:val="20"/>
              </w:rPr>
            </w:pPr>
            <w:r>
              <w:rPr>
                <w:spacing w:val="-10"/>
                <w:sz w:val="20"/>
              </w:rPr>
              <w:t>S</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E13e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S</w:t>
            </w:r>
          </w:p>
        </w:tc>
        <w:tc>
          <w:tcPr>
            <w:tcW w:w="720" w:type="dxa"/>
          </w:tcPr>
          <w:p>
            <w:pPr>
              <w:pStyle w:val="TableParagraph"/>
              <w:ind w:left="57" w:right="72"/>
              <w:rPr>
                <w:sz w:val="20"/>
              </w:rPr>
            </w:pPr>
            <w:r>
              <w:rPr>
                <w:spacing w:val="-10"/>
                <w:sz w:val="20"/>
              </w:rPr>
              <w:t>S</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58" w:right="72"/>
              <w:rPr>
                <w:sz w:val="20"/>
              </w:rPr>
            </w:pPr>
            <w:r>
              <w:rPr>
                <w:spacing w:val="-10"/>
                <w:sz w:val="20"/>
              </w:rPr>
              <w:t>S</w:t>
            </w:r>
          </w:p>
        </w:tc>
        <w:tc>
          <w:tcPr>
            <w:tcW w:w="666" w:type="dxa"/>
          </w:tcPr>
          <w:p>
            <w:pPr>
              <w:pStyle w:val="TableParagraph"/>
              <w:ind w:left="40" w:right="3"/>
              <w:rPr>
                <w:sz w:val="20"/>
              </w:rPr>
            </w:pPr>
            <w:r>
              <w:rPr>
                <w:spacing w:val="-10"/>
                <w:sz w:val="20"/>
              </w:rPr>
              <w:t>S</w:t>
            </w:r>
          </w:p>
        </w:tc>
        <w:tc>
          <w:tcPr>
            <w:tcW w:w="683" w:type="dxa"/>
          </w:tcPr>
          <w:p>
            <w:pPr>
              <w:pStyle w:val="TableParagraph"/>
              <w:ind w:left="42" w:right="93"/>
              <w:rPr>
                <w:sz w:val="20"/>
              </w:rPr>
            </w:pPr>
            <w:r>
              <w:rPr>
                <w:spacing w:val="-10"/>
                <w:sz w:val="20"/>
              </w:rPr>
              <w:t>S</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E32s</w:t>
            </w:r>
          </w:p>
        </w:tc>
        <w:tc>
          <w:tcPr>
            <w:tcW w:w="1785" w:type="dxa"/>
          </w:tcPr>
          <w:p>
            <w:pPr>
              <w:pStyle w:val="TableParagraph"/>
              <w:ind w:left="7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5"/>
                <w:sz w:val="20"/>
              </w:rPr>
              <w:t>E4e</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71" w:right="72"/>
              <w:rPr>
                <w:sz w:val="20"/>
              </w:rPr>
            </w:pPr>
            <w:r>
              <w:rPr>
                <w:spacing w:val="-10"/>
                <w:sz w:val="20"/>
              </w:rPr>
              <w:t>R</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2" w:hRule="atLeast"/>
        </w:trPr>
        <w:tc>
          <w:tcPr>
            <w:tcW w:w="734" w:type="dxa"/>
          </w:tcPr>
          <w:p>
            <w:pPr>
              <w:pStyle w:val="TableParagraph"/>
              <w:spacing w:line="222" w:lineRule="exact"/>
              <w:ind w:left="124"/>
              <w:jc w:val="left"/>
              <w:rPr>
                <w:sz w:val="20"/>
              </w:rPr>
            </w:pPr>
            <w:r>
              <w:rPr>
                <w:spacing w:val="-4"/>
                <w:sz w:val="20"/>
              </w:rPr>
              <w:t>S13c</w:t>
            </w:r>
          </w:p>
        </w:tc>
        <w:tc>
          <w:tcPr>
            <w:tcW w:w="1785" w:type="dxa"/>
          </w:tcPr>
          <w:p>
            <w:pPr>
              <w:pStyle w:val="TableParagraph"/>
              <w:spacing w:line="222" w:lineRule="exact"/>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spacing w:line="222" w:lineRule="exact"/>
              <w:ind w:left="125"/>
              <w:jc w:val="left"/>
              <w:rPr>
                <w:sz w:val="20"/>
              </w:rPr>
            </w:pPr>
            <w:r>
              <w:rPr>
                <w:spacing w:val="-10"/>
                <w:sz w:val="20"/>
              </w:rPr>
              <w:t>R</w:t>
            </w:r>
          </w:p>
        </w:tc>
        <w:tc>
          <w:tcPr>
            <w:tcW w:w="720" w:type="dxa"/>
          </w:tcPr>
          <w:p>
            <w:pPr>
              <w:pStyle w:val="TableParagraph"/>
              <w:spacing w:line="222" w:lineRule="exact"/>
              <w:ind w:left="15" w:right="72"/>
              <w:rPr>
                <w:sz w:val="20"/>
              </w:rPr>
            </w:pPr>
            <w:r>
              <w:rPr>
                <w:spacing w:val="-10"/>
                <w:sz w:val="20"/>
              </w:rPr>
              <w:t>I</w:t>
            </w:r>
          </w:p>
        </w:tc>
        <w:tc>
          <w:tcPr>
            <w:tcW w:w="674" w:type="dxa"/>
          </w:tcPr>
          <w:p>
            <w:pPr>
              <w:pStyle w:val="TableParagraph"/>
              <w:spacing w:line="222" w:lineRule="exact"/>
              <w:ind w:left="146" w:right="102"/>
              <w:rPr>
                <w:sz w:val="20"/>
              </w:rPr>
            </w:pPr>
            <w:r>
              <w:rPr>
                <w:spacing w:val="-10"/>
                <w:sz w:val="20"/>
              </w:rPr>
              <w:t>R</w:t>
            </w:r>
          </w:p>
        </w:tc>
        <w:tc>
          <w:tcPr>
            <w:tcW w:w="674" w:type="dxa"/>
          </w:tcPr>
          <w:p>
            <w:pPr>
              <w:pStyle w:val="TableParagraph"/>
              <w:spacing w:line="222" w:lineRule="exact"/>
              <w:ind w:left="47" w:right="107"/>
              <w:rPr>
                <w:sz w:val="20"/>
              </w:rPr>
            </w:pPr>
            <w:r>
              <w:rPr>
                <w:spacing w:val="-10"/>
                <w:sz w:val="20"/>
              </w:rPr>
              <w:t>S</w:t>
            </w:r>
          </w:p>
        </w:tc>
        <w:tc>
          <w:tcPr>
            <w:tcW w:w="720" w:type="dxa"/>
          </w:tcPr>
          <w:p>
            <w:pPr>
              <w:pStyle w:val="TableParagraph"/>
              <w:spacing w:line="222" w:lineRule="exact"/>
              <w:ind w:left="72" w:right="72"/>
              <w:rPr>
                <w:sz w:val="20"/>
              </w:rPr>
            </w:pPr>
            <w:r>
              <w:rPr>
                <w:spacing w:val="-10"/>
                <w:sz w:val="20"/>
              </w:rPr>
              <w:t>R</w:t>
            </w:r>
          </w:p>
        </w:tc>
        <w:tc>
          <w:tcPr>
            <w:tcW w:w="666" w:type="dxa"/>
          </w:tcPr>
          <w:p>
            <w:pPr>
              <w:pStyle w:val="TableParagraph"/>
              <w:spacing w:line="222" w:lineRule="exact"/>
              <w:ind w:left="40" w:right="3"/>
              <w:rPr>
                <w:sz w:val="20"/>
              </w:rPr>
            </w:pPr>
            <w:r>
              <w:rPr>
                <w:spacing w:val="-10"/>
                <w:sz w:val="20"/>
              </w:rPr>
              <w:t>S</w:t>
            </w:r>
          </w:p>
        </w:tc>
        <w:tc>
          <w:tcPr>
            <w:tcW w:w="683" w:type="dxa"/>
          </w:tcPr>
          <w:p>
            <w:pPr>
              <w:pStyle w:val="TableParagraph"/>
              <w:spacing w:line="222" w:lineRule="exact"/>
              <w:ind w:left="59" w:right="93"/>
              <w:rPr>
                <w:sz w:val="20"/>
              </w:rPr>
            </w:pPr>
            <w:r>
              <w:rPr>
                <w:spacing w:val="-10"/>
                <w:sz w:val="20"/>
              </w:rPr>
              <w:t>R</w:t>
            </w:r>
          </w:p>
        </w:tc>
        <w:tc>
          <w:tcPr>
            <w:tcW w:w="675" w:type="dxa"/>
          </w:tcPr>
          <w:p>
            <w:pPr>
              <w:pStyle w:val="TableParagraph"/>
              <w:spacing w:line="222" w:lineRule="exact"/>
              <w:ind w:left="148" w:right="103"/>
              <w:rPr>
                <w:sz w:val="20"/>
              </w:rPr>
            </w:pPr>
            <w:r>
              <w:rPr>
                <w:spacing w:val="-10"/>
                <w:sz w:val="20"/>
              </w:rPr>
              <w:t>R</w:t>
            </w:r>
          </w:p>
        </w:tc>
        <w:tc>
          <w:tcPr>
            <w:tcW w:w="675" w:type="dxa"/>
          </w:tcPr>
          <w:p>
            <w:pPr>
              <w:pStyle w:val="TableParagraph"/>
              <w:spacing w:line="222" w:lineRule="exact"/>
              <w:ind w:left="58" w:right="103"/>
              <w:rPr>
                <w:sz w:val="20"/>
              </w:rPr>
            </w:pPr>
            <w:r>
              <w:rPr>
                <w:spacing w:val="-10"/>
                <w:sz w:val="20"/>
              </w:rPr>
              <w:t>R</w:t>
            </w:r>
          </w:p>
        </w:tc>
        <w:tc>
          <w:tcPr>
            <w:tcW w:w="677" w:type="dxa"/>
          </w:tcPr>
          <w:p>
            <w:pPr>
              <w:pStyle w:val="TableParagraph"/>
              <w:spacing w:line="222" w:lineRule="exact"/>
              <w:ind w:left="55" w:right="15"/>
              <w:rPr>
                <w:sz w:val="20"/>
              </w:rPr>
            </w:pPr>
            <w:r>
              <w:rPr>
                <w:spacing w:val="-10"/>
                <w:sz w:val="20"/>
              </w:rPr>
              <w:t>R</w:t>
            </w:r>
          </w:p>
        </w:tc>
        <w:tc>
          <w:tcPr>
            <w:tcW w:w="631" w:type="dxa"/>
          </w:tcPr>
          <w:p>
            <w:pPr>
              <w:pStyle w:val="TableParagraph"/>
              <w:spacing w:line="222" w:lineRule="exact"/>
              <w:ind w:left="56" w:right="56"/>
              <w:rPr>
                <w:sz w:val="20"/>
              </w:rPr>
            </w:pPr>
            <w:r>
              <w:rPr>
                <w:spacing w:val="-10"/>
                <w:sz w:val="20"/>
              </w:rPr>
              <w:t>R</w:t>
            </w:r>
          </w:p>
        </w:tc>
        <w:tc>
          <w:tcPr>
            <w:tcW w:w="960" w:type="dxa"/>
          </w:tcPr>
          <w:p>
            <w:pPr>
              <w:pStyle w:val="TableParagraph"/>
              <w:spacing w:line="222" w:lineRule="exact"/>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S24e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E41c</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71" w:right="72"/>
              <w:rPr>
                <w:sz w:val="20"/>
              </w:rPr>
            </w:pPr>
            <w:r>
              <w:rPr>
                <w:spacing w:val="-10"/>
                <w:sz w:val="20"/>
              </w:rPr>
              <w:t>R</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44" w:hRule="atLeast"/>
        </w:trPr>
        <w:tc>
          <w:tcPr>
            <w:tcW w:w="734" w:type="dxa"/>
          </w:tcPr>
          <w:p>
            <w:pPr>
              <w:pStyle w:val="TableParagraph"/>
              <w:ind w:left="124"/>
              <w:jc w:val="left"/>
              <w:rPr>
                <w:sz w:val="20"/>
              </w:rPr>
            </w:pPr>
            <w:r>
              <w:rPr>
                <w:spacing w:val="-4"/>
                <w:sz w:val="20"/>
              </w:rPr>
              <w:t>S19e</w:t>
            </w:r>
          </w:p>
        </w:tc>
        <w:tc>
          <w:tcPr>
            <w:tcW w:w="1785" w:type="dxa"/>
          </w:tcPr>
          <w:p>
            <w:pPr>
              <w:pStyle w:val="TableParagraph"/>
              <w:ind w:left="71" w:right="1"/>
              <w:rPr>
                <w:i/>
                <w:sz w:val="20"/>
              </w:rPr>
            </w:pPr>
            <w:r>
              <w:rPr>
                <w:i/>
                <w:sz w:val="20"/>
              </w:rPr>
              <w:t>Pseudomonas</w:t>
            </w:r>
            <w:r>
              <w:rPr>
                <w:i/>
                <w:spacing w:val="-7"/>
                <w:sz w:val="20"/>
              </w:rPr>
              <w:t> </w:t>
            </w:r>
            <w:r>
              <w:rPr>
                <w:i/>
                <w:spacing w:val="-5"/>
                <w:sz w:val="20"/>
              </w:rPr>
              <w:t>spp</w:t>
            </w:r>
          </w:p>
        </w:tc>
        <w:tc>
          <w:tcPr>
            <w:tcW w:w="541" w:type="dxa"/>
          </w:tcPr>
          <w:p>
            <w:pPr>
              <w:pStyle w:val="TableParagraph"/>
              <w:ind w:left="125"/>
              <w:jc w:val="left"/>
              <w:rPr>
                <w:sz w:val="20"/>
              </w:rPr>
            </w:pPr>
            <w:r>
              <w:rPr>
                <w:spacing w:val="-10"/>
                <w:sz w:val="20"/>
              </w:rPr>
              <w:t>R</w:t>
            </w:r>
          </w:p>
        </w:tc>
        <w:tc>
          <w:tcPr>
            <w:tcW w:w="720" w:type="dxa"/>
          </w:tcPr>
          <w:p>
            <w:pPr>
              <w:pStyle w:val="TableParagraph"/>
              <w:ind w:left="15" w:right="72"/>
              <w:rPr>
                <w:sz w:val="20"/>
              </w:rPr>
            </w:pPr>
            <w:r>
              <w:rPr>
                <w:spacing w:val="-10"/>
                <w:sz w:val="20"/>
              </w:rPr>
              <w:t>I</w:t>
            </w:r>
          </w:p>
        </w:tc>
        <w:tc>
          <w:tcPr>
            <w:tcW w:w="674" w:type="dxa"/>
          </w:tcPr>
          <w:p>
            <w:pPr>
              <w:pStyle w:val="TableParagraph"/>
              <w:ind w:left="146" w:right="102"/>
              <w:rPr>
                <w:sz w:val="20"/>
              </w:rPr>
            </w:pPr>
            <w:r>
              <w:rPr>
                <w:spacing w:val="-10"/>
                <w:sz w:val="20"/>
              </w:rPr>
              <w:t>R</w:t>
            </w:r>
          </w:p>
        </w:tc>
        <w:tc>
          <w:tcPr>
            <w:tcW w:w="674" w:type="dxa"/>
          </w:tcPr>
          <w:p>
            <w:pPr>
              <w:pStyle w:val="TableParagraph"/>
              <w:ind w:left="47" w:right="107"/>
              <w:rPr>
                <w:sz w:val="20"/>
              </w:rPr>
            </w:pPr>
            <w:r>
              <w:rPr>
                <w:spacing w:val="-10"/>
                <w:sz w:val="20"/>
              </w:rPr>
              <w:t>S</w:t>
            </w:r>
          </w:p>
        </w:tc>
        <w:tc>
          <w:tcPr>
            <w:tcW w:w="720" w:type="dxa"/>
          </w:tcPr>
          <w:p>
            <w:pPr>
              <w:pStyle w:val="TableParagraph"/>
              <w:ind w:left="72" w:right="72"/>
              <w:rPr>
                <w:sz w:val="20"/>
              </w:rPr>
            </w:pPr>
            <w:r>
              <w:rPr>
                <w:spacing w:val="-10"/>
                <w:sz w:val="20"/>
              </w:rPr>
              <w:t>R</w:t>
            </w:r>
          </w:p>
        </w:tc>
        <w:tc>
          <w:tcPr>
            <w:tcW w:w="666" w:type="dxa"/>
          </w:tcPr>
          <w:p>
            <w:pPr>
              <w:pStyle w:val="TableParagraph"/>
              <w:ind w:left="40" w:right="3"/>
              <w:rPr>
                <w:sz w:val="20"/>
              </w:rPr>
            </w:pPr>
            <w:r>
              <w:rPr>
                <w:spacing w:val="-10"/>
                <w:sz w:val="20"/>
              </w:rPr>
              <w:t>S</w:t>
            </w:r>
          </w:p>
        </w:tc>
        <w:tc>
          <w:tcPr>
            <w:tcW w:w="683" w:type="dxa"/>
          </w:tcPr>
          <w:p>
            <w:pPr>
              <w:pStyle w:val="TableParagraph"/>
              <w:ind w:left="59" w:right="93"/>
              <w:rPr>
                <w:sz w:val="20"/>
              </w:rPr>
            </w:pPr>
            <w:r>
              <w:rPr>
                <w:spacing w:val="-10"/>
                <w:sz w:val="20"/>
              </w:rPr>
              <w:t>R</w:t>
            </w:r>
          </w:p>
        </w:tc>
        <w:tc>
          <w:tcPr>
            <w:tcW w:w="675" w:type="dxa"/>
          </w:tcPr>
          <w:p>
            <w:pPr>
              <w:pStyle w:val="TableParagraph"/>
              <w:ind w:left="148" w:right="103"/>
              <w:rPr>
                <w:sz w:val="20"/>
              </w:rPr>
            </w:pPr>
            <w:r>
              <w:rPr>
                <w:spacing w:val="-10"/>
                <w:sz w:val="20"/>
              </w:rPr>
              <w:t>R</w:t>
            </w:r>
          </w:p>
        </w:tc>
        <w:tc>
          <w:tcPr>
            <w:tcW w:w="675" w:type="dxa"/>
          </w:tcPr>
          <w:p>
            <w:pPr>
              <w:pStyle w:val="TableParagraph"/>
              <w:ind w:left="58" w:right="103"/>
              <w:rPr>
                <w:sz w:val="20"/>
              </w:rPr>
            </w:pPr>
            <w:r>
              <w:rPr>
                <w:spacing w:val="-10"/>
                <w:sz w:val="20"/>
              </w:rPr>
              <w:t>R</w:t>
            </w:r>
          </w:p>
        </w:tc>
        <w:tc>
          <w:tcPr>
            <w:tcW w:w="677" w:type="dxa"/>
          </w:tcPr>
          <w:p>
            <w:pPr>
              <w:pStyle w:val="TableParagraph"/>
              <w:ind w:left="55" w:right="15"/>
              <w:rPr>
                <w:sz w:val="20"/>
              </w:rPr>
            </w:pPr>
            <w:r>
              <w:rPr>
                <w:spacing w:val="-10"/>
                <w:sz w:val="20"/>
              </w:rPr>
              <w:t>R</w:t>
            </w:r>
          </w:p>
        </w:tc>
        <w:tc>
          <w:tcPr>
            <w:tcW w:w="631" w:type="dxa"/>
          </w:tcPr>
          <w:p>
            <w:pPr>
              <w:pStyle w:val="TableParagraph"/>
              <w:ind w:left="56" w:right="56"/>
              <w:rPr>
                <w:sz w:val="20"/>
              </w:rPr>
            </w:pPr>
            <w:r>
              <w:rPr>
                <w:spacing w:val="-10"/>
                <w:sz w:val="20"/>
              </w:rPr>
              <w:t>R</w:t>
            </w:r>
          </w:p>
        </w:tc>
        <w:tc>
          <w:tcPr>
            <w:tcW w:w="960" w:type="dxa"/>
          </w:tcPr>
          <w:p>
            <w:pPr>
              <w:pStyle w:val="TableParagraph"/>
              <w:ind w:left="258"/>
              <w:jc w:val="left"/>
              <w:rPr>
                <w:sz w:val="20"/>
              </w:rPr>
            </w:pPr>
            <w:r>
              <w:rPr>
                <w:spacing w:val="-10"/>
                <w:sz w:val="20"/>
              </w:rPr>
              <w:t>R</w:t>
            </w:r>
          </w:p>
        </w:tc>
      </w:tr>
      <w:tr>
        <w:trPr>
          <w:trHeight w:val="230" w:hRule="atLeast"/>
        </w:trPr>
        <w:tc>
          <w:tcPr>
            <w:tcW w:w="734" w:type="dxa"/>
            <w:tcBorders>
              <w:bottom w:val="single" w:sz="4" w:space="0" w:color="000000"/>
            </w:tcBorders>
          </w:tcPr>
          <w:p>
            <w:pPr>
              <w:pStyle w:val="TableParagraph"/>
              <w:spacing w:line="210" w:lineRule="exact"/>
              <w:ind w:left="124"/>
              <w:jc w:val="left"/>
              <w:rPr>
                <w:sz w:val="20"/>
              </w:rPr>
            </w:pPr>
            <w:r>
              <w:rPr>
                <w:spacing w:val="-5"/>
                <w:sz w:val="20"/>
              </w:rPr>
              <w:t>E7e</w:t>
            </w:r>
          </w:p>
        </w:tc>
        <w:tc>
          <w:tcPr>
            <w:tcW w:w="1785" w:type="dxa"/>
            <w:tcBorders>
              <w:bottom w:val="single" w:sz="4" w:space="0" w:color="000000"/>
            </w:tcBorders>
          </w:tcPr>
          <w:p>
            <w:pPr>
              <w:pStyle w:val="TableParagraph"/>
              <w:spacing w:line="210" w:lineRule="exact"/>
              <w:ind w:left="71" w:right="1"/>
              <w:rPr>
                <w:i/>
                <w:sz w:val="20"/>
              </w:rPr>
            </w:pPr>
            <w:r>
              <w:rPr>
                <w:i/>
                <w:sz w:val="20"/>
              </w:rPr>
              <w:t>Pseudomonas</w:t>
            </w:r>
            <w:r>
              <w:rPr>
                <w:i/>
                <w:spacing w:val="-7"/>
                <w:sz w:val="20"/>
              </w:rPr>
              <w:t> </w:t>
            </w:r>
            <w:r>
              <w:rPr>
                <w:i/>
                <w:spacing w:val="-5"/>
                <w:sz w:val="20"/>
              </w:rPr>
              <w:t>spp</w:t>
            </w:r>
          </w:p>
        </w:tc>
        <w:tc>
          <w:tcPr>
            <w:tcW w:w="541" w:type="dxa"/>
            <w:tcBorders>
              <w:bottom w:val="single" w:sz="4" w:space="0" w:color="000000"/>
            </w:tcBorders>
          </w:tcPr>
          <w:p>
            <w:pPr>
              <w:pStyle w:val="TableParagraph"/>
              <w:spacing w:line="210" w:lineRule="exact"/>
              <w:ind w:left="125"/>
              <w:jc w:val="left"/>
              <w:rPr>
                <w:sz w:val="20"/>
              </w:rPr>
            </w:pPr>
            <w:r>
              <w:rPr>
                <w:spacing w:val="-10"/>
                <w:sz w:val="20"/>
              </w:rPr>
              <w:t>R</w:t>
            </w:r>
          </w:p>
        </w:tc>
        <w:tc>
          <w:tcPr>
            <w:tcW w:w="720" w:type="dxa"/>
            <w:tcBorders>
              <w:bottom w:val="single" w:sz="4" w:space="0" w:color="000000"/>
            </w:tcBorders>
          </w:tcPr>
          <w:p>
            <w:pPr>
              <w:pStyle w:val="TableParagraph"/>
              <w:spacing w:line="210" w:lineRule="exact"/>
              <w:ind w:left="71" w:right="72"/>
              <w:rPr>
                <w:sz w:val="20"/>
              </w:rPr>
            </w:pPr>
            <w:r>
              <w:rPr>
                <w:spacing w:val="-10"/>
                <w:sz w:val="20"/>
              </w:rPr>
              <w:t>R</w:t>
            </w:r>
          </w:p>
        </w:tc>
        <w:tc>
          <w:tcPr>
            <w:tcW w:w="674" w:type="dxa"/>
            <w:tcBorders>
              <w:bottom w:val="single" w:sz="4" w:space="0" w:color="000000"/>
            </w:tcBorders>
          </w:tcPr>
          <w:p>
            <w:pPr>
              <w:pStyle w:val="TableParagraph"/>
              <w:spacing w:line="210" w:lineRule="exact"/>
              <w:ind w:left="146" w:right="102"/>
              <w:rPr>
                <w:sz w:val="20"/>
              </w:rPr>
            </w:pPr>
            <w:r>
              <w:rPr>
                <w:spacing w:val="-10"/>
                <w:sz w:val="20"/>
              </w:rPr>
              <w:t>R</w:t>
            </w:r>
          </w:p>
        </w:tc>
        <w:tc>
          <w:tcPr>
            <w:tcW w:w="674" w:type="dxa"/>
            <w:tcBorders>
              <w:bottom w:val="single" w:sz="4" w:space="0" w:color="000000"/>
            </w:tcBorders>
          </w:tcPr>
          <w:p>
            <w:pPr>
              <w:pStyle w:val="TableParagraph"/>
              <w:spacing w:line="210" w:lineRule="exact"/>
              <w:ind w:left="47" w:right="107"/>
              <w:rPr>
                <w:sz w:val="20"/>
              </w:rPr>
            </w:pPr>
            <w:r>
              <w:rPr>
                <w:spacing w:val="-10"/>
                <w:sz w:val="20"/>
              </w:rPr>
              <w:t>S</w:t>
            </w:r>
          </w:p>
        </w:tc>
        <w:tc>
          <w:tcPr>
            <w:tcW w:w="720" w:type="dxa"/>
            <w:tcBorders>
              <w:bottom w:val="single" w:sz="4" w:space="0" w:color="000000"/>
            </w:tcBorders>
          </w:tcPr>
          <w:p>
            <w:pPr>
              <w:pStyle w:val="TableParagraph"/>
              <w:spacing w:line="210" w:lineRule="exact"/>
              <w:ind w:left="72" w:right="72"/>
              <w:rPr>
                <w:sz w:val="20"/>
              </w:rPr>
            </w:pPr>
            <w:r>
              <w:rPr>
                <w:spacing w:val="-10"/>
                <w:sz w:val="20"/>
              </w:rPr>
              <w:t>R</w:t>
            </w:r>
          </w:p>
        </w:tc>
        <w:tc>
          <w:tcPr>
            <w:tcW w:w="666" w:type="dxa"/>
            <w:tcBorders>
              <w:bottom w:val="single" w:sz="4" w:space="0" w:color="000000"/>
            </w:tcBorders>
          </w:tcPr>
          <w:p>
            <w:pPr>
              <w:pStyle w:val="TableParagraph"/>
              <w:spacing w:line="210" w:lineRule="exact"/>
              <w:ind w:left="40" w:right="3"/>
              <w:rPr>
                <w:sz w:val="20"/>
              </w:rPr>
            </w:pPr>
            <w:r>
              <w:rPr>
                <w:spacing w:val="-10"/>
                <w:sz w:val="20"/>
              </w:rPr>
              <w:t>S</w:t>
            </w:r>
          </w:p>
        </w:tc>
        <w:tc>
          <w:tcPr>
            <w:tcW w:w="683" w:type="dxa"/>
            <w:tcBorders>
              <w:bottom w:val="single" w:sz="4" w:space="0" w:color="000000"/>
            </w:tcBorders>
          </w:tcPr>
          <w:p>
            <w:pPr>
              <w:pStyle w:val="TableParagraph"/>
              <w:spacing w:line="210" w:lineRule="exact"/>
              <w:ind w:left="59" w:right="93"/>
              <w:rPr>
                <w:sz w:val="20"/>
              </w:rPr>
            </w:pPr>
            <w:r>
              <w:rPr>
                <w:spacing w:val="-10"/>
                <w:sz w:val="20"/>
              </w:rPr>
              <w:t>R</w:t>
            </w:r>
          </w:p>
        </w:tc>
        <w:tc>
          <w:tcPr>
            <w:tcW w:w="675" w:type="dxa"/>
            <w:tcBorders>
              <w:bottom w:val="single" w:sz="4" w:space="0" w:color="000000"/>
            </w:tcBorders>
          </w:tcPr>
          <w:p>
            <w:pPr>
              <w:pStyle w:val="TableParagraph"/>
              <w:spacing w:line="210" w:lineRule="exact"/>
              <w:ind w:left="148" w:right="103"/>
              <w:rPr>
                <w:sz w:val="20"/>
              </w:rPr>
            </w:pPr>
            <w:r>
              <w:rPr>
                <w:spacing w:val="-10"/>
                <w:sz w:val="20"/>
              </w:rPr>
              <w:t>R</w:t>
            </w:r>
          </w:p>
        </w:tc>
        <w:tc>
          <w:tcPr>
            <w:tcW w:w="675" w:type="dxa"/>
            <w:tcBorders>
              <w:bottom w:val="single" w:sz="4" w:space="0" w:color="000000"/>
            </w:tcBorders>
          </w:tcPr>
          <w:p>
            <w:pPr>
              <w:pStyle w:val="TableParagraph"/>
              <w:spacing w:line="210" w:lineRule="exact"/>
              <w:ind w:left="58" w:right="103"/>
              <w:rPr>
                <w:sz w:val="20"/>
              </w:rPr>
            </w:pPr>
            <w:r>
              <w:rPr>
                <w:spacing w:val="-10"/>
                <w:sz w:val="20"/>
              </w:rPr>
              <w:t>R</w:t>
            </w:r>
          </w:p>
        </w:tc>
        <w:tc>
          <w:tcPr>
            <w:tcW w:w="677" w:type="dxa"/>
            <w:tcBorders>
              <w:bottom w:val="single" w:sz="4" w:space="0" w:color="000000"/>
            </w:tcBorders>
          </w:tcPr>
          <w:p>
            <w:pPr>
              <w:pStyle w:val="TableParagraph"/>
              <w:spacing w:line="210" w:lineRule="exact"/>
              <w:ind w:left="55" w:right="15"/>
              <w:rPr>
                <w:sz w:val="20"/>
              </w:rPr>
            </w:pPr>
            <w:r>
              <w:rPr>
                <w:spacing w:val="-10"/>
                <w:sz w:val="20"/>
              </w:rPr>
              <w:t>R</w:t>
            </w:r>
          </w:p>
        </w:tc>
        <w:tc>
          <w:tcPr>
            <w:tcW w:w="631" w:type="dxa"/>
            <w:tcBorders>
              <w:bottom w:val="single" w:sz="4" w:space="0" w:color="000000"/>
            </w:tcBorders>
          </w:tcPr>
          <w:p>
            <w:pPr>
              <w:pStyle w:val="TableParagraph"/>
              <w:spacing w:line="210" w:lineRule="exact"/>
              <w:ind w:left="56" w:right="56"/>
              <w:rPr>
                <w:sz w:val="20"/>
              </w:rPr>
            </w:pPr>
            <w:r>
              <w:rPr>
                <w:spacing w:val="-10"/>
                <w:sz w:val="20"/>
              </w:rPr>
              <w:t>R</w:t>
            </w:r>
          </w:p>
        </w:tc>
        <w:tc>
          <w:tcPr>
            <w:tcW w:w="960" w:type="dxa"/>
            <w:tcBorders>
              <w:bottom w:val="single" w:sz="4" w:space="0" w:color="000000"/>
            </w:tcBorders>
          </w:tcPr>
          <w:p>
            <w:pPr>
              <w:pStyle w:val="TableParagraph"/>
              <w:spacing w:line="210" w:lineRule="exact"/>
              <w:ind w:left="258"/>
              <w:jc w:val="left"/>
              <w:rPr>
                <w:sz w:val="20"/>
              </w:rPr>
            </w:pPr>
            <w:r>
              <w:rPr>
                <w:spacing w:val="-10"/>
                <w:sz w:val="20"/>
              </w:rPr>
              <w:t>R</w:t>
            </w:r>
          </w:p>
        </w:tc>
      </w:tr>
    </w:tbl>
    <w:p>
      <w:pPr>
        <w:spacing w:after="0" w:line="210" w:lineRule="exact"/>
        <w:jc w:val="left"/>
        <w:rPr>
          <w:sz w:val="20"/>
        </w:rPr>
        <w:sectPr>
          <w:type w:val="continuous"/>
          <w:pgSz w:w="12240" w:h="15840"/>
          <w:pgMar w:header="0" w:footer="1017" w:top="1460" w:bottom="1200" w:left="520" w:right="260"/>
        </w:sectPr>
      </w:pPr>
    </w:p>
    <w:p>
      <w:pPr>
        <w:pStyle w:val="BodyText"/>
        <w:spacing w:before="41"/>
        <w:ind w:left="920"/>
      </w:pPr>
      <w:r>
        <w:rPr/>
        <w:t>R=</w:t>
      </w:r>
      <w:r>
        <w:rPr>
          <w:spacing w:val="-4"/>
        </w:rPr>
        <w:t> </w:t>
      </w:r>
      <w:r>
        <w:rPr/>
        <w:t>RESISTANT,</w:t>
      </w:r>
      <w:r>
        <w:rPr>
          <w:spacing w:val="-6"/>
        </w:rPr>
        <w:t> </w:t>
      </w:r>
      <w:r>
        <w:rPr/>
        <w:t>I</w:t>
      </w:r>
      <w:r>
        <w:rPr>
          <w:spacing w:val="-2"/>
        </w:rPr>
        <w:t> </w:t>
      </w:r>
      <w:r>
        <w:rPr/>
        <w:t>=</w:t>
      </w:r>
      <w:r>
        <w:rPr>
          <w:spacing w:val="-4"/>
        </w:rPr>
        <w:t> </w:t>
      </w:r>
      <w:r>
        <w:rPr/>
        <w:t>INTERMEDIATE,</w:t>
      </w:r>
      <w:r>
        <w:rPr>
          <w:spacing w:val="-2"/>
        </w:rPr>
        <w:t> </w:t>
      </w:r>
      <w:r>
        <w:rPr/>
        <w:t>S=</w:t>
      </w:r>
      <w:r>
        <w:rPr>
          <w:spacing w:val="-3"/>
        </w:rPr>
        <w:t> </w:t>
      </w:r>
      <w:r>
        <w:rPr>
          <w:spacing w:val="-2"/>
        </w:rPr>
        <w:t>SENSITIVE</w:t>
      </w:r>
    </w:p>
    <w:p>
      <w:pPr>
        <w:pStyle w:val="Heading6"/>
        <w:spacing w:line="480" w:lineRule="auto" w:before="236"/>
        <w:ind w:left="2628" w:hanging="1709"/>
      </w:pPr>
      <w:r>
        <w:rPr/>
        <w:t>APPENDIX</w:t>
      </w:r>
      <w:r>
        <w:rPr>
          <w:spacing w:val="-1"/>
        </w:rPr>
        <w:t> </w:t>
      </w:r>
      <w:r>
        <w:rPr/>
        <w:t>V:</w:t>
      </w:r>
      <w:r>
        <w:rPr>
          <w:spacing w:val="-3"/>
        </w:rPr>
        <w:t> </w:t>
      </w:r>
      <w:r>
        <w:rPr/>
        <w:t>Minimum</w:t>
      </w:r>
      <w:r>
        <w:rPr>
          <w:spacing w:val="-1"/>
        </w:rPr>
        <w:t> </w:t>
      </w:r>
      <w:r>
        <w:rPr/>
        <w:t>Inhibitory</w:t>
      </w:r>
      <w:r>
        <w:rPr>
          <w:spacing w:val="-3"/>
        </w:rPr>
        <w:t> </w:t>
      </w:r>
      <w:r>
        <w:rPr/>
        <w:t>Concentration</w:t>
      </w:r>
      <w:r>
        <w:rPr>
          <w:spacing w:val="-3"/>
        </w:rPr>
        <w:t> </w:t>
      </w:r>
      <w:r>
        <w:rPr/>
        <w:t>(MIC)</w:t>
      </w:r>
      <w:r>
        <w:rPr>
          <w:spacing w:val="-6"/>
        </w:rPr>
        <w:t> </w:t>
      </w:r>
      <w:r>
        <w:rPr/>
        <w:t>µg/ml</w:t>
      </w:r>
      <w:r>
        <w:rPr>
          <w:spacing w:val="-5"/>
        </w:rPr>
        <w:t> </w:t>
      </w:r>
      <w:r>
        <w:rPr/>
        <w:t>of</w:t>
      </w:r>
      <w:r>
        <w:rPr>
          <w:spacing w:val="-2"/>
        </w:rPr>
        <w:t> </w:t>
      </w:r>
      <w:r>
        <w:rPr/>
        <w:t>Four</w:t>
      </w:r>
      <w:r>
        <w:rPr>
          <w:spacing w:val="-6"/>
        </w:rPr>
        <w:t> </w:t>
      </w:r>
      <w:r>
        <w:rPr/>
        <w:t>Antibiotics</w:t>
      </w:r>
      <w:r>
        <w:rPr>
          <w:spacing w:val="-5"/>
        </w:rPr>
        <w:t> </w:t>
      </w:r>
      <w:r>
        <w:rPr/>
        <w:t>against</w:t>
      </w:r>
      <w:r>
        <w:rPr>
          <w:spacing w:val="-4"/>
        </w:rPr>
        <w:t> </w:t>
      </w:r>
      <w:r>
        <w:rPr/>
        <w:t>Twenty-six </w:t>
      </w:r>
      <w:r>
        <w:rPr>
          <w:spacing w:val="-2"/>
        </w:rPr>
        <w:t>Enterobacteriaceae</w:t>
      </w:r>
    </w:p>
    <w:p>
      <w:pPr>
        <w:pStyle w:val="BodyText"/>
        <w:spacing w:before="10"/>
        <w:rPr>
          <w:b/>
          <w:sz w:val="16"/>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1439"/>
        <w:gridCol w:w="1469"/>
        <w:gridCol w:w="1545"/>
        <w:gridCol w:w="1681"/>
        <w:gridCol w:w="2016"/>
      </w:tblGrid>
      <w:tr>
        <w:trPr>
          <w:trHeight w:val="297" w:hRule="atLeast"/>
        </w:trPr>
        <w:tc>
          <w:tcPr>
            <w:tcW w:w="1438" w:type="dxa"/>
            <w:tcBorders>
              <w:top w:val="single" w:sz="4" w:space="0" w:color="000000"/>
              <w:bottom w:val="single" w:sz="4" w:space="0" w:color="000000"/>
            </w:tcBorders>
          </w:tcPr>
          <w:p>
            <w:pPr>
              <w:pStyle w:val="TableParagraph"/>
              <w:spacing w:line="271" w:lineRule="exact" w:before="6"/>
              <w:ind w:left="117"/>
              <w:jc w:val="left"/>
              <w:rPr>
                <w:sz w:val="24"/>
              </w:rPr>
            </w:pPr>
            <w:r>
              <w:rPr>
                <w:spacing w:val="-4"/>
                <w:sz w:val="24"/>
              </w:rPr>
              <w:t>S/NO</w:t>
            </w:r>
          </w:p>
        </w:tc>
        <w:tc>
          <w:tcPr>
            <w:tcW w:w="1439" w:type="dxa"/>
            <w:tcBorders>
              <w:top w:val="single" w:sz="4" w:space="0" w:color="000000"/>
              <w:bottom w:val="single" w:sz="4" w:space="0" w:color="000000"/>
            </w:tcBorders>
          </w:tcPr>
          <w:p>
            <w:pPr>
              <w:pStyle w:val="TableParagraph"/>
              <w:spacing w:line="271" w:lineRule="exact" w:before="6"/>
              <w:ind w:left="273"/>
              <w:jc w:val="left"/>
              <w:rPr>
                <w:sz w:val="24"/>
              </w:rPr>
            </w:pPr>
            <w:r>
              <w:rPr>
                <w:sz w:val="24"/>
              </w:rPr>
              <w:t>LAB</w:t>
            </w:r>
            <w:r>
              <w:rPr>
                <w:spacing w:val="-6"/>
                <w:sz w:val="24"/>
              </w:rPr>
              <w:t> </w:t>
            </w:r>
            <w:r>
              <w:rPr>
                <w:spacing w:val="-5"/>
                <w:sz w:val="24"/>
              </w:rPr>
              <w:t>NO</w:t>
            </w:r>
          </w:p>
        </w:tc>
        <w:tc>
          <w:tcPr>
            <w:tcW w:w="1469" w:type="dxa"/>
            <w:tcBorders>
              <w:top w:val="single" w:sz="4" w:space="0" w:color="000000"/>
              <w:bottom w:val="single" w:sz="4" w:space="0" w:color="000000"/>
            </w:tcBorders>
          </w:tcPr>
          <w:p>
            <w:pPr>
              <w:pStyle w:val="TableParagraph"/>
              <w:spacing w:line="271" w:lineRule="exact" w:before="6"/>
              <w:ind w:left="432"/>
              <w:jc w:val="left"/>
              <w:rPr>
                <w:sz w:val="24"/>
              </w:rPr>
            </w:pPr>
            <w:r>
              <w:rPr>
                <w:spacing w:val="-5"/>
                <w:sz w:val="24"/>
              </w:rPr>
              <w:t>AMX</w:t>
            </w:r>
          </w:p>
        </w:tc>
        <w:tc>
          <w:tcPr>
            <w:tcW w:w="1545" w:type="dxa"/>
            <w:tcBorders>
              <w:top w:val="single" w:sz="4" w:space="0" w:color="000000"/>
              <w:bottom w:val="single" w:sz="4" w:space="0" w:color="000000"/>
            </w:tcBorders>
          </w:tcPr>
          <w:p>
            <w:pPr>
              <w:pStyle w:val="TableParagraph"/>
              <w:spacing w:line="271" w:lineRule="exact" w:before="6"/>
              <w:ind w:left="557"/>
              <w:jc w:val="left"/>
              <w:rPr>
                <w:sz w:val="24"/>
              </w:rPr>
            </w:pPr>
            <w:r>
              <w:rPr>
                <w:spacing w:val="-5"/>
                <w:sz w:val="24"/>
              </w:rPr>
              <w:t>CHL</w:t>
            </w:r>
          </w:p>
        </w:tc>
        <w:tc>
          <w:tcPr>
            <w:tcW w:w="1681" w:type="dxa"/>
            <w:tcBorders>
              <w:top w:val="single" w:sz="4" w:space="0" w:color="000000"/>
              <w:bottom w:val="single" w:sz="4" w:space="0" w:color="000000"/>
            </w:tcBorders>
          </w:tcPr>
          <w:p>
            <w:pPr>
              <w:pStyle w:val="TableParagraph"/>
              <w:spacing w:line="271" w:lineRule="exact" w:before="6"/>
              <w:ind w:left="610"/>
              <w:jc w:val="left"/>
              <w:rPr>
                <w:sz w:val="24"/>
              </w:rPr>
            </w:pPr>
            <w:r>
              <w:rPr>
                <w:spacing w:val="-5"/>
                <w:sz w:val="24"/>
              </w:rPr>
              <w:t>OFL</w:t>
            </w:r>
          </w:p>
        </w:tc>
        <w:tc>
          <w:tcPr>
            <w:tcW w:w="2016" w:type="dxa"/>
            <w:tcBorders>
              <w:top w:val="single" w:sz="4" w:space="0" w:color="000000"/>
              <w:bottom w:val="single" w:sz="4" w:space="0" w:color="000000"/>
            </w:tcBorders>
          </w:tcPr>
          <w:p>
            <w:pPr>
              <w:pStyle w:val="TableParagraph"/>
              <w:spacing w:line="271" w:lineRule="exact" w:before="6"/>
              <w:ind w:left="527"/>
              <w:jc w:val="left"/>
              <w:rPr>
                <w:sz w:val="24"/>
              </w:rPr>
            </w:pPr>
            <w:r>
              <w:rPr>
                <w:spacing w:val="-5"/>
                <w:sz w:val="24"/>
              </w:rPr>
              <w:t>TET</w:t>
            </w:r>
          </w:p>
        </w:tc>
      </w:tr>
      <w:tr>
        <w:trPr>
          <w:trHeight w:val="316" w:hRule="atLeast"/>
        </w:trPr>
        <w:tc>
          <w:tcPr>
            <w:tcW w:w="1438" w:type="dxa"/>
            <w:tcBorders>
              <w:top w:val="single" w:sz="4" w:space="0" w:color="000000"/>
            </w:tcBorders>
          </w:tcPr>
          <w:p>
            <w:pPr>
              <w:pStyle w:val="TableParagraph"/>
              <w:spacing w:line="240" w:lineRule="auto" w:before="1"/>
              <w:ind w:left="117"/>
              <w:jc w:val="left"/>
              <w:rPr>
                <w:sz w:val="24"/>
              </w:rPr>
            </w:pPr>
            <w:r>
              <w:rPr>
                <w:spacing w:val="-10"/>
                <w:sz w:val="24"/>
              </w:rPr>
              <w:t>1</w:t>
            </w:r>
          </w:p>
        </w:tc>
        <w:tc>
          <w:tcPr>
            <w:tcW w:w="1439" w:type="dxa"/>
            <w:tcBorders>
              <w:top w:val="single" w:sz="4" w:space="0" w:color="000000"/>
            </w:tcBorders>
          </w:tcPr>
          <w:p>
            <w:pPr>
              <w:pStyle w:val="TableParagraph"/>
              <w:spacing w:line="240" w:lineRule="auto" w:before="1"/>
              <w:ind w:left="273"/>
              <w:jc w:val="left"/>
              <w:rPr>
                <w:sz w:val="24"/>
              </w:rPr>
            </w:pPr>
            <w:r>
              <w:rPr>
                <w:spacing w:val="-5"/>
                <w:sz w:val="24"/>
              </w:rPr>
              <w:t>S5e</w:t>
            </w:r>
          </w:p>
        </w:tc>
        <w:tc>
          <w:tcPr>
            <w:tcW w:w="1469" w:type="dxa"/>
            <w:tcBorders>
              <w:top w:val="single" w:sz="4" w:space="0" w:color="000000"/>
            </w:tcBorders>
          </w:tcPr>
          <w:p>
            <w:pPr>
              <w:pStyle w:val="TableParagraph"/>
              <w:spacing w:line="240" w:lineRule="auto" w:before="1"/>
              <w:ind w:left="432"/>
              <w:jc w:val="left"/>
              <w:rPr>
                <w:sz w:val="24"/>
              </w:rPr>
            </w:pPr>
            <w:r>
              <w:rPr>
                <w:spacing w:val="-4"/>
                <w:sz w:val="24"/>
              </w:rPr>
              <w:t>1000</w:t>
            </w:r>
          </w:p>
        </w:tc>
        <w:tc>
          <w:tcPr>
            <w:tcW w:w="1545" w:type="dxa"/>
            <w:tcBorders>
              <w:top w:val="single" w:sz="4" w:space="0" w:color="000000"/>
            </w:tcBorders>
          </w:tcPr>
          <w:p>
            <w:pPr>
              <w:pStyle w:val="TableParagraph"/>
              <w:spacing w:line="240" w:lineRule="auto" w:before="1"/>
              <w:ind w:left="557"/>
              <w:jc w:val="left"/>
              <w:rPr>
                <w:sz w:val="24"/>
              </w:rPr>
            </w:pPr>
            <w:r>
              <w:rPr>
                <w:spacing w:val="-5"/>
                <w:sz w:val="24"/>
              </w:rPr>
              <w:t>200</w:t>
            </w:r>
          </w:p>
        </w:tc>
        <w:tc>
          <w:tcPr>
            <w:tcW w:w="1681" w:type="dxa"/>
            <w:tcBorders>
              <w:top w:val="single" w:sz="4" w:space="0" w:color="000000"/>
            </w:tcBorders>
          </w:tcPr>
          <w:p>
            <w:pPr>
              <w:pStyle w:val="TableParagraph"/>
              <w:spacing w:line="240" w:lineRule="auto" w:before="1"/>
              <w:ind w:left="610"/>
              <w:jc w:val="left"/>
              <w:rPr>
                <w:sz w:val="24"/>
              </w:rPr>
            </w:pPr>
            <w:r>
              <w:rPr>
                <w:spacing w:val="-4"/>
                <w:sz w:val="24"/>
              </w:rPr>
              <w:t>12.5</w:t>
            </w:r>
          </w:p>
        </w:tc>
        <w:tc>
          <w:tcPr>
            <w:tcW w:w="2016" w:type="dxa"/>
            <w:tcBorders>
              <w:top w:val="single" w:sz="4" w:space="0" w:color="000000"/>
            </w:tcBorders>
          </w:tcPr>
          <w:p>
            <w:pPr>
              <w:pStyle w:val="TableParagraph"/>
              <w:spacing w:line="240" w:lineRule="auto" w:before="1"/>
              <w:ind w:left="527"/>
              <w:jc w:val="left"/>
              <w:rPr>
                <w:sz w:val="24"/>
              </w:rPr>
            </w:pPr>
            <w:r>
              <w:rPr>
                <w:spacing w:val="-5"/>
                <w:sz w:val="24"/>
              </w:rPr>
              <w:t>20</w:t>
            </w:r>
          </w:p>
        </w:tc>
      </w:tr>
      <w:tr>
        <w:trPr>
          <w:trHeight w:val="292" w:hRule="atLeast"/>
        </w:trPr>
        <w:tc>
          <w:tcPr>
            <w:tcW w:w="1438" w:type="dxa"/>
          </w:tcPr>
          <w:p>
            <w:pPr>
              <w:pStyle w:val="TableParagraph"/>
              <w:spacing w:line="271" w:lineRule="exact"/>
              <w:ind w:left="117"/>
              <w:jc w:val="left"/>
              <w:rPr>
                <w:sz w:val="24"/>
              </w:rPr>
            </w:pPr>
            <w:r>
              <w:rPr>
                <w:spacing w:val="-10"/>
                <w:sz w:val="24"/>
              </w:rPr>
              <w:t>2</w:t>
            </w:r>
          </w:p>
        </w:tc>
        <w:tc>
          <w:tcPr>
            <w:tcW w:w="1439" w:type="dxa"/>
          </w:tcPr>
          <w:p>
            <w:pPr>
              <w:pStyle w:val="TableParagraph"/>
              <w:spacing w:line="271" w:lineRule="exact"/>
              <w:ind w:left="273"/>
              <w:jc w:val="left"/>
              <w:rPr>
                <w:sz w:val="24"/>
              </w:rPr>
            </w:pPr>
            <w:r>
              <w:rPr>
                <w:spacing w:val="-5"/>
                <w:sz w:val="24"/>
              </w:rPr>
              <w:t>S4e</w:t>
            </w:r>
          </w:p>
        </w:tc>
        <w:tc>
          <w:tcPr>
            <w:tcW w:w="1469" w:type="dxa"/>
          </w:tcPr>
          <w:p>
            <w:pPr>
              <w:pStyle w:val="TableParagraph"/>
              <w:spacing w:line="271" w:lineRule="exact"/>
              <w:ind w:left="432"/>
              <w:jc w:val="left"/>
              <w:rPr>
                <w:sz w:val="24"/>
              </w:rPr>
            </w:pPr>
            <w:r>
              <w:rPr>
                <w:spacing w:val="-5"/>
                <w:sz w:val="24"/>
              </w:rPr>
              <w:t>500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0.781</w:t>
            </w:r>
          </w:p>
        </w:tc>
        <w:tc>
          <w:tcPr>
            <w:tcW w:w="2016" w:type="dxa"/>
          </w:tcPr>
          <w:p>
            <w:pPr>
              <w:pStyle w:val="TableParagraph"/>
              <w:spacing w:line="271" w:lineRule="exact"/>
              <w:ind w:left="527"/>
              <w:jc w:val="left"/>
              <w:rPr>
                <w:sz w:val="24"/>
              </w:rPr>
            </w:pPr>
            <w:r>
              <w:rPr>
                <w:spacing w:val="-5"/>
                <w:sz w:val="24"/>
              </w:rPr>
              <w:t>100</w:t>
            </w:r>
          </w:p>
        </w:tc>
      </w:tr>
      <w:tr>
        <w:trPr>
          <w:trHeight w:val="292" w:hRule="atLeast"/>
        </w:trPr>
        <w:tc>
          <w:tcPr>
            <w:tcW w:w="1438" w:type="dxa"/>
          </w:tcPr>
          <w:p>
            <w:pPr>
              <w:pStyle w:val="TableParagraph"/>
              <w:spacing w:line="271" w:lineRule="exact"/>
              <w:ind w:left="117"/>
              <w:jc w:val="left"/>
              <w:rPr>
                <w:sz w:val="24"/>
              </w:rPr>
            </w:pPr>
            <w:r>
              <w:rPr>
                <w:spacing w:val="-10"/>
                <w:sz w:val="24"/>
              </w:rPr>
              <w:t>3</w:t>
            </w:r>
          </w:p>
        </w:tc>
        <w:tc>
          <w:tcPr>
            <w:tcW w:w="1439" w:type="dxa"/>
          </w:tcPr>
          <w:p>
            <w:pPr>
              <w:pStyle w:val="TableParagraph"/>
              <w:spacing w:line="271" w:lineRule="exact"/>
              <w:ind w:left="273"/>
              <w:jc w:val="left"/>
              <w:rPr>
                <w:sz w:val="24"/>
              </w:rPr>
            </w:pPr>
            <w:r>
              <w:rPr>
                <w:spacing w:val="-5"/>
                <w:sz w:val="24"/>
              </w:rPr>
              <w:t>S8e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50</w:t>
            </w:r>
          </w:p>
        </w:tc>
        <w:tc>
          <w:tcPr>
            <w:tcW w:w="1681" w:type="dxa"/>
          </w:tcPr>
          <w:p>
            <w:pPr>
              <w:pStyle w:val="TableParagraph"/>
              <w:spacing w:line="271" w:lineRule="exact"/>
              <w:ind w:left="610"/>
              <w:jc w:val="left"/>
              <w:rPr>
                <w:sz w:val="24"/>
              </w:rPr>
            </w:pPr>
            <w:r>
              <w:rPr>
                <w:spacing w:val="-2"/>
                <w:sz w:val="24"/>
              </w:rPr>
              <w:t>3.125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10"/>
                <w:sz w:val="24"/>
              </w:rPr>
              <w:t>4</w:t>
            </w:r>
          </w:p>
        </w:tc>
        <w:tc>
          <w:tcPr>
            <w:tcW w:w="1439" w:type="dxa"/>
          </w:tcPr>
          <w:p>
            <w:pPr>
              <w:pStyle w:val="TableParagraph"/>
              <w:spacing w:line="271" w:lineRule="exact"/>
              <w:ind w:left="273"/>
              <w:jc w:val="left"/>
              <w:rPr>
                <w:sz w:val="24"/>
              </w:rPr>
            </w:pPr>
            <w:r>
              <w:rPr>
                <w:spacing w:val="-4"/>
                <w:sz w:val="24"/>
              </w:rPr>
              <w:t>E46e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200</w:t>
            </w:r>
          </w:p>
        </w:tc>
        <w:tc>
          <w:tcPr>
            <w:tcW w:w="1681" w:type="dxa"/>
          </w:tcPr>
          <w:p>
            <w:pPr>
              <w:pStyle w:val="TableParagraph"/>
              <w:spacing w:line="271" w:lineRule="exact"/>
              <w:ind w:left="610"/>
              <w:jc w:val="left"/>
              <w:rPr>
                <w:sz w:val="24"/>
              </w:rPr>
            </w:pPr>
            <w:r>
              <w:rPr>
                <w:spacing w:val="-2"/>
                <w:sz w:val="24"/>
              </w:rPr>
              <w:t>0.391</w:t>
            </w:r>
          </w:p>
        </w:tc>
        <w:tc>
          <w:tcPr>
            <w:tcW w:w="2016" w:type="dxa"/>
          </w:tcPr>
          <w:p>
            <w:pPr>
              <w:pStyle w:val="TableParagraph"/>
              <w:spacing w:line="271" w:lineRule="exact"/>
              <w:ind w:left="527"/>
              <w:jc w:val="left"/>
              <w:rPr>
                <w:sz w:val="24"/>
              </w:rPr>
            </w:pPr>
            <w:r>
              <w:rPr>
                <w:spacing w:val="-5"/>
                <w:sz w:val="24"/>
              </w:rPr>
              <w:t>20</w:t>
            </w:r>
          </w:p>
        </w:tc>
      </w:tr>
      <w:tr>
        <w:trPr>
          <w:trHeight w:val="292" w:hRule="atLeast"/>
        </w:trPr>
        <w:tc>
          <w:tcPr>
            <w:tcW w:w="1438" w:type="dxa"/>
          </w:tcPr>
          <w:p>
            <w:pPr>
              <w:pStyle w:val="TableParagraph"/>
              <w:spacing w:line="271" w:lineRule="exact"/>
              <w:ind w:left="117"/>
              <w:jc w:val="left"/>
              <w:rPr>
                <w:sz w:val="24"/>
              </w:rPr>
            </w:pPr>
            <w:r>
              <w:rPr>
                <w:spacing w:val="-10"/>
                <w:sz w:val="24"/>
              </w:rPr>
              <w:t>5</w:t>
            </w:r>
          </w:p>
        </w:tc>
        <w:tc>
          <w:tcPr>
            <w:tcW w:w="1439" w:type="dxa"/>
          </w:tcPr>
          <w:p>
            <w:pPr>
              <w:pStyle w:val="TableParagraph"/>
              <w:spacing w:line="271" w:lineRule="exact"/>
              <w:ind w:left="273"/>
              <w:jc w:val="left"/>
              <w:rPr>
                <w:sz w:val="24"/>
              </w:rPr>
            </w:pPr>
            <w:r>
              <w:rPr>
                <w:spacing w:val="-5"/>
                <w:sz w:val="24"/>
              </w:rPr>
              <w:t>E6e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3.125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10"/>
                <w:sz w:val="24"/>
              </w:rPr>
              <w:t>6</w:t>
            </w:r>
          </w:p>
        </w:tc>
        <w:tc>
          <w:tcPr>
            <w:tcW w:w="1439" w:type="dxa"/>
          </w:tcPr>
          <w:p>
            <w:pPr>
              <w:pStyle w:val="TableParagraph"/>
              <w:spacing w:line="271" w:lineRule="exact"/>
              <w:ind w:left="273"/>
              <w:jc w:val="left"/>
              <w:rPr>
                <w:sz w:val="24"/>
              </w:rPr>
            </w:pPr>
            <w:r>
              <w:rPr>
                <w:spacing w:val="-4"/>
                <w:sz w:val="24"/>
              </w:rPr>
              <w:t>E10e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3.125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10"/>
                <w:sz w:val="24"/>
              </w:rPr>
              <w:t>7</w:t>
            </w:r>
          </w:p>
        </w:tc>
        <w:tc>
          <w:tcPr>
            <w:tcW w:w="1439" w:type="dxa"/>
          </w:tcPr>
          <w:p>
            <w:pPr>
              <w:pStyle w:val="TableParagraph"/>
              <w:spacing w:line="271" w:lineRule="exact"/>
              <w:ind w:left="273"/>
              <w:jc w:val="left"/>
              <w:rPr>
                <w:sz w:val="24"/>
              </w:rPr>
            </w:pPr>
            <w:r>
              <w:rPr>
                <w:spacing w:val="-4"/>
                <w:sz w:val="24"/>
              </w:rPr>
              <w:t>S15e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10"/>
                <w:sz w:val="24"/>
              </w:rPr>
              <w:t>8</w:t>
            </w:r>
          </w:p>
        </w:tc>
        <w:tc>
          <w:tcPr>
            <w:tcW w:w="1439" w:type="dxa"/>
          </w:tcPr>
          <w:p>
            <w:pPr>
              <w:pStyle w:val="TableParagraph"/>
              <w:spacing w:line="271" w:lineRule="exact"/>
              <w:ind w:left="273"/>
              <w:jc w:val="left"/>
              <w:rPr>
                <w:sz w:val="24"/>
              </w:rPr>
            </w:pPr>
            <w:r>
              <w:rPr>
                <w:spacing w:val="-5"/>
                <w:sz w:val="24"/>
              </w:rPr>
              <w:t>E8s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10"/>
                <w:sz w:val="24"/>
              </w:rPr>
              <w:t>5</w:t>
            </w:r>
          </w:p>
        </w:tc>
      </w:tr>
      <w:tr>
        <w:trPr>
          <w:trHeight w:val="292" w:hRule="atLeast"/>
        </w:trPr>
        <w:tc>
          <w:tcPr>
            <w:tcW w:w="1438" w:type="dxa"/>
          </w:tcPr>
          <w:p>
            <w:pPr>
              <w:pStyle w:val="TableParagraph"/>
              <w:spacing w:line="271" w:lineRule="exact"/>
              <w:ind w:left="117"/>
              <w:jc w:val="left"/>
              <w:rPr>
                <w:sz w:val="24"/>
              </w:rPr>
            </w:pPr>
            <w:r>
              <w:rPr>
                <w:spacing w:val="-10"/>
                <w:sz w:val="24"/>
              </w:rPr>
              <w:t>9</w:t>
            </w:r>
          </w:p>
        </w:tc>
        <w:tc>
          <w:tcPr>
            <w:tcW w:w="1439" w:type="dxa"/>
          </w:tcPr>
          <w:p>
            <w:pPr>
              <w:pStyle w:val="TableParagraph"/>
              <w:spacing w:line="271" w:lineRule="exact"/>
              <w:ind w:left="273"/>
              <w:jc w:val="left"/>
              <w:rPr>
                <w:sz w:val="24"/>
              </w:rPr>
            </w:pPr>
            <w:r>
              <w:rPr>
                <w:spacing w:val="-5"/>
                <w:sz w:val="24"/>
              </w:rPr>
              <w:t>E5s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20</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10"/>
                <w:sz w:val="24"/>
              </w:rPr>
              <w:t>5</w:t>
            </w:r>
          </w:p>
        </w:tc>
      </w:tr>
      <w:tr>
        <w:trPr>
          <w:trHeight w:val="292" w:hRule="atLeast"/>
        </w:trPr>
        <w:tc>
          <w:tcPr>
            <w:tcW w:w="1438" w:type="dxa"/>
          </w:tcPr>
          <w:p>
            <w:pPr>
              <w:pStyle w:val="TableParagraph"/>
              <w:spacing w:line="271" w:lineRule="exact"/>
              <w:ind w:left="117"/>
              <w:jc w:val="left"/>
              <w:rPr>
                <w:sz w:val="24"/>
              </w:rPr>
            </w:pPr>
            <w:r>
              <w:rPr>
                <w:spacing w:val="-5"/>
                <w:sz w:val="24"/>
              </w:rPr>
              <w:t>10</w:t>
            </w:r>
          </w:p>
        </w:tc>
        <w:tc>
          <w:tcPr>
            <w:tcW w:w="1439" w:type="dxa"/>
          </w:tcPr>
          <w:p>
            <w:pPr>
              <w:pStyle w:val="TableParagraph"/>
              <w:spacing w:line="271" w:lineRule="exact"/>
              <w:ind w:left="273"/>
              <w:jc w:val="left"/>
              <w:rPr>
                <w:sz w:val="24"/>
              </w:rPr>
            </w:pPr>
            <w:r>
              <w:rPr>
                <w:spacing w:val="-5"/>
                <w:sz w:val="24"/>
              </w:rPr>
              <w:t>E4s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200</w:t>
            </w:r>
          </w:p>
        </w:tc>
        <w:tc>
          <w:tcPr>
            <w:tcW w:w="1681" w:type="dxa"/>
          </w:tcPr>
          <w:p>
            <w:pPr>
              <w:pStyle w:val="TableParagraph"/>
              <w:spacing w:line="271" w:lineRule="exact"/>
              <w:ind w:left="610"/>
              <w:jc w:val="left"/>
              <w:rPr>
                <w:sz w:val="24"/>
              </w:rPr>
            </w:pPr>
            <w:r>
              <w:rPr>
                <w:spacing w:val="-2"/>
                <w:sz w:val="24"/>
              </w:rPr>
              <w:t>3.125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5"/>
                <w:sz w:val="24"/>
              </w:rPr>
              <w:t>11</w:t>
            </w:r>
          </w:p>
        </w:tc>
        <w:tc>
          <w:tcPr>
            <w:tcW w:w="1439" w:type="dxa"/>
          </w:tcPr>
          <w:p>
            <w:pPr>
              <w:pStyle w:val="TableParagraph"/>
              <w:spacing w:line="271" w:lineRule="exact"/>
              <w:ind w:left="273"/>
              <w:jc w:val="left"/>
              <w:rPr>
                <w:sz w:val="24"/>
              </w:rPr>
            </w:pPr>
            <w:r>
              <w:rPr>
                <w:spacing w:val="-4"/>
                <w:sz w:val="24"/>
              </w:rPr>
              <w:t>S48e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100</w:t>
            </w:r>
          </w:p>
        </w:tc>
        <w:tc>
          <w:tcPr>
            <w:tcW w:w="1681" w:type="dxa"/>
          </w:tcPr>
          <w:p>
            <w:pPr>
              <w:pStyle w:val="TableParagraph"/>
              <w:spacing w:line="271" w:lineRule="exact"/>
              <w:ind w:left="610"/>
              <w:jc w:val="left"/>
              <w:rPr>
                <w:sz w:val="24"/>
              </w:rPr>
            </w:pPr>
            <w:r>
              <w:rPr>
                <w:spacing w:val="-4"/>
                <w:sz w:val="24"/>
              </w:rPr>
              <w:t>6.26</w:t>
            </w:r>
          </w:p>
        </w:tc>
        <w:tc>
          <w:tcPr>
            <w:tcW w:w="2016" w:type="dxa"/>
          </w:tcPr>
          <w:p>
            <w:pPr>
              <w:pStyle w:val="TableParagraph"/>
              <w:spacing w:line="271" w:lineRule="exact"/>
              <w:ind w:left="527"/>
              <w:jc w:val="left"/>
              <w:rPr>
                <w:sz w:val="24"/>
              </w:rPr>
            </w:pPr>
            <w:r>
              <w:rPr>
                <w:spacing w:val="-5"/>
                <w:sz w:val="24"/>
              </w:rPr>
              <w:t>20</w:t>
            </w:r>
          </w:p>
        </w:tc>
      </w:tr>
      <w:tr>
        <w:trPr>
          <w:trHeight w:val="292" w:hRule="atLeast"/>
        </w:trPr>
        <w:tc>
          <w:tcPr>
            <w:tcW w:w="1438" w:type="dxa"/>
          </w:tcPr>
          <w:p>
            <w:pPr>
              <w:pStyle w:val="TableParagraph"/>
              <w:spacing w:line="271" w:lineRule="exact"/>
              <w:ind w:left="117"/>
              <w:jc w:val="left"/>
              <w:rPr>
                <w:sz w:val="24"/>
              </w:rPr>
            </w:pPr>
            <w:r>
              <w:rPr>
                <w:spacing w:val="-5"/>
                <w:sz w:val="24"/>
              </w:rPr>
              <w:t>12</w:t>
            </w:r>
          </w:p>
        </w:tc>
        <w:tc>
          <w:tcPr>
            <w:tcW w:w="1439" w:type="dxa"/>
          </w:tcPr>
          <w:p>
            <w:pPr>
              <w:pStyle w:val="TableParagraph"/>
              <w:spacing w:line="271" w:lineRule="exact"/>
              <w:ind w:left="273"/>
              <w:jc w:val="left"/>
              <w:rPr>
                <w:sz w:val="24"/>
              </w:rPr>
            </w:pPr>
            <w:r>
              <w:rPr>
                <w:spacing w:val="-5"/>
                <w:sz w:val="24"/>
              </w:rPr>
              <w:t>B7e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200</w:t>
            </w:r>
          </w:p>
        </w:tc>
      </w:tr>
      <w:tr>
        <w:trPr>
          <w:trHeight w:val="292" w:hRule="atLeast"/>
        </w:trPr>
        <w:tc>
          <w:tcPr>
            <w:tcW w:w="1438" w:type="dxa"/>
          </w:tcPr>
          <w:p>
            <w:pPr>
              <w:pStyle w:val="TableParagraph"/>
              <w:spacing w:line="271" w:lineRule="exact"/>
              <w:ind w:left="117"/>
              <w:jc w:val="left"/>
              <w:rPr>
                <w:sz w:val="24"/>
              </w:rPr>
            </w:pPr>
            <w:r>
              <w:rPr>
                <w:spacing w:val="-5"/>
                <w:sz w:val="24"/>
              </w:rPr>
              <w:t>13</w:t>
            </w:r>
          </w:p>
        </w:tc>
        <w:tc>
          <w:tcPr>
            <w:tcW w:w="1439" w:type="dxa"/>
          </w:tcPr>
          <w:p>
            <w:pPr>
              <w:pStyle w:val="TableParagraph"/>
              <w:spacing w:line="271" w:lineRule="exact"/>
              <w:ind w:left="273"/>
              <w:jc w:val="left"/>
              <w:rPr>
                <w:sz w:val="24"/>
              </w:rPr>
            </w:pPr>
            <w:r>
              <w:rPr>
                <w:spacing w:val="-4"/>
                <w:sz w:val="24"/>
              </w:rPr>
              <w:t>E22s</w:t>
            </w:r>
          </w:p>
        </w:tc>
        <w:tc>
          <w:tcPr>
            <w:tcW w:w="1469" w:type="dxa"/>
          </w:tcPr>
          <w:p>
            <w:pPr>
              <w:pStyle w:val="TableParagraph"/>
              <w:spacing w:line="271" w:lineRule="exact"/>
              <w:ind w:left="432"/>
              <w:jc w:val="left"/>
              <w:rPr>
                <w:sz w:val="24"/>
              </w:rPr>
            </w:pPr>
            <w:r>
              <w:rPr>
                <w:spacing w:val="-5"/>
                <w:sz w:val="24"/>
              </w:rPr>
              <w:t>200</w:t>
            </w:r>
          </w:p>
        </w:tc>
        <w:tc>
          <w:tcPr>
            <w:tcW w:w="1545" w:type="dxa"/>
          </w:tcPr>
          <w:p>
            <w:pPr>
              <w:pStyle w:val="TableParagraph"/>
              <w:spacing w:line="271" w:lineRule="exact"/>
              <w:ind w:left="557"/>
              <w:jc w:val="left"/>
              <w:rPr>
                <w:sz w:val="24"/>
              </w:rPr>
            </w:pPr>
            <w:r>
              <w:rPr>
                <w:spacing w:val="-5"/>
                <w:sz w:val="24"/>
              </w:rPr>
              <w:t>200</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100</w:t>
            </w:r>
          </w:p>
        </w:tc>
      </w:tr>
      <w:tr>
        <w:trPr>
          <w:trHeight w:val="292" w:hRule="atLeast"/>
        </w:trPr>
        <w:tc>
          <w:tcPr>
            <w:tcW w:w="1438" w:type="dxa"/>
          </w:tcPr>
          <w:p>
            <w:pPr>
              <w:pStyle w:val="TableParagraph"/>
              <w:spacing w:line="271" w:lineRule="exact"/>
              <w:ind w:left="117"/>
              <w:jc w:val="left"/>
              <w:rPr>
                <w:sz w:val="24"/>
              </w:rPr>
            </w:pPr>
            <w:r>
              <w:rPr>
                <w:spacing w:val="-5"/>
                <w:sz w:val="24"/>
              </w:rPr>
              <w:t>14</w:t>
            </w:r>
          </w:p>
        </w:tc>
        <w:tc>
          <w:tcPr>
            <w:tcW w:w="1439" w:type="dxa"/>
          </w:tcPr>
          <w:p>
            <w:pPr>
              <w:pStyle w:val="TableParagraph"/>
              <w:spacing w:line="271" w:lineRule="exact"/>
              <w:ind w:left="273"/>
              <w:jc w:val="left"/>
              <w:rPr>
                <w:sz w:val="24"/>
              </w:rPr>
            </w:pPr>
            <w:r>
              <w:rPr>
                <w:spacing w:val="-4"/>
                <w:sz w:val="24"/>
              </w:rPr>
              <w:t>B36s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20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200</w:t>
            </w:r>
          </w:p>
        </w:tc>
      </w:tr>
      <w:tr>
        <w:trPr>
          <w:trHeight w:val="292" w:hRule="atLeast"/>
        </w:trPr>
        <w:tc>
          <w:tcPr>
            <w:tcW w:w="1438" w:type="dxa"/>
          </w:tcPr>
          <w:p>
            <w:pPr>
              <w:pStyle w:val="TableParagraph"/>
              <w:spacing w:line="271" w:lineRule="exact"/>
              <w:ind w:left="117"/>
              <w:jc w:val="left"/>
              <w:rPr>
                <w:sz w:val="24"/>
              </w:rPr>
            </w:pPr>
            <w:r>
              <w:rPr>
                <w:spacing w:val="-5"/>
                <w:sz w:val="24"/>
              </w:rPr>
              <w:t>15</w:t>
            </w:r>
          </w:p>
        </w:tc>
        <w:tc>
          <w:tcPr>
            <w:tcW w:w="1439" w:type="dxa"/>
          </w:tcPr>
          <w:p>
            <w:pPr>
              <w:pStyle w:val="TableParagraph"/>
              <w:spacing w:line="271" w:lineRule="exact"/>
              <w:ind w:left="273"/>
              <w:jc w:val="left"/>
              <w:rPr>
                <w:sz w:val="24"/>
              </w:rPr>
            </w:pPr>
            <w:r>
              <w:rPr>
                <w:spacing w:val="-4"/>
                <w:sz w:val="24"/>
              </w:rPr>
              <w:t>S43s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200</w:t>
            </w:r>
          </w:p>
        </w:tc>
      </w:tr>
      <w:tr>
        <w:trPr>
          <w:trHeight w:val="292" w:hRule="atLeast"/>
        </w:trPr>
        <w:tc>
          <w:tcPr>
            <w:tcW w:w="1438" w:type="dxa"/>
          </w:tcPr>
          <w:p>
            <w:pPr>
              <w:pStyle w:val="TableParagraph"/>
              <w:spacing w:line="271" w:lineRule="exact"/>
              <w:ind w:left="117"/>
              <w:jc w:val="left"/>
              <w:rPr>
                <w:sz w:val="24"/>
              </w:rPr>
            </w:pPr>
            <w:r>
              <w:rPr>
                <w:spacing w:val="-5"/>
                <w:sz w:val="24"/>
              </w:rPr>
              <w:t>16</w:t>
            </w:r>
          </w:p>
        </w:tc>
        <w:tc>
          <w:tcPr>
            <w:tcW w:w="1439" w:type="dxa"/>
          </w:tcPr>
          <w:p>
            <w:pPr>
              <w:pStyle w:val="TableParagraph"/>
              <w:spacing w:line="271" w:lineRule="exact"/>
              <w:ind w:left="273"/>
              <w:jc w:val="left"/>
              <w:rPr>
                <w:sz w:val="24"/>
              </w:rPr>
            </w:pPr>
            <w:r>
              <w:rPr>
                <w:spacing w:val="-4"/>
                <w:sz w:val="24"/>
              </w:rPr>
              <w:t>E23e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4"/>
                <w:sz w:val="24"/>
              </w:rPr>
              <w:t>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5"/>
                <w:sz w:val="24"/>
              </w:rPr>
              <w:t>17</w:t>
            </w:r>
          </w:p>
        </w:tc>
        <w:tc>
          <w:tcPr>
            <w:tcW w:w="1439" w:type="dxa"/>
          </w:tcPr>
          <w:p>
            <w:pPr>
              <w:pStyle w:val="TableParagraph"/>
              <w:spacing w:line="271" w:lineRule="exact"/>
              <w:ind w:left="273"/>
              <w:jc w:val="left"/>
              <w:rPr>
                <w:sz w:val="24"/>
              </w:rPr>
            </w:pPr>
            <w:r>
              <w:rPr>
                <w:spacing w:val="-4"/>
                <w:sz w:val="24"/>
              </w:rPr>
              <w:t>B33e</w:t>
            </w:r>
          </w:p>
        </w:tc>
        <w:tc>
          <w:tcPr>
            <w:tcW w:w="1469" w:type="dxa"/>
          </w:tcPr>
          <w:p>
            <w:pPr>
              <w:pStyle w:val="TableParagraph"/>
              <w:spacing w:line="271" w:lineRule="exact"/>
              <w:ind w:left="432"/>
              <w:jc w:val="left"/>
              <w:rPr>
                <w:sz w:val="24"/>
              </w:rPr>
            </w:pPr>
            <w:r>
              <w:rPr>
                <w:spacing w:val="-5"/>
                <w:sz w:val="24"/>
              </w:rPr>
              <w:t>500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4"/>
                <w:sz w:val="24"/>
              </w:rPr>
              <w:t>12.5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5"/>
                <w:sz w:val="24"/>
              </w:rPr>
              <w:t>18</w:t>
            </w:r>
          </w:p>
        </w:tc>
        <w:tc>
          <w:tcPr>
            <w:tcW w:w="1439" w:type="dxa"/>
          </w:tcPr>
          <w:p>
            <w:pPr>
              <w:pStyle w:val="TableParagraph"/>
              <w:spacing w:line="271" w:lineRule="exact"/>
              <w:ind w:left="273"/>
              <w:jc w:val="left"/>
              <w:rPr>
                <w:sz w:val="24"/>
              </w:rPr>
            </w:pPr>
            <w:r>
              <w:rPr>
                <w:spacing w:val="-5"/>
                <w:sz w:val="24"/>
              </w:rPr>
              <w:t>B5s</w:t>
            </w:r>
          </w:p>
        </w:tc>
        <w:tc>
          <w:tcPr>
            <w:tcW w:w="1469" w:type="dxa"/>
          </w:tcPr>
          <w:p>
            <w:pPr>
              <w:pStyle w:val="TableParagraph"/>
              <w:spacing w:line="271" w:lineRule="exact"/>
              <w:ind w:left="432"/>
              <w:jc w:val="left"/>
              <w:rPr>
                <w:sz w:val="24"/>
              </w:rPr>
            </w:pPr>
            <w:r>
              <w:rPr>
                <w:spacing w:val="-5"/>
                <w:sz w:val="24"/>
              </w:rPr>
              <w:t>500</w:t>
            </w:r>
          </w:p>
        </w:tc>
        <w:tc>
          <w:tcPr>
            <w:tcW w:w="1545" w:type="dxa"/>
          </w:tcPr>
          <w:p>
            <w:pPr>
              <w:pStyle w:val="TableParagraph"/>
              <w:spacing w:line="271" w:lineRule="exact"/>
              <w:ind w:left="557"/>
              <w:jc w:val="left"/>
              <w:rPr>
                <w:sz w:val="24"/>
              </w:rPr>
            </w:pPr>
            <w:r>
              <w:rPr>
                <w:spacing w:val="-5"/>
                <w:sz w:val="24"/>
              </w:rPr>
              <w:t>200</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5"/>
                <w:sz w:val="24"/>
              </w:rPr>
              <w:t>19</w:t>
            </w:r>
          </w:p>
        </w:tc>
        <w:tc>
          <w:tcPr>
            <w:tcW w:w="1439" w:type="dxa"/>
          </w:tcPr>
          <w:p>
            <w:pPr>
              <w:pStyle w:val="TableParagraph"/>
              <w:spacing w:line="271" w:lineRule="exact"/>
              <w:ind w:left="273"/>
              <w:jc w:val="left"/>
              <w:rPr>
                <w:sz w:val="24"/>
              </w:rPr>
            </w:pPr>
            <w:r>
              <w:rPr>
                <w:spacing w:val="-4"/>
                <w:sz w:val="24"/>
              </w:rPr>
              <w:t>B23e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100</w:t>
            </w:r>
          </w:p>
        </w:tc>
      </w:tr>
      <w:tr>
        <w:trPr>
          <w:trHeight w:val="292" w:hRule="atLeast"/>
        </w:trPr>
        <w:tc>
          <w:tcPr>
            <w:tcW w:w="1438" w:type="dxa"/>
          </w:tcPr>
          <w:p>
            <w:pPr>
              <w:pStyle w:val="TableParagraph"/>
              <w:spacing w:line="271" w:lineRule="exact"/>
              <w:ind w:left="117"/>
              <w:jc w:val="left"/>
              <w:rPr>
                <w:sz w:val="24"/>
              </w:rPr>
            </w:pPr>
            <w:r>
              <w:rPr>
                <w:spacing w:val="-5"/>
                <w:sz w:val="24"/>
              </w:rPr>
              <w:t>20</w:t>
            </w:r>
          </w:p>
        </w:tc>
        <w:tc>
          <w:tcPr>
            <w:tcW w:w="1439" w:type="dxa"/>
          </w:tcPr>
          <w:p>
            <w:pPr>
              <w:pStyle w:val="TableParagraph"/>
              <w:spacing w:line="271" w:lineRule="exact"/>
              <w:ind w:left="273"/>
              <w:jc w:val="left"/>
              <w:rPr>
                <w:sz w:val="24"/>
              </w:rPr>
            </w:pPr>
            <w:r>
              <w:rPr>
                <w:spacing w:val="-4"/>
                <w:sz w:val="24"/>
              </w:rPr>
              <w:t>B27s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10"/>
                <w:sz w:val="24"/>
              </w:rPr>
              <w:t>5</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50</w:t>
            </w:r>
          </w:p>
        </w:tc>
      </w:tr>
      <w:tr>
        <w:trPr>
          <w:trHeight w:val="292" w:hRule="atLeast"/>
        </w:trPr>
        <w:tc>
          <w:tcPr>
            <w:tcW w:w="1438" w:type="dxa"/>
          </w:tcPr>
          <w:p>
            <w:pPr>
              <w:pStyle w:val="TableParagraph"/>
              <w:spacing w:line="271" w:lineRule="exact"/>
              <w:ind w:left="117"/>
              <w:jc w:val="left"/>
              <w:rPr>
                <w:sz w:val="24"/>
              </w:rPr>
            </w:pPr>
            <w:r>
              <w:rPr>
                <w:spacing w:val="-5"/>
                <w:sz w:val="24"/>
              </w:rPr>
              <w:t>21</w:t>
            </w:r>
          </w:p>
        </w:tc>
        <w:tc>
          <w:tcPr>
            <w:tcW w:w="1439" w:type="dxa"/>
          </w:tcPr>
          <w:p>
            <w:pPr>
              <w:pStyle w:val="TableParagraph"/>
              <w:spacing w:line="271" w:lineRule="exact"/>
              <w:ind w:left="273"/>
              <w:jc w:val="left"/>
              <w:rPr>
                <w:sz w:val="24"/>
              </w:rPr>
            </w:pPr>
            <w:r>
              <w:rPr>
                <w:spacing w:val="-4"/>
                <w:sz w:val="24"/>
              </w:rPr>
              <w:t>E22e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200</w:t>
            </w:r>
          </w:p>
        </w:tc>
        <w:tc>
          <w:tcPr>
            <w:tcW w:w="1681" w:type="dxa"/>
          </w:tcPr>
          <w:p>
            <w:pPr>
              <w:pStyle w:val="TableParagraph"/>
              <w:spacing w:line="271" w:lineRule="exact"/>
              <w:ind w:left="610"/>
              <w:jc w:val="left"/>
              <w:rPr>
                <w:sz w:val="24"/>
              </w:rPr>
            </w:pPr>
            <w:r>
              <w:rPr>
                <w:spacing w:val="-4"/>
                <w:sz w:val="24"/>
              </w:rPr>
              <w:t>6.25</w:t>
            </w:r>
          </w:p>
        </w:tc>
        <w:tc>
          <w:tcPr>
            <w:tcW w:w="2016" w:type="dxa"/>
          </w:tcPr>
          <w:p>
            <w:pPr>
              <w:pStyle w:val="TableParagraph"/>
              <w:spacing w:line="271" w:lineRule="exact"/>
              <w:ind w:left="527"/>
              <w:jc w:val="left"/>
              <w:rPr>
                <w:sz w:val="24"/>
              </w:rPr>
            </w:pPr>
            <w:r>
              <w:rPr>
                <w:spacing w:val="-5"/>
                <w:sz w:val="24"/>
              </w:rPr>
              <w:t>100</w:t>
            </w:r>
          </w:p>
        </w:tc>
      </w:tr>
      <w:tr>
        <w:trPr>
          <w:trHeight w:val="292" w:hRule="atLeast"/>
        </w:trPr>
        <w:tc>
          <w:tcPr>
            <w:tcW w:w="1438" w:type="dxa"/>
          </w:tcPr>
          <w:p>
            <w:pPr>
              <w:pStyle w:val="TableParagraph"/>
              <w:spacing w:line="271" w:lineRule="exact"/>
              <w:ind w:left="117"/>
              <w:jc w:val="left"/>
              <w:rPr>
                <w:sz w:val="24"/>
              </w:rPr>
            </w:pPr>
            <w:r>
              <w:rPr>
                <w:spacing w:val="-5"/>
                <w:sz w:val="24"/>
              </w:rPr>
              <w:t>22</w:t>
            </w:r>
          </w:p>
        </w:tc>
        <w:tc>
          <w:tcPr>
            <w:tcW w:w="1439" w:type="dxa"/>
          </w:tcPr>
          <w:p>
            <w:pPr>
              <w:pStyle w:val="TableParagraph"/>
              <w:spacing w:line="271" w:lineRule="exact"/>
              <w:ind w:left="273"/>
              <w:jc w:val="left"/>
              <w:rPr>
                <w:sz w:val="24"/>
              </w:rPr>
            </w:pPr>
            <w:r>
              <w:rPr>
                <w:spacing w:val="-4"/>
                <w:sz w:val="24"/>
              </w:rPr>
              <w:t>B25e</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200</w:t>
            </w:r>
          </w:p>
        </w:tc>
      </w:tr>
      <w:tr>
        <w:trPr>
          <w:trHeight w:val="292" w:hRule="atLeast"/>
        </w:trPr>
        <w:tc>
          <w:tcPr>
            <w:tcW w:w="1438" w:type="dxa"/>
          </w:tcPr>
          <w:p>
            <w:pPr>
              <w:pStyle w:val="TableParagraph"/>
              <w:spacing w:line="271" w:lineRule="exact"/>
              <w:ind w:left="117"/>
              <w:jc w:val="left"/>
              <w:rPr>
                <w:sz w:val="24"/>
              </w:rPr>
            </w:pPr>
            <w:r>
              <w:rPr>
                <w:spacing w:val="-5"/>
                <w:sz w:val="24"/>
              </w:rPr>
              <w:t>23</w:t>
            </w:r>
          </w:p>
        </w:tc>
        <w:tc>
          <w:tcPr>
            <w:tcW w:w="1439" w:type="dxa"/>
          </w:tcPr>
          <w:p>
            <w:pPr>
              <w:pStyle w:val="TableParagraph"/>
              <w:spacing w:line="271" w:lineRule="exact"/>
              <w:ind w:left="273"/>
              <w:jc w:val="left"/>
              <w:rPr>
                <w:sz w:val="24"/>
              </w:rPr>
            </w:pPr>
            <w:r>
              <w:rPr>
                <w:spacing w:val="-4"/>
                <w:sz w:val="24"/>
              </w:rPr>
              <w:t>B41s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100</w:t>
            </w:r>
          </w:p>
        </w:tc>
      </w:tr>
      <w:tr>
        <w:trPr>
          <w:trHeight w:val="295" w:hRule="atLeast"/>
        </w:trPr>
        <w:tc>
          <w:tcPr>
            <w:tcW w:w="1438" w:type="dxa"/>
          </w:tcPr>
          <w:p>
            <w:pPr>
              <w:pStyle w:val="TableParagraph"/>
              <w:spacing w:line="271" w:lineRule="exact"/>
              <w:ind w:left="117"/>
              <w:jc w:val="left"/>
              <w:rPr>
                <w:sz w:val="24"/>
              </w:rPr>
            </w:pPr>
            <w:r>
              <w:rPr>
                <w:spacing w:val="-5"/>
                <w:sz w:val="24"/>
              </w:rPr>
              <w:t>24</w:t>
            </w:r>
          </w:p>
        </w:tc>
        <w:tc>
          <w:tcPr>
            <w:tcW w:w="1439" w:type="dxa"/>
          </w:tcPr>
          <w:p>
            <w:pPr>
              <w:pStyle w:val="TableParagraph"/>
              <w:spacing w:line="271" w:lineRule="exact"/>
              <w:ind w:left="273"/>
              <w:jc w:val="left"/>
              <w:rPr>
                <w:sz w:val="24"/>
              </w:rPr>
            </w:pPr>
            <w:r>
              <w:rPr>
                <w:spacing w:val="-4"/>
                <w:sz w:val="24"/>
              </w:rPr>
              <w:t>S36s</w:t>
            </w:r>
          </w:p>
        </w:tc>
        <w:tc>
          <w:tcPr>
            <w:tcW w:w="1469" w:type="dxa"/>
          </w:tcPr>
          <w:p>
            <w:pPr>
              <w:pStyle w:val="TableParagraph"/>
              <w:spacing w:line="271" w:lineRule="exact"/>
              <w:ind w:left="432"/>
              <w:jc w:val="left"/>
              <w:rPr>
                <w:sz w:val="24"/>
              </w:rPr>
            </w:pPr>
            <w:r>
              <w:rPr>
                <w:spacing w:val="-4"/>
                <w:sz w:val="24"/>
              </w:rPr>
              <w:t>1000</w:t>
            </w:r>
          </w:p>
        </w:tc>
        <w:tc>
          <w:tcPr>
            <w:tcW w:w="1545" w:type="dxa"/>
          </w:tcPr>
          <w:p>
            <w:pPr>
              <w:pStyle w:val="TableParagraph"/>
              <w:spacing w:line="271" w:lineRule="exact"/>
              <w:ind w:left="557"/>
              <w:jc w:val="left"/>
              <w:rPr>
                <w:sz w:val="24"/>
              </w:rPr>
            </w:pPr>
            <w:r>
              <w:rPr>
                <w:spacing w:val="-5"/>
                <w:sz w:val="24"/>
              </w:rPr>
              <w:t>10</w:t>
            </w:r>
          </w:p>
        </w:tc>
        <w:tc>
          <w:tcPr>
            <w:tcW w:w="1681" w:type="dxa"/>
          </w:tcPr>
          <w:p>
            <w:pPr>
              <w:pStyle w:val="TableParagraph"/>
              <w:spacing w:line="271" w:lineRule="exact"/>
              <w:ind w:left="610"/>
              <w:jc w:val="left"/>
              <w:rPr>
                <w:sz w:val="24"/>
              </w:rPr>
            </w:pPr>
            <w:r>
              <w:rPr>
                <w:spacing w:val="-2"/>
                <w:sz w:val="24"/>
              </w:rPr>
              <w:t>1.563</w:t>
            </w:r>
          </w:p>
        </w:tc>
        <w:tc>
          <w:tcPr>
            <w:tcW w:w="2016" w:type="dxa"/>
          </w:tcPr>
          <w:p>
            <w:pPr>
              <w:pStyle w:val="TableParagraph"/>
              <w:spacing w:line="271" w:lineRule="exact"/>
              <w:ind w:left="527"/>
              <w:jc w:val="left"/>
              <w:rPr>
                <w:sz w:val="24"/>
              </w:rPr>
            </w:pPr>
            <w:r>
              <w:rPr>
                <w:spacing w:val="-5"/>
                <w:sz w:val="24"/>
              </w:rPr>
              <w:t>100</w:t>
            </w:r>
          </w:p>
        </w:tc>
      </w:tr>
      <w:tr>
        <w:trPr>
          <w:trHeight w:val="295" w:hRule="atLeast"/>
        </w:trPr>
        <w:tc>
          <w:tcPr>
            <w:tcW w:w="1438" w:type="dxa"/>
          </w:tcPr>
          <w:p>
            <w:pPr>
              <w:pStyle w:val="TableParagraph"/>
              <w:spacing w:line="273" w:lineRule="exact"/>
              <w:ind w:left="117"/>
              <w:jc w:val="left"/>
              <w:rPr>
                <w:sz w:val="24"/>
              </w:rPr>
            </w:pPr>
            <w:r>
              <w:rPr>
                <w:spacing w:val="-5"/>
                <w:sz w:val="24"/>
              </w:rPr>
              <w:t>25</w:t>
            </w:r>
          </w:p>
        </w:tc>
        <w:tc>
          <w:tcPr>
            <w:tcW w:w="1439" w:type="dxa"/>
          </w:tcPr>
          <w:p>
            <w:pPr>
              <w:pStyle w:val="TableParagraph"/>
              <w:spacing w:line="273" w:lineRule="exact"/>
              <w:ind w:left="273"/>
              <w:jc w:val="left"/>
              <w:rPr>
                <w:sz w:val="24"/>
              </w:rPr>
            </w:pPr>
            <w:r>
              <w:rPr>
                <w:spacing w:val="-4"/>
                <w:sz w:val="24"/>
              </w:rPr>
              <w:t>S31s</w:t>
            </w:r>
          </w:p>
        </w:tc>
        <w:tc>
          <w:tcPr>
            <w:tcW w:w="1469" w:type="dxa"/>
          </w:tcPr>
          <w:p>
            <w:pPr>
              <w:pStyle w:val="TableParagraph"/>
              <w:spacing w:line="273" w:lineRule="exact"/>
              <w:ind w:left="432"/>
              <w:jc w:val="left"/>
              <w:rPr>
                <w:sz w:val="24"/>
              </w:rPr>
            </w:pPr>
            <w:r>
              <w:rPr>
                <w:spacing w:val="-4"/>
                <w:sz w:val="24"/>
              </w:rPr>
              <w:t>1000</w:t>
            </w:r>
          </w:p>
        </w:tc>
        <w:tc>
          <w:tcPr>
            <w:tcW w:w="1545" w:type="dxa"/>
          </w:tcPr>
          <w:p>
            <w:pPr>
              <w:pStyle w:val="TableParagraph"/>
              <w:spacing w:line="273" w:lineRule="exact"/>
              <w:ind w:left="557"/>
              <w:jc w:val="left"/>
              <w:rPr>
                <w:sz w:val="24"/>
              </w:rPr>
            </w:pPr>
            <w:r>
              <w:rPr>
                <w:spacing w:val="-5"/>
                <w:sz w:val="24"/>
              </w:rPr>
              <w:t>200</w:t>
            </w:r>
          </w:p>
        </w:tc>
        <w:tc>
          <w:tcPr>
            <w:tcW w:w="1681" w:type="dxa"/>
          </w:tcPr>
          <w:p>
            <w:pPr>
              <w:pStyle w:val="TableParagraph"/>
              <w:spacing w:line="273" w:lineRule="exact"/>
              <w:ind w:left="610"/>
              <w:jc w:val="left"/>
              <w:rPr>
                <w:sz w:val="24"/>
              </w:rPr>
            </w:pPr>
            <w:r>
              <w:rPr>
                <w:spacing w:val="-2"/>
                <w:sz w:val="24"/>
              </w:rPr>
              <w:t>3.125</w:t>
            </w:r>
          </w:p>
        </w:tc>
        <w:tc>
          <w:tcPr>
            <w:tcW w:w="2016" w:type="dxa"/>
          </w:tcPr>
          <w:p>
            <w:pPr>
              <w:pStyle w:val="TableParagraph"/>
              <w:spacing w:line="273" w:lineRule="exact"/>
              <w:ind w:left="527"/>
              <w:jc w:val="left"/>
              <w:rPr>
                <w:sz w:val="24"/>
              </w:rPr>
            </w:pPr>
            <w:r>
              <w:rPr>
                <w:spacing w:val="-5"/>
                <w:sz w:val="24"/>
              </w:rPr>
              <w:t>100</w:t>
            </w:r>
          </w:p>
        </w:tc>
      </w:tr>
      <w:tr>
        <w:trPr>
          <w:trHeight w:val="268" w:hRule="atLeast"/>
        </w:trPr>
        <w:tc>
          <w:tcPr>
            <w:tcW w:w="1438" w:type="dxa"/>
            <w:tcBorders>
              <w:bottom w:val="single" w:sz="4" w:space="0" w:color="000000"/>
            </w:tcBorders>
          </w:tcPr>
          <w:p>
            <w:pPr>
              <w:pStyle w:val="TableParagraph"/>
              <w:spacing w:line="249" w:lineRule="exact"/>
              <w:ind w:left="117"/>
              <w:jc w:val="left"/>
              <w:rPr>
                <w:sz w:val="24"/>
              </w:rPr>
            </w:pPr>
            <w:r>
              <w:rPr>
                <w:spacing w:val="-5"/>
                <w:sz w:val="24"/>
              </w:rPr>
              <w:t>26</w:t>
            </w:r>
          </w:p>
        </w:tc>
        <w:tc>
          <w:tcPr>
            <w:tcW w:w="1439" w:type="dxa"/>
            <w:tcBorders>
              <w:bottom w:val="single" w:sz="4" w:space="0" w:color="000000"/>
            </w:tcBorders>
          </w:tcPr>
          <w:p>
            <w:pPr>
              <w:pStyle w:val="TableParagraph"/>
              <w:spacing w:line="249" w:lineRule="exact"/>
              <w:ind w:left="273"/>
              <w:jc w:val="left"/>
              <w:rPr>
                <w:sz w:val="24"/>
              </w:rPr>
            </w:pPr>
            <w:r>
              <w:rPr>
                <w:spacing w:val="-4"/>
                <w:sz w:val="24"/>
              </w:rPr>
              <w:t>S44e</w:t>
            </w:r>
          </w:p>
        </w:tc>
        <w:tc>
          <w:tcPr>
            <w:tcW w:w="1469" w:type="dxa"/>
            <w:tcBorders>
              <w:bottom w:val="single" w:sz="4" w:space="0" w:color="000000"/>
            </w:tcBorders>
          </w:tcPr>
          <w:p>
            <w:pPr>
              <w:pStyle w:val="TableParagraph"/>
              <w:spacing w:line="249" w:lineRule="exact"/>
              <w:ind w:left="432"/>
              <w:jc w:val="left"/>
              <w:rPr>
                <w:sz w:val="24"/>
              </w:rPr>
            </w:pPr>
            <w:r>
              <w:rPr>
                <w:spacing w:val="-4"/>
                <w:sz w:val="24"/>
              </w:rPr>
              <w:t>1000</w:t>
            </w:r>
          </w:p>
        </w:tc>
        <w:tc>
          <w:tcPr>
            <w:tcW w:w="1545" w:type="dxa"/>
            <w:tcBorders>
              <w:bottom w:val="single" w:sz="4" w:space="0" w:color="000000"/>
            </w:tcBorders>
          </w:tcPr>
          <w:p>
            <w:pPr>
              <w:pStyle w:val="TableParagraph"/>
              <w:spacing w:line="249" w:lineRule="exact"/>
              <w:ind w:left="557"/>
              <w:jc w:val="left"/>
              <w:rPr>
                <w:sz w:val="24"/>
              </w:rPr>
            </w:pPr>
            <w:r>
              <w:rPr>
                <w:spacing w:val="-5"/>
                <w:sz w:val="24"/>
              </w:rPr>
              <w:t>10</w:t>
            </w:r>
          </w:p>
        </w:tc>
        <w:tc>
          <w:tcPr>
            <w:tcW w:w="1681" w:type="dxa"/>
            <w:tcBorders>
              <w:bottom w:val="single" w:sz="4" w:space="0" w:color="000000"/>
            </w:tcBorders>
          </w:tcPr>
          <w:p>
            <w:pPr>
              <w:pStyle w:val="TableParagraph"/>
              <w:spacing w:line="249" w:lineRule="exact"/>
              <w:ind w:left="610"/>
              <w:jc w:val="left"/>
              <w:rPr>
                <w:sz w:val="24"/>
              </w:rPr>
            </w:pPr>
            <w:r>
              <w:rPr>
                <w:spacing w:val="-2"/>
                <w:sz w:val="24"/>
              </w:rPr>
              <w:t>1.563</w:t>
            </w:r>
          </w:p>
        </w:tc>
        <w:tc>
          <w:tcPr>
            <w:tcW w:w="2016" w:type="dxa"/>
            <w:tcBorders>
              <w:bottom w:val="single" w:sz="4" w:space="0" w:color="000000"/>
            </w:tcBorders>
          </w:tcPr>
          <w:p>
            <w:pPr>
              <w:pStyle w:val="TableParagraph"/>
              <w:spacing w:line="249" w:lineRule="exact"/>
              <w:ind w:left="527"/>
              <w:jc w:val="left"/>
              <w:rPr>
                <w:sz w:val="24"/>
              </w:rPr>
            </w:pPr>
            <w:r>
              <w:rPr>
                <w:spacing w:val="-5"/>
                <w:sz w:val="24"/>
              </w:rPr>
              <w:t>200</w:t>
            </w:r>
          </w:p>
        </w:tc>
      </w:tr>
      <w:tr>
        <w:trPr>
          <w:trHeight w:val="775" w:hRule="atLeast"/>
        </w:trPr>
        <w:tc>
          <w:tcPr>
            <w:tcW w:w="1438" w:type="dxa"/>
            <w:tcBorders>
              <w:top w:val="single" w:sz="4" w:space="0" w:color="000000"/>
            </w:tcBorders>
          </w:tcPr>
          <w:p>
            <w:pPr>
              <w:pStyle w:val="TableParagraph"/>
              <w:spacing w:line="240" w:lineRule="auto" w:before="241"/>
              <w:jc w:val="left"/>
              <w:rPr>
                <w:b/>
                <w:sz w:val="22"/>
              </w:rPr>
            </w:pPr>
          </w:p>
          <w:p>
            <w:pPr>
              <w:pStyle w:val="TableParagraph"/>
              <w:spacing w:line="245" w:lineRule="exact"/>
              <w:ind w:left="117"/>
              <w:jc w:val="left"/>
              <w:rPr>
                <w:sz w:val="22"/>
              </w:rPr>
            </w:pPr>
            <w:r>
              <w:rPr>
                <w:sz w:val="22"/>
              </w:rPr>
              <w:t>MIC </w:t>
            </w:r>
            <w:r>
              <w:rPr>
                <w:spacing w:val="-2"/>
                <w:sz w:val="22"/>
              </w:rPr>
              <w:t>RANGE</w:t>
            </w:r>
          </w:p>
        </w:tc>
        <w:tc>
          <w:tcPr>
            <w:tcW w:w="1439" w:type="dxa"/>
            <w:tcBorders>
              <w:top w:val="single" w:sz="4" w:space="0" w:color="000000"/>
            </w:tcBorders>
          </w:tcPr>
          <w:p>
            <w:pPr>
              <w:pStyle w:val="TableParagraph"/>
              <w:spacing w:line="240" w:lineRule="auto"/>
              <w:jc w:val="left"/>
              <w:rPr>
                <w:rFonts w:ascii="Times New Roman"/>
                <w:sz w:val="22"/>
              </w:rPr>
            </w:pPr>
          </w:p>
        </w:tc>
        <w:tc>
          <w:tcPr>
            <w:tcW w:w="1469" w:type="dxa"/>
            <w:tcBorders>
              <w:top w:val="single" w:sz="4" w:space="0" w:color="000000"/>
            </w:tcBorders>
          </w:tcPr>
          <w:p>
            <w:pPr>
              <w:pStyle w:val="TableParagraph"/>
              <w:spacing w:line="240" w:lineRule="auto"/>
              <w:jc w:val="left"/>
              <w:rPr>
                <w:rFonts w:ascii="Times New Roman"/>
                <w:sz w:val="22"/>
              </w:rPr>
            </w:pPr>
          </w:p>
        </w:tc>
        <w:tc>
          <w:tcPr>
            <w:tcW w:w="1545" w:type="dxa"/>
            <w:tcBorders>
              <w:top w:val="single" w:sz="4" w:space="0" w:color="000000"/>
            </w:tcBorders>
          </w:tcPr>
          <w:p>
            <w:pPr>
              <w:pStyle w:val="TableParagraph"/>
              <w:spacing w:line="240" w:lineRule="auto"/>
              <w:jc w:val="left"/>
              <w:rPr>
                <w:rFonts w:ascii="Times New Roman"/>
                <w:sz w:val="22"/>
              </w:rPr>
            </w:pPr>
          </w:p>
        </w:tc>
        <w:tc>
          <w:tcPr>
            <w:tcW w:w="1681" w:type="dxa"/>
            <w:tcBorders>
              <w:top w:val="single" w:sz="4" w:space="0" w:color="000000"/>
            </w:tcBorders>
          </w:tcPr>
          <w:p>
            <w:pPr>
              <w:pStyle w:val="TableParagraph"/>
              <w:spacing w:line="240" w:lineRule="auto"/>
              <w:jc w:val="left"/>
              <w:rPr>
                <w:rFonts w:ascii="Times New Roman"/>
                <w:sz w:val="22"/>
              </w:rPr>
            </w:pPr>
          </w:p>
        </w:tc>
        <w:tc>
          <w:tcPr>
            <w:tcW w:w="2016" w:type="dxa"/>
            <w:tcBorders>
              <w:top w:val="single" w:sz="4" w:space="0" w:color="000000"/>
            </w:tcBorders>
          </w:tcPr>
          <w:p>
            <w:pPr>
              <w:pStyle w:val="TableParagraph"/>
              <w:spacing w:line="240" w:lineRule="auto"/>
              <w:jc w:val="left"/>
              <w:rPr>
                <w:rFonts w:ascii="Times New Roman"/>
                <w:sz w:val="22"/>
              </w:rPr>
            </w:pPr>
          </w:p>
        </w:tc>
      </w:tr>
    </w:tbl>
    <w:p>
      <w:pPr>
        <w:pStyle w:val="BodyText"/>
        <w:tabs>
          <w:tab w:pos="3079" w:val="left" w:leader="none"/>
          <w:tab w:pos="3799" w:val="left" w:leader="none"/>
        </w:tabs>
        <w:spacing w:line="453" w:lineRule="auto" w:before="258"/>
        <w:ind w:left="920" w:right="5956"/>
      </w:pPr>
      <w:r>
        <w:rPr>
          <w:spacing w:val="-2"/>
        </w:rPr>
        <w:t>AMOXICILLIN</w:t>
      </w:r>
      <w:r>
        <w:rPr/>
        <w:tab/>
        <w:t>5 - 2000µg/ml </w:t>
      </w:r>
      <w:r>
        <w:rPr>
          <w:spacing w:val="-2"/>
        </w:rPr>
        <w:t>CHLORAMPHENICOL</w:t>
      </w:r>
      <w:r>
        <w:rPr/>
        <w:tab/>
        <w:t>1.25 - 1000µg/ml </w:t>
      </w:r>
      <w:r>
        <w:rPr>
          <w:spacing w:val="-2"/>
        </w:rPr>
        <w:t>OFLOXACIN</w:t>
      </w:r>
      <w:r>
        <w:rPr/>
        <w:tab/>
        <w:tab/>
        <w:t>0.1875</w:t>
      </w:r>
      <w:r>
        <w:rPr>
          <w:spacing w:val="-13"/>
        </w:rPr>
        <w:t> </w:t>
      </w:r>
      <w:r>
        <w:rPr/>
        <w:t>-</w:t>
      </w:r>
      <w:r>
        <w:rPr>
          <w:spacing w:val="-12"/>
        </w:rPr>
        <w:t> </w:t>
      </w:r>
      <w:r>
        <w:rPr/>
        <w:t>100</w:t>
      </w:r>
      <w:r>
        <w:rPr>
          <w:spacing w:val="-11"/>
        </w:rPr>
        <w:t> </w:t>
      </w:r>
      <w:r>
        <w:rPr/>
        <w:t>µg/ml</w:t>
      </w:r>
    </w:p>
    <w:p>
      <w:pPr>
        <w:pStyle w:val="BodyText"/>
        <w:tabs>
          <w:tab w:pos="3079" w:val="left" w:leader="none"/>
        </w:tabs>
        <w:spacing w:before="4"/>
        <w:ind w:left="920"/>
      </w:pPr>
      <w:r>
        <w:rPr>
          <w:spacing w:val="-2"/>
        </w:rPr>
        <w:t>TETRACYCLINE</w:t>
      </w:r>
      <w:r>
        <w:rPr/>
        <w:tab/>
        <w:t>1.25</w:t>
      </w:r>
      <w:r>
        <w:rPr>
          <w:spacing w:val="-5"/>
        </w:rPr>
        <w:t> </w:t>
      </w:r>
      <w:r>
        <w:rPr/>
        <w:t>-</w:t>
      </w:r>
      <w:r>
        <w:rPr>
          <w:spacing w:val="-3"/>
        </w:rPr>
        <w:t> </w:t>
      </w:r>
      <w:r>
        <w:rPr/>
        <w:t>1000</w:t>
      </w:r>
      <w:r>
        <w:rPr>
          <w:spacing w:val="-4"/>
        </w:rPr>
        <w:t> µg/ml</w:t>
      </w:r>
    </w:p>
    <w:p>
      <w:pPr>
        <w:spacing w:after="0"/>
        <w:sectPr>
          <w:pgSz w:w="12240" w:h="15840"/>
          <w:pgMar w:header="0" w:footer="1017" w:top="1400" w:bottom="1200" w:left="520" w:right="260"/>
        </w:sectPr>
      </w:pPr>
    </w:p>
    <w:p>
      <w:pPr>
        <w:pStyle w:val="Heading6"/>
        <w:spacing w:before="37"/>
        <w:ind w:left="920" w:firstLine="0"/>
      </w:pPr>
      <w:r>
        <w:rPr/>
        <w:t>APPENDIX</w:t>
      </w:r>
      <w:r>
        <w:rPr>
          <w:spacing w:val="-3"/>
        </w:rPr>
        <w:t> </w:t>
      </w:r>
      <w:r>
        <w:rPr/>
        <w:t>VI:Standard</w:t>
      </w:r>
      <w:r>
        <w:rPr>
          <w:spacing w:val="-5"/>
        </w:rPr>
        <w:t> </w:t>
      </w:r>
      <w:r>
        <w:rPr/>
        <w:t>Molecular</w:t>
      </w:r>
      <w:r>
        <w:rPr>
          <w:spacing w:val="-7"/>
        </w:rPr>
        <w:t> </w:t>
      </w:r>
      <w:r>
        <w:rPr/>
        <w:t>Weight</w:t>
      </w:r>
      <w:r>
        <w:rPr>
          <w:spacing w:val="-5"/>
        </w:rPr>
        <w:t> </w:t>
      </w:r>
      <w:r>
        <w:rPr/>
        <w:t>Sizes</w:t>
      </w:r>
      <w:r>
        <w:rPr>
          <w:spacing w:val="-7"/>
        </w:rPr>
        <w:t> </w:t>
      </w:r>
      <w:r>
        <w:rPr/>
        <w:t>of</w:t>
      </w:r>
      <w:r>
        <w:rPr>
          <w:spacing w:val="-3"/>
        </w:rPr>
        <w:t> </w:t>
      </w:r>
      <w:r>
        <w:rPr/>
        <w:t>DNA</w:t>
      </w:r>
      <w:r>
        <w:rPr>
          <w:spacing w:val="-5"/>
        </w:rPr>
        <w:t> </w:t>
      </w:r>
      <w:r>
        <w:rPr>
          <w:spacing w:val="-2"/>
        </w:rPr>
        <w:t>Ladder</w:t>
      </w:r>
    </w:p>
    <w:p>
      <w:pPr>
        <w:pStyle w:val="BodyText"/>
        <w:spacing w:before="23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5"/>
        <w:gridCol w:w="943"/>
        <w:gridCol w:w="1184"/>
        <w:gridCol w:w="654"/>
        <w:gridCol w:w="407"/>
        <w:gridCol w:w="3192"/>
      </w:tblGrid>
      <w:tr>
        <w:trPr>
          <w:trHeight w:val="585" w:hRule="atLeast"/>
        </w:trPr>
        <w:tc>
          <w:tcPr>
            <w:tcW w:w="3195" w:type="dxa"/>
            <w:tcBorders>
              <w:top w:val="single" w:sz="4" w:space="0" w:color="000000"/>
              <w:bottom w:val="single" w:sz="4" w:space="0" w:color="000000"/>
            </w:tcBorders>
          </w:tcPr>
          <w:p>
            <w:pPr>
              <w:pStyle w:val="TableParagraph"/>
              <w:spacing w:line="290" w:lineRule="atLeast"/>
              <w:ind w:left="110"/>
              <w:jc w:val="left"/>
              <w:rPr>
                <w:b/>
                <w:sz w:val="24"/>
              </w:rPr>
            </w:pPr>
            <w:r>
              <w:rPr>
                <w:b/>
                <w:sz w:val="24"/>
              </w:rPr>
              <w:t>Molecular</w:t>
            </w:r>
            <w:r>
              <w:rPr>
                <w:b/>
                <w:spacing w:val="40"/>
                <w:sz w:val="24"/>
              </w:rPr>
              <w:t> </w:t>
            </w:r>
            <w:r>
              <w:rPr>
                <w:b/>
                <w:sz w:val="24"/>
              </w:rPr>
              <w:t>sizes</w:t>
            </w:r>
            <w:r>
              <w:rPr>
                <w:b/>
                <w:spacing w:val="40"/>
                <w:sz w:val="24"/>
              </w:rPr>
              <w:t> </w:t>
            </w:r>
            <w:r>
              <w:rPr>
                <w:b/>
                <w:sz w:val="24"/>
              </w:rPr>
              <w:t>of</w:t>
            </w:r>
            <w:r>
              <w:rPr>
                <w:b/>
                <w:spacing w:val="40"/>
                <w:sz w:val="24"/>
              </w:rPr>
              <w:t> </w:t>
            </w:r>
            <w:r>
              <w:rPr>
                <w:b/>
                <w:sz w:val="24"/>
              </w:rPr>
              <w:t>standard DNA ladder (100bp plus)</w:t>
            </w:r>
          </w:p>
        </w:tc>
        <w:tc>
          <w:tcPr>
            <w:tcW w:w="943" w:type="dxa"/>
            <w:tcBorders>
              <w:top w:val="single" w:sz="4" w:space="0" w:color="000000"/>
              <w:bottom w:val="single" w:sz="4" w:space="0" w:color="000000"/>
            </w:tcBorders>
          </w:tcPr>
          <w:p>
            <w:pPr>
              <w:pStyle w:val="TableParagraph"/>
              <w:spacing w:line="290" w:lineRule="atLeast"/>
              <w:ind w:left="107"/>
              <w:jc w:val="left"/>
              <w:rPr>
                <w:b/>
                <w:sz w:val="24"/>
              </w:rPr>
            </w:pPr>
            <w:r>
              <w:rPr>
                <w:b/>
                <w:sz w:val="24"/>
              </w:rPr>
              <w:t>Log</w:t>
            </w:r>
            <w:r>
              <w:rPr>
                <w:b/>
                <w:spacing w:val="80"/>
                <w:sz w:val="24"/>
              </w:rPr>
              <w:t> </w:t>
            </w:r>
            <w:r>
              <w:rPr>
                <w:b/>
                <w:sz w:val="24"/>
              </w:rPr>
              <w:t>of </w:t>
            </w:r>
            <w:r>
              <w:rPr>
                <w:b/>
                <w:spacing w:val="-2"/>
                <w:sz w:val="24"/>
              </w:rPr>
              <w:t>ladder</w:t>
            </w:r>
          </w:p>
        </w:tc>
        <w:tc>
          <w:tcPr>
            <w:tcW w:w="1184" w:type="dxa"/>
            <w:tcBorders>
              <w:top w:val="single" w:sz="4" w:space="0" w:color="000000"/>
              <w:bottom w:val="single" w:sz="4" w:space="0" w:color="000000"/>
            </w:tcBorders>
          </w:tcPr>
          <w:p>
            <w:pPr>
              <w:pStyle w:val="TableParagraph"/>
              <w:spacing w:line="240" w:lineRule="auto" w:before="1"/>
              <w:ind w:left="95"/>
              <w:jc w:val="left"/>
              <w:rPr>
                <w:b/>
                <w:sz w:val="24"/>
              </w:rPr>
            </w:pPr>
            <w:r>
              <w:rPr>
                <w:b/>
                <w:spacing w:val="-2"/>
                <w:sz w:val="24"/>
              </w:rPr>
              <w:t>molecular</w:t>
            </w:r>
          </w:p>
        </w:tc>
        <w:tc>
          <w:tcPr>
            <w:tcW w:w="654" w:type="dxa"/>
            <w:tcBorders>
              <w:top w:val="single" w:sz="4" w:space="0" w:color="000000"/>
              <w:bottom w:val="single" w:sz="4" w:space="0" w:color="000000"/>
            </w:tcBorders>
          </w:tcPr>
          <w:p>
            <w:pPr>
              <w:pStyle w:val="TableParagraph"/>
              <w:spacing w:line="240" w:lineRule="auto" w:before="1"/>
              <w:ind w:left="96"/>
              <w:jc w:val="left"/>
              <w:rPr>
                <w:b/>
                <w:sz w:val="24"/>
              </w:rPr>
            </w:pPr>
            <w:r>
              <w:rPr>
                <w:b/>
                <w:spacing w:val="-2"/>
                <w:sz w:val="24"/>
              </w:rPr>
              <w:t>sizes</w:t>
            </w:r>
          </w:p>
        </w:tc>
        <w:tc>
          <w:tcPr>
            <w:tcW w:w="407" w:type="dxa"/>
            <w:tcBorders>
              <w:top w:val="single" w:sz="4" w:space="0" w:color="000000"/>
              <w:bottom w:val="single" w:sz="4" w:space="0" w:color="000000"/>
            </w:tcBorders>
          </w:tcPr>
          <w:p>
            <w:pPr>
              <w:pStyle w:val="TableParagraph"/>
              <w:spacing w:line="240" w:lineRule="auto" w:before="1"/>
              <w:ind w:left="99"/>
              <w:jc w:val="left"/>
              <w:rPr>
                <w:b/>
                <w:sz w:val="24"/>
              </w:rPr>
            </w:pPr>
            <w:r>
              <w:rPr>
                <w:b/>
                <w:spacing w:val="-5"/>
                <w:sz w:val="24"/>
              </w:rPr>
              <w:t>of</w:t>
            </w:r>
          </w:p>
        </w:tc>
        <w:tc>
          <w:tcPr>
            <w:tcW w:w="3192" w:type="dxa"/>
            <w:tcBorders>
              <w:top w:val="single" w:sz="4" w:space="0" w:color="000000"/>
              <w:bottom w:val="single" w:sz="4" w:space="0" w:color="000000"/>
            </w:tcBorders>
          </w:tcPr>
          <w:p>
            <w:pPr>
              <w:pStyle w:val="TableParagraph"/>
              <w:spacing w:line="290" w:lineRule="atLeast"/>
              <w:ind w:left="111"/>
              <w:jc w:val="left"/>
              <w:rPr>
                <w:b/>
                <w:sz w:val="24"/>
              </w:rPr>
            </w:pPr>
            <w:r>
              <w:rPr>
                <w:b/>
                <w:sz w:val="24"/>
              </w:rPr>
              <w:t>Distance</w:t>
            </w:r>
            <w:r>
              <w:rPr>
                <w:b/>
                <w:spacing w:val="23"/>
                <w:sz w:val="24"/>
              </w:rPr>
              <w:t> </w:t>
            </w:r>
            <w:r>
              <w:rPr>
                <w:b/>
                <w:sz w:val="24"/>
              </w:rPr>
              <w:t>moved</w:t>
            </w:r>
            <w:r>
              <w:rPr>
                <w:b/>
                <w:spacing w:val="24"/>
                <w:sz w:val="24"/>
              </w:rPr>
              <w:t> </w:t>
            </w:r>
            <w:r>
              <w:rPr>
                <w:b/>
                <w:sz w:val="24"/>
              </w:rPr>
              <w:t>by</w:t>
            </w:r>
            <w:r>
              <w:rPr>
                <w:b/>
                <w:spacing w:val="25"/>
                <w:sz w:val="24"/>
              </w:rPr>
              <w:t> </w:t>
            </w:r>
            <w:r>
              <w:rPr>
                <w:b/>
                <w:sz w:val="24"/>
              </w:rPr>
              <w:t>the</w:t>
            </w:r>
            <w:r>
              <w:rPr>
                <w:b/>
                <w:spacing w:val="23"/>
                <w:sz w:val="24"/>
              </w:rPr>
              <w:t> </w:t>
            </w:r>
            <w:r>
              <w:rPr>
                <w:b/>
                <w:sz w:val="24"/>
              </w:rPr>
              <w:t>band in cm</w:t>
            </w:r>
          </w:p>
        </w:tc>
      </w:tr>
      <w:tr>
        <w:trPr>
          <w:trHeight w:val="461" w:hRule="atLeast"/>
        </w:trPr>
        <w:tc>
          <w:tcPr>
            <w:tcW w:w="3195" w:type="dxa"/>
            <w:tcBorders>
              <w:top w:val="single" w:sz="4" w:space="0" w:color="000000"/>
            </w:tcBorders>
          </w:tcPr>
          <w:p>
            <w:pPr>
              <w:pStyle w:val="TableParagraph"/>
              <w:spacing w:line="240" w:lineRule="auto" w:before="1"/>
              <w:ind w:left="110"/>
              <w:jc w:val="left"/>
              <w:rPr>
                <w:sz w:val="24"/>
              </w:rPr>
            </w:pPr>
            <w:r>
              <w:rPr>
                <w:spacing w:val="-4"/>
                <w:sz w:val="24"/>
              </w:rPr>
              <w:t>3000</w:t>
            </w:r>
          </w:p>
        </w:tc>
        <w:tc>
          <w:tcPr>
            <w:tcW w:w="943" w:type="dxa"/>
            <w:tcBorders>
              <w:top w:val="single" w:sz="4" w:space="0" w:color="000000"/>
            </w:tcBorders>
          </w:tcPr>
          <w:p>
            <w:pPr>
              <w:pStyle w:val="TableParagraph"/>
              <w:spacing w:line="240" w:lineRule="auto" w:before="1"/>
              <w:ind w:left="107"/>
              <w:jc w:val="left"/>
              <w:rPr>
                <w:sz w:val="24"/>
              </w:rPr>
            </w:pPr>
            <w:r>
              <w:rPr>
                <w:spacing w:val="-5"/>
                <w:sz w:val="24"/>
              </w:rPr>
              <w:t>3.5</w:t>
            </w:r>
          </w:p>
        </w:tc>
        <w:tc>
          <w:tcPr>
            <w:tcW w:w="1184" w:type="dxa"/>
            <w:tcBorders>
              <w:top w:val="single" w:sz="4" w:space="0" w:color="000000"/>
            </w:tcBorders>
          </w:tcPr>
          <w:p>
            <w:pPr>
              <w:pStyle w:val="TableParagraph"/>
              <w:spacing w:line="240" w:lineRule="auto"/>
              <w:jc w:val="left"/>
              <w:rPr>
                <w:rFonts w:ascii="Times New Roman"/>
                <w:sz w:val="22"/>
              </w:rPr>
            </w:pPr>
          </w:p>
        </w:tc>
        <w:tc>
          <w:tcPr>
            <w:tcW w:w="654" w:type="dxa"/>
            <w:tcBorders>
              <w:top w:val="single" w:sz="4" w:space="0" w:color="000000"/>
            </w:tcBorders>
          </w:tcPr>
          <w:p>
            <w:pPr>
              <w:pStyle w:val="TableParagraph"/>
              <w:spacing w:line="240" w:lineRule="auto"/>
              <w:jc w:val="left"/>
              <w:rPr>
                <w:rFonts w:ascii="Times New Roman"/>
                <w:sz w:val="22"/>
              </w:rPr>
            </w:pPr>
          </w:p>
        </w:tc>
        <w:tc>
          <w:tcPr>
            <w:tcW w:w="407" w:type="dxa"/>
            <w:tcBorders>
              <w:top w:val="single" w:sz="4" w:space="0" w:color="000000"/>
            </w:tcBorders>
          </w:tcPr>
          <w:p>
            <w:pPr>
              <w:pStyle w:val="TableParagraph"/>
              <w:spacing w:line="240" w:lineRule="auto"/>
              <w:jc w:val="left"/>
              <w:rPr>
                <w:rFonts w:ascii="Times New Roman"/>
                <w:sz w:val="22"/>
              </w:rPr>
            </w:pPr>
          </w:p>
        </w:tc>
        <w:tc>
          <w:tcPr>
            <w:tcW w:w="3192" w:type="dxa"/>
            <w:tcBorders>
              <w:top w:val="single" w:sz="4" w:space="0" w:color="000000"/>
            </w:tcBorders>
          </w:tcPr>
          <w:p>
            <w:pPr>
              <w:pStyle w:val="TableParagraph"/>
              <w:spacing w:line="240" w:lineRule="auto" w:before="1"/>
              <w:ind w:left="111"/>
              <w:jc w:val="left"/>
              <w:rPr>
                <w:sz w:val="24"/>
              </w:rPr>
            </w:pPr>
            <w:r>
              <w:rPr>
                <w:spacing w:val="-5"/>
                <w:sz w:val="24"/>
              </w:rPr>
              <w:t>1.0</w:t>
            </w:r>
          </w:p>
        </w:tc>
      </w:tr>
      <w:tr>
        <w:trPr>
          <w:trHeight w:val="585" w:hRule="atLeast"/>
        </w:trPr>
        <w:tc>
          <w:tcPr>
            <w:tcW w:w="3195" w:type="dxa"/>
          </w:tcPr>
          <w:p>
            <w:pPr>
              <w:pStyle w:val="TableParagraph"/>
              <w:spacing w:line="240" w:lineRule="auto" w:before="124"/>
              <w:ind w:left="110"/>
              <w:jc w:val="left"/>
              <w:rPr>
                <w:sz w:val="24"/>
              </w:rPr>
            </w:pPr>
            <w:r>
              <w:rPr>
                <w:spacing w:val="-4"/>
                <w:sz w:val="24"/>
              </w:rPr>
              <w:t>2000</w:t>
            </w:r>
          </w:p>
        </w:tc>
        <w:tc>
          <w:tcPr>
            <w:tcW w:w="943" w:type="dxa"/>
          </w:tcPr>
          <w:p>
            <w:pPr>
              <w:pStyle w:val="TableParagraph"/>
              <w:spacing w:line="240" w:lineRule="auto" w:before="124"/>
              <w:ind w:left="107"/>
              <w:jc w:val="left"/>
              <w:rPr>
                <w:sz w:val="24"/>
              </w:rPr>
            </w:pPr>
            <w:r>
              <w:rPr>
                <w:spacing w:val="-5"/>
                <w:sz w:val="24"/>
              </w:rPr>
              <w:t>3.3</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1.2</w:t>
            </w:r>
          </w:p>
        </w:tc>
      </w:tr>
      <w:tr>
        <w:trPr>
          <w:trHeight w:val="585" w:hRule="atLeast"/>
        </w:trPr>
        <w:tc>
          <w:tcPr>
            <w:tcW w:w="3195" w:type="dxa"/>
          </w:tcPr>
          <w:p>
            <w:pPr>
              <w:pStyle w:val="TableParagraph"/>
              <w:spacing w:line="240" w:lineRule="auto" w:before="124"/>
              <w:ind w:left="110"/>
              <w:jc w:val="left"/>
              <w:rPr>
                <w:sz w:val="24"/>
              </w:rPr>
            </w:pPr>
            <w:r>
              <w:rPr>
                <w:spacing w:val="-4"/>
                <w:sz w:val="24"/>
              </w:rPr>
              <w:t>1500</w:t>
            </w:r>
          </w:p>
        </w:tc>
        <w:tc>
          <w:tcPr>
            <w:tcW w:w="943" w:type="dxa"/>
          </w:tcPr>
          <w:p>
            <w:pPr>
              <w:pStyle w:val="TableParagraph"/>
              <w:spacing w:line="240" w:lineRule="auto" w:before="124"/>
              <w:ind w:left="107"/>
              <w:jc w:val="left"/>
              <w:rPr>
                <w:sz w:val="24"/>
              </w:rPr>
            </w:pPr>
            <w:r>
              <w:rPr>
                <w:spacing w:val="-5"/>
                <w:sz w:val="24"/>
              </w:rPr>
              <w:t>3.2</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1.4</w:t>
            </w:r>
          </w:p>
        </w:tc>
      </w:tr>
      <w:tr>
        <w:trPr>
          <w:trHeight w:val="585" w:hRule="atLeast"/>
        </w:trPr>
        <w:tc>
          <w:tcPr>
            <w:tcW w:w="3195" w:type="dxa"/>
          </w:tcPr>
          <w:p>
            <w:pPr>
              <w:pStyle w:val="TableParagraph"/>
              <w:spacing w:line="240" w:lineRule="auto" w:before="124"/>
              <w:ind w:left="110"/>
              <w:jc w:val="left"/>
              <w:rPr>
                <w:sz w:val="24"/>
              </w:rPr>
            </w:pPr>
            <w:r>
              <w:rPr>
                <w:spacing w:val="-4"/>
                <w:sz w:val="24"/>
              </w:rPr>
              <w:t>1200</w:t>
            </w:r>
          </w:p>
        </w:tc>
        <w:tc>
          <w:tcPr>
            <w:tcW w:w="943" w:type="dxa"/>
          </w:tcPr>
          <w:p>
            <w:pPr>
              <w:pStyle w:val="TableParagraph"/>
              <w:spacing w:line="240" w:lineRule="auto" w:before="124"/>
              <w:ind w:left="107"/>
              <w:jc w:val="left"/>
              <w:rPr>
                <w:sz w:val="24"/>
              </w:rPr>
            </w:pPr>
            <w:r>
              <w:rPr>
                <w:spacing w:val="-5"/>
                <w:sz w:val="24"/>
              </w:rPr>
              <w:t>3.1</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1.5</w:t>
            </w:r>
          </w:p>
        </w:tc>
      </w:tr>
      <w:tr>
        <w:trPr>
          <w:trHeight w:val="585" w:hRule="atLeast"/>
        </w:trPr>
        <w:tc>
          <w:tcPr>
            <w:tcW w:w="3195" w:type="dxa"/>
          </w:tcPr>
          <w:p>
            <w:pPr>
              <w:pStyle w:val="TableParagraph"/>
              <w:spacing w:line="240" w:lineRule="auto" w:before="124"/>
              <w:ind w:left="110"/>
              <w:jc w:val="left"/>
              <w:rPr>
                <w:sz w:val="24"/>
              </w:rPr>
            </w:pPr>
            <w:r>
              <w:rPr>
                <w:spacing w:val="-4"/>
                <w:sz w:val="24"/>
              </w:rPr>
              <w:t>1000</w:t>
            </w:r>
          </w:p>
        </w:tc>
        <w:tc>
          <w:tcPr>
            <w:tcW w:w="943" w:type="dxa"/>
          </w:tcPr>
          <w:p>
            <w:pPr>
              <w:pStyle w:val="TableParagraph"/>
              <w:spacing w:line="240" w:lineRule="auto" w:before="124"/>
              <w:ind w:left="107"/>
              <w:jc w:val="left"/>
              <w:rPr>
                <w:sz w:val="24"/>
              </w:rPr>
            </w:pPr>
            <w:r>
              <w:rPr>
                <w:spacing w:val="-5"/>
                <w:sz w:val="24"/>
              </w:rPr>
              <w:t>3.0</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1.6</w:t>
            </w:r>
          </w:p>
        </w:tc>
      </w:tr>
      <w:tr>
        <w:trPr>
          <w:trHeight w:val="585" w:hRule="atLeast"/>
        </w:trPr>
        <w:tc>
          <w:tcPr>
            <w:tcW w:w="3195" w:type="dxa"/>
          </w:tcPr>
          <w:p>
            <w:pPr>
              <w:pStyle w:val="TableParagraph"/>
              <w:spacing w:line="240" w:lineRule="auto" w:before="124"/>
              <w:ind w:left="110"/>
              <w:jc w:val="left"/>
              <w:rPr>
                <w:sz w:val="24"/>
              </w:rPr>
            </w:pPr>
            <w:r>
              <w:rPr>
                <w:spacing w:val="-5"/>
                <w:sz w:val="24"/>
              </w:rPr>
              <w:t>900</w:t>
            </w:r>
          </w:p>
        </w:tc>
        <w:tc>
          <w:tcPr>
            <w:tcW w:w="943" w:type="dxa"/>
          </w:tcPr>
          <w:p>
            <w:pPr>
              <w:pStyle w:val="TableParagraph"/>
              <w:spacing w:line="240" w:lineRule="auto" w:before="124"/>
              <w:ind w:left="107"/>
              <w:jc w:val="left"/>
              <w:rPr>
                <w:sz w:val="24"/>
              </w:rPr>
            </w:pPr>
            <w:r>
              <w:rPr>
                <w:spacing w:val="-4"/>
                <w:sz w:val="24"/>
              </w:rPr>
              <w:t>2.95</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4"/>
                <w:sz w:val="24"/>
              </w:rPr>
              <w:t>1.65</w:t>
            </w:r>
          </w:p>
        </w:tc>
      </w:tr>
      <w:tr>
        <w:trPr>
          <w:trHeight w:val="585" w:hRule="atLeast"/>
        </w:trPr>
        <w:tc>
          <w:tcPr>
            <w:tcW w:w="3195" w:type="dxa"/>
          </w:tcPr>
          <w:p>
            <w:pPr>
              <w:pStyle w:val="TableParagraph"/>
              <w:spacing w:line="240" w:lineRule="auto" w:before="124"/>
              <w:ind w:left="110"/>
              <w:jc w:val="left"/>
              <w:rPr>
                <w:sz w:val="24"/>
              </w:rPr>
            </w:pPr>
            <w:r>
              <w:rPr>
                <w:spacing w:val="-5"/>
                <w:sz w:val="24"/>
              </w:rPr>
              <w:t>800</w:t>
            </w:r>
          </w:p>
        </w:tc>
        <w:tc>
          <w:tcPr>
            <w:tcW w:w="943" w:type="dxa"/>
          </w:tcPr>
          <w:p>
            <w:pPr>
              <w:pStyle w:val="TableParagraph"/>
              <w:spacing w:line="240" w:lineRule="auto" w:before="124"/>
              <w:ind w:left="107"/>
              <w:jc w:val="left"/>
              <w:rPr>
                <w:sz w:val="24"/>
              </w:rPr>
            </w:pPr>
            <w:r>
              <w:rPr>
                <w:spacing w:val="-5"/>
                <w:sz w:val="24"/>
              </w:rPr>
              <w:t>2.9</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1.7</w:t>
            </w:r>
          </w:p>
        </w:tc>
      </w:tr>
      <w:tr>
        <w:trPr>
          <w:trHeight w:val="585" w:hRule="atLeast"/>
        </w:trPr>
        <w:tc>
          <w:tcPr>
            <w:tcW w:w="3195" w:type="dxa"/>
          </w:tcPr>
          <w:p>
            <w:pPr>
              <w:pStyle w:val="TableParagraph"/>
              <w:spacing w:line="240" w:lineRule="auto" w:before="124"/>
              <w:ind w:left="110"/>
              <w:jc w:val="left"/>
              <w:rPr>
                <w:sz w:val="24"/>
              </w:rPr>
            </w:pPr>
            <w:r>
              <w:rPr>
                <w:spacing w:val="-5"/>
                <w:sz w:val="24"/>
              </w:rPr>
              <w:t>700</w:t>
            </w:r>
          </w:p>
        </w:tc>
        <w:tc>
          <w:tcPr>
            <w:tcW w:w="943" w:type="dxa"/>
          </w:tcPr>
          <w:p>
            <w:pPr>
              <w:pStyle w:val="TableParagraph"/>
              <w:spacing w:line="240" w:lineRule="auto" w:before="124"/>
              <w:ind w:left="107"/>
              <w:jc w:val="left"/>
              <w:rPr>
                <w:sz w:val="24"/>
              </w:rPr>
            </w:pPr>
            <w:r>
              <w:rPr>
                <w:spacing w:val="-4"/>
                <w:sz w:val="24"/>
              </w:rPr>
              <w:t>2.85</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1.8</w:t>
            </w:r>
          </w:p>
        </w:tc>
      </w:tr>
      <w:tr>
        <w:trPr>
          <w:trHeight w:val="585" w:hRule="atLeast"/>
        </w:trPr>
        <w:tc>
          <w:tcPr>
            <w:tcW w:w="3195" w:type="dxa"/>
          </w:tcPr>
          <w:p>
            <w:pPr>
              <w:pStyle w:val="TableParagraph"/>
              <w:spacing w:line="240" w:lineRule="auto" w:before="124"/>
              <w:ind w:left="110"/>
              <w:jc w:val="left"/>
              <w:rPr>
                <w:sz w:val="24"/>
              </w:rPr>
            </w:pPr>
            <w:r>
              <w:rPr>
                <w:spacing w:val="-5"/>
                <w:sz w:val="24"/>
              </w:rPr>
              <w:t>600</w:t>
            </w:r>
          </w:p>
        </w:tc>
        <w:tc>
          <w:tcPr>
            <w:tcW w:w="943" w:type="dxa"/>
          </w:tcPr>
          <w:p>
            <w:pPr>
              <w:pStyle w:val="TableParagraph"/>
              <w:spacing w:line="240" w:lineRule="auto" w:before="124"/>
              <w:ind w:left="107"/>
              <w:jc w:val="left"/>
              <w:rPr>
                <w:sz w:val="24"/>
              </w:rPr>
            </w:pPr>
            <w:r>
              <w:rPr>
                <w:spacing w:val="-5"/>
                <w:sz w:val="24"/>
              </w:rPr>
              <w:t>2.8</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1.9</w:t>
            </w:r>
          </w:p>
        </w:tc>
      </w:tr>
      <w:tr>
        <w:trPr>
          <w:trHeight w:val="587" w:hRule="atLeast"/>
        </w:trPr>
        <w:tc>
          <w:tcPr>
            <w:tcW w:w="3195" w:type="dxa"/>
          </w:tcPr>
          <w:p>
            <w:pPr>
              <w:pStyle w:val="TableParagraph"/>
              <w:spacing w:line="240" w:lineRule="auto" w:before="124"/>
              <w:ind w:left="110"/>
              <w:jc w:val="left"/>
              <w:rPr>
                <w:sz w:val="24"/>
              </w:rPr>
            </w:pPr>
            <w:r>
              <w:rPr>
                <w:spacing w:val="-5"/>
                <w:sz w:val="24"/>
              </w:rPr>
              <w:t>500</w:t>
            </w:r>
          </w:p>
        </w:tc>
        <w:tc>
          <w:tcPr>
            <w:tcW w:w="943" w:type="dxa"/>
          </w:tcPr>
          <w:p>
            <w:pPr>
              <w:pStyle w:val="TableParagraph"/>
              <w:spacing w:line="240" w:lineRule="auto" w:before="124"/>
              <w:ind w:left="107"/>
              <w:jc w:val="left"/>
              <w:rPr>
                <w:sz w:val="24"/>
              </w:rPr>
            </w:pPr>
            <w:r>
              <w:rPr>
                <w:spacing w:val="-5"/>
                <w:sz w:val="24"/>
              </w:rPr>
              <w:t>2.7</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2.0</w:t>
            </w:r>
          </w:p>
        </w:tc>
      </w:tr>
      <w:tr>
        <w:trPr>
          <w:trHeight w:val="587" w:hRule="atLeast"/>
        </w:trPr>
        <w:tc>
          <w:tcPr>
            <w:tcW w:w="3195" w:type="dxa"/>
          </w:tcPr>
          <w:p>
            <w:pPr>
              <w:pStyle w:val="TableParagraph"/>
              <w:spacing w:line="240" w:lineRule="auto" w:before="126"/>
              <w:ind w:left="110"/>
              <w:jc w:val="left"/>
              <w:rPr>
                <w:sz w:val="24"/>
              </w:rPr>
            </w:pPr>
            <w:r>
              <w:rPr>
                <w:spacing w:val="-5"/>
                <w:sz w:val="24"/>
              </w:rPr>
              <w:t>400</w:t>
            </w:r>
          </w:p>
        </w:tc>
        <w:tc>
          <w:tcPr>
            <w:tcW w:w="943" w:type="dxa"/>
          </w:tcPr>
          <w:p>
            <w:pPr>
              <w:pStyle w:val="TableParagraph"/>
              <w:spacing w:line="240" w:lineRule="auto" w:before="126"/>
              <w:ind w:left="107"/>
              <w:jc w:val="left"/>
              <w:rPr>
                <w:sz w:val="24"/>
              </w:rPr>
            </w:pPr>
            <w:r>
              <w:rPr>
                <w:spacing w:val="-5"/>
                <w:sz w:val="24"/>
              </w:rPr>
              <w:t>2.6</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6"/>
              <w:ind w:left="111"/>
              <w:jc w:val="left"/>
              <w:rPr>
                <w:sz w:val="24"/>
              </w:rPr>
            </w:pPr>
            <w:r>
              <w:rPr>
                <w:spacing w:val="-5"/>
                <w:sz w:val="24"/>
              </w:rPr>
              <w:t>2.2</w:t>
            </w:r>
          </w:p>
        </w:tc>
      </w:tr>
      <w:tr>
        <w:trPr>
          <w:trHeight w:val="585" w:hRule="atLeast"/>
        </w:trPr>
        <w:tc>
          <w:tcPr>
            <w:tcW w:w="3195" w:type="dxa"/>
          </w:tcPr>
          <w:p>
            <w:pPr>
              <w:pStyle w:val="TableParagraph"/>
              <w:spacing w:line="240" w:lineRule="auto" w:before="124"/>
              <w:ind w:left="110"/>
              <w:jc w:val="left"/>
              <w:rPr>
                <w:sz w:val="24"/>
              </w:rPr>
            </w:pPr>
            <w:r>
              <w:rPr>
                <w:spacing w:val="-5"/>
                <w:sz w:val="24"/>
              </w:rPr>
              <w:t>300</w:t>
            </w:r>
          </w:p>
        </w:tc>
        <w:tc>
          <w:tcPr>
            <w:tcW w:w="943" w:type="dxa"/>
          </w:tcPr>
          <w:p>
            <w:pPr>
              <w:pStyle w:val="TableParagraph"/>
              <w:spacing w:line="240" w:lineRule="auto" w:before="124"/>
              <w:ind w:left="107"/>
              <w:jc w:val="left"/>
              <w:rPr>
                <w:sz w:val="24"/>
              </w:rPr>
            </w:pPr>
            <w:r>
              <w:rPr>
                <w:spacing w:val="-5"/>
                <w:sz w:val="24"/>
              </w:rPr>
              <w:t>2.5</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2.3</w:t>
            </w:r>
          </w:p>
        </w:tc>
      </w:tr>
      <w:tr>
        <w:trPr>
          <w:trHeight w:val="585" w:hRule="atLeast"/>
        </w:trPr>
        <w:tc>
          <w:tcPr>
            <w:tcW w:w="3195" w:type="dxa"/>
          </w:tcPr>
          <w:p>
            <w:pPr>
              <w:pStyle w:val="TableParagraph"/>
              <w:spacing w:line="240" w:lineRule="auto" w:before="124"/>
              <w:ind w:left="110"/>
              <w:jc w:val="left"/>
              <w:rPr>
                <w:sz w:val="24"/>
              </w:rPr>
            </w:pPr>
            <w:r>
              <w:rPr>
                <w:spacing w:val="-5"/>
                <w:sz w:val="24"/>
              </w:rPr>
              <w:t>200</w:t>
            </w:r>
          </w:p>
        </w:tc>
        <w:tc>
          <w:tcPr>
            <w:tcW w:w="943" w:type="dxa"/>
          </w:tcPr>
          <w:p>
            <w:pPr>
              <w:pStyle w:val="TableParagraph"/>
              <w:spacing w:line="240" w:lineRule="auto" w:before="124"/>
              <w:ind w:left="107"/>
              <w:jc w:val="left"/>
              <w:rPr>
                <w:sz w:val="24"/>
              </w:rPr>
            </w:pPr>
            <w:r>
              <w:rPr>
                <w:spacing w:val="-5"/>
                <w:sz w:val="24"/>
              </w:rPr>
              <w:t>2.3</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40" w:lineRule="auto" w:before="124"/>
              <w:ind w:left="111"/>
              <w:jc w:val="left"/>
              <w:rPr>
                <w:sz w:val="24"/>
              </w:rPr>
            </w:pPr>
            <w:r>
              <w:rPr>
                <w:spacing w:val="-5"/>
                <w:sz w:val="24"/>
              </w:rPr>
              <w:t>2.4</w:t>
            </w:r>
          </w:p>
        </w:tc>
      </w:tr>
      <w:tr>
        <w:trPr>
          <w:trHeight w:val="412" w:hRule="atLeast"/>
        </w:trPr>
        <w:tc>
          <w:tcPr>
            <w:tcW w:w="3195" w:type="dxa"/>
          </w:tcPr>
          <w:p>
            <w:pPr>
              <w:pStyle w:val="TableParagraph"/>
              <w:spacing w:line="269" w:lineRule="exact" w:before="124"/>
              <w:ind w:left="110"/>
              <w:jc w:val="left"/>
              <w:rPr>
                <w:sz w:val="24"/>
              </w:rPr>
            </w:pPr>
            <w:r>
              <w:rPr>
                <w:spacing w:val="-5"/>
                <w:sz w:val="24"/>
              </w:rPr>
              <w:t>100</w:t>
            </w:r>
          </w:p>
        </w:tc>
        <w:tc>
          <w:tcPr>
            <w:tcW w:w="943" w:type="dxa"/>
          </w:tcPr>
          <w:p>
            <w:pPr>
              <w:pStyle w:val="TableParagraph"/>
              <w:spacing w:line="269" w:lineRule="exact" w:before="124"/>
              <w:ind w:left="107"/>
              <w:jc w:val="left"/>
              <w:rPr>
                <w:sz w:val="24"/>
              </w:rPr>
            </w:pPr>
            <w:r>
              <w:rPr>
                <w:spacing w:val="-5"/>
                <w:sz w:val="24"/>
              </w:rPr>
              <w:t>2.0</w:t>
            </w:r>
          </w:p>
        </w:tc>
        <w:tc>
          <w:tcPr>
            <w:tcW w:w="1184" w:type="dxa"/>
          </w:tcPr>
          <w:p>
            <w:pPr>
              <w:pStyle w:val="TableParagraph"/>
              <w:spacing w:line="240" w:lineRule="auto"/>
              <w:jc w:val="left"/>
              <w:rPr>
                <w:rFonts w:ascii="Times New Roman"/>
                <w:sz w:val="22"/>
              </w:rPr>
            </w:pPr>
          </w:p>
        </w:tc>
        <w:tc>
          <w:tcPr>
            <w:tcW w:w="654" w:type="dxa"/>
          </w:tcPr>
          <w:p>
            <w:pPr>
              <w:pStyle w:val="TableParagraph"/>
              <w:spacing w:line="240" w:lineRule="auto"/>
              <w:jc w:val="left"/>
              <w:rPr>
                <w:rFonts w:ascii="Times New Roman"/>
                <w:sz w:val="22"/>
              </w:rPr>
            </w:pPr>
          </w:p>
        </w:tc>
        <w:tc>
          <w:tcPr>
            <w:tcW w:w="407" w:type="dxa"/>
          </w:tcPr>
          <w:p>
            <w:pPr>
              <w:pStyle w:val="TableParagraph"/>
              <w:spacing w:line="240" w:lineRule="auto"/>
              <w:jc w:val="left"/>
              <w:rPr>
                <w:rFonts w:ascii="Times New Roman"/>
                <w:sz w:val="22"/>
              </w:rPr>
            </w:pPr>
          </w:p>
        </w:tc>
        <w:tc>
          <w:tcPr>
            <w:tcW w:w="3192" w:type="dxa"/>
          </w:tcPr>
          <w:p>
            <w:pPr>
              <w:pStyle w:val="TableParagraph"/>
              <w:spacing w:line="269" w:lineRule="exact" w:before="124"/>
              <w:ind w:left="111"/>
              <w:jc w:val="left"/>
              <w:rPr>
                <w:sz w:val="24"/>
              </w:rPr>
            </w:pPr>
            <w:r>
              <w:rPr>
                <w:spacing w:val="-5"/>
                <w:sz w:val="24"/>
              </w:rPr>
              <w:t>2.5</w:t>
            </w:r>
          </w:p>
        </w:tc>
      </w:tr>
    </w:tbl>
    <w:p>
      <w:pPr>
        <w:pStyle w:val="BodyText"/>
        <w:spacing w:before="32"/>
        <w:rPr>
          <w:b/>
          <w:sz w:val="20"/>
        </w:rPr>
      </w:pPr>
      <w:r>
        <w:rPr/>
        <mc:AlternateContent>
          <mc:Choice Requires="wps">
            <w:drawing>
              <wp:anchor distT="0" distB="0" distL="0" distR="0" allowOverlap="1" layoutInCell="1" locked="0" behindDoc="1" simplePos="0" relativeHeight="487617024">
                <wp:simplePos x="0" y="0"/>
                <wp:positionH relativeFrom="page">
                  <wp:posOffset>835152</wp:posOffset>
                </wp:positionH>
                <wp:positionV relativeFrom="paragraph">
                  <wp:posOffset>190626</wp:posOffset>
                </wp:positionV>
                <wp:extent cx="6093460" cy="635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5.009989pt;width:479.760023pt;height:.48pt;mso-position-horizontal-relative:page;mso-position-vertical-relative:paragraph;z-index:-15699456;mso-wrap-distance-left:0;mso-wrap-distance-right:0" id="docshape77" filled="true" fillcolor="#000000" stroked="false">
                <v:fill type="solid"/>
                <w10:wrap type="topAndBottom"/>
              </v:rect>
            </w:pict>
          </mc:Fallback>
        </mc:AlternateContent>
      </w:r>
    </w:p>
    <w:p>
      <w:pPr>
        <w:pStyle w:val="BodyText"/>
        <w:rPr>
          <w:b/>
        </w:rPr>
      </w:pPr>
    </w:p>
    <w:p>
      <w:pPr>
        <w:pStyle w:val="BodyText"/>
        <w:rPr>
          <w:b/>
        </w:rPr>
      </w:pPr>
    </w:p>
    <w:p>
      <w:pPr>
        <w:pStyle w:val="BodyText"/>
        <w:spacing w:before="208"/>
        <w:rPr>
          <w:b/>
        </w:rPr>
      </w:pPr>
    </w:p>
    <w:p>
      <w:pPr>
        <w:pStyle w:val="BodyText"/>
        <w:spacing w:line="480" w:lineRule="auto" w:before="1"/>
        <w:ind w:left="920" w:right="1181"/>
      </w:pPr>
      <w:r>
        <w:rPr/>
        <w:t>This shows the distance moved by each bands of 100bp DNA ladder. This</w:t>
      </w:r>
      <w:r>
        <w:rPr>
          <w:spacing w:val="40"/>
        </w:rPr>
        <w:t> </w:t>
      </w:r>
      <w:r>
        <w:rPr/>
        <w:t>was used as molecular weight standards for agarose gel electrophoresis.</w:t>
      </w:r>
    </w:p>
    <w:p>
      <w:pPr>
        <w:spacing w:after="0" w:line="480" w:lineRule="auto"/>
        <w:sectPr>
          <w:pgSz w:w="12240" w:h="15840"/>
          <w:pgMar w:header="0" w:footer="1017" w:top="1400" w:bottom="1200" w:left="520" w:right="260"/>
        </w:sectPr>
      </w:pPr>
    </w:p>
    <w:p>
      <w:pPr>
        <w:spacing w:before="37"/>
        <w:ind w:left="920" w:right="0" w:firstLine="0"/>
        <w:jc w:val="left"/>
        <w:rPr>
          <w:b/>
          <w:sz w:val="22"/>
        </w:rPr>
      </w:pPr>
      <w:r>
        <w:rPr>
          <w:b/>
          <w:sz w:val="22"/>
        </w:rPr>
        <w:t>APPENDIX</w:t>
      </w:r>
      <w:r>
        <w:rPr>
          <w:b/>
          <w:spacing w:val="-3"/>
          <w:sz w:val="22"/>
        </w:rPr>
        <w:t> </w:t>
      </w:r>
      <w:r>
        <w:rPr>
          <w:b/>
          <w:sz w:val="22"/>
        </w:rPr>
        <w:t>VIIA:</w:t>
      </w:r>
      <w:r>
        <w:rPr>
          <w:b/>
          <w:spacing w:val="-4"/>
          <w:sz w:val="22"/>
        </w:rPr>
        <w:t> </w:t>
      </w:r>
      <w:r>
        <w:rPr>
          <w:b/>
          <w:sz w:val="22"/>
        </w:rPr>
        <w:t>Phenotypic</w:t>
      </w:r>
      <w:r>
        <w:rPr>
          <w:b/>
          <w:spacing w:val="-6"/>
          <w:sz w:val="22"/>
        </w:rPr>
        <w:t> </w:t>
      </w:r>
      <w:r>
        <w:rPr>
          <w:b/>
          <w:sz w:val="22"/>
        </w:rPr>
        <w:t>Resistance</w:t>
      </w:r>
      <w:r>
        <w:rPr>
          <w:b/>
          <w:spacing w:val="-6"/>
          <w:sz w:val="22"/>
        </w:rPr>
        <w:t> </w:t>
      </w:r>
      <w:r>
        <w:rPr>
          <w:b/>
          <w:sz w:val="22"/>
        </w:rPr>
        <w:t>Pattern</w:t>
      </w:r>
      <w:r>
        <w:rPr>
          <w:b/>
          <w:spacing w:val="-5"/>
          <w:sz w:val="22"/>
        </w:rPr>
        <w:t> </w:t>
      </w:r>
      <w:r>
        <w:rPr>
          <w:b/>
          <w:sz w:val="22"/>
        </w:rPr>
        <w:t>of</w:t>
      </w:r>
      <w:r>
        <w:rPr>
          <w:b/>
          <w:spacing w:val="-3"/>
          <w:sz w:val="22"/>
        </w:rPr>
        <w:t> </w:t>
      </w:r>
      <w:r>
        <w:rPr>
          <w:b/>
          <w:sz w:val="22"/>
        </w:rPr>
        <w:t>Isolates</w:t>
      </w:r>
      <w:r>
        <w:rPr>
          <w:b/>
          <w:spacing w:val="-6"/>
          <w:sz w:val="22"/>
        </w:rPr>
        <w:t> </w:t>
      </w:r>
      <w:r>
        <w:rPr>
          <w:b/>
          <w:sz w:val="22"/>
        </w:rPr>
        <w:t>from</w:t>
      </w:r>
      <w:r>
        <w:rPr>
          <w:b/>
          <w:spacing w:val="-7"/>
          <w:sz w:val="22"/>
        </w:rPr>
        <w:t> </w:t>
      </w:r>
      <w:r>
        <w:rPr>
          <w:b/>
          <w:sz w:val="22"/>
        </w:rPr>
        <w:t>Milk</w:t>
      </w:r>
      <w:r>
        <w:rPr>
          <w:b/>
          <w:spacing w:val="-5"/>
          <w:sz w:val="22"/>
        </w:rPr>
        <w:t> </w:t>
      </w:r>
      <w:r>
        <w:rPr>
          <w:b/>
          <w:sz w:val="22"/>
        </w:rPr>
        <w:t>Sample</w:t>
      </w:r>
      <w:r>
        <w:rPr>
          <w:b/>
          <w:spacing w:val="-6"/>
          <w:sz w:val="22"/>
        </w:rPr>
        <w:t> </w:t>
      </w:r>
      <w:r>
        <w:rPr>
          <w:b/>
          <w:sz w:val="22"/>
        </w:rPr>
        <w:t>in</w:t>
      </w:r>
      <w:r>
        <w:rPr>
          <w:b/>
          <w:spacing w:val="-4"/>
          <w:sz w:val="22"/>
        </w:rPr>
        <w:t> </w:t>
      </w:r>
      <w:r>
        <w:rPr>
          <w:b/>
          <w:spacing w:val="-2"/>
          <w:sz w:val="22"/>
        </w:rPr>
        <w:t>Zaria.</w:t>
      </w:r>
    </w:p>
    <w:p>
      <w:pPr>
        <w:pStyle w:val="BodyText"/>
        <w:spacing w:before="23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
        <w:gridCol w:w="6136"/>
        <w:gridCol w:w="2777"/>
      </w:tblGrid>
      <w:tr>
        <w:trPr>
          <w:trHeight w:val="585" w:hRule="atLeast"/>
        </w:trPr>
        <w:tc>
          <w:tcPr>
            <w:tcW w:w="667" w:type="dxa"/>
            <w:tcBorders>
              <w:top w:val="single" w:sz="4" w:space="0" w:color="000000"/>
              <w:bottom w:val="single" w:sz="4" w:space="0" w:color="000000"/>
            </w:tcBorders>
          </w:tcPr>
          <w:p>
            <w:pPr>
              <w:pStyle w:val="TableParagraph"/>
              <w:spacing w:line="240" w:lineRule="auto" w:before="1"/>
              <w:ind w:left="110"/>
              <w:jc w:val="left"/>
              <w:rPr>
                <w:b/>
                <w:sz w:val="24"/>
              </w:rPr>
            </w:pPr>
            <w:r>
              <w:rPr>
                <w:b/>
                <w:spacing w:val="-5"/>
                <w:sz w:val="24"/>
              </w:rPr>
              <w:t>S/N</w:t>
            </w:r>
          </w:p>
        </w:tc>
        <w:tc>
          <w:tcPr>
            <w:tcW w:w="6136" w:type="dxa"/>
            <w:tcBorders>
              <w:top w:val="single" w:sz="4" w:space="0" w:color="000000"/>
              <w:bottom w:val="single" w:sz="4" w:space="0" w:color="000000"/>
            </w:tcBorders>
          </w:tcPr>
          <w:p>
            <w:pPr>
              <w:pStyle w:val="TableParagraph"/>
              <w:spacing w:line="240" w:lineRule="auto" w:before="1"/>
              <w:ind w:left="182"/>
              <w:jc w:val="left"/>
              <w:rPr>
                <w:b/>
                <w:sz w:val="24"/>
              </w:rPr>
            </w:pPr>
            <w:r>
              <w:rPr>
                <w:b/>
                <w:spacing w:val="-2"/>
                <w:sz w:val="24"/>
              </w:rPr>
              <w:t>Resistance</w:t>
            </w:r>
            <w:r>
              <w:rPr>
                <w:b/>
                <w:spacing w:val="3"/>
                <w:sz w:val="24"/>
              </w:rPr>
              <w:t> </w:t>
            </w:r>
            <w:r>
              <w:rPr>
                <w:b/>
                <w:spacing w:val="-2"/>
                <w:sz w:val="24"/>
              </w:rPr>
              <w:t>Pattern</w:t>
            </w:r>
          </w:p>
        </w:tc>
        <w:tc>
          <w:tcPr>
            <w:tcW w:w="2777" w:type="dxa"/>
            <w:tcBorders>
              <w:top w:val="single" w:sz="4" w:space="0" w:color="000000"/>
              <w:bottom w:val="single" w:sz="4" w:space="0" w:color="000000"/>
            </w:tcBorders>
          </w:tcPr>
          <w:p>
            <w:pPr>
              <w:pStyle w:val="TableParagraph"/>
              <w:spacing w:line="240" w:lineRule="auto" w:before="1"/>
              <w:ind w:left="828"/>
              <w:jc w:val="left"/>
              <w:rPr>
                <w:b/>
                <w:sz w:val="24"/>
              </w:rPr>
            </w:pPr>
            <w:r>
              <w:rPr>
                <w:b/>
                <w:sz w:val="24"/>
              </w:rPr>
              <w:t>No.</w:t>
            </w:r>
            <w:r>
              <w:rPr>
                <w:b/>
                <w:spacing w:val="-6"/>
                <w:sz w:val="24"/>
              </w:rPr>
              <w:t> </w:t>
            </w:r>
            <w:r>
              <w:rPr>
                <w:b/>
                <w:sz w:val="24"/>
              </w:rPr>
              <w:t>of</w:t>
            </w:r>
            <w:r>
              <w:rPr>
                <w:b/>
                <w:spacing w:val="-4"/>
                <w:sz w:val="24"/>
              </w:rPr>
              <w:t> </w:t>
            </w:r>
            <w:r>
              <w:rPr>
                <w:b/>
                <w:spacing w:val="-2"/>
                <w:sz w:val="24"/>
              </w:rPr>
              <w:t>Isolate</w:t>
            </w:r>
          </w:p>
        </w:tc>
      </w:tr>
      <w:tr>
        <w:trPr>
          <w:trHeight w:val="462" w:hRule="atLeast"/>
        </w:trPr>
        <w:tc>
          <w:tcPr>
            <w:tcW w:w="667" w:type="dxa"/>
            <w:tcBorders>
              <w:top w:val="single" w:sz="4" w:space="0" w:color="000000"/>
            </w:tcBorders>
          </w:tcPr>
          <w:p>
            <w:pPr>
              <w:pStyle w:val="TableParagraph"/>
              <w:spacing w:line="240" w:lineRule="auto" w:before="1"/>
              <w:ind w:left="110"/>
              <w:jc w:val="left"/>
              <w:rPr>
                <w:sz w:val="24"/>
              </w:rPr>
            </w:pPr>
            <w:r>
              <w:rPr>
                <w:spacing w:val="-10"/>
                <w:sz w:val="24"/>
              </w:rPr>
              <w:t>1</w:t>
            </w:r>
          </w:p>
        </w:tc>
        <w:tc>
          <w:tcPr>
            <w:tcW w:w="6136" w:type="dxa"/>
            <w:tcBorders>
              <w:top w:val="single" w:sz="4" w:space="0" w:color="000000"/>
            </w:tcBorders>
          </w:tcPr>
          <w:p>
            <w:pPr>
              <w:pStyle w:val="TableParagraph"/>
              <w:spacing w:line="240" w:lineRule="auto" w:before="1"/>
              <w:ind w:left="182"/>
              <w:jc w:val="left"/>
              <w:rPr>
                <w:sz w:val="24"/>
              </w:rPr>
            </w:pPr>
            <w:r>
              <w:rPr>
                <w:sz w:val="24"/>
              </w:rPr>
              <w:t>Amx,</w:t>
            </w:r>
            <w:r>
              <w:rPr>
                <w:spacing w:val="-8"/>
                <w:sz w:val="24"/>
              </w:rPr>
              <w:t> </w:t>
            </w:r>
            <w:r>
              <w:rPr>
                <w:sz w:val="24"/>
              </w:rPr>
              <w:t>Amc,</w:t>
            </w:r>
            <w:r>
              <w:rPr>
                <w:spacing w:val="-7"/>
                <w:sz w:val="24"/>
              </w:rPr>
              <w:t> </w:t>
            </w:r>
            <w:r>
              <w:rPr>
                <w:sz w:val="24"/>
              </w:rPr>
              <w:t>Chl,</w:t>
            </w:r>
            <w:r>
              <w:rPr>
                <w:spacing w:val="-8"/>
                <w:sz w:val="24"/>
              </w:rPr>
              <w:t> </w:t>
            </w:r>
            <w:r>
              <w:rPr>
                <w:sz w:val="24"/>
              </w:rPr>
              <w:t>Cot,</w:t>
            </w:r>
            <w:r>
              <w:rPr>
                <w:spacing w:val="-2"/>
                <w:sz w:val="24"/>
              </w:rPr>
              <w:t> </w:t>
            </w:r>
            <w:r>
              <w:rPr>
                <w:sz w:val="24"/>
              </w:rPr>
              <w:t>Cxc,</w:t>
            </w:r>
            <w:r>
              <w:rPr>
                <w:spacing w:val="-8"/>
                <w:sz w:val="24"/>
              </w:rPr>
              <w:t> </w:t>
            </w:r>
            <w:r>
              <w:rPr>
                <w:sz w:val="24"/>
              </w:rPr>
              <w:t>Cxm,</w:t>
            </w:r>
            <w:r>
              <w:rPr>
                <w:spacing w:val="-7"/>
                <w:sz w:val="24"/>
              </w:rPr>
              <w:t> </w:t>
            </w:r>
            <w:r>
              <w:rPr>
                <w:sz w:val="24"/>
              </w:rPr>
              <w:t>Ery,</w:t>
            </w:r>
            <w:r>
              <w:rPr>
                <w:spacing w:val="-7"/>
                <w:sz w:val="24"/>
              </w:rPr>
              <w:t> </w:t>
            </w:r>
            <w:r>
              <w:rPr>
                <w:sz w:val="24"/>
              </w:rPr>
              <w:t>Gent,</w:t>
            </w:r>
            <w:r>
              <w:rPr>
                <w:spacing w:val="-3"/>
                <w:sz w:val="24"/>
              </w:rPr>
              <w:t> </w:t>
            </w:r>
            <w:r>
              <w:rPr>
                <w:sz w:val="24"/>
              </w:rPr>
              <w:t>Nal,</w:t>
            </w:r>
            <w:r>
              <w:rPr>
                <w:spacing w:val="-7"/>
                <w:sz w:val="24"/>
              </w:rPr>
              <w:t> </w:t>
            </w:r>
            <w:r>
              <w:rPr>
                <w:sz w:val="24"/>
              </w:rPr>
              <w:t>Nit,</w:t>
            </w:r>
            <w:r>
              <w:rPr>
                <w:spacing w:val="-3"/>
                <w:sz w:val="24"/>
              </w:rPr>
              <w:t> </w:t>
            </w:r>
            <w:r>
              <w:rPr>
                <w:spacing w:val="-5"/>
                <w:sz w:val="24"/>
              </w:rPr>
              <w:t>Tet</w:t>
            </w:r>
          </w:p>
        </w:tc>
        <w:tc>
          <w:tcPr>
            <w:tcW w:w="2777" w:type="dxa"/>
            <w:tcBorders>
              <w:top w:val="single" w:sz="4" w:space="0" w:color="000000"/>
            </w:tcBorders>
          </w:tcPr>
          <w:p>
            <w:pPr>
              <w:pStyle w:val="TableParagraph"/>
              <w:spacing w:line="240" w:lineRule="auto" w:before="1"/>
              <w:ind w:left="720"/>
              <w:rPr>
                <w:sz w:val="24"/>
              </w:rPr>
            </w:pPr>
            <w:r>
              <w:rPr>
                <w:spacing w:val="-10"/>
                <w:sz w:val="24"/>
              </w:rPr>
              <w:t>2</w:t>
            </w:r>
          </w:p>
        </w:tc>
      </w:tr>
      <w:tr>
        <w:trPr>
          <w:trHeight w:val="585" w:hRule="atLeast"/>
        </w:trPr>
        <w:tc>
          <w:tcPr>
            <w:tcW w:w="667" w:type="dxa"/>
          </w:tcPr>
          <w:p>
            <w:pPr>
              <w:pStyle w:val="TableParagraph"/>
              <w:spacing w:line="240" w:lineRule="auto" w:before="124"/>
              <w:ind w:left="110"/>
              <w:jc w:val="left"/>
              <w:rPr>
                <w:sz w:val="24"/>
              </w:rPr>
            </w:pPr>
            <w:r>
              <w:rPr>
                <w:spacing w:val="-10"/>
                <w:sz w:val="24"/>
              </w:rPr>
              <w:t>2</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Cot,</w:t>
            </w:r>
            <w:r>
              <w:rPr>
                <w:spacing w:val="-3"/>
                <w:sz w:val="24"/>
              </w:rPr>
              <w:t> </w:t>
            </w:r>
            <w:r>
              <w:rPr>
                <w:sz w:val="24"/>
              </w:rPr>
              <w:t>Cxc,</w:t>
            </w:r>
            <w:r>
              <w:rPr>
                <w:spacing w:val="-7"/>
                <w:sz w:val="24"/>
              </w:rPr>
              <w:t> </w:t>
            </w:r>
            <w:r>
              <w:rPr>
                <w:sz w:val="24"/>
              </w:rPr>
              <w:t>Cxm,</w:t>
            </w:r>
            <w:r>
              <w:rPr>
                <w:spacing w:val="-8"/>
                <w:sz w:val="24"/>
              </w:rPr>
              <w:t> </w:t>
            </w:r>
            <w:r>
              <w:rPr>
                <w:sz w:val="24"/>
              </w:rPr>
              <w:t>Ery,</w:t>
            </w:r>
            <w:r>
              <w:rPr>
                <w:spacing w:val="-3"/>
                <w:sz w:val="24"/>
              </w:rPr>
              <w:t> </w:t>
            </w:r>
            <w:r>
              <w:rPr>
                <w:sz w:val="24"/>
              </w:rPr>
              <w:t>Nal,</w:t>
            </w:r>
            <w:r>
              <w:rPr>
                <w:spacing w:val="-3"/>
                <w:sz w:val="24"/>
              </w:rPr>
              <w:t> </w:t>
            </w:r>
            <w:r>
              <w:rPr>
                <w:sz w:val="24"/>
              </w:rPr>
              <w:t>Nit,</w:t>
            </w:r>
            <w:r>
              <w:rPr>
                <w:spacing w:val="-8"/>
                <w:sz w:val="24"/>
              </w:rPr>
              <w:t> </w:t>
            </w:r>
            <w:r>
              <w:rPr>
                <w:spacing w:val="-5"/>
                <w:sz w:val="24"/>
              </w:rPr>
              <w:t>Tet</w:t>
            </w:r>
          </w:p>
        </w:tc>
        <w:tc>
          <w:tcPr>
            <w:tcW w:w="2777" w:type="dxa"/>
          </w:tcPr>
          <w:p>
            <w:pPr>
              <w:pStyle w:val="TableParagraph"/>
              <w:spacing w:line="240" w:lineRule="auto" w:before="124"/>
              <w:ind w:left="1625"/>
              <w:jc w:val="left"/>
              <w:rPr>
                <w:sz w:val="24"/>
              </w:rPr>
            </w:pPr>
            <w:r>
              <w:rPr>
                <w:spacing w:val="-5"/>
                <w:sz w:val="24"/>
              </w:rPr>
              <w:t>13</w:t>
            </w:r>
          </w:p>
        </w:tc>
      </w:tr>
      <w:tr>
        <w:trPr>
          <w:trHeight w:val="585" w:hRule="atLeast"/>
        </w:trPr>
        <w:tc>
          <w:tcPr>
            <w:tcW w:w="667" w:type="dxa"/>
          </w:tcPr>
          <w:p>
            <w:pPr>
              <w:pStyle w:val="TableParagraph"/>
              <w:spacing w:line="240" w:lineRule="auto" w:before="124"/>
              <w:ind w:left="110"/>
              <w:jc w:val="left"/>
              <w:rPr>
                <w:sz w:val="24"/>
              </w:rPr>
            </w:pPr>
            <w:r>
              <w:rPr>
                <w:spacing w:val="-10"/>
                <w:sz w:val="24"/>
              </w:rPr>
              <w:t>3</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Cot,</w:t>
            </w:r>
            <w:r>
              <w:rPr>
                <w:spacing w:val="-3"/>
                <w:sz w:val="24"/>
              </w:rPr>
              <w:t> </w:t>
            </w:r>
            <w:r>
              <w:rPr>
                <w:sz w:val="24"/>
              </w:rPr>
              <w:t>Cxc,</w:t>
            </w:r>
            <w:r>
              <w:rPr>
                <w:spacing w:val="-8"/>
                <w:sz w:val="24"/>
              </w:rPr>
              <w:t> </w:t>
            </w:r>
            <w:r>
              <w:rPr>
                <w:sz w:val="24"/>
              </w:rPr>
              <w:t>Cxm,</w:t>
            </w:r>
            <w:r>
              <w:rPr>
                <w:spacing w:val="-8"/>
                <w:sz w:val="24"/>
              </w:rPr>
              <w:t> </w:t>
            </w:r>
            <w:r>
              <w:rPr>
                <w:sz w:val="24"/>
              </w:rPr>
              <w:t>Ery,</w:t>
            </w:r>
            <w:r>
              <w:rPr>
                <w:spacing w:val="-8"/>
                <w:sz w:val="24"/>
              </w:rPr>
              <w:t> </w:t>
            </w:r>
            <w:r>
              <w:rPr>
                <w:sz w:val="24"/>
              </w:rPr>
              <w:t>Gent,</w:t>
            </w:r>
            <w:r>
              <w:rPr>
                <w:spacing w:val="-3"/>
                <w:sz w:val="24"/>
              </w:rPr>
              <w:t> </w:t>
            </w:r>
            <w:r>
              <w:rPr>
                <w:sz w:val="24"/>
              </w:rPr>
              <w:t>Nit,</w:t>
            </w:r>
            <w:r>
              <w:rPr>
                <w:spacing w:val="-3"/>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2</w:t>
            </w:r>
          </w:p>
        </w:tc>
      </w:tr>
      <w:tr>
        <w:trPr>
          <w:trHeight w:val="585" w:hRule="atLeast"/>
        </w:trPr>
        <w:tc>
          <w:tcPr>
            <w:tcW w:w="667" w:type="dxa"/>
          </w:tcPr>
          <w:p>
            <w:pPr>
              <w:pStyle w:val="TableParagraph"/>
              <w:spacing w:line="240" w:lineRule="auto" w:before="124"/>
              <w:ind w:left="110"/>
              <w:jc w:val="left"/>
              <w:rPr>
                <w:sz w:val="24"/>
              </w:rPr>
            </w:pPr>
            <w:r>
              <w:rPr>
                <w:spacing w:val="-10"/>
                <w:sz w:val="24"/>
              </w:rPr>
              <w:t>4</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Cot,</w:t>
            </w:r>
            <w:r>
              <w:rPr>
                <w:spacing w:val="-4"/>
                <w:sz w:val="24"/>
              </w:rPr>
              <w:t> </w:t>
            </w:r>
            <w:r>
              <w:rPr>
                <w:sz w:val="24"/>
              </w:rPr>
              <w:t>Cxc,</w:t>
            </w:r>
            <w:r>
              <w:rPr>
                <w:spacing w:val="-8"/>
                <w:sz w:val="24"/>
              </w:rPr>
              <w:t> </w:t>
            </w:r>
            <w:r>
              <w:rPr>
                <w:sz w:val="24"/>
              </w:rPr>
              <w:t>Cxm,</w:t>
            </w:r>
            <w:r>
              <w:rPr>
                <w:spacing w:val="-8"/>
                <w:sz w:val="24"/>
              </w:rPr>
              <w:t> </w:t>
            </w:r>
            <w:r>
              <w:rPr>
                <w:sz w:val="24"/>
              </w:rPr>
              <w:t>Ery,</w:t>
            </w:r>
            <w:r>
              <w:rPr>
                <w:spacing w:val="-3"/>
                <w:sz w:val="24"/>
              </w:rPr>
              <w:t> </w:t>
            </w:r>
            <w:r>
              <w:rPr>
                <w:sz w:val="24"/>
              </w:rPr>
              <w:t>Nal,</w:t>
            </w:r>
            <w:r>
              <w:rPr>
                <w:spacing w:val="-3"/>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10"/>
                <w:sz w:val="24"/>
              </w:rPr>
              <w:t>5</w:t>
            </w:r>
          </w:p>
        </w:tc>
        <w:tc>
          <w:tcPr>
            <w:tcW w:w="6136"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8"/>
                <w:sz w:val="24"/>
              </w:rPr>
              <w:t> </w:t>
            </w:r>
            <w:r>
              <w:rPr>
                <w:sz w:val="24"/>
              </w:rPr>
              <w:t>Chl,</w:t>
            </w:r>
            <w:r>
              <w:rPr>
                <w:spacing w:val="-8"/>
                <w:sz w:val="24"/>
              </w:rPr>
              <w:t> </w:t>
            </w:r>
            <w:r>
              <w:rPr>
                <w:sz w:val="24"/>
              </w:rPr>
              <w:t>Cot,</w:t>
            </w:r>
            <w:r>
              <w:rPr>
                <w:spacing w:val="-4"/>
                <w:sz w:val="24"/>
              </w:rPr>
              <w:t> </w:t>
            </w:r>
            <w:r>
              <w:rPr>
                <w:sz w:val="24"/>
              </w:rPr>
              <w:t>Cxc,</w:t>
            </w:r>
            <w:r>
              <w:rPr>
                <w:spacing w:val="-8"/>
                <w:sz w:val="24"/>
              </w:rPr>
              <w:t> </w:t>
            </w:r>
            <w:r>
              <w:rPr>
                <w:sz w:val="24"/>
              </w:rPr>
              <w:t>Cxm,Ery,</w:t>
            </w:r>
            <w:r>
              <w:rPr>
                <w:spacing w:val="-8"/>
                <w:sz w:val="24"/>
              </w:rPr>
              <w:t> </w:t>
            </w:r>
            <w:r>
              <w:rPr>
                <w:sz w:val="24"/>
              </w:rPr>
              <w:t>Nit,</w:t>
            </w:r>
            <w:r>
              <w:rPr>
                <w:spacing w:val="-4"/>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8</w:t>
            </w:r>
          </w:p>
        </w:tc>
      </w:tr>
      <w:tr>
        <w:trPr>
          <w:trHeight w:val="585" w:hRule="atLeast"/>
        </w:trPr>
        <w:tc>
          <w:tcPr>
            <w:tcW w:w="667" w:type="dxa"/>
          </w:tcPr>
          <w:p>
            <w:pPr>
              <w:pStyle w:val="TableParagraph"/>
              <w:spacing w:line="240" w:lineRule="auto" w:before="124"/>
              <w:ind w:left="110"/>
              <w:jc w:val="left"/>
              <w:rPr>
                <w:sz w:val="24"/>
              </w:rPr>
            </w:pPr>
            <w:r>
              <w:rPr>
                <w:spacing w:val="-10"/>
                <w:sz w:val="24"/>
              </w:rPr>
              <w:t>6</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Cot,</w:t>
            </w:r>
            <w:r>
              <w:rPr>
                <w:spacing w:val="-4"/>
                <w:sz w:val="24"/>
              </w:rPr>
              <w:t> </w:t>
            </w:r>
            <w:r>
              <w:rPr>
                <w:sz w:val="24"/>
              </w:rPr>
              <w:t>Cxc,</w:t>
            </w:r>
            <w:r>
              <w:rPr>
                <w:spacing w:val="-8"/>
                <w:sz w:val="24"/>
              </w:rPr>
              <w:t> </w:t>
            </w:r>
            <w:r>
              <w:rPr>
                <w:sz w:val="24"/>
              </w:rPr>
              <w:t>Cxm,</w:t>
            </w:r>
            <w:r>
              <w:rPr>
                <w:spacing w:val="-8"/>
                <w:sz w:val="24"/>
              </w:rPr>
              <w:t> </w:t>
            </w:r>
            <w:r>
              <w:rPr>
                <w:sz w:val="24"/>
              </w:rPr>
              <w:t>Ery,</w:t>
            </w:r>
            <w:r>
              <w:rPr>
                <w:spacing w:val="-3"/>
                <w:sz w:val="24"/>
              </w:rPr>
              <w:t> </w:t>
            </w:r>
            <w:r>
              <w:rPr>
                <w:sz w:val="24"/>
              </w:rPr>
              <w:t>Nal,</w:t>
            </w:r>
            <w:r>
              <w:rPr>
                <w:spacing w:val="-3"/>
                <w:sz w:val="24"/>
              </w:rPr>
              <w:t> </w:t>
            </w:r>
            <w:r>
              <w:rPr>
                <w:spacing w:val="-5"/>
                <w:sz w:val="24"/>
              </w:rPr>
              <w:t>Nit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10"/>
                <w:sz w:val="24"/>
              </w:rPr>
              <w:t>7</w:t>
            </w:r>
          </w:p>
        </w:tc>
        <w:tc>
          <w:tcPr>
            <w:tcW w:w="6136"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9"/>
                <w:sz w:val="24"/>
              </w:rPr>
              <w:t> </w:t>
            </w:r>
            <w:r>
              <w:rPr>
                <w:sz w:val="24"/>
              </w:rPr>
              <w:t>Chl,</w:t>
            </w:r>
            <w:r>
              <w:rPr>
                <w:spacing w:val="-9"/>
                <w:sz w:val="24"/>
              </w:rPr>
              <w:t> </w:t>
            </w:r>
            <w:r>
              <w:rPr>
                <w:sz w:val="24"/>
              </w:rPr>
              <w:t>Cot,</w:t>
            </w:r>
            <w:r>
              <w:rPr>
                <w:spacing w:val="-4"/>
                <w:sz w:val="24"/>
              </w:rPr>
              <w:t> </w:t>
            </w:r>
            <w:r>
              <w:rPr>
                <w:sz w:val="24"/>
              </w:rPr>
              <w:t>Cxc,Ery,</w:t>
            </w:r>
            <w:r>
              <w:rPr>
                <w:spacing w:val="-9"/>
                <w:sz w:val="24"/>
              </w:rPr>
              <w:t> </w:t>
            </w:r>
            <w:r>
              <w:rPr>
                <w:sz w:val="24"/>
              </w:rPr>
              <w:t>Nal,</w:t>
            </w:r>
            <w:r>
              <w:rPr>
                <w:spacing w:val="-4"/>
                <w:sz w:val="24"/>
              </w:rPr>
              <w:t> </w:t>
            </w:r>
            <w:r>
              <w:rPr>
                <w:sz w:val="24"/>
              </w:rPr>
              <w:t>Nit,</w:t>
            </w:r>
            <w:r>
              <w:rPr>
                <w:spacing w:val="-4"/>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10"/>
                <w:sz w:val="24"/>
              </w:rPr>
              <w:t>8</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7"/>
                <w:sz w:val="24"/>
              </w:rPr>
              <w:t> </w:t>
            </w:r>
            <w:r>
              <w:rPr>
                <w:sz w:val="24"/>
              </w:rPr>
              <w:t>Chl,</w:t>
            </w:r>
            <w:r>
              <w:rPr>
                <w:spacing w:val="-8"/>
                <w:sz w:val="24"/>
              </w:rPr>
              <w:t> </w:t>
            </w:r>
            <w:r>
              <w:rPr>
                <w:sz w:val="24"/>
              </w:rPr>
              <w:t>Cot,</w:t>
            </w:r>
            <w:r>
              <w:rPr>
                <w:spacing w:val="-3"/>
                <w:sz w:val="24"/>
              </w:rPr>
              <w:t> </w:t>
            </w:r>
            <w:r>
              <w:rPr>
                <w:sz w:val="24"/>
              </w:rPr>
              <w:t>Cxc,</w:t>
            </w:r>
            <w:r>
              <w:rPr>
                <w:spacing w:val="-7"/>
                <w:sz w:val="24"/>
              </w:rPr>
              <w:t> </w:t>
            </w:r>
            <w:r>
              <w:rPr>
                <w:sz w:val="24"/>
              </w:rPr>
              <w:t>Cxm,</w:t>
            </w:r>
            <w:r>
              <w:rPr>
                <w:spacing w:val="-8"/>
                <w:sz w:val="24"/>
              </w:rPr>
              <w:t> </w:t>
            </w:r>
            <w:r>
              <w:rPr>
                <w:sz w:val="24"/>
              </w:rPr>
              <w:t>Ery,</w:t>
            </w:r>
            <w:r>
              <w:rPr>
                <w:spacing w:val="-2"/>
                <w:sz w:val="24"/>
              </w:rPr>
              <w:t> </w:t>
            </w:r>
            <w:r>
              <w:rPr>
                <w:spacing w:val="-5"/>
                <w:sz w:val="24"/>
              </w:rPr>
              <w:t>Nit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10"/>
                <w:sz w:val="24"/>
              </w:rPr>
              <w:t>9</w:t>
            </w:r>
          </w:p>
        </w:tc>
        <w:tc>
          <w:tcPr>
            <w:tcW w:w="6136" w:type="dxa"/>
          </w:tcPr>
          <w:p>
            <w:pPr>
              <w:pStyle w:val="TableParagraph"/>
              <w:spacing w:line="240" w:lineRule="auto" w:before="124"/>
              <w:ind w:left="182"/>
              <w:jc w:val="left"/>
              <w:rPr>
                <w:sz w:val="24"/>
              </w:rPr>
            </w:pPr>
            <w:r>
              <w:rPr>
                <w:sz w:val="24"/>
              </w:rPr>
              <w:t>Amx,</w:t>
            </w:r>
            <w:r>
              <w:rPr>
                <w:spacing w:val="-9"/>
                <w:sz w:val="24"/>
              </w:rPr>
              <w:t> </w:t>
            </w:r>
            <w:r>
              <w:rPr>
                <w:sz w:val="24"/>
              </w:rPr>
              <w:t>Chl,</w:t>
            </w:r>
            <w:r>
              <w:rPr>
                <w:spacing w:val="-8"/>
                <w:sz w:val="24"/>
              </w:rPr>
              <w:t> </w:t>
            </w:r>
            <w:r>
              <w:rPr>
                <w:sz w:val="24"/>
              </w:rPr>
              <w:t>Cot,</w:t>
            </w:r>
            <w:r>
              <w:rPr>
                <w:spacing w:val="-8"/>
                <w:sz w:val="24"/>
              </w:rPr>
              <w:t> </w:t>
            </w:r>
            <w:r>
              <w:rPr>
                <w:sz w:val="24"/>
              </w:rPr>
              <w:t>Cxc,</w:t>
            </w:r>
            <w:r>
              <w:rPr>
                <w:spacing w:val="-8"/>
                <w:sz w:val="24"/>
              </w:rPr>
              <w:t> </w:t>
            </w:r>
            <w:r>
              <w:rPr>
                <w:sz w:val="24"/>
              </w:rPr>
              <w:t>Cxm,</w:t>
            </w:r>
            <w:r>
              <w:rPr>
                <w:spacing w:val="-3"/>
                <w:sz w:val="24"/>
              </w:rPr>
              <w:t> </w:t>
            </w:r>
            <w:r>
              <w:rPr>
                <w:sz w:val="24"/>
              </w:rPr>
              <w:t>Ery,</w:t>
            </w:r>
            <w:r>
              <w:rPr>
                <w:spacing w:val="-4"/>
                <w:sz w:val="24"/>
              </w:rPr>
              <w:t> </w:t>
            </w:r>
            <w:r>
              <w:rPr>
                <w:sz w:val="24"/>
              </w:rPr>
              <w:t>Nit,</w:t>
            </w:r>
            <w:r>
              <w:rPr>
                <w:spacing w:val="-3"/>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7" w:hRule="atLeast"/>
        </w:trPr>
        <w:tc>
          <w:tcPr>
            <w:tcW w:w="667" w:type="dxa"/>
          </w:tcPr>
          <w:p>
            <w:pPr>
              <w:pStyle w:val="TableParagraph"/>
              <w:spacing w:line="240" w:lineRule="auto" w:before="124"/>
              <w:ind w:left="110"/>
              <w:jc w:val="left"/>
              <w:rPr>
                <w:sz w:val="24"/>
              </w:rPr>
            </w:pPr>
            <w:r>
              <w:rPr>
                <w:spacing w:val="-5"/>
                <w:sz w:val="24"/>
              </w:rPr>
              <w:t>10</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Cot,</w:t>
            </w:r>
            <w:r>
              <w:rPr>
                <w:spacing w:val="-8"/>
                <w:sz w:val="24"/>
              </w:rPr>
              <w:t> </w:t>
            </w:r>
            <w:r>
              <w:rPr>
                <w:sz w:val="24"/>
              </w:rPr>
              <w:t>Cxc,</w:t>
            </w:r>
            <w:r>
              <w:rPr>
                <w:spacing w:val="-8"/>
                <w:sz w:val="24"/>
              </w:rPr>
              <w:t> </w:t>
            </w:r>
            <w:r>
              <w:rPr>
                <w:sz w:val="24"/>
              </w:rPr>
              <w:t>Cxm,</w:t>
            </w:r>
            <w:r>
              <w:rPr>
                <w:spacing w:val="-7"/>
                <w:sz w:val="24"/>
              </w:rPr>
              <w:t> </w:t>
            </w:r>
            <w:r>
              <w:rPr>
                <w:sz w:val="24"/>
              </w:rPr>
              <w:t>Ery,</w:t>
            </w:r>
            <w:r>
              <w:rPr>
                <w:spacing w:val="-3"/>
                <w:sz w:val="24"/>
              </w:rPr>
              <w:t> </w:t>
            </w:r>
            <w:r>
              <w:rPr>
                <w:sz w:val="24"/>
              </w:rPr>
              <w:t>Nal,</w:t>
            </w:r>
            <w:r>
              <w:rPr>
                <w:spacing w:val="-3"/>
                <w:sz w:val="24"/>
              </w:rPr>
              <w:t> </w:t>
            </w:r>
            <w:r>
              <w:rPr>
                <w:sz w:val="24"/>
              </w:rPr>
              <w:t>Nit,</w:t>
            </w:r>
            <w:r>
              <w:rPr>
                <w:spacing w:val="-8"/>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7" w:hRule="atLeast"/>
        </w:trPr>
        <w:tc>
          <w:tcPr>
            <w:tcW w:w="667" w:type="dxa"/>
          </w:tcPr>
          <w:p>
            <w:pPr>
              <w:pStyle w:val="TableParagraph"/>
              <w:spacing w:line="240" w:lineRule="auto" w:before="126"/>
              <w:ind w:left="110"/>
              <w:jc w:val="left"/>
              <w:rPr>
                <w:sz w:val="24"/>
              </w:rPr>
            </w:pPr>
            <w:r>
              <w:rPr>
                <w:spacing w:val="-5"/>
                <w:sz w:val="24"/>
              </w:rPr>
              <w:t>11</w:t>
            </w:r>
          </w:p>
        </w:tc>
        <w:tc>
          <w:tcPr>
            <w:tcW w:w="6136" w:type="dxa"/>
          </w:tcPr>
          <w:p>
            <w:pPr>
              <w:pStyle w:val="TableParagraph"/>
              <w:spacing w:line="240" w:lineRule="auto" w:before="126"/>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Cot,</w:t>
            </w:r>
            <w:r>
              <w:rPr>
                <w:spacing w:val="-4"/>
                <w:sz w:val="24"/>
              </w:rPr>
              <w:t> </w:t>
            </w:r>
            <w:r>
              <w:rPr>
                <w:sz w:val="24"/>
              </w:rPr>
              <w:t>Cxc,</w:t>
            </w:r>
            <w:r>
              <w:rPr>
                <w:spacing w:val="-7"/>
                <w:sz w:val="24"/>
              </w:rPr>
              <w:t> </w:t>
            </w:r>
            <w:r>
              <w:rPr>
                <w:sz w:val="24"/>
              </w:rPr>
              <w:t>Ery,</w:t>
            </w:r>
            <w:r>
              <w:rPr>
                <w:spacing w:val="-4"/>
                <w:sz w:val="24"/>
              </w:rPr>
              <w:t> </w:t>
            </w:r>
            <w:r>
              <w:rPr>
                <w:sz w:val="24"/>
              </w:rPr>
              <w:t>Nit,</w:t>
            </w:r>
            <w:r>
              <w:rPr>
                <w:spacing w:val="-3"/>
                <w:sz w:val="24"/>
              </w:rPr>
              <w:t> </w:t>
            </w:r>
            <w:r>
              <w:rPr>
                <w:spacing w:val="-5"/>
                <w:sz w:val="24"/>
              </w:rPr>
              <w:t>Tet</w:t>
            </w:r>
          </w:p>
        </w:tc>
        <w:tc>
          <w:tcPr>
            <w:tcW w:w="2777" w:type="dxa"/>
          </w:tcPr>
          <w:p>
            <w:pPr>
              <w:pStyle w:val="TableParagraph"/>
              <w:spacing w:line="240" w:lineRule="auto" w:before="126"/>
              <w:ind w:left="720"/>
              <w:rPr>
                <w:sz w:val="24"/>
              </w:rPr>
            </w:pPr>
            <w:r>
              <w:rPr>
                <w:spacing w:val="-10"/>
                <w:sz w:val="24"/>
              </w:rPr>
              <w:t>6</w:t>
            </w:r>
          </w:p>
        </w:tc>
      </w:tr>
      <w:tr>
        <w:trPr>
          <w:trHeight w:val="585" w:hRule="atLeast"/>
        </w:trPr>
        <w:tc>
          <w:tcPr>
            <w:tcW w:w="667" w:type="dxa"/>
          </w:tcPr>
          <w:p>
            <w:pPr>
              <w:pStyle w:val="TableParagraph"/>
              <w:spacing w:line="240" w:lineRule="auto" w:before="124"/>
              <w:ind w:left="110"/>
              <w:jc w:val="left"/>
              <w:rPr>
                <w:sz w:val="24"/>
              </w:rPr>
            </w:pPr>
            <w:r>
              <w:rPr>
                <w:spacing w:val="-5"/>
                <w:sz w:val="24"/>
              </w:rPr>
              <w:t>12</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7"/>
                <w:sz w:val="24"/>
              </w:rPr>
              <w:t> </w:t>
            </w:r>
            <w:r>
              <w:rPr>
                <w:sz w:val="24"/>
              </w:rPr>
              <w:t>Chl,</w:t>
            </w:r>
            <w:r>
              <w:rPr>
                <w:spacing w:val="-8"/>
                <w:sz w:val="24"/>
              </w:rPr>
              <w:t> </w:t>
            </w:r>
            <w:r>
              <w:rPr>
                <w:sz w:val="24"/>
              </w:rPr>
              <w:t>Cot,</w:t>
            </w:r>
            <w:r>
              <w:rPr>
                <w:spacing w:val="-3"/>
                <w:sz w:val="24"/>
              </w:rPr>
              <w:t> </w:t>
            </w:r>
            <w:r>
              <w:rPr>
                <w:sz w:val="24"/>
              </w:rPr>
              <w:t>Cxc,</w:t>
            </w:r>
            <w:r>
              <w:rPr>
                <w:spacing w:val="-7"/>
                <w:sz w:val="24"/>
              </w:rPr>
              <w:t> </w:t>
            </w:r>
            <w:r>
              <w:rPr>
                <w:sz w:val="24"/>
              </w:rPr>
              <w:t>Cxm,</w:t>
            </w:r>
            <w:r>
              <w:rPr>
                <w:spacing w:val="-8"/>
                <w:sz w:val="24"/>
              </w:rPr>
              <w:t> </w:t>
            </w:r>
            <w:r>
              <w:rPr>
                <w:sz w:val="24"/>
              </w:rPr>
              <w:t>Ery,</w:t>
            </w:r>
            <w:r>
              <w:rPr>
                <w:spacing w:val="-2"/>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2</w:t>
            </w:r>
          </w:p>
        </w:tc>
      </w:tr>
      <w:tr>
        <w:trPr>
          <w:trHeight w:val="585" w:hRule="atLeast"/>
        </w:trPr>
        <w:tc>
          <w:tcPr>
            <w:tcW w:w="667" w:type="dxa"/>
          </w:tcPr>
          <w:p>
            <w:pPr>
              <w:pStyle w:val="TableParagraph"/>
              <w:spacing w:line="240" w:lineRule="auto" w:before="124"/>
              <w:ind w:left="110"/>
              <w:jc w:val="left"/>
              <w:rPr>
                <w:sz w:val="24"/>
              </w:rPr>
            </w:pPr>
            <w:r>
              <w:rPr>
                <w:spacing w:val="-5"/>
                <w:sz w:val="24"/>
              </w:rPr>
              <w:t>13</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7"/>
                <w:sz w:val="24"/>
              </w:rPr>
              <w:t> </w:t>
            </w:r>
            <w:r>
              <w:rPr>
                <w:sz w:val="24"/>
              </w:rPr>
              <w:t>Cot,</w:t>
            </w:r>
            <w:r>
              <w:rPr>
                <w:spacing w:val="-3"/>
                <w:sz w:val="24"/>
              </w:rPr>
              <w:t> </w:t>
            </w:r>
            <w:r>
              <w:rPr>
                <w:sz w:val="24"/>
              </w:rPr>
              <w:t>Cxc,</w:t>
            </w:r>
            <w:r>
              <w:rPr>
                <w:spacing w:val="-8"/>
                <w:sz w:val="24"/>
              </w:rPr>
              <w:t> </w:t>
            </w:r>
            <w:r>
              <w:rPr>
                <w:sz w:val="24"/>
              </w:rPr>
              <w:t>Ery,</w:t>
            </w:r>
            <w:r>
              <w:rPr>
                <w:spacing w:val="-3"/>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9</w:t>
            </w:r>
          </w:p>
        </w:tc>
      </w:tr>
      <w:tr>
        <w:trPr>
          <w:trHeight w:val="585" w:hRule="atLeast"/>
        </w:trPr>
        <w:tc>
          <w:tcPr>
            <w:tcW w:w="667" w:type="dxa"/>
          </w:tcPr>
          <w:p>
            <w:pPr>
              <w:pStyle w:val="TableParagraph"/>
              <w:spacing w:line="240" w:lineRule="auto" w:before="124"/>
              <w:ind w:left="110"/>
              <w:jc w:val="left"/>
              <w:rPr>
                <w:sz w:val="24"/>
              </w:rPr>
            </w:pPr>
            <w:r>
              <w:rPr>
                <w:spacing w:val="-5"/>
                <w:sz w:val="24"/>
              </w:rPr>
              <w:t>14</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Cxc,</w:t>
            </w:r>
            <w:r>
              <w:rPr>
                <w:spacing w:val="-8"/>
                <w:sz w:val="24"/>
              </w:rPr>
              <w:t> </w:t>
            </w:r>
            <w:r>
              <w:rPr>
                <w:sz w:val="24"/>
              </w:rPr>
              <w:t>Cxm,</w:t>
            </w:r>
            <w:r>
              <w:rPr>
                <w:spacing w:val="-3"/>
                <w:sz w:val="24"/>
              </w:rPr>
              <w:t> </w:t>
            </w:r>
            <w:r>
              <w:rPr>
                <w:sz w:val="24"/>
              </w:rPr>
              <w:t>Ery,</w:t>
            </w:r>
            <w:r>
              <w:rPr>
                <w:spacing w:val="-3"/>
                <w:sz w:val="24"/>
              </w:rPr>
              <w:t> </w:t>
            </w:r>
            <w:r>
              <w:rPr>
                <w:sz w:val="24"/>
              </w:rPr>
              <w:t>Nit,</w:t>
            </w:r>
            <w:r>
              <w:rPr>
                <w:spacing w:val="-8"/>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5"/>
                <w:sz w:val="24"/>
              </w:rPr>
              <w:t>15</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Chl,</w:t>
            </w:r>
            <w:r>
              <w:rPr>
                <w:spacing w:val="-8"/>
                <w:sz w:val="24"/>
              </w:rPr>
              <w:t> </w:t>
            </w:r>
            <w:r>
              <w:rPr>
                <w:sz w:val="24"/>
              </w:rPr>
              <w:t>Cxc,</w:t>
            </w:r>
            <w:r>
              <w:rPr>
                <w:spacing w:val="-3"/>
                <w:sz w:val="24"/>
              </w:rPr>
              <w:t> </w:t>
            </w:r>
            <w:r>
              <w:rPr>
                <w:sz w:val="24"/>
              </w:rPr>
              <w:t>Ery,</w:t>
            </w:r>
            <w:r>
              <w:rPr>
                <w:spacing w:val="-3"/>
                <w:sz w:val="24"/>
              </w:rPr>
              <w:t> </w:t>
            </w:r>
            <w:r>
              <w:rPr>
                <w:sz w:val="24"/>
              </w:rPr>
              <w:t>Nit,</w:t>
            </w:r>
            <w:r>
              <w:rPr>
                <w:spacing w:val="-8"/>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4</w:t>
            </w:r>
          </w:p>
        </w:tc>
      </w:tr>
      <w:tr>
        <w:trPr>
          <w:trHeight w:val="585" w:hRule="atLeast"/>
        </w:trPr>
        <w:tc>
          <w:tcPr>
            <w:tcW w:w="667" w:type="dxa"/>
          </w:tcPr>
          <w:p>
            <w:pPr>
              <w:pStyle w:val="TableParagraph"/>
              <w:spacing w:line="240" w:lineRule="auto" w:before="124"/>
              <w:ind w:left="110"/>
              <w:jc w:val="left"/>
              <w:rPr>
                <w:sz w:val="24"/>
              </w:rPr>
            </w:pPr>
            <w:r>
              <w:rPr>
                <w:spacing w:val="-5"/>
                <w:sz w:val="24"/>
              </w:rPr>
              <w:t>16</w:t>
            </w:r>
          </w:p>
        </w:tc>
        <w:tc>
          <w:tcPr>
            <w:tcW w:w="6136"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8"/>
                <w:sz w:val="24"/>
              </w:rPr>
              <w:t> </w:t>
            </w:r>
            <w:r>
              <w:rPr>
                <w:sz w:val="24"/>
              </w:rPr>
              <w:t>Chl,</w:t>
            </w:r>
            <w:r>
              <w:rPr>
                <w:spacing w:val="-8"/>
                <w:sz w:val="24"/>
              </w:rPr>
              <w:t> </w:t>
            </w:r>
            <w:r>
              <w:rPr>
                <w:sz w:val="24"/>
              </w:rPr>
              <w:t>Cxc,</w:t>
            </w:r>
            <w:r>
              <w:rPr>
                <w:spacing w:val="-8"/>
                <w:sz w:val="24"/>
              </w:rPr>
              <w:t> </w:t>
            </w:r>
            <w:r>
              <w:rPr>
                <w:sz w:val="24"/>
              </w:rPr>
              <w:t>Cxm,</w:t>
            </w:r>
            <w:r>
              <w:rPr>
                <w:spacing w:val="-3"/>
                <w:sz w:val="24"/>
              </w:rPr>
              <w:t> </w:t>
            </w:r>
            <w:r>
              <w:rPr>
                <w:sz w:val="24"/>
              </w:rPr>
              <w:t>Ery,</w:t>
            </w:r>
            <w:r>
              <w:rPr>
                <w:spacing w:val="-4"/>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5"/>
                <w:sz w:val="24"/>
              </w:rPr>
              <w:t>17</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Chl,</w:t>
            </w:r>
            <w:r>
              <w:rPr>
                <w:spacing w:val="-8"/>
                <w:sz w:val="24"/>
              </w:rPr>
              <w:t> </w:t>
            </w:r>
            <w:r>
              <w:rPr>
                <w:sz w:val="24"/>
              </w:rPr>
              <w:t>Cxc,</w:t>
            </w:r>
            <w:r>
              <w:rPr>
                <w:spacing w:val="-3"/>
                <w:sz w:val="24"/>
              </w:rPr>
              <w:t> </w:t>
            </w:r>
            <w:r>
              <w:rPr>
                <w:sz w:val="24"/>
              </w:rPr>
              <w:t>Cxm,</w:t>
            </w:r>
            <w:r>
              <w:rPr>
                <w:spacing w:val="-7"/>
                <w:sz w:val="24"/>
              </w:rPr>
              <w:t> </w:t>
            </w:r>
            <w:r>
              <w:rPr>
                <w:sz w:val="24"/>
              </w:rPr>
              <w:t>Ery,</w:t>
            </w:r>
            <w:r>
              <w:rPr>
                <w:spacing w:val="-8"/>
                <w:sz w:val="24"/>
              </w:rPr>
              <w:t> </w:t>
            </w:r>
            <w:r>
              <w:rPr>
                <w:sz w:val="24"/>
              </w:rPr>
              <w:t>Nit,</w:t>
            </w:r>
            <w:r>
              <w:rPr>
                <w:spacing w:val="-3"/>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1</w:t>
            </w:r>
          </w:p>
        </w:tc>
      </w:tr>
      <w:tr>
        <w:trPr>
          <w:trHeight w:val="585" w:hRule="atLeast"/>
        </w:trPr>
        <w:tc>
          <w:tcPr>
            <w:tcW w:w="667" w:type="dxa"/>
          </w:tcPr>
          <w:p>
            <w:pPr>
              <w:pStyle w:val="TableParagraph"/>
              <w:spacing w:line="240" w:lineRule="auto" w:before="124"/>
              <w:ind w:left="110"/>
              <w:jc w:val="left"/>
              <w:rPr>
                <w:sz w:val="24"/>
              </w:rPr>
            </w:pPr>
            <w:r>
              <w:rPr>
                <w:spacing w:val="-5"/>
                <w:sz w:val="24"/>
              </w:rPr>
              <w:t>18</w:t>
            </w:r>
          </w:p>
        </w:tc>
        <w:tc>
          <w:tcPr>
            <w:tcW w:w="6136" w:type="dxa"/>
          </w:tcPr>
          <w:p>
            <w:pPr>
              <w:pStyle w:val="TableParagraph"/>
              <w:spacing w:line="240" w:lineRule="auto" w:before="124"/>
              <w:ind w:left="182"/>
              <w:jc w:val="left"/>
              <w:rPr>
                <w:sz w:val="24"/>
              </w:rPr>
            </w:pPr>
            <w:r>
              <w:rPr>
                <w:sz w:val="24"/>
              </w:rPr>
              <w:t>Amx,</w:t>
            </w:r>
            <w:r>
              <w:rPr>
                <w:spacing w:val="-8"/>
                <w:sz w:val="24"/>
              </w:rPr>
              <w:t> </w:t>
            </w:r>
            <w:r>
              <w:rPr>
                <w:sz w:val="24"/>
              </w:rPr>
              <w:t>Amc,</w:t>
            </w:r>
            <w:r>
              <w:rPr>
                <w:spacing w:val="-8"/>
                <w:sz w:val="24"/>
              </w:rPr>
              <w:t> </w:t>
            </w:r>
            <w:r>
              <w:rPr>
                <w:sz w:val="24"/>
              </w:rPr>
              <w:t>Cot,</w:t>
            </w:r>
            <w:r>
              <w:rPr>
                <w:spacing w:val="-3"/>
                <w:sz w:val="24"/>
              </w:rPr>
              <w:t> </w:t>
            </w:r>
            <w:r>
              <w:rPr>
                <w:sz w:val="24"/>
              </w:rPr>
              <w:t>Cxc,</w:t>
            </w:r>
            <w:r>
              <w:rPr>
                <w:spacing w:val="-8"/>
                <w:sz w:val="24"/>
              </w:rPr>
              <w:t> </w:t>
            </w:r>
            <w:r>
              <w:rPr>
                <w:sz w:val="24"/>
              </w:rPr>
              <w:t>Ery,</w:t>
            </w:r>
            <w:r>
              <w:rPr>
                <w:spacing w:val="-8"/>
                <w:sz w:val="24"/>
              </w:rPr>
              <w:t> </w:t>
            </w:r>
            <w:r>
              <w:rPr>
                <w:spacing w:val="-5"/>
                <w:sz w:val="24"/>
              </w:rPr>
              <w:t>Tet</w:t>
            </w:r>
          </w:p>
        </w:tc>
        <w:tc>
          <w:tcPr>
            <w:tcW w:w="2777" w:type="dxa"/>
          </w:tcPr>
          <w:p>
            <w:pPr>
              <w:pStyle w:val="TableParagraph"/>
              <w:spacing w:line="240" w:lineRule="auto" w:before="124"/>
              <w:ind w:left="720"/>
              <w:rPr>
                <w:sz w:val="24"/>
              </w:rPr>
            </w:pPr>
            <w:r>
              <w:rPr>
                <w:spacing w:val="-10"/>
                <w:sz w:val="24"/>
              </w:rPr>
              <w:t>2</w:t>
            </w:r>
          </w:p>
        </w:tc>
      </w:tr>
      <w:tr>
        <w:trPr>
          <w:trHeight w:val="412" w:hRule="atLeast"/>
        </w:trPr>
        <w:tc>
          <w:tcPr>
            <w:tcW w:w="667" w:type="dxa"/>
          </w:tcPr>
          <w:p>
            <w:pPr>
              <w:pStyle w:val="TableParagraph"/>
              <w:spacing w:line="269" w:lineRule="exact" w:before="124"/>
              <w:ind w:left="110"/>
              <w:jc w:val="left"/>
              <w:rPr>
                <w:sz w:val="24"/>
              </w:rPr>
            </w:pPr>
            <w:r>
              <w:rPr>
                <w:spacing w:val="-5"/>
                <w:sz w:val="24"/>
              </w:rPr>
              <w:t>19</w:t>
            </w:r>
          </w:p>
        </w:tc>
        <w:tc>
          <w:tcPr>
            <w:tcW w:w="6136" w:type="dxa"/>
          </w:tcPr>
          <w:p>
            <w:pPr>
              <w:pStyle w:val="TableParagraph"/>
              <w:spacing w:line="269" w:lineRule="exact" w:before="124"/>
              <w:ind w:left="182"/>
              <w:jc w:val="left"/>
              <w:rPr>
                <w:sz w:val="24"/>
              </w:rPr>
            </w:pPr>
            <w:r>
              <w:rPr>
                <w:sz w:val="24"/>
              </w:rPr>
              <w:t>Amx,</w:t>
            </w:r>
            <w:r>
              <w:rPr>
                <w:spacing w:val="-9"/>
                <w:sz w:val="24"/>
              </w:rPr>
              <w:t> </w:t>
            </w:r>
            <w:r>
              <w:rPr>
                <w:sz w:val="24"/>
              </w:rPr>
              <w:t>Amc,</w:t>
            </w:r>
            <w:r>
              <w:rPr>
                <w:spacing w:val="-9"/>
                <w:sz w:val="24"/>
              </w:rPr>
              <w:t> </w:t>
            </w:r>
            <w:r>
              <w:rPr>
                <w:sz w:val="24"/>
              </w:rPr>
              <w:t>Cxc,</w:t>
            </w:r>
            <w:r>
              <w:rPr>
                <w:spacing w:val="-5"/>
                <w:sz w:val="24"/>
              </w:rPr>
              <w:t> </w:t>
            </w:r>
            <w:r>
              <w:rPr>
                <w:sz w:val="24"/>
              </w:rPr>
              <w:t>Ery,</w:t>
            </w:r>
            <w:r>
              <w:rPr>
                <w:spacing w:val="-4"/>
                <w:sz w:val="24"/>
              </w:rPr>
              <w:t> </w:t>
            </w:r>
            <w:r>
              <w:rPr>
                <w:sz w:val="24"/>
              </w:rPr>
              <w:t>Nit,</w:t>
            </w:r>
            <w:r>
              <w:rPr>
                <w:spacing w:val="-4"/>
                <w:sz w:val="24"/>
              </w:rPr>
              <w:t> </w:t>
            </w:r>
            <w:r>
              <w:rPr>
                <w:spacing w:val="-5"/>
                <w:sz w:val="24"/>
              </w:rPr>
              <w:t>Tet</w:t>
            </w:r>
          </w:p>
        </w:tc>
        <w:tc>
          <w:tcPr>
            <w:tcW w:w="2777" w:type="dxa"/>
          </w:tcPr>
          <w:p>
            <w:pPr>
              <w:pStyle w:val="TableParagraph"/>
              <w:spacing w:line="269" w:lineRule="exact" w:before="124"/>
              <w:ind w:left="720"/>
              <w:rPr>
                <w:sz w:val="24"/>
              </w:rPr>
            </w:pPr>
            <w:r>
              <w:rPr>
                <w:spacing w:val="-10"/>
                <w:sz w:val="24"/>
              </w:rPr>
              <w:t>4</w:t>
            </w:r>
          </w:p>
        </w:tc>
      </w:tr>
    </w:tbl>
    <w:p>
      <w:pPr>
        <w:spacing w:after="0" w:line="269" w:lineRule="exact"/>
        <w:rPr>
          <w:sz w:val="24"/>
        </w:rPr>
        <w:sectPr>
          <w:pgSz w:w="12240" w:h="15840"/>
          <w:pgMar w:header="0" w:footer="1017" w:top="1400" w:bottom="1200" w:left="520" w:right="260"/>
        </w:sectPr>
      </w:pPr>
    </w:p>
    <w:p>
      <w:pPr>
        <w:tabs>
          <w:tab w:pos="1659" w:val="left" w:leader="none"/>
          <w:tab w:pos="9422" w:val="right" w:leader="none"/>
        </w:tabs>
        <w:spacing w:before="22"/>
        <w:ind w:left="920" w:right="0" w:firstLine="0"/>
        <w:jc w:val="left"/>
        <w:rPr>
          <w:sz w:val="24"/>
        </w:rPr>
      </w:pPr>
      <w:r>
        <w:rPr>
          <w:spacing w:val="-5"/>
          <w:sz w:val="24"/>
        </w:rPr>
        <w:t>20</w:t>
      </w:r>
      <w:r>
        <w:rPr>
          <w:sz w:val="24"/>
        </w:rPr>
        <w:tab/>
        <w:t>Amc,</w:t>
      </w:r>
      <w:r>
        <w:rPr>
          <w:spacing w:val="-8"/>
          <w:sz w:val="24"/>
        </w:rPr>
        <w:t> </w:t>
      </w:r>
      <w:r>
        <w:rPr>
          <w:sz w:val="24"/>
        </w:rPr>
        <w:t>Chl,</w:t>
      </w:r>
      <w:r>
        <w:rPr>
          <w:spacing w:val="-8"/>
          <w:sz w:val="24"/>
        </w:rPr>
        <w:t> </w:t>
      </w:r>
      <w:r>
        <w:rPr>
          <w:sz w:val="24"/>
        </w:rPr>
        <w:t>Cot,</w:t>
      </w:r>
      <w:r>
        <w:rPr>
          <w:spacing w:val="-7"/>
          <w:sz w:val="24"/>
        </w:rPr>
        <w:t> </w:t>
      </w:r>
      <w:r>
        <w:rPr>
          <w:sz w:val="24"/>
        </w:rPr>
        <w:t>Cxc,</w:t>
      </w:r>
      <w:r>
        <w:rPr>
          <w:spacing w:val="-3"/>
          <w:sz w:val="24"/>
        </w:rPr>
        <w:t> </w:t>
      </w:r>
      <w:r>
        <w:rPr>
          <w:sz w:val="24"/>
        </w:rPr>
        <w:t>Ery,</w:t>
      </w:r>
      <w:r>
        <w:rPr>
          <w:spacing w:val="-8"/>
          <w:sz w:val="24"/>
        </w:rPr>
        <w:t> </w:t>
      </w:r>
      <w:r>
        <w:rPr>
          <w:spacing w:val="-5"/>
          <w:sz w:val="24"/>
        </w:rPr>
        <w:t>Tet</w:t>
      </w:r>
      <w:r>
        <w:rPr>
          <w:sz w:val="24"/>
        </w:rPr>
        <w:tab/>
      </w:r>
      <w:r>
        <w:rPr>
          <w:spacing w:val="-10"/>
          <w:sz w:val="24"/>
        </w:rPr>
        <w:t>1</w:t>
      </w:r>
    </w:p>
    <w:p>
      <w:pPr>
        <w:pStyle w:val="BodyText"/>
        <w:spacing w:before="22"/>
        <w:rPr>
          <w:sz w:val="20"/>
        </w:rPr>
      </w:pPr>
      <w:r>
        <w:rPr/>
        <mc:AlternateContent>
          <mc:Choice Requires="wps">
            <w:drawing>
              <wp:anchor distT="0" distB="0" distL="0" distR="0" allowOverlap="1" layoutInCell="1" locked="0" behindDoc="1" simplePos="0" relativeHeight="487617536">
                <wp:simplePos x="0" y="0"/>
                <wp:positionH relativeFrom="page">
                  <wp:posOffset>835152</wp:posOffset>
                </wp:positionH>
                <wp:positionV relativeFrom="paragraph">
                  <wp:posOffset>184238</wp:posOffset>
                </wp:positionV>
                <wp:extent cx="6093460" cy="635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4.506998pt;width:479.760023pt;height:.48pt;mso-position-horizontal-relative:page;mso-position-vertical-relative:paragraph;z-index:-15698944;mso-wrap-distance-left:0;mso-wrap-distance-right:0" id="docshape78" filled="true" fillcolor="#000000" stroked="false">
                <v:fill type="solid"/>
                <w10:wrap type="topAndBottom"/>
              </v:rect>
            </w:pict>
          </mc:Fallback>
        </mc:AlternateContent>
      </w:r>
    </w:p>
    <w:p>
      <w:pPr>
        <w:spacing w:after="0"/>
        <w:rPr>
          <w:sz w:val="20"/>
        </w:rPr>
        <w:sectPr>
          <w:pgSz w:w="12240" w:h="15840"/>
          <w:pgMar w:header="0" w:footer="1017" w:top="1420" w:bottom="1200" w:left="520" w:right="260"/>
        </w:sectPr>
      </w:pPr>
    </w:p>
    <w:p>
      <w:pPr>
        <w:pStyle w:val="Heading6"/>
        <w:spacing w:before="37"/>
        <w:ind w:left="920" w:firstLine="0"/>
      </w:pPr>
      <w:r>
        <w:rPr/>
        <w:t>APPENDIX</w:t>
      </w:r>
      <w:r>
        <w:rPr>
          <w:spacing w:val="-5"/>
        </w:rPr>
        <w:t> </w:t>
      </w:r>
      <w:r>
        <w:rPr/>
        <w:t>VIIB:</w:t>
      </w:r>
      <w:r>
        <w:rPr>
          <w:spacing w:val="-4"/>
        </w:rPr>
        <w:t> </w:t>
      </w:r>
      <w:r>
        <w:rPr/>
        <w:t>Phenotypic</w:t>
      </w:r>
      <w:r>
        <w:rPr>
          <w:spacing w:val="-6"/>
        </w:rPr>
        <w:t> </w:t>
      </w:r>
      <w:r>
        <w:rPr/>
        <w:t>Resistance</w:t>
      </w:r>
      <w:r>
        <w:rPr>
          <w:spacing w:val="-6"/>
        </w:rPr>
        <w:t> </w:t>
      </w:r>
      <w:r>
        <w:rPr/>
        <w:t>Pattern</w:t>
      </w:r>
      <w:r>
        <w:rPr>
          <w:spacing w:val="-4"/>
        </w:rPr>
        <w:t> </w:t>
      </w:r>
      <w:r>
        <w:rPr/>
        <w:t>of</w:t>
      </w:r>
      <w:r>
        <w:rPr>
          <w:spacing w:val="-3"/>
        </w:rPr>
        <w:t> </w:t>
      </w:r>
      <w:r>
        <w:rPr/>
        <w:t>Isolates</w:t>
      </w:r>
      <w:r>
        <w:rPr>
          <w:spacing w:val="-6"/>
        </w:rPr>
        <w:t> </w:t>
      </w:r>
      <w:r>
        <w:rPr/>
        <w:t>from</w:t>
      </w:r>
      <w:r>
        <w:rPr>
          <w:spacing w:val="-7"/>
        </w:rPr>
        <w:t> </w:t>
      </w:r>
      <w:r>
        <w:rPr/>
        <w:t>Milk</w:t>
      </w:r>
      <w:r>
        <w:rPr>
          <w:spacing w:val="-5"/>
        </w:rPr>
        <w:t> </w:t>
      </w:r>
      <w:r>
        <w:rPr/>
        <w:t>Sample</w:t>
      </w:r>
      <w:r>
        <w:rPr>
          <w:spacing w:val="-6"/>
        </w:rPr>
        <w:t> </w:t>
      </w:r>
      <w:r>
        <w:rPr/>
        <w:t>in</w:t>
      </w:r>
      <w:r>
        <w:rPr>
          <w:spacing w:val="-4"/>
        </w:rPr>
        <w:t> </w:t>
      </w:r>
      <w:r>
        <w:rPr>
          <w:spacing w:val="-2"/>
        </w:rPr>
        <w:t>Zaria</w:t>
      </w:r>
    </w:p>
    <w:p>
      <w:pPr>
        <w:pStyle w:val="BodyText"/>
        <w:spacing w:before="234"/>
        <w:rPr>
          <w:b/>
          <w:sz w:val="20"/>
        </w:r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
        <w:gridCol w:w="5042"/>
        <w:gridCol w:w="3872"/>
      </w:tblGrid>
      <w:tr>
        <w:trPr>
          <w:trHeight w:val="585" w:hRule="atLeast"/>
        </w:trPr>
        <w:tc>
          <w:tcPr>
            <w:tcW w:w="667" w:type="dxa"/>
            <w:tcBorders>
              <w:top w:val="single" w:sz="4" w:space="0" w:color="000000"/>
              <w:bottom w:val="single" w:sz="4" w:space="0" w:color="000000"/>
            </w:tcBorders>
          </w:tcPr>
          <w:p>
            <w:pPr>
              <w:pStyle w:val="TableParagraph"/>
              <w:spacing w:line="240" w:lineRule="auto" w:before="1"/>
              <w:ind w:right="70"/>
              <w:rPr>
                <w:b/>
                <w:sz w:val="24"/>
              </w:rPr>
            </w:pPr>
            <w:r>
              <w:rPr>
                <w:b/>
                <w:spacing w:val="-5"/>
                <w:sz w:val="24"/>
              </w:rPr>
              <w:t>S/N</w:t>
            </w:r>
          </w:p>
        </w:tc>
        <w:tc>
          <w:tcPr>
            <w:tcW w:w="5042" w:type="dxa"/>
            <w:tcBorders>
              <w:top w:val="single" w:sz="4" w:space="0" w:color="000000"/>
              <w:bottom w:val="single" w:sz="4" w:space="0" w:color="000000"/>
            </w:tcBorders>
          </w:tcPr>
          <w:p>
            <w:pPr>
              <w:pStyle w:val="TableParagraph"/>
              <w:spacing w:line="240" w:lineRule="auto" w:before="1"/>
              <w:ind w:left="182"/>
              <w:jc w:val="left"/>
              <w:rPr>
                <w:b/>
                <w:sz w:val="24"/>
              </w:rPr>
            </w:pPr>
            <w:r>
              <w:rPr>
                <w:b/>
                <w:spacing w:val="-2"/>
                <w:sz w:val="24"/>
              </w:rPr>
              <w:t>Resistance</w:t>
            </w:r>
            <w:r>
              <w:rPr>
                <w:b/>
                <w:spacing w:val="3"/>
                <w:sz w:val="24"/>
              </w:rPr>
              <w:t> </w:t>
            </w:r>
            <w:r>
              <w:rPr>
                <w:b/>
                <w:spacing w:val="-2"/>
                <w:sz w:val="24"/>
              </w:rPr>
              <w:t>Pattern</w:t>
            </w:r>
          </w:p>
        </w:tc>
        <w:tc>
          <w:tcPr>
            <w:tcW w:w="3872" w:type="dxa"/>
            <w:tcBorders>
              <w:top w:val="single" w:sz="4" w:space="0" w:color="000000"/>
              <w:bottom w:val="single" w:sz="4" w:space="0" w:color="000000"/>
            </w:tcBorders>
          </w:tcPr>
          <w:p>
            <w:pPr>
              <w:pStyle w:val="TableParagraph"/>
              <w:spacing w:line="240" w:lineRule="auto" w:before="1"/>
              <w:ind w:left="1813" w:right="6"/>
              <w:rPr>
                <w:b/>
                <w:sz w:val="24"/>
              </w:rPr>
            </w:pPr>
            <w:r>
              <w:rPr>
                <w:b/>
                <w:sz w:val="24"/>
              </w:rPr>
              <w:t>No</w:t>
            </w:r>
            <w:r>
              <w:rPr>
                <w:b/>
                <w:spacing w:val="-4"/>
                <w:sz w:val="24"/>
              </w:rPr>
              <w:t> </w:t>
            </w:r>
            <w:r>
              <w:rPr>
                <w:b/>
                <w:sz w:val="24"/>
              </w:rPr>
              <w:t>of</w:t>
            </w:r>
            <w:r>
              <w:rPr>
                <w:b/>
                <w:spacing w:val="-3"/>
                <w:sz w:val="24"/>
              </w:rPr>
              <w:t> </w:t>
            </w:r>
            <w:r>
              <w:rPr>
                <w:b/>
                <w:spacing w:val="-2"/>
                <w:sz w:val="24"/>
              </w:rPr>
              <w:t>Isolates</w:t>
            </w:r>
          </w:p>
        </w:tc>
      </w:tr>
      <w:tr>
        <w:trPr>
          <w:trHeight w:val="462" w:hRule="atLeast"/>
        </w:trPr>
        <w:tc>
          <w:tcPr>
            <w:tcW w:w="667" w:type="dxa"/>
            <w:tcBorders>
              <w:top w:val="single" w:sz="4" w:space="0" w:color="000000"/>
            </w:tcBorders>
          </w:tcPr>
          <w:p>
            <w:pPr>
              <w:pStyle w:val="TableParagraph"/>
              <w:spacing w:line="240" w:lineRule="auto" w:before="1"/>
              <w:ind w:right="202"/>
              <w:rPr>
                <w:sz w:val="24"/>
              </w:rPr>
            </w:pPr>
            <w:r>
              <w:rPr>
                <w:spacing w:val="-5"/>
                <w:sz w:val="24"/>
              </w:rPr>
              <w:t>21</w:t>
            </w:r>
          </w:p>
        </w:tc>
        <w:tc>
          <w:tcPr>
            <w:tcW w:w="5042" w:type="dxa"/>
            <w:tcBorders>
              <w:top w:val="single" w:sz="4" w:space="0" w:color="000000"/>
            </w:tcBorders>
          </w:tcPr>
          <w:p>
            <w:pPr>
              <w:pStyle w:val="TableParagraph"/>
              <w:spacing w:line="240" w:lineRule="auto" w:before="1"/>
              <w:ind w:left="182"/>
              <w:jc w:val="left"/>
              <w:rPr>
                <w:sz w:val="24"/>
              </w:rPr>
            </w:pPr>
            <w:r>
              <w:rPr>
                <w:sz w:val="24"/>
              </w:rPr>
              <w:t>Amx,</w:t>
            </w:r>
            <w:r>
              <w:rPr>
                <w:spacing w:val="-8"/>
                <w:sz w:val="24"/>
              </w:rPr>
              <w:t> </w:t>
            </w:r>
            <w:r>
              <w:rPr>
                <w:sz w:val="24"/>
              </w:rPr>
              <w:t>Chl,</w:t>
            </w:r>
            <w:r>
              <w:rPr>
                <w:spacing w:val="-8"/>
                <w:sz w:val="24"/>
              </w:rPr>
              <w:t> </w:t>
            </w:r>
            <w:r>
              <w:rPr>
                <w:sz w:val="24"/>
              </w:rPr>
              <w:t>Cxc,</w:t>
            </w:r>
            <w:r>
              <w:rPr>
                <w:spacing w:val="-3"/>
                <w:sz w:val="24"/>
              </w:rPr>
              <w:t> </w:t>
            </w:r>
            <w:r>
              <w:rPr>
                <w:sz w:val="24"/>
              </w:rPr>
              <w:t>Ery,</w:t>
            </w:r>
            <w:r>
              <w:rPr>
                <w:spacing w:val="-8"/>
                <w:sz w:val="24"/>
              </w:rPr>
              <w:t> </w:t>
            </w:r>
            <w:r>
              <w:rPr>
                <w:sz w:val="24"/>
              </w:rPr>
              <w:t>Nit,</w:t>
            </w:r>
            <w:r>
              <w:rPr>
                <w:spacing w:val="-3"/>
                <w:sz w:val="24"/>
              </w:rPr>
              <w:t> </w:t>
            </w:r>
            <w:r>
              <w:rPr>
                <w:spacing w:val="-5"/>
                <w:sz w:val="24"/>
              </w:rPr>
              <w:t>Tet</w:t>
            </w:r>
          </w:p>
        </w:tc>
        <w:tc>
          <w:tcPr>
            <w:tcW w:w="3872" w:type="dxa"/>
            <w:tcBorders>
              <w:top w:val="single" w:sz="4" w:space="0" w:color="000000"/>
            </w:tcBorders>
          </w:tcPr>
          <w:p>
            <w:pPr>
              <w:pStyle w:val="TableParagraph"/>
              <w:spacing w:line="240" w:lineRule="auto" w:before="1"/>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22</w:t>
            </w:r>
          </w:p>
        </w:tc>
        <w:tc>
          <w:tcPr>
            <w:tcW w:w="5042" w:type="dxa"/>
          </w:tcPr>
          <w:p>
            <w:pPr>
              <w:pStyle w:val="TableParagraph"/>
              <w:spacing w:line="240" w:lineRule="auto" w:before="124"/>
              <w:ind w:left="182"/>
              <w:jc w:val="left"/>
              <w:rPr>
                <w:sz w:val="24"/>
              </w:rPr>
            </w:pPr>
            <w:r>
              <w:rPr>
                <w:sz w:val="24"/>
              </w:rPr>
              <w:t>Chl,</w:t>
            </w:r>
            <w:r>
              <w:rPr>
                <w:spacing w:val="-8"/>
                <w:sz w:val="24"/>
              </w:rPr>
              <w:t> </w:t>
            </w:r>
            <w:r>
              <w:rPr>
                <w:sz w:val="24"/>
              </w:rPr>
              <w:t>Cot,</w:t>
            </w:r>
            <w:r>
              <w:rPr>
                <w:spacing w:val="-4"/>
                <w:sz w:val="24"/>
              </w:rPr>
              <w:t> </w:t>
            </w:r>
            <w:r>
              <w:rPr>
                <w:sz w:val="24"/>
              </w:rPr>
              <w:t>Cxc,</w:t>
            </w:r>
            <w:r>
              <w:rPr>
                <w:spacing w:val="-8"/>
                <w:sz w:val="24"/>
              </w:rPr>
              <w:t> </w:t>
            </w:r>
            <w:r>
              <w:rPr>
                <w:sz w:val="24"/>
              </w:rPr>
              <w:t>Cxm,</w:t>
            </w:r>
            <w:r>
              <w:rPr>
                <w:spacing w:val="-8"/>
                <w:sz w:val="24"/>
              </w:rPr>
              <w:t> </w:t>
            </w:r>
            <w:r>
              <w:rPr>
                <w:sz w:val="24"/>
              </w:rPr>
              <w:t>Ery,</w:t>
            </w:r>
            <w:r>
              <w:rPr>
                <w:spacing w:val="-8"/>
                <w:sz w:val="24"/>
              </w:rPr>
              <w:t> </w:t>
            </w:r>
            <w:r>
              <w:rPr>
                <w:spacing w:val="-5"/>
                <w:sz w:val="24"/>
              </w:rPr>
              <w:t>Nit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23</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8"/>
                <w:sz w:val="24"/>
              </w:rPr>
              <w:t> </w:t>
            </w:r>
            <w:r>
              <w:rPr>
                <w:sz w:val="24"/>
              </w:rPr>
              <w:t>Chl,</w:t>
            </w:r>
            <w:r>
              <w:rPr>
                <w:spacing w:val="-8"/>
                <w:sz w:val="24"/>
              </w:rPr>
              <w:t> </w:t>
            </w:r>
            <w:r>
              <w:rPr>
                <w:sz w:val="24"/>
              </w:rPr>
              <w:t>Cxc,</w:t>
            </w:r>
            <w:r>
              <w:rPr>
                <w:spacing w:val="-4"/>
                <w:sz w:val="24"/>
              </w:rPr>
              <w:t> </w:t>
            </w:r>
            <w:r>
              <w:rPr>
                <w:sz w:val="24"/>
              </w:rPr>
              <w:t>Ery,</w:t>
            </w:r>
            <w:r>
              <w:rPr>
                <w:spacing w:val="-4"/>
                <w:sz w:val="24"/>
              </w:rPr>
              <w:t> </w:t>
            </w:r>
            <w:r>
              <w:rPr>
                <w:spacing w:val="-5"/>
                <w:sz w:val="24"/>
              </w:rPr>
              <w:t>Tet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24</w:t>
            </w:r>
          </w:p>
        </w:tc>
        <w:tc>
          <w:tcPr>
            <w:tcW w:w="5042" w:type="dxa"/>
          </w:tcPr>
          <w:p>
            <w:pPr>
              <w:pStyle w:val="TableParagraph"/>
              <w:spacing w:line="240" w:lineRule="auto" w:before="124"/>
              <w:ind w:left="182"/>
              <w:jc w:val="left"/>
              <w:rPr>
                <w:sz w:val="24"/>
              </w:rPr>
            </w:pPr>
            <w:r>
              <w:rPr>
                <w:sz w:val="24"/>
              </w:rPr>
              <w:t>Amx,</w:t>
            </w:r>
            <w:r>
              <w:rPr>
                <w:spacing w:val="-8"/>
                <w:sz w:val="24"/>
              </w:rPr>
              <w:t> </w:t>
            </w:r>
            <w:r>
              <w:rPr>
                <w:sz w:val="24"/>
              </w:rPr>
              <w:t>Cot,</w:t>
            </w:r>
            <w:r>
              <w:rPr>
                <w:spacing w:val="-7"/>
                <w:sz w:val="24"/>
              </w:rPr>
              <w:t> </w:t>
            </w:r>
            <w:r>
              <w:rPr>
                <w:sz w:val="24"/>
              </w:rPr>
              <w:t>Cxc,</w:t>
            </w:r>
            <w:r>
              <w:rPr>
                <w:spacing w:val="-7"/>
                <w:sz w:val="24"/>
              </w:rPr>
              <w:t> </w:t>
            </w:r>
            <w:r>
              <w:rPr>
                <w:sz w:val="24"/>
              </w:rPr>
              <w:t>Ery,</w:t>
            </w:r>
            <w:r>
              <w:rPr>
                <w:spacing w:val="-3"/>
                <w:sz w:val="24"/>
              </w:rPr>
              <w:t> </w:t>
            </w:r>
            <w:r>
              <w:rPr>
                <w:spacing w:val="-5"/>
                <w:sz w:val="24"/>
              </w:rPr>
              <w:t>Tet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25</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9"/>
                <w:sz w:val="24"/>
              </w:rPr>
              <w:t> </w:t>
            </w:r>
            <w:r>
              <w:rPr>
                <w:sz w:val="24"/>
              </w:rPr>
              <w:t>Cxc,</w:t>
            </w:r>
            <w:r>
              <w:rPr>
                <w:spacing w:val="-4"/>
                <w:sz w:val="24"/>
              </w:rPr>
              <w:t> </w:t>
            </w:r>
            <w:r>
              <w:rPr>
                <w:sz w:val="24"/>
              </w:rPr>
              <w:t>Ery,</w:t>
            </w:r>
            <w:r>
              <w:rPr>
                <w:spacing w:val="-4"/>
                <w:sz w:val="24"/>
              </w:rPr>
              <w:t> </w:t>
            </w:r>
            <w:r>
              <w:rPr>
                <w:spacing w:val="-5"/>
                <w:sz w:val="24"/>
              </w:rPr>
              <w:t>Nit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26</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9"/>
                <w:sz w:val="24"/>
              </w:rPr>
              <w:t> </w:t>
            </w:r>
            <w:r>
              <w:rPr>
                <w:sz w:val="24"/>
              </w:rPr>
              <w:t>Chl,</w:t>
            </w:r>
            <w:r>
              <w:rPr>
                <w:spacing w:val="-4"/>
                <w:sz w:val="24"/>
              </w:rPr>
              <w:t> </w:t>
            </w:r>
            <w:r>
              <w:rPr>
                <w:sz w:val="24"/>
              </w:rPr>
              <w:t>Ery,</w:t>
            </w:r>
            <w:r>
              <w:rPr>
                <w:spacing w:val="-4"/>
                <w:sz w:val="24"/>
              </w:rPr>
              <w:t> </w:t>
            </w:r>
            <w:r>
              <w:rPr>
                <w:spacing w:val="-5"/>
                <w:sz w:val="24"/>
              </w:rPr>
              <w:t>Tet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27</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9"/>
                <w:sz w:val="24"/>
              </w:rPr>
              <w:t> </w:t>
            </w:r>
            <w:r>
              <w:rPr>
                <w:sz w:val="24"/>
              </w:rPr>
              <w:t>Cxc,</w:t>
            </w:r>
            <w:r>
              <w:rPr>
                <w:spacing w:val="-4"/>
                <w:sz w:val="24"/>
              </w:rPr>
              <w:t> </w:t>
            </w:r>
            <w:r>
              <w:rPr>
                <w:sz w:val="24"/>
              </w:rPr>
              <w:t>Ery,</w:t>
            </w:r>
            <w:r>
              <w:rPr>
                <w:spacing w:val="-4"/>
                <w:sz w:val="24"/>
              </w:rPr>
              <w:t> </w:t>
            </w:r>
            <w:r>
              <w:rPr>
                <w:spacing w:val="-5"/>
                <w:sz w:val="24"/>
              </w:rPr>
              <w:t>Tet</w:t>
            </w:r>
          </w:p>
        </w:tc>
        <w:tc>
          <w:tcPr>
            <w:tcW w:w="3872" w:type="dxa"/>
          </w:tcPr>
          <w:p>
            <w:pPr>
              <w:pStyle w:val="TableParagraph"/>
              <w:spacing w:line="240" w:lineRule="auto" w:before="124"/>
              <w:ind w:left="1813"/>
              <w:rPr>
                <w:sz w:val="24"/>
              </w:rPr>
            </w:pPr>
            <w:r>
              <w:rPr>
                <w:spacing w:val="-10"/>
                <w:sz w:val="24"/>
              </w:rPr>
              <w:t>2</w:t>
            </w:r>
          </w:p>
        </w:tc>
      </w:tr>
      <w:tr>
        <w:trPr>
          <w:trHeight w:val="585" w:hRule="atLeast"/>
        </w:trPr>
        <w:tc>
          <w:tcPr>
            <w:tcW w:w="667" w:type="dxa"/>
          </w:tcPr>
          <w:p>
            <w:pPr>
              <w:pStyle w:val="TableParagraph"/>
              <w:spacing w:line="240" w:lineRule="auto" w:before="124"/>
              <w:ind w:right="202"/>
              <w:rPr>
                <w:sz w:val="24"/>
              </w:rPr>
            </w:pPr>
            <w:r>
              <w:rPr>
                <w:spacing w:val="-5"/>
                <w:sz w:val="24"/>
              </w:rPr>
              <w:t>28</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Chl,</w:t>
            </w:r>
            <w:r>
              <w:rPr>
                <w:spacing w:val="-8"/>
                <w:sz w:val="24"/>
              </w:rPr>
              <w:t> </w:t>
            </w:r>
            <w:r>
              <w:rPr>
                <w:sz w:val="24"/>
              </w:rPr>
              <w:t>Cxc,</w:t>
            </w:r>
            <w:r>
              <w:rPr>
                <w:spacing w:val="-4"/>
                <w:sz w:val="24"/>
              </w:rPr>
              <w:t> </w:t>
            </w:r>
            <w:r>
              <w:rPr>
                <w:sz w:val="24"/>
              </w:rPr>
              <w:t>Cxm,</w:t>
            </w:r>
            <w:r>
              <w:rPr>
                <w:spacing w:val="-8"/>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29</w:t>
            </w:r>
          </w:p>
        </w:tc>
        <w:tc>
          <w:tcPr>
            <w:tcW w:w="5042" w:type="dxa"/>
          </w:tcPr>
          <w:p>
            <w:pPr>
              <w:pStyle w:val="TableParagraph"/>
              <w:spacing w:line="240" w:lineRule="auto" w:before="124"/>
              <w:ind w:left="182"/>
              <w:jc w:val="left"/>
              <w:rPr>
                <w:sz w:val="24"/>
              </w:rPr>
            </w:pPr>
            <w:r>
              <w:rPr>
                <w:sz w:val="24"/>
              </w:rPr>
              <w:t>Chl,</w:t>
            </w:r>
            <w:r>
              <w:rPr>
                <w:spacing w:val="-10"/>
                <w:sz w:val="24"/>
              </w:rPr>
              <w:t> </w:t>
            </w:r>
            <w:r>
              <w:rPr>
                <w:sz w:val="24"/>
              </w:rPr>
              <w:t>Cxc,</w:t>
            </w:r>
            <w:r>
              <w:rPr>
                <w:spacing w:val="-5"/>
                <w:sz w:val="24"/>
              </w:rPr>
              <w:t> </w:t>
            </w:r>
            <w:r>
              <w:rPr>
                <w:sz w:val="24"/>
              </w:rPr>
              <w:t>Ery,</w:t>
            </w:r>
            <w:r>
              <w:rPr>
                <w:spacing w:val="-5"/>
                <w:sz w:val="24"/>
              </w:rPr>
              <w:t> Tet</w:t>
            </w:r>
          </w:p>
        </w:tc>
        <w:tc>
          <w:tcPr>
            <w:tcW w:w="3872" w:type="dxa"/>
          </w:tcPr>
          <w:p>
            <w:pPr>
              <w:pStyle w:val="TableParagraph"/>
              <w:spacing w:line="240" w:lineRule="auto" w:before="124"/>
              <w:ind w:left="1813"/>
              <w:rPr>
                <w:sz w:val="24"/>
              </w:rPr>
            </w:pPr>
            <w:r>
              <w:rPr>
                <w:spacing w:val="-10"/>
                <w:sz w:val="24"/>
              </w:rPr>
              <w:t>5</w:t>
            </w:r>
          </w:p>
        </w:tc>
      </w:tr>
      <w:tr>
        <w:trPr>
          <w:trHeight w:val="587" w:hRule="atLeast"/>
        </w:trPr>
        <w:tc>
          <w:tcPr>
            <w:tcW w:w="667" w:type="dxa"/>
          </w:tcPr>
          <w:p>
            <w:pPr>
              <w:pStyle w:val="TableParagraph"/>
              <w:spacing w:line="240" w:lineRule="auto" w:before="124"/>
              <w:ind w:right="202"/>
              <w:rPr>
                <w:sz w:val="24"/>
              </w:rPr>
            </w:pPr>
            <w:r>
              <w:rPr>
                <w:spacing w:val="-5"/>
                <w:sz w:val="24"/>
              </w:rPr>
              <w:t>30</w:t>
            </w:r>
          </w:p>
        </w:tc>
        <w:tc>
          <w:tcPr>
            <w:tcW w:w="5042" w:type="dxa"/>
          </w:tcPr>
          <w:p>
            <w:pPr>
              <w:pStyle w:val="TableParagraph"/>
              <w:spacing w:line="240" w:lineRule="auto" w:before="124"/>
              <w:ind w:left="182"/>
              <w:jc w:val="left"/>
              <w:rPr>
                <w:sz w:val="24"/>
              </w:rPr>
            </w:pPr>
            <w:r>
              <w:rPr>
                <w:sz w:val="24"/>
              </w:rPr>
              <w:t>Amx,</w:t>
            </w:r>
            <w:r>
              <w:rPr>
                <w:spacing w:val="-9"/>
                <w:sz w:val="24"/>
              </w:rPr>
              <w:t> </w:t>
            </w:r>
            <w:r>
              <w:rPr>
                <w:sz w:val="24"/>
              </w:rPr>
              <w:t>Amc,</w:t>
            </w:r>
            <w:r>
              <w:rPr>
                <w:spacing w:val="-8"/>
                <w:sz w:val="24"/>
              </w:rPr>
              <w:t> </w:t>
            </w:r>
            <w:r>
              <w:rPr>
                <w:sz w:val="24"/>
              </w:rPr>
              <w:t>Cxc,</w:t>
            </w:r>
            <w:r>
              <w:rPr>
                <w:spacing w:val="-3"/>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1</w:t>
            </w:r>
          </w:p>
        </w:tc>
      </w:tr>
      <w:tr>
        <w:trPr>
          <w:trHeight w:val="587" w:hRule="atLeast"/>
        </w:trPr>
        <w:tc>
          <w:tcPr>
            <w:tcW w:w="667" w:type="dxa"/>
          </w:tcPr>
          <w:p>
            <w:pPr>
              <w:pStyle w:val="TableParagraph"/>
              <w:spacing w:line="240" w:lineRule="auto" w:before="126"/>
              <w:ind w:right="202"/>
              <w:rPr>
                <w:sz w:val="24"/>
              </w:rPr>
            </w:pPr>
            <w:r>
              <w:rPr>
                <w:spacing w:val="-5"/>
                <w:sz w:val="24"/>
              </w:rPr>
              <w:t>31</w:t>
            </w:r>
          </w:p>
        </w:tc>
        <w:tc>
          <w:tcPr>
            <w:tcW w:w="5042" w:type="dxa"/>
          </w:tcPr>
          <w:p>
            <w:pPr>
              <w:pStyle w:val="TableParagraph"/>
              <w:spacing w:line="240" w:lineRule="auto" w:before="126"/>
              <w:ind w:left="182"/>
              <w:jc w:val="left"/>
              <w:rPr>
                <w:sz w:val="24"/>
              </w:rPr>
            </w:pPr>
            <w:r>
              <w:rPr>
                <w:sz w:val="24"/>
              </w:rPr>
              <w:t>Chl,</w:t>
            </w:r>
            <w:r>
              <w:rPr>
                <w:spacing w:val="-10"/>
                <w:sz w:val="24"/>
              </w:rPr>
              <w:t> </w:t>
            </w:r>
            <w:r>
              <w:rPr>
                <w:sz w:val="24"/>
              </w:rPr>
              <w:t>Cxc,</w:t>
            </w:r>
            <w:r>
              <w:rPr>
                <w:spacing w:val="-5"/>
                <w:sz w:val="24"/>
              </w:rPr>
              <w:t> </w:t>
            </w:r>
            <w:r>
              <w:rPr>
                <w:sz w:val="24"/>
              </w:rPr>
              <w:t>Ery,</w:t>
            </w:r>
            <w:r>
              <w:rPr>
                <w:spacing w:val="-5"/>
                <w:sz w:val="24"/>
              </w:rPr>
              <w:t> Nit</w:t>
            </w:r>
          </w:p>
        </w:tc>
        <w:tc>
          <w:tcPr>
            <w:tcW w:w="3872" w:type="dxa"/>
          </w:tcPr>
          <w:p>
            <w:pPr>
              <w:pStyle w:val="TableParagraph"/>
              <w:spacing w:line="240" w:lineRule="auto" w:before="126"/>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32</w:t>
            </w:r>
          </w:p>
        </w:tc>
        <w:tc>
          <w:tcPr>
            <w:tcW w:w="5042" w:type="dxa"/>
          </w:tcPr>
          <w:p>
            <w:pPr>
              <w:pStyle w:val="TableParagraph"/>
              <w:spacing w:line="240" w:lineRule="auto" w:before="124"/>
              <w:ind w:left="182"/>
              <w:jc w:val="left"/>
              <w:rPr>
                <w:sz w:val="24"/>
              </w:rPr>
            </w:pPr>
            <w:r>
              <w:rPr>
                <w:sz w:val="24"/>
              </w:rPr>
              <w:t>Amc,</w:t>
            </w:r>
            <w:r>
              <w:rPr>
                <w:spacing w:val="-8"/>
                <w:sz w:val="24"/>
              </w:rPr>
              <w:t> </w:t>
            </w:r>
            <w:r>
              <w:rPr>
                <w:sz w:val="24"/>
              </w:rPr>
              <w:t>Cxc,</w:t>
            </w:r>
            <w:r>
              <w:rPr>
                <w:spacing w:val="-8"/>
                <w:sz w:val="24"/>
              </w:rPr>
              <w:t> </w:t>
            </w:r>
            <w:r>
              <w:rPr>
                <w:sz w:val="24"/>
              </w:rPr>
              <w:t>Ery,</w:t>
            </w:r>
            <w:r>
              <w:rPr>
                <w:spacing w:val="-3"/>
                <w:sz w:val="24"/>
              </w:rPr>
              <w:t> </w:t>
            </w:r>
            <w:r>
              <w:rPr>
                <w:spacing w:val="-5"/>
                <w:sz w:val="24"/>
              </w:rPr>
              <w:t>Nit</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33</w:t>
            </w:r>
          </w:p>
        </w:tc>
        <w:tc>
          <w:tcPr>
            <w:tcW w:w="5042" w:type="dxa"/>
          </w:tcPr>
          <w:p>
            <w:pPr>
              <w:pStyle w:val="TableParagraph"/>
              <w:spacing w:line="240" w:lineRule="auto" w:before="124"/>
              <w:ind w:left="182"/>
              <w:jc w:val="left"/>
              <w:rPr>
                <w:sz w:val="24"/>
              </w:rPr>
            </w:pPr>
            <w:r>
              <w:rPr>
                <w:sz w:val="24"/>
              </w:rPr>
              <w:t>Cot,</w:t>
            </w:r>
            <w:r>
              <w:rPr>
                <w:spacing w:val="-8"/>
                <w:sz w:val="24"/>
              </w:rPr>
              <w:t> </w:t>
            </w:r>
            <w:r>
              <w:rPr>
                <w:sz w:val="24"/>
              </w:rPr>
              <w:t>Cxc,</w:t>
            </w:r>
            <w:r>
              <w:rPr>
                <w:spacing w:val="-7"/>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2</w:t>
            </w:r>
          </w:p>
        </w:tc>
      </w:tr>
      <w:tr>
        <w:trPr>
          <w:trHeight w:val="585" w:hRule="atLeast"/>
        </w:trPr>
        <w:tc>
          <w:tcPr>
            <w:tcW w:w="667" w:type="dxa"/>
          </w:tcPr>
          <w:p>
            <w:pPr>
              <w:pStyle w:val="TableParagraph"/>
              <w:spacing w:line="240" w:lineRule="auto" w:before="124"/>
              <w:ind w:right="202"/>
              <w:rPr>
                <w:sz w:val="24"/>
              </w:rPr>
            </w:pPr>
            <w:r>
              <w:rPr>
                <w:spacing w:val="-5"/>
                <w:sz w:val="24"/>
              </w:rPr>
              <w:t>34</w:t>
            </w:r>
          </w:p>
        </w:tc>
        <w:tc>
          <w:tcPr>
            <w:tcW w:w="5042" w:type="dxa"/>
          </w:tcPr>
          <w:p>
            <w:pPr>
              <w:pStyle w:val="TableParagraph"/>
              <w:spacing w:line="240" w:lineRule="auto" w:before="124"/>
              <w:ind w:left="182"/>
              <w:jc w:val="left"/>
              <w:rPr>
                <w:sz w:val="24"/>
              </w:rPr>
            </w:pPr>
            <w:r>
              <w:rPr>
                <w:sz w:val="24"/>
              </w:rPr>
              <w:t>Amx,</w:t>
            </w:r>
            <w:r>
              <w:rPr>
                <w:spacing w:val="-8"/>
                <w:sz w:val="24"/>
              </w:rPr>
              <w:t> </w:t>
            </w:r>
            <w:r>
              <w:rPr>
                <w:sz w:val="24"/>
              </w:rPr>
              <w:t>Cxc,</w:t>
            </w:r>
            <w:r>
              <w:rPr>
                <w:spacing w:val="-7"/>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35</w:t>
            </w:r>
          </w:p>
        </w:tc>
        <w:tc>
          <w:tcPr>
            <w:tcW w:w="5042" w:type="dxa"/>
          </w:tcPr>
          <w:p>
            <w:pPr>
              <w:pStyle w:val="TableParagraph"/>
              <w:spacing w:line="240" w:lineRule="auto" w:before="124"/>
              <w:ind w:left="182"/>
              <w:jc w:val="left"/>
              <w:rPr>
                <w:sz w:val="24"/>
              </w:rPr>
            </w:pPr>
            <w:r>
              <w:rPr>
                <w:sz w:val="24"/>
              </w:rPr>
              <w:t>Cxc,</w:t>
            </w:r>
            <w:r>
              <w:rPr>
                <w:spacing w:val="-7"/>
                <w:sz w:val="24"/>
              </w:rPr>
              <w:t> </w:t>
            </w:r>
            <w:r>
              <w:rPr>
                <w:sz w:val="24"/>
              </w:rPr>
              <w:t>Cxm,</w:t>
            </w:r>
            <w:r>
              <w:rPr>
                <w:spacing w:val="-7"/>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1</w:t>
            </w:r>
          </w:p>
        </w:tc>
      </w:tr>
      <w:tr>
        <w:trPr>
          <w:trHeight w:val="585" w:hRule="atLeast"/>
        </w:trPr>
        <w:tc>
          <w:tcPr>
            <w:tcW w:w="667" w:type="dxa"/>
          </w:tcPr>
          <w:p>
            <w:pPr>
              <w:pStyle w:val="TableParagraph"/>
              <w:spacing w:line="240" w:lineRule="auto" w:before="124"/>
              <w:ind w:right="202"/>
              <w:rPr>
                <w:sz w:val="24"/>
              </w:rPr>
            </w:pPr>
            <w:r>
              <w:rPr>
                <w:spacing w:val="-5"/>
                <w:sz w:val="24"/>
              </w:rPr>
              <w:t>36</w:t>
            </w:r>
          </w:p>
        </w:tc>
        <w:tc>
          <w:tcPr>
            <w:tcW w:w="5042" w:type="dxa"/>
          </w:tcPr>
          <w:p>
            <w:pPr>
              <w:pStyle w:val="TableParagraph"/>
              <w:spacing w:line="240" w:lineRule="auto" w:before="124"/>
              <w:ind w:left="182"/>
              <w:jc w:val="left"/>
              <w:rPr>
                <w:sz w:val="24"/>
              </w:rPr>
            </w:pPr>
            <w:r>
              <w:rPr>
                <w:sz w:val="24"/>
              </w:rPr>
              <w:t>Chl,</w:t>
            </w:r>
            <w:r>
              <w:rPr>
                <w:spacing w:val="-10"/>
                <w:sz w:val="24"/>
              </w:rPr>
              <w:t> </w:t>
            </w:r>
            <w:r>
              <w:rPr>
                <w:sz w:val="24"/>
              </w:rPr>
              <w:t>Cxc,</w:t>
            </w:r>
            <w:r>
              <w:rPr>
                <w:spacing w:val="-4"/>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4</w:t>
            </w:r>
          </w:p>
        </w:tc>
      </w:tr>
      <w:tr>
        <w:trPr>
          <w:trHeight w:val="585" w:hRule="atLeast"/>
        </w:trPr>
        <w:tc>
          <w:tcPr>
            <w:tcW w:w="667" w:type="dxa"/>
          </w:tcPr>
          <w:p>
            <w:pPr>
              <w:pStyle w:val="TableParagraph"/>
              <w:spacing w:line="240" w:lineRule="auto" w:before="124"/>
              <w:ind w:right="202"/>
              <w:rPr>
                <w:sz w:val="24"/>
              </w:rPr>
            </w:pPr>
            <w:r>
              <w:rPr>
                <w:spacing w:val="-5"/>
                <w:sz w:val="24"/>
              </w:rPr>
              <w:t>37</w:t>
            </w:r>
          </w:p>
        </w:tc>
        <w:tc>
          <w:tcPr>
            <w:tcW w:w="5042" w:type="dxa"/>
          </w:tcPr>
          <w:p>
            <w:pPr>
              <w:pStyle w:val="TableParagraph"/>
              <w:spacing w:line="240" w:lineRule="auto" w:before="124"/>
              <w:ind w:left="182"/>
              <w:jc w:val="left"/>
              <w:rPr>
                <w:sz w:val="24"/>
              </w:rPr>
            </w:pPr>
            <w:r>
              <w:rPr>
                <w:sz w:val="24"/>
              </w:rPr>
              <w:t>Cxc,</w:t>
            </w:r>
            <w:r>
              <w:rPr>
                <w:spacing w:val="-7"/>
                <w:sz w:val="24"/>
              </w:rPr>
              <w:t> </w:t>
            </w:r>
            <w:r>
              <w:rPr>
                <w:spacing w:val="-5"/>
                <w:sz w:val="24"/>
              </w:rPr>
              <w:t>Ery</w:t>
            </w:r>
          </w:p>
        </w:tc>
        <w:tc>
          <w:tcPr>
            <w:tcW w:w="3872" w:type="dxa"/>
          </w:tcPr>
          <w:p>
            <w:pPr>
              <w:pStyle w:val="TableParagraph"/>
              <w:spacing w:line="240" w:lineRule="auto" w:before="124"/>
              <w:ind w:left="1813"/>
              <w:rPr>
                <w:sz w:val="24"/>
              </w:rPr>
            </w:pPr>
            <w:r>
              <w:rPr>
                <w:spacing w:val="-10"/>
                <w:sz w:val="24"/>
              </w:rPr>
              <w:t>3</w:t>
            </w:r>
          </w:p>
        </w:tc>
      </w:tr>
      <w:tr>
        <w:trPr>
          <w:trHeight w:val="412" w:hRule="atLeast"/>
        </w:trPr>
        <w:tc>
          <w:tcPr>
            <w:tcW w:w="667" w:type="dxa"/>
          </w:tcPr>
          <w:p>
            <w:pPr>
              <w:pStyle w:val="TableParagraph"/>
              <w:spacing w:line="240" w:lineRule="auto"/>
              <w:jc w:val="left"/>
              <w:rPr>
                <w:rFonts w:ascii="Times New Roman"/>
                <w:sz w:val="22"/>
              </w:rPr>
            </w:pPr>
          </w:p>
        </w:tc>
        <w:tc>
          <w:tcPr>
            <w:tcW w:w="5042" w:type="dxa"/>
          </w:tcPr>
          <w:p>
            <w:pPr>
              <w:pStyle w:val="TableParagraph"/>
              <w:spacing w:line="269" w:lineRule="exact" w:before="124"/>
              <w:ind w:left="182"/>
              <w:jc w:val="left"/>
              <w:rPr>
                <w:sz w:val="24"/>
              </w:rPr>
            </w:pPr>
            <w:r>
              <w:rPr>
                <w:spacing w:val="-4"/>
                <w:sz w:val="24"/>
              </w:rPr>
              <w:t>TOTAL</w:t>
            </w:r>
          </w:p>
        </w:tc>
        <w:tc>
          <w:tcPr>
            <w:tcW w:w="3872" w:type="dxa"/>
          </w:tcPr>
          <w:p>
            <w:pPr>
              <w:pStyle w:val="TableParagraph"/>
              <w:spacing w:line="269" w:lineRule="exact" w:before="124"/>
              <w:ind w:left="1813" w:right="4"/>
              <w:rPr>
                <w:sz w:val="24"/>
              </w:rPr>
            </w:pPr>
            <w:r>
              <w:rPr>
                <w:spacing w:val="-5"/>
                <w:sz w:val="24"/>
              </w:rPr>
              <w:t>90</w:t>
            </w:r>
          </w:p>
        </w:tc>
      </w:tr>
    </w:tbl>
    <w:p>
      <w:pPr>
        <w:pStyle w:val="BodyText"/>
        <w:spacing w:before="34"/>
        <w:rPr>
          <w:b/>
          <w:sz w:val="20"/>
        </w:rPr>
      </w:pPr>
      <w:r>
        <w:rPr/>
        <mc:AlternateContent>
          <mc:Choice Requires="wps">
            <w:drawing>
              <wp:anchor distT="0" distB="0" distL="0" distR="0" allowOverlap="1" layoutInCell="1" locked="0" behindDoc="1" simplePos="0" relativeHeight="487618048">
                <wp:simplePos x="0" y="0"/>
                <wp:positionH relativeFrom="page">
                  <wp:posOffset>835152</wp:posOffset>
                </wp:positionH>
                <wp:positionV relativeFrom="paragraph">
                  <wp:posOffset>191859</wp:posOffset>
                </wp:positionV>
                <wp:extent cx="6093460" cy="635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6093460" cy="6350"/>
                        </a:xfrm>
                        <a:custGeom>
                          <a:avLst/>
                          <a:gdLst/>
                          <a:ahLst/>
                          <a:cxnLst/>
                          <a:rect l="l" t="t" r="r" b="b"/>
                          <a:pathLst>
                            <a:path w="6093460" h="6350">
                              <a:moveTo>
                                <a:pt x="6092952" y="0"/>
                              </a:moveTo>
                              <a:lnTo>
                                <a:pt x="6092952" y="0"/>
                              </a:lnTo>
                              <a:lnTo>
                                <a:pt x="0" y="0"/>
                              </a:lnTo>
                              <a:lnTo>
                                <a:pt x="0" y="6096"/>
                              </a:lnTo>
                              <a:lnTo>
                                <a:pt x="6092952" y="6096"/>
                              </a:lnTo>
                              <a:lnTo>
                                <a:pt x="6092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60002pt;margin-top:15.107025pt;width:479.760023pt;height:.48pt;mso-position-horizontal-relative:page;mso-position-vertical-relative:paragraph;z-index:-15698432;mso-wrap-distance-left:0;mso-wrap-distance-right:0" id="docshape79" filled="true" fillcolor="#000000" stroked="false">
                <v:fill type="solid"/>
                <w10:wrap type="topAndBottom"/>
              </v:rect>
            </w:pict>
          </mc:Fallback>
        </mc:AlternateContent>
      </w:r>
    </w:p>
    <w:p>
      <w:pPr>
        <w:spacing w:after="0"/>
        <w:rPr>
          <w:sz w:val="20"/>
        </w:rPr>
        <w:sectPr>
          <w:pgSz w:w="12240" w:h="15840"/>
          <w:pgMar w:header="0" w:footer="1017" w:top="1400" w:bottom="1200" w:left="520" w:right="260"/>
        </w:sectPr>
      </w:pPr>
    </w:p>
    <w:p>
      <w:pPr>
        <w:pStyle w:val="BodyText"/>
        <w:spacing w:line="480" w:lineRule="auto" w:before="37"/>
        <w:ind w:left="920" w:right="1181"/>
        <w:jc w:val="both"/>
      </w:pPr>
      <w:r>
        <w:rPr>
          <w:b/>
        </w:rPr>
        <w:t>KEY:</w:t>
      </w:r>
      <w:r>
        <w:rPr/>
        <w:t>Amx= Amoxicillin, Amc= Amoxicillin/clavulanic acid, Chl= Chloramphenicol, Cot= Cotrimoxazole, Cxc= Cloxacillin, Cxm= Cefuroxime, Ery= Erythromycin, Gent= Gentamicin, Nal= Nalidixic acid, Nit= Nitrofurantoin, Tet= Tetracycline.</w:t>
      </w:r>
    </w:p>
    <w:sectPr>
      <w:pgSz w:w="12240" w:h="15840"/>
      <w:pgMar w:header="0" w:footer="1017" w:top="1400" w:bottom="1200" w:left="52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895232">
              <wp:simplePos x="0" y="0"/>
              <wp:positionH relativeFrom="page">
                <wp:posOffset>3727196</wp:posOffset>
              </wp:positionH>
              <wp:positionV relativeFrom="page">
                <wp:posOffset>9273031</wp:posOffset>
              </wp:positionV>
              <wp:extent cx="3124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2420" cy="165735"/>
                      </a:xfrm>
                      <a:prstGeom prst="rect">
                        <a:avLst/>
                      </a:prstGeom>
                    </wps:spPr>
                    <wps:txbx>
                      <w:txbxContent>
                        <w:p>
                          <w:pPr>
                            <w:pStyle w:val="BodyText"/>
                            <w:spacing w:line="245" w:lineRule="exact"/>
                            <w:ind w:left="20"/>
                          </w:pPr>
                          <w:r>
                            <w:rPr/>
                            <w:t>-</w:t>
                          </w:r>
                          <w:r>
                            <w:rPr>
                              <w:spacing w:val="-2"/>
                            </w:rPr>
                            <w:t> </w:t>
                          </w:r>
                          <w:r>
                            <w:rPr/>
                            <w:fldChar w:fldCharType="begin"/>
                          </w:r>
                          <w:r>
                            <w:rPr/>
                            <w:instrText> PAGE </w:instrText>
                          </w:r>
                          <w:r>
                            <w:rPr/>
                            <w:fldChar w:fldCharType="separate"/>
                          </w:r>
                          <w:r>
                            <w:rPr/>
                            <w:t>10</w:t>
                          </w:r>
                          <w:r>
                            <w:rPr/>
                            <w:fldChar w:fldCharType="end"/>
                          </w:r>
                          <w:r>
                            <w:rPr>
                              <w:spacing w:val="-4"/>
                            </w:rPr>
                            <w:t> </w:t>
                          </w:r>
                          <w:r>
                            <w:rPr>
                              <w:spacing w:val="-10"/>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3.480011pt;margin-top:730.159973pt;width:24.6pt;height:13.05pt;mso-position-horizontal-relative:page;mso-position-vertical-relative:page;z-index:-26421248" type="#_x0000_t202" id="docshape1" filled="false" stroked="false">
              <v:textbox inset="0,0,0,0">
                <w:txbxContent>
                  <w:p>
                    <w:pPr>
                      <w:pStyle w:val="BodyText"/>
                      <w:spacing w:line="245" w:lineRule="exact"/>
                      <w:ind w:left="20"/>
                    </w:pPr>
                    <w:r>
                      <w:rPr/>
                      <w:t>-</w:t>
                    </w:r>
                    <w:r>
                      <w:rPr>
                        <w:spacing w:val="-2"/>
                      </w:rPr>
                      <w:t> </w:t>
                    </w:r>
                    <w:r>
                      <w:rPr/>
                      <w:fldChar w:fldCharType="begin"/>
                    </w:r>
                    <w:r>
                      <w:rPr/>
                      <w:instrText> PAGE </w:instrText>
                    </w:r>
                    <w:r>
                      <w:rPr/>
                      <w:fldChar w:fldCharType="separate"/>
                    </w:r>
                    <w:r>
                      <w:rPr/>
                      <w:t>10</w:t>
                    </w:r>
                    <w:r>
                      <w:rPr/>
                      <w:fldChar w:fldCharType="end"/>
                    </w:r>
                    <w:r>
                      <w:rPr>
                        <w:spacing w:val="-4"/>
                      </w:rPr>
                      <w:t> </w:t>
                    </w:r>
                    <w:r>
                      <w:rPr>
                        <w:spacing w:val="-10"/>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895744">
              <wp:simplePos x="0" y="0"/>
              <wp:positionH relativeFrom="page">
                <wp:posOffset>3693667</wp:posOffset>
              </wp:positionH>
              <wp:positionV relativeFrom="page">
                <wp:posOffset>9273031</wp:posOffset>
              </wp:positionV>
              <wp:extent cx="382270" cy="1657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82270" cy="165735"/>
                      </a:xfrm>
                      <a:prstGeom prst="rect">
                        <a:avLst/>
                      </a:prstGeom>
                    </wps:spPr>
                    <wps:txbx>
                      <w:txbxContent>
                        <w:p>
                          <w:pPr>
                            <w:pStyle w:val="BodyText"/>
                            <w:spacing w:line="245" w:lineRule="exact"/>
                            <w:ind w:left="20"/>
                          </w:pPr>
                          <w:r>
                            <w:rPr/>
                            <w:t>-</w:t>
                          </w:r>
                          <w:r>
                            <w:rPr>
                              <w:spacing w:val="-5"/>
                            </w:rPr>
                            <w:t> </w:t>
                          </w:r>
                          <w:r>
                            <w:rPr/>
                            <w:t>100</w:t>
                          </w:r>
                          <w:r>
                            <w:rPr>
                              <w:spacing w:val="-5"/>
                            </w:rPr>
                            <w:t> </w:t>
                          </w:r>
                          <w:r>
                            <w:rPr>
                              <w:spacing w:val="-10"/>
                            </w:rPr>
                            <w:t>-</w:t>
                          </w:r>
                        </w:p>
                      </w:txbxContent>
                    </wps:txbx>
                    <wps:bodyPr wrap="square" lIns="0" tIns="0" rIns="0" bIns="0" rtlCol="0">
                      <a:noAutofit/>
                    </wps:bodyPr>
                  </wps:wsp>
                </a:graphicData>
              </a:graphic>
            </wp:anchor>
          </w:drawing>
        </mc:Choice>
        <mc:Fallback>
          <w:pict>
            <v:shape style="position:absolute;margin-left:290.839996pt;margin-top:730.159973pt;width:30.1pt;height:13.05pt;mso-position-horizontal-relative:page;mso-position-vertical-relative:page;z-index:-26420736" type="#_x0000_t202" id="docshape38" filled="false" stroked="false">
              <v:textbox inset="0,0,0,0">
                <w:txbxContent>
                  <w:p>
                    <w:pPr>
                      <w:pStyle w:val="BodyText"/>
                      <w:spacing w:line="245" w:lineRule="exact"/>
                      <w:ind w:left="20"/>
                    </w:pPr>
                    <w:r>
                      <w:rPr/>
                      <w:t>-</w:t>
                    </w:r>
                    <w:r>
                      <w:rPr>
                        <w:spacing w:val="-5"/>
                      </w:rPr>
                      <w:t> </w:t>
                    </w:r>
                    <w:r>
                      <w:rPr/>
                      <w:t>100</w:t>
                    </w:r>
                    <w:r>
                      <w:rPr>
                        <w:spacing w:val="-5"/>
                      </w:rPr>
                      <w:t> </w:t>
                    </w:r>
                    <w:r>
                      <w:rPr>
                        <w:spacing w:val="-10"/>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896256">
              <wp:simplePos x="0" y="0"/>
              <wp:positionH relativeFrom="page">
                <wp:posOffset>3693667</wp:posOffset>
              </wp:positionH>
              <wp:positionV relativeFrom="page">
                <wp:posOffset>9273031</wp:posOffset>
              </wp:positionV>
              <wp:extent cx="382270" cy="1657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82270" cy="165735"/>
                      </a:xfrm>
                      <a:prstGeom prst="rect">
                        <a:avLst/>
                      </a:prstGeom>
                    </wps:spPr>
                    <wps:txbx>
                      <w:txbxContent>
                        <w:p>
                          <w:pPr>
                            <w:pStyle w:val="BodyText"/>
                            <w:spacing w:line="245" w:lineRule="exact"/>
                            <w:ind w:left="20"/>
                          </w:pPr>
                          <w:r>
                            <w:rPr/>
                            <w:t>-</w:t>
                          </w:r>
                          <w:r>
                            <w:rPr>
                              <w:spacing w:val="-2"/>
                            </w:rPr>
                            <w:t> </w:t>
                          </w:r>
                          <w:r>
                            <w:rPr/>
                            <w:fldChar w:fldCharType="begin"/>
                          </w:r>
                          <w:r>
                            <w:rPr/>
                            <w:instrText> PAGE </w:instrText>
                          </w:r>
                          <w:r>
                            <w:rPr/>
                            <w:fldChar w:fldCharType="separate"/>
                          </w:r>
                          <w:r>
                            <w:rPr/>
                            <w:t>101</w:t>
                          </w:r>
                          <w:r>
                            <w:rPr/>
                            <w:fldChar w:fldCharType="end"/>
                          </w:r>
                          <w:r>
                            <w:rPr>
                              <w:spacing w:val="-4"/>
                            </w:rPr>
                            <w:t> </w:t>
                          </w:r>
                          <w:r>
                            <w:rPr>
                              <w:spacing w:val="-10"/>
                            </w:rPr>
                            <w:t>-</w:t>
                          </w:r>
                        </w:p>
                      </w:txbxContent>
                    </wps:txbx>
                    <wps:bodyPr wrap="square" lIns="0" tIns="0" rIns="0" bIns="0" rtlCol="0">
                      <a:noAutofit/>
                    </wps:bodyPr>
                  </wps:wsp>
                </a:graphicData>
              </a:graphic>
            </wp:anchor>
          </w:drawing>
        </mc:Choice>
        <mc:Fallback>
          <w:pict>
            <v:shape style="position:absolute;margin-left:290.839996pt;margin-top:730.159973pt;width:30.1pt;height:13.05pt;mso-position-horizontal-relative:page;mso-position-vertical-relative:page;z-index:-26420224" type="#_x0000_t202" id="docshape40" filled="false" stroked="false">
              <v:textbox inset="0,0,0,0">
                <w:txbxContent>
                  <w:p>
                    <w:pPr>
                      <w:pStyle w:val="BodyText"/>
                      <w:spacing w:line="245" w:lineRule="exact"/>
                      <w:ind w:left="20"/>
                    </w:pPr>
                    <w:r>
                      <w:rPr/>
                      <w:t>-</w:t>
                    </w:r>
                    <w:r>
                      <w:rPr>
                        <w:spacing w:val="-2"/>
                      </w:rPr>
                      <w:t> </w:t>
                    </w:r>
                    <w:r>
                      <w:rPr/>
                      <w:fldChar w:fldCharType="begin"/>
                    </w:r>
                    <w:r>
                      <w:rPr/>
                      <w:instrText> PAGE </w:instrText>
                    </w:r>
                    <w:r>
                      <w:rPr/>
                      <w:fldChar w:fldCharType="separate"/>
                    </w:r>
                    <w:r>
                      <w:rPr/>
                      <w:t>101</w:t>
                    </w:r>
                    <w:r>
                      <w:rPr/>
                      <w:fldChar w:fldCharType="end"/>
                    </w:r>
                    <w:r>
                      <w:rPr>
                        <w:spacing w:val="-4"/>
                      </w:rPr>
                      <w:t> </w:t>
                    </w:r>
                    <w:r>
                      <w:rPr>
                        <w:spacing w:val="-10"/>
                      </w:rPr>
                      <w:t>-</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6"/>
      <w:numFmt w:val="decimal"/>
      <w:lvlText w:val="%1"/>
      <w:lvlJc w:val="left"/>
      <w:pPr>
        <w:ind w:left="2604" w:hanging="1685"/>
        <w:jc w:val="left"/>
      </w:pPr>
      <w:rPr>
        <w:rFonts w:hint="default"/>
        <w:lang w:val="en-US" w:eastAsia="en-US" w:bidi="ar-SA"/>
      </w:rPr>
    </w:lvl>
    <w:lvl w:ilvl="1">
      <w:start w:val="0"/>
      <w:numFmt w:val="decimal"/>
      <w:lvlText w:val="%1.%2"/>
      <w:lvlJc w:val="left"/>
      <w:pPr>
        <w:ind w:left="2604" w:hanging="1685"/>
        <w:jc w:val="left"/>
      </w:pPr>
      <w:rPr>
        <w:rFonts w:hint="default" w:ascii="Calibri" w:hAnsi="Calibri" w:eastAsia="Calibri" w:cs="Calibri"/>
        <w:b/>
        <w:bCs/>
        <w:i w:val="0"/>
        <w:iCs w:val="0"/>
        <w:spacing w:val="-2"/>
        <w:w w:val="100"/>
        <w:sz w:val="22"/>
        <w:szCs w:val="22"/>
        <w:lang w:val="en-US" w:eastAsia="en-US" w:bidi="ar-SA"/>
      </w:rPr>
    </w:lvl>
    <w:lvl w:ilvl="2">
      <w:start w:val="1"/>
      <w:numFmt w:val="lowerLetter"/>
      <w:lvlText w:val="%3."/>
      <w:lvlJc w:val="left"/>
      <w:pPr>
        <w:ind w:left="1640" w:hanging="360"/>
        <w:jc w:val="left"/>
      </w:pPr>
      <w:rPr>
        <w:rFonts w:hint="default" w:ascii="Times New Roman" w:hAnsi="Times New Roman" w:eastAsia="Times New Roman" w:cs="Times New Roman"/>
        <w:b w:val="0"/>
        <w:bCs w:val="0"/>
        <w:i w:val="0"/>
        <w:iCs w:val="0"/>
        <w:spacing w:val="-1"/>
        <w:w w:val="99"/>
        <w:sz w:val="24"/>
        <w:szCs w:val="24"/>
        <w:lang w:val="en-US" w:eastAsia="en-US" w:bidi="ar-SA"/>
      </w:rPr>
    </w:lvl>
    <w:lvl w:ilvl="3">
      <w:start w:val="0"/>
      <w:numFmt w:val="bullet"/>
      <w:lvlText w:val="•"/>
      <w:lvlJc w:val="left"/>
      <w:pPr>
        <w:ind w:left="4568" w:hanging="360"/>
      </w:pPr>
      <w:rPr>
        <w:rFonts w:hint="default"/>
        <w:lang w:val="en-US" w:eastAsia="en-US" w:bidi="ar-SA"/>
      </w:rPr>
    </w:lvl>
    <w:lvl w:ilvl="4">
      <w:start w:val="0"/>
      <w:numFmt w:val="bullet"/>
      <w:lvlText w:val="•"/>
      <w:lvlJc w:val="left"/>
      <w:pPr>
        <w:ind w:left="5553" w:hanging="360"/>
      </w:pPr>
      <w:rPr>
        <w:rFonts w:hint="default"/>
        <w:lang w:val="en-US" w:eastAsia="en-US" w:bidi="ar-SA"/>
      </w:rPr>
    </w:lvl>
    <w:lvl w:ilvl="5">
      <w:start w:val="0"/>
      <w:numFmt w:val="bullet"/>
      <w:lvlText w:val="•"/>
      <w:lvlJc w:val="left"/>
      <w:pPr>
        <w:ind w:left="653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491" w:hanging="360"/>
      </w:pPr>
      <w:rPr>
        <w:rFonts w:hint="default"/>
        <w:lang w:val="en-US" w:eastAsia="en-US" w:bidi="ar-SA"/>
      </w:rPr>
    </w:lvl>
  </w:abstractNum>
  <w:abstractNum w:abstractNumId="19">
    <w:multiLevelType w:val="hybridMultilevel"/>
    <w:lvl w:ilvl="0">
      <w:start w:val="5"/>
      <w:numFmt w:val="decimal"/>
      <w:lvlText w:val="%1"/>
      <w:lvlJc w:val="left"/>
      <w:pPr>
        <w:ind w:left="1246" w:hanging="327"/>
        <w:jc w:val="left"/>
      </w:pPr>
      <w:rPr>
        <w:rFonts w:hint="default"/>
        <w:lang w:val="en-US" w:eastAsia="en-US" w:bidi="ar-SA"/>
      </w:rPr>
    </w:lvl>
    <w:lvl w:ilvl="1">
      <w:start w:val="3"/>
      <w:numFmt w:val="decimal"/>
      <w:lvlText w:val="%1.%2"/>
      <w:lvlJc w:val="left"/>
      <w:pPr>
        <w:ind w:left="1246" w:hanging="327"/>
        <w:jc w:val="left"/>
      </w:pPr>
      <w:rPr>
        <w:rFonts w:hint="default" w:ascii="Calibri" w:hAnsi="Calibri" w:eastAsia="Calibri" w:cs="Calibri"/>
        <w:b/>
        <w:bCs/>
        <w:i w:val="0"/>
        <w:iCs w:val="0"/>
        <w:spacing w:val="-2"/>
        <w:w w:val="100"/>
        <w:sz w:val="22"/>
        <w:szCs w:val="22"/>
        <w:lang w:val="en-US" w:eastAsia="en-US" w:bidi="ar-SA"/>
      </w:rPr>
    </w:lvl>
    <w:lvl w:ilvl="2">
      <w:start w:val="0"/>
      <w:numFmt w:val="bullet"/>
      <w:lvlText w:val="•"/>
      <w:lvlJc w:val="left"/>
      <w:pPr>
        <w:ind w:left="3284" w:hanging="327"/>
      </w:pPr>
      <w:rPr>
        <w:rFonts w:hint="default"/>
        <w:lang w:val="en-US" w:eastAsia="en-US" w:bidi="ar-SA"/>
      </w:rPr>
    </w:lvl>
    <w:lvl w:ilvl="3">
      <w:start w:val="0"/>
      <w:numFmt w:val="bullet"/>
      <w:lvlText w:val="•"/>
      <w:lvlJc w:val="left"/>
      <w:pPr>
        <w:ind w:left="4306" w:hanging="327"/>
      </w:pPr>
      <w:rPr>
        <w:rFonts w:hint="default"/>
        <w:lang w:val="en-US" w:eastAsia="en-US" w:bidi="ar-SA"/>
      </w:rPr>
    </w:lvl>
    <w:lvl w:ilvl="4">
      <w:start w:val="0"/>
      <w:numFmt w:val="bullet"/>
      <w:lvlText w:val="•"/>
      <w:lvlJc w:val="left"/>
      <w:pPr>
        <w:ind w:left="5328" w:hanging="327"/>
      </w:pPr>
      <w:rPr>
        <w:rFonts w:hint="default"/>
        <w:lang w:val="en-US" w:eastAsia="en-US" w:bidi="ar-SA"/>
      </w:rPr>
    </w:lvl>
    <w:lvl w:ilvl="5">
      <w:start w:val="0"/>
      <w:numFmt w:val="bullet"/>
      <w:lvlText w:val="•"/>
      <w:lvlJc w:val="left"/>
      <w:pPr>
        <w:ind w:left="6350" w:hanging="327"/>
      </w:pPr>
      <w:rPr>
        <w:rFonts w:hint="default"/>
        <w:lang w:val="en-US" w:eastAsia="en-US" w:bidi="ar-SA"/>
      </w:rPr>
    </w:lvl>
    <w:lvl w:ilvl="6">
      <w:start w:val="0"/>
      <w:numFmt w:val="bullet"/>
      <w:lvlText w:val="•"/>
      <w:lvlJc w:val="left"/>
      <w:pPr>
        <w:ind w:left="7372" w:hanging="327"/>
      </w:pPr>
      <w:rPr>
        <w:rFonts w:hint="default"/>
        <w:lang w:val="en-US" w:eastAsia="en-US" w:bidi="ar-SA"/>
      </w:rPr>
    </w:lvl>
    <w:lvl w:ilvl="7">
      <w:start w:val="0"/>
      <w:numFmt w:val="bullet"/>
      <w:lvlText w:val="•"/>
      <w:lvlJc w:val="left"/>
      <w:pPr>
        <w:ind w:left="8394" w:hanging="327"/>
      </w:pPr>
      <w:rPr>
        <w:rFonts w:hint="default"/>
        <w:lang w:val="en-US" w:eastAsia="en-US" w:bidi="ar-SA"/>
      </w:rPr>
    </w:lvl>
    <w:lvl w:ilvl="8">
      <w:start w:val="0"/>
      <w:numFmt w:val="bullet"/>
      <w:lvlText w:val="•"/>
      <w:lvlJc w:val="left"/>
      <w:pPr>
        <w:ind w:left="9416" w:hanging="327"/>
      </w:pPr>
      <w:rPr>
        <w:rFonts w:hint="default"/>
        <w:lang w:val="en-US" w:eastAsia="en-US" w:bidi="ar-SA"/>
      </w:rPr>
    </w:lvl>
  </w:abstractNum>
  <w:abstractNum w:abstractNumId="18">
    <w:multiLevelType w:val="hybridMultilevel"/>
    <w:lvl w:ilvl="0">
      <w:start w:val="5"/>
      <w:numFmt w:val="decimal"/>
      <w:lvlText w:val="%1"/>
      <w:lvlJc w:val="left"/>
      <w:pPr>
        <w:ind w:left="4865" w:hanging="3946"/>
        <w:jc w:val="left"/>
      </w:pPr>
      <w:rPr>
        <w:rFonts w:hint="default"/>
        <w:lang w:val="en-US" w:eastAsia="en-US" w:bidi="ar-SA"/>
      </w:rPr>
    </w:lvl>
    <w:lvl w:ilvl="1">
      <w:start w:val="0"/>
      <w:numFmt w:val="decimal"/>
      <w:lvlText w:val="%1.%2"/>
      <w:lvlJc w:val="left"/>
      <w:pPr>
        <w:ind w:left="4865" w:hanging="3946"/>
        <w:jc w:val="left"/>
      </w:pPr>
      <w:rPr>
        <w:rFonts w:hint="default" w:ascii="Calibri" w:hAnsi="Calibri" w:eastAsia="Calibri" w:cs="Calibri"/>
        <w:b/>
        <w:bCs/>
        <w:i w:val="0"/>
        <w:iCs w:val="0"/>
        <w:spacing w:val="-2"/>
        <w:w w:val="100"/>
        <w:sz w:val="22"/>
        <w:szCs w:val="22"/>
        <w:lang w:val="en-US" w:eastAsia="en-US" w:bidi="ar-SA"/>
      </w:rPr>
    </w:lvl>
    <w:lvl w:ilvl="2">
      <w:start w:val="0"/>
      <w:numFmt w:val="bullet"/>
      <w:lvlText w:val="•"/>
      <w:lvlJc w:val="left"/>
      <w:pPr>
        <w:ind w:left="6180" w:hanging="3946"/>
      </w:pPr>
      <w:rPr>
        <w:rFonts w:hint="default"/>
        <w:lang w:val="en-US" w:eastAsia="en-US" w:bidi="ar-SA"/>
      </w:rPr>
    </w:lvl>
    <w:lvl w:ilvl="3">
      <w:start w:val="0"/>
      <w:numFmt w:val="bullet"/>
      <w:lvlText w:val="•"/>
      <w:lvlJc w:val="left"/>
      <w:pPr>
        <w:ind w:left="6840" w:hanging="3946"/>
      </w:pPr>
      <w:rPr>
        <w:rFonts w:hint="default"/>
        <w:lang w:val="en-US" w:eastAsia="en-US" w:bidi="ar-SA"/>
      </w:rPr>
    </w:lvl>
    <w:lvl w:ilvl="4">
      <w:start w:val="0"/>
      <w:numFmt w:val="bullet"/>
      <w:lvlText w:val="•"/>
      <w:lvlJc w:val="left"/>
      <w:pPr>
        <w:ind w:left="7500" w:hanging="3946"/>
      </w:pPr>
      <w:rPr>
        <w:rFonts w:hint="default"/>
        <w:lang w:val="en-US" w:eastAsia="en-US" w:bidi="ar-SA"/>
      </w:rPr>
    </w:lvl>
    <w:lvl w:ilvl="5">
      <w:start w:val="0"/>
      <w:numFmt w:val="bullet"/>
      <w:lvlText w:val="•"/>
      <w:lvlJc w:val="left"/>
      <w:pPr>
        <w:ind w:left="8160" w:hanging="3946"/>
      </w:pPr>
      <w:rPr>
        <w:rFonts w:hint="default"/>
        <w:lang w:val="en-US" w:eastAsia="en-US" w:bidi="ar-SA"/>
      </w:rPr>
    </w:lvl>
    <w:lvl w:ilvl="6">
      <w:start w:val="0"/>
      <w:numFmt w:val="bullet"/>
      <w:lvlText w:val="•"/>
      <w:lvlJc w:val="left"/>
      <w:pPr>
        <w:ind w:left="8820" w:hanging="3946"/>
      </w:pPr>
      <w:rPr>
        <w:rFonts w:hint="default"/>
        <w:lang w:val="en-US" w:eastAsia="en-US" w:bidi="ar-SA"/>
      </w:rPr>
    </w:lvl>
    <w:lvl w:ilvl="7">
      <w:start w:val="0"/>
      <w:numFmt w:val="bullet"/>
      <w:lvlText w:val="•"/>
      <w:lvlJc w:val="left"/>
      <w:pPr>
        <w:ind w:left="9480" w:hanging="3946"/>
      </w:pPr>
      <w:rPr>
        <w:rFonts w:hint="default"/>
        <w:lang w:val="en-US" w:eastAsia="en-US" w:bidi="ar-SA"/>
      </w:rPr>
    </w:lvl>
    <w:lvl w:ilvl="8">
      <w:start w:val="0"/>
      <w:numFmt w:val="bullet"/>
      <w:lvlText w:val="•"/>
      <w:lvlJc w:val="left"/>
      <w:pPr>
        <w:ind w:left="10140" w:hanging="3946"/>
      </w:pPr>
      <w:rPr>
        <w:rFonts w:hint="default"/>
        <w:lang w:val="en-US" w:eastAsia="en-US" w:bidi="ar-SA"/>
      </w:rPr>
    </w:lvl>
  </w:abstractNum>
  <w:abstractNum w:abstractNumId="17">
    <w:multiLevelType w:val="hybridMultilevel"/>
    <w:lvl w:ilvl="0">
      <w:start w:val="4"/>
      <w:numFmt w:val="decimal"/>
      <w:lvlText w:val="%1"/>
      <w:lvlJc w:val="left"/>
      <w:pPr>
        <w:ind w:left="4913" w:hanging="3994"/>
        <w:jc w:val="left"/>
      </w:pPr>
      <w:rPr>
        <w:rFonts w:hint="default"/>
        <w:lang w:val="en-US" w:eastAsia="en-US" w:bidi="ar-SA"/>
      </w:rPr>
    </w:lvl>
    <w:lvl w:ilvl="1">
      <w:start w:val="0"/>
      <w:numFmt w:val="decimal"/>
      <w:lvlText w:val="%1.%2"/>
      <w:lvlJc w:val="left"/>
      <w:pPr>
        <w:ind w:left="4913" w:hanging="3994"/>
        <w:jc w:val="left"/>
      </w:pPr>
      <w:rPr>
        <w:rFonts w:hint="default"/>
        <w:spacing w:val="-2"/>
        <w:w w:val="100"/>
        <w:lang w:val="en-US" w:eastAsia="en-US" w:bidi="ar-SA"/>
      </w:rPr>
    </w:lvl>
    <w:lvl w:ilvl="2">
      <w:start w:val="0"/>
      <w:numFmt w:val="bullet"/>
      <w:lvlText w:val="•"/>
      <w:lvlJc w:val="left"/>
      <w:pPr>
        <w:ind w:left="6228" w:hanging="3994"/>
      </w:pPr>
      <w:rPr>
        <w:rFonts w:hint="default"/>
        <w:lang w:val="en-US" w:eastAsia="en-US" w:bidi="ar-SA"/>
      </w:rPr>
    </w:lvl>
    <w:lvl w:ilvl="3">
      <w:start w:val="0"/>
      <w:numFmt w:val="bullet"/>
      <w:lvlText w:val="•"/>
      <w:lvlJc w:val="left"/>
      <w:pPr>
        <w:ind w:left="6882" w:hanging="3994"/>
      </w:pPr>
      <w:rPr>
        <w:rFonts w:hint="default"/>
        <w:lang w:val="en-US" w:eastAsia="en-US" w:bidi="ar-SA"/>
      </w:rPr>
    </w:lvl>
    <w:lvl w:ilvl="4">
      <w:start w:val="0"/>
      <w:numFmt w:val="bullet"/>
      <w:lvlText w:val="•"/>
      <w:lvlJc w:val="left"/>
      <w:pPr>
        <w:ind w:left="7536" w:hanging="3994"/>
      </w:pPr>
      <w:rPr>
        <w:rFonts w:hint="default"/>
        <w:lang w:val="en-US" w:eastAsia="en-US" w:bidi="ar-SA"/>
      </w:rPr>
    </w:lvl>
    <w:lvl w:ilvl="5">
      <w:start w:val="0"/>
      <w:numFmt w:val="bullet"/>
      <w:lvlText w:val="•"/>
      <w:lvlJc w:val="left"/>
      <w:pPr>
        <w:ind w:left="8190" w:hanging="3994"/>
      </w:pPr>
      <w:rPr>
        <w:rFonts w:hint="default"/>
        <w:lang w:val="en-US" w:eastAsia="en-US" w:bidi="ar-SA"/>
      </w:rPr>
    </w:lvl>
    <w:lvl w:ilvl="6">
      <w:start w:val="0"/>
      <w:numFmt w:val="bullet"/>
      <w:lvlText w:val="•"/>
      <w:lvlJc w:val="left"/>
      <w:pPr>
        <w:ind w:left="8844" w:hanging="3994"/>
      </w:pPr>
      <w:rPr>
        <w:rFonts w:hint="default"/>
        <w:lang w:val="en-US" w:eastAsia="en-US" w:bidi="ar-SA"/>
      </w:rPr>
    </w:lvl>
    <w:lvl w:ilvl="7">
      <w:start w:val="0"/>
      <w:numFmt w:val="bullet"/>
      <w:lvlText w:val="•"/>
      <w:lvlJc w:val="left"/>
      <w:pPr>
        <w:ind w:left="9498" w:hanging="3994"/>
      </w:pPr>
      <w:rPr>
        <w:rFonts w:hint="default"/>
        <w:lang w:val="en-US" w:eastAsia="en-US" w:bidi="ar-SA"/>
      </w:rPr>
    </w:lvl>
    <w:lvl w:ilvl="8">
      <w:start w:val="0"/>
      <w:numFmt w:val="bullet"/>
      <w:lvlText w:val="•"/>
      <w:lvlJc w:val="left"/>
      <w:pPr>
        <w:ind w:left="10152" w:hanging="3994"/>
      </w:pPr>
      <w:rPr>
        <w:rFonts w:hint="default"/>
        <w:lang w:val="en-US" w:eastAsia="en-US" w:bidi="ar-SA"/>
      </w:rPr>
    </w:lvl>
  </w:abstractNum>
  <w:abstractNum w:abstractNumId="16">
    <w:multiLevelType w:val="hybridMultilevel"/>
    <w:lvl w:ilvl="0">
      <w:start w:val="3"/>
      <w:numFmt w:val="decimal"/>
      <w:lvlText w:val="%1"/>
      <w:lvlJc w:val="left"/>
      <w:pPr>
        <w:ind w:left="1304" w:hanging="384"/>
        <w:jc w:val="left"/>
      </w:pPr>
      <w:rPr>
        <w:rFonts w:hint="default"/>
        <w:lang w:val="en-US" w:eastAsia="en-US" w:bidi="ar-SA"/>
      </w:rPr>
    </w:lvl>
    <w:lvl w:ilvl="1">
      <w:start w:val="2"/>
      <w:numFmt w:val="decimal"/>
      <w:lvlText w:val="%1.%2."/>
      <w:lvlJc w:val="left"/>
      <w:pPr>
        <w:ind w:left="1304" w:hanging="384"/>
        <w:jc w:val="left"/>
      </w:pPr>
      <w:rPr>
        <w:rFonts w:hint="default" w:ascii="Calibri" w:hAnsi="Calibri" w:eastAsia="Calibri" w:cs="Calibri"/>
        <w:b/>
        <w:bCs/>
        <w:i w:val="0"/>
        <w:iCs w:val="0"/>
        <w:spacing w:val="-2"/>
        <w:w w:val="100"/>
        <w:sz w:val="22"/>
        <w:szCs w:val="22"/>
        <w:lang w:val="en-US" w:eastAsia="en-US" w:bidi="ar-SA"/>
      </w:rPr>
    </w:lvl>
    <w:lvl w:ilvl="2">
      <w:start w:val="1"/>
      <w:numFmt w:val="decimal"/>
      <w:lvlText w:val="%1.%2.%3"/>
      <w:lvlJc w:val="left"/>
      <w:pPr>
        <w:ind w:left="1461" w:hanging="542"/>
        <w:jc w:val="left"/>
      </w:pPr>
      <w:rPr>
        <w:rFonts w:hint="default"/>
        <w:spacing w:val="0"/>
        <w:w w:val="99"/>
        <w:lang w:val="en-US" w:eastAsia="en-US" w:bidi="ar-SA"/>
      </w:rPr>
    </w:lvl>
    <w:lvl w:ilvl="3">
      <w:start w:val="1"/>
      <w:numFmt w:val="decimal"/>
      <w:lvlText w:val="%1.%2.%3.%4"/>
      <w:lvlJc w:val="left"/>
      <w:pPr>
        <w:ind w:left="1587" w:hanging="668"/>
        <w:jc w:val="left"/>
      </w:pPr>
      <w:rPr>
        <w:rFonts w:hint="default"/>
        <w:spacing w:val="-2"/>
        <w:w w:val="97"/>
        <w:lang w:val="en-US" w:eastAsia="en-US" w:bidi="ar-SA"/>
      </w:rPr>
    </w:lvl>
    <w:lvl w:ilvl="4">
      <w:start w:val="0"/>
      <w:numFmt w:val="bullet"/>
      <w:lvlText w:val="•"/>
      <w:lvlJc w:val="left"/>
      <w:pPr>
        <w:ind w:left="4050" w:hanging="668"/>
      </w:pPr>
      <w:rPr>
        <w:rFonts w:hint="default"/>
        <w:lang w:val="en-US" w:eastAsia="en-US" w:bidi="ar-SA"/>
      </w:rPr>
    </w:lvl>
    <w:lvl w:ilvl="5">
      <w:start w:val="0"/>
      <w:numFmt w:val="bullet"/>
      <w:lvlText w:val="•"/>
      <w:lvlJc w:val="left"/>
      <w:pPr>
        <w:ind w:left="5285" w:hanging="668"/>
      </w:pPr>
      <w:rPr>
        <w:rFonts w:hint="default"/>
        <w:lang w:val="en-US" w:eastAsia="en-US" w:bidi="ar-SA"/>
      </w:rPr>
    </w:lvl>
    <w:lvl w:ilvl="6">
      <w:start w:val="0"/>
      <w:numFmt w:val="bullet"/>
      <w:lvlText w:val="•"/>
      <w:lvlJc w:val="left"/>
      <w:pPr>
        <w:ind w:left="6520" w:hanging="668"/>
      </w:pPr>
      <w:rPr>
        <w:rFonts w:hint="default"/>
        <w:lang w:val="en-US" w:eastAsia="en-US" w:bidi="ar-SA"/>
      </w:rPr>
    </w:lvl>
    <w:lvl w:ilvl="7">
      <w:start w:val="0"/>
      <w:numFmt w:val="bullet"/>
      <w:lvlText w:val="•"/>
      <w:lvlJc w:val="left"/>
      <w:pPr>
        <w:ind w:left="7755" w:hanging="668"/>
      </w:pPr>
      <w:rPr>
        <w:rFonts w:hint="default"/>
        <w:lang w:val="en-US" w:eastAsia="en-US" w:bidi="ar-SA"/>
      </w:rPr>
    </w:lvl>
    <w:lvl w:ilvl="8">
      <w:start w:val="0"/>
      <w:numFmt w:val="bullet"/>
      <w:lvlText w:val="•"/>
      <w:lvlJc w:val="left"/>
      <w:pPr>
        <w:ind w:left="8990" w:hanging="668"/>
      </w:pPr>
      <w:rPr>
        <w:rFonts w:hint="default"/>
        <w:lang w:val="en-US" w:eastAsia="en-US" w:bidi="ar-SA"/>
      </w:rPr>
    </w:lvl>
  </w:abstractNum>
  <w:abstractNum w:abstractNumId="15">
    <w:multiLevelType w:val="hybridMultilevel"/>
    <w:lvl w:ilvl="0">
      <w:start w:val="3"/>
      <w:numFmt w:val="decimal"/>
      <w:lvlText w:val="%1"/>
      <w:lvlJc w:val="left"/>
      <w:pPr>
        <w:ind w:left="1200" w:hanging="281"/>
        <w:jc w:val="left"/>
      </w:pPr>
      <w:rPr>
        <w:rFonts w:hint="default"/>
        <w:lang w:val="en-US" w:eastAsia="en-US" w:bidi="ar-SA"/>
      </w:rPr>
    </w:lvl>
    <w:lvl w:ilvl="1">
      <w:start w:val="1"/>
      <w:numFmt w:val="decimal"/>
      <w:lvlText w:val="%1.%2"/>
      <w:lvlJc w:val="left"/>
      <w:pPr>
        <w:ind w:left="1200" w:hanging="281"/>
        <w:jc w:val="left"/>
      </w:pPr>
      <w:rPr>
        <w:rFonts w:hint="default" w:ascii="Calibri" w:hAnsi="Calibri" w:eastAsia="Calibri" w:cs="Calibri"/>
        <w:b/>
        <w:bCs/>
        <w:i w:val="0"/>
        <w:iCs w:val="0"/>
        <w:spacing w:val="-2"/>
        <w:w w:val="100"/>
        <w:sz w:val="20"/>
        <w:szCs w:val="20"/>
        <w:lang w:val="en-US" w:eastAsia="en-US" w:bidi="ar-SA"/>
      </w:rPr>
    </w:lvl>
    <w:lvl w:ilvl="2">
      <w:start w:val="1"/>
      <w:numFmt w:val="decimal"/>
      <w:lvlText w:val="%1.%2.%3"/>
      <w:lvlJc w:val="left"/>
      <w:pPr>
        <w:ind w:left="1419" w:hanging="500"/>
        <w:jc w:val="left"/>
      </w:pPr>
      <w:rPr>
        <w:rFonts w:hint="default"/>
        <w:spacing w:val="-2"/>
        <w:w w:val="100"/>
        <w:lang w:val="en-US" w:eastAsia="en-US" w:bidi="ar-SA"/>
      </w:rPr>
    </w:lvl>
    <w:lvl w:ilvl="3">
      <w:start w:val="0"/>
      <w:numFmt w:val="bullet"/>
      <w:lvlText w:val=""/>
      <w:lvlJc w:val="left"/>
      <w:pPr>
        <w:ind w:left="1640" w:hanging="360"/>
      </w:pPr>
      <w:rPr>
        <w:rFonts w:hint="default" w:ascii="Symbol" w:hAnsi="Symbol" w:eastAsia="Symbol" w:cs="Symbol"/>
        <w:b w:val="0"/>
        <w:bCs w:val="0"/>
        <w:i w:val="0"/>
        <w:iCs w:val="0"/>
        <w:spacing w:val="0"/>
        <w:w w:val="99"/>
        <w:sz w:val="24"/>
        <w:szCs w:val="24"/>
        <w:lang w:val="en-US" w:eastAsia="en-US" w:bidi="ar-SA"/>
      </w:rPr>
    </w:lvl>
    <w:lvl w:ilvl="4">
      <w:start w:val="0"/>
      <w:numFmt w:val="bullet"/>
      <w:lvlText w:val="•"/>
      <w:lvlJc w:val="left"/>
      <w:pPr>
        <w:ind w:left="4095" w:hanging="360"/>
      </w:pPr>
      <w:rPr>
        <w:rFonts w:hint="default"/>
        <w:lang w:val="en-US" w:eastAsia="en-US" w:bidi="ar-SA"/>
      </w:rPr>
    </w:lvl>
    <w:lvl w:ilvl="5">
      <w:start w:val="0"/>
      <w:numFmt w:val="bullet"/>
      <w:lvlText w:val="•"/>
      <w:lvlJc w:val="left"/>
      <w:pPr>
        <w:ind w:left="5322" w:hanging="360"/>
      </w:pPr>
      <w:rPr>
        <w:rFonts w:hint="default"/>
        <w:lang w:val="en-US" w:eastAsia="en-US" w:bidi="ar-SA"/>
      </w:rPr>
    </w:lvl>
    <w:lvl w:ilvl="6">
      <w:start w:val="0"/>
      <w:numFmt w:val="bullet"/>
      <w:lvlText w:val="•"/>
      <w:lvlJc w:val="left"/>
      <w:pPr>
        <w:ind w:left="6550" w:hanging="360"/>
      </w:pPr>
      <w:rPr>
        <w:rFonts w:hint="default"/>
        <w:lang w:val="en-US" w:eastAsia="en-US" w:bidi="ar-SA"/>
      </w:rPr>
    </w:lvl>
    <w:lvl w:ilvl="7">
      <w:start w:val="0"/>
      <w:numFmt w:val="bullet"/>
      <w:lvlText w:val="•"/>
      <w:lvlJc w:val="left"/>
      <w:pPr>
        <w:ind w:left="7777" w:hanging="360"/>
      </w:pPr>
      <w:rPr>
        <w:rFonts w:hint="default"/>
        <w:lang w:val="en-US" w:eastAsia="en-US" w:bidi="ar-SA"/>
      </w:rPr>
    </w:lvl>
    <w:lvl w:ilvl="8">
      <w:start w:val="0"/>
      <w:numFmt w:val="bullet"/>
      <w:lvlText w:val="•"/>
      <w:lvlJc w:val="left"/>
      <w:pPr>
        <w:ind w:left="9005" w:hanging="360"/>
      </w:pPr>
      <w:rPr>
        <w:rFonts w:hint="default"/>
        <w:lang w:val="en-US" w:eastAsia="en-US" w:bidi="ar-SA"/>
      </w:rPr>
    </w:lvl>
  </w:abstractNum>
  <w:abstractNum w:abstractNumId="14">
    <w:multiLevelType w:val="hybridMultilevel"/>
    <w:lvl w:ilvl="0">
      <w:start w:val="1"/>
      <w:numFmt w:val="lowerLetter"/>
      <w:lvlText w:val="%1."/>
      <w:lvlJc w:val="left"/>
      <w:pPr>
        <w:ind w:left="920" w:hanging="255"/>
        <w:jc w:val="left"/>
      </w:pPr>
      <w:rPr>
        <w:rFonts w:hint="default" w:ascii="Times New Roman" w:hAnsi="Times New Roman" w:eastAsia="Times New Roman" w:cs="Times New Roman"/>
        <w:b w:val="0"/>
        <w:bCs w:val="0"/>
        <w:i w:val="0"/>
        <w:iCs w:val="0"/>
        <w:spacing w:val="-1"/>
        <w:w w:val="99"/>
        <w:sz w:val="24"/>
        <w:szCs w:val="24"/>
        <w:lang w:val="en-US" w:eastAsia="en-US" w:bidi="ar-SA"/>
      </w:rPr>
    </w:lvl>
    <w:lvl w:ilvl="1">
      <w:start w:val="0"/>
      <w:numFmt w:val="bullet"/>
      <w:lvlText w:val="•"/>
      <w:lvlJc w:val="left"/>
      <w:pPr>
        <w:ind w:left="1974" w:hanging="255"/>
      </w:pPr>
      <w:rPr>
        <w:rFonts w:hint="default"/>
        <w:lang w:val="en-US" w:eastAsia="en-US" w:bidi="ar-SA"/>
      </w:rPr>
    </w:lvl>
    <w:lvl w:ilvl="2">
      <w:start w:val="0"/>
      <w:numFmt w:val="bullet"/>
      <w:lvlText w:val="•"/>
      <w:lvlJc w:val="left"/>
      <w:pPr>
        <w:ind w:left="3028" w:hanging="255"/>
      </w:pPr>
      <w:rPr>
        <w:rFonts w:hint="default"/>
        <w:lang w:val="en-US" w:eastAsia="en-US" w:bidi="ar-SA"/>
      </w:rPr>
    </w:lvl>
    <w:lvl w:ilvl="3">
      <w:start w:val="0"/>
      <w:numFmt w:val="bullet"/>
      <w:lvlText w:val="•"/>
      <w:lvlJc w:val="left"/>
      <w:pPr>
        <w:ind w:left="4082" w:hanging="255"/>
      </w:pPr>
      <w:rPr>
        <w:rFonts w:hint="default"/>
        <w:lang w:val="en-US" w:eastAsia="en-US" w:bidi="ar-SA"/>
      </w:rPr>
    </w:lvl>
    <w:lvl w:ilvl="4">
      <w:start w:val="0"/>
      <w:numFmt w:val="bullet"/>
      <w:lvlText w:val="•"/>
      <w:lvlJc w:val="left"/>
      <w:pPr>
        <w:ind w:left="5136" w:hanging="255"/>
      </w:pPr>
      <w:rPr>
        <w:rFonts w:hint="default"/>
        <w:lang w:val="en-US" w:eastAsia="en-US" w:bidi="ar-SA"/>
      </w:rPr>
    </w:lvl>
    <w:lvl w:ilvl="5">
      <w:start w:val="0"/>
      <w:numFmt w:val="bullet"/>
      <w:lvlText w:val="•"/>
      <w:lvlJc w:val="left"/>
      <w:pPr>
        <w:ind w:left="6190" w:hanging="255"/>
      </w:pPr>
      <w:rPr>
        <w:rFonts w:hint="default"/>
        <w:lang w:val="en-US" w:eastAsia="en-US" w:bidi="ar-SA"/>
      </w:rPr>
    </w:lvl>
    <w:lvl w:ilvl="6">
      <w:start w:val="0"/>
      <w:numFmt w:val="bullet"/>
      <w:lvlText w:val="•"/>
      <w:lvlJc w:val="left"/>
      <w:pPr>
        <w:ind w:left="7244" w:hanging="255"/>
      </w:pPr>
      <w:rPr>
        <w:rFonts w:hint="default"/>
        <w:lang w:val="en-US" w:eastAsia="en-US" w:bidi="ar-SA"/>
      </w:rPr>
    </w:lvl>
    <w:lvl w:ilvl="7">
      <w:start w:val="0"/>
      <w:numFmt w:val="bullet"/>
      <w:lvlText w:val="•"/>
      <w:lvlJc w:val="left"/>
      <w:pPr>
        <w:ind w:left="8298" w:hanging="255"/>
      </w:pPr>
      <w:rPr>
        <w:rFonts w:hint="default"/>
        <w:lang w:val="en-US" w:eastAsia="en-US" w:bidi="ar-SA"/>
      </w:rPr>
    </w:lvl>
    <w:lvl w:ilvl="8">
      <w:start w:val="0"/>
      <w:numFmt w:val="bullet"/>
      <w:lvlText w:val="•"/>
      <w:lvlJc w:val="left"/>
      <w:pPr>
        <w:ind w:left="9352" w:hanging="255"/>
      </w:pPr>
      <w:rPr>
        <w:rFonts w:hint="default"/>
        <w:lang w:val="en-US" w:eastAsia="en-US" w:bidi="ar-SA"/>
      </w:rPr>
    </w:lvl>
  </w:abstractNum>
  <w:abstractNum w:abstractNumId="13">
    <w:multiLevelType w:val="hybridMultilevel"/>
    <w:lvl w:ilvl="0">
      <w:start w:val="1"/>
      <w:numFmt w:val="lowerLetter"/>
      <w:lvlText w:val="%1."/>
      <w:lvlJc w:val="left"/>
      <w:pPr>
        <w:ind w:left="920" w:hanging="168"/>
        <w:jc w:val="left"/>
      </w:pPr>
      <w:rPr>
        <w:rFonts w:hint="default"/>
        <w:spacing w:val="-1"/>
        <w:w w:val="88"/>
        <w:lang w:val="en-US" w:eastAsia="en-US" w:bidi="ar-SA"/>
      </w:rPr>
    </w:lvl>
    <w:lvl w:ilvl="1">
      <w:start w:val="0"/>
      <w:numFmt w:val="bullet"/>
      <w:lvlText w:val="•"/>
      <w:lvlJc w:val="left"/>
      <w:pPr>
        <w:ind w:left="1974" w:hanging="168"/>
      </w:pPr>
      <w:rPr>
        <w:rFonts w:hint="default"/>
        <w:lang w:val="en-US" w:eastAsia="en-US" w:bidi="ar-SA"/>
      </w:rPr>
    </w:lvl>
    <w:lvl w:ilvl="2">
      <w:start w:val="0"/>
      <w:numFmt w:val="bullet"/>
      <w:lvlText w:val="•"/>
      <w:lvlJc w:val="left"/>
      <w:pPr>
        <w:ind w:left="3028" w:hanging="168"/>
      </w:pPr>
      <w:rPr>
        <w:rFonts w:hint="default"/>
        <w:lang w:val="en-US" w:eastAsia="en-US" w:bidi="ar-SA"/>
      </w:rPr>
    </w:lvl>
    <w:lvl w:ilvl="3">
      <w:start w:val="0"/>
      <w:numFmt w:val="bullet"/>
      <w:lvlText w:val="•"/>
      <w:lvlJc w:val="left"/>
      <w:pPr>
        <w:ind w:left="4082" w:hanging="168"/>
      </w:pPr>
      <w:rPr>
        <w:rFonts w:hint="default"/>
        <w:lang w:val="en-US" w:eastAsia="en-US" w:bidi="ar-SA"/>
      </w:rPr>
    </w:lvl>
    <w:lvl w:ilvl="4">
      <w:start w:val="0"/>
      <w:numFmt w:val="bullet"/>
      <w:lvlText w:val="•"/>
      <w:lvlJc w:val="left"/>
      <w:pPr>
        <w:ind w:left="5136" w:hanging="168"/>
      </w:pPr>
      <w:rPr>
        <w:rFonts w:hint="default"/>
        <w:lang w:val="en-US" w:eastAsia="en-US" w:bidi="ar-SA"/>
      </w:rPr>
    </w:lvl>
    <w:lvl w:ilvl="5">
      <w:start w:val="0"/>
      <w:numFmt w:val="bullet"/>
      <w:lvlText w:val="•"/>
      <w:lvlJc w:val="left"/>
      <w:pPr>
        <w:ind w:left="6190" w:hanging="168"/>
      </w:pPr>
      <w:rPr>
        <w:rFonts w:hint="default"/>
        <w:lang w:val="en-US" w:eastAsia="en-US" w:bidi="ar-SA"/>
      </w:rPr>
    </w:lvl>
    <w:lvl w:ilvl="6">
      <w:start w:val="0"/>
      <w:numFmt w:val="bullet"/>
      <w:lvlText w:val="•"/>
      <w:lvlJc w:val="left"/>
      <w:pPr>
        <w:ind w:left="7244" w:hanging="168"/>
      </w:pPr>
      <w:rPr>
        <w:rFonts w:hint="default"/>
        <w:lang w:val="en-US" w:eastAsia="en-US" w:bidi="ar-SA"/>
      </w:rPr>
    </w:lvl>
    <w:lvl w:ilvl="7">
      <w:start w:val="0"/>
      <w:numFmt w:val="bullet"/>
      <w:lvlText w:val="•"/>
      <w:lvlJc w:val="left"/>
      <w:pPr>
        <w:ind w:left="8298" w:hanging="168"/>
      </w:pPr>
      <w:rPr>
        <w:rFonts w:hint="default"/>
        <w:lang w:val="en-US" w:eastAsia="en-US" w:bidi="ar-SA"/>
      </w:rPr>
    </w:lvl>
    <w:lvl w:ilvl="8">
      <w:start w:val="0"/>
      <w:numFmt w:val="bullet"/>
      <w:lvlText w:val="•"/>
      <w:lvlJc w:val="left"/>
      <w:pPr>
        <w:ind w:left="9352" w:hanging="168"/>
      </w:pPr>
      <w:rPr>
        <w:rFonts w:hint="default"/>
        <w:lang w:val="en-US" w:eastAsia="en-US" w:bidi="ar-SA"/>
      </w:rPr>
    </w:lvl>
  </w:abstractNum>
  <w:abstractNum w:abstractNumId="12">
    <w:multiLevelType w:val="hybridMultilevel"/>
    <w:lvl w:ilvl="0">
      <w:start w:val="1"/>
      <w:numFmt w:val="lowerLetter"/>
      <w:lvlText w:val="%1."/>
      <w:lvlJc w:val="left"/>
      <w:pPr>
        <w:ind w:left="1131" w:hanging="212"/>
        <w:jc w:val="left"/>
      </w:pPr>
      <w:rPr>
        <w:rFonts w:hint="default"/>
        <w:spacing w:val="-1"/>
        <w:w w:val="100"/>
        <w:lang w:val="en-US" w:eastAsia="en-US" w:bidi="ar-SA"/>
      </w:rPr>
    </w:lvl>
    <w:lvl w:ilvl="1">
      <w:start w:val="0"/>
      <w:numFmt w:val="bullet"/>
      <w:lvlText w:val="•"/>
      <w:lvlJc w:val="left"/>
      <w:pPr>
        <w:ind w:left="2172" w:hanging="212"/>
      </w:pPr>
      <w:rPr>
        <w:rFonts w:hint="default"/>
        <w:lang w:val="en-US" w:eastAsia="en-US" w:bidi="ar-SA"/>
      </w:rPr>
    </w:lvl>
    <w:lvl w:ilvl="2">
      <w:start w:val="0"/>
      <w:numFmt w:val="bullet"/>
      <w:lvlText w:val="•"/>
      <w:lvlJc w:val="left"/>
      <w:pPr>
        <w:ind w:left="3204" w:hanging="212"/>
      </w:pPr>
      <w:rPr>
        <w:rFonts w:hint="default"/>
        <w:lang w:val="en-US" w:eastAsia="en-US" w:bidi="ar-SA"/>
      </w:rPr>
    </w:lvl>
    <w:lvl w:ilvl="3">
      <w:start w:val="0"/>
      <w:numFmt w:val="bullet"/>
      <w:lvlText w:val="•"/>
      <w:lvlJc w:val="left"/>
      <w:pPr>
        <w:ind w:left="4236" w:hanging="212"/>
      </w:pPr>
      <w:rPr>
        <w:rFonts w:hint="default"/>
        <w:lang w:val="en-US" w:eastAsia="en-US" w:bidi="ar-SA"/>
      </w:rPr>
    </w:lvl>
    <w:lvl w:ilvl="4">
      <w:start w:val="0"/>
      <w:numFmt w:val="bullet"/>
      <w:lvlText w:val="•"/>
      <w:lvlJc w:val="left"/>
      <w:pPr>
        <w:ind w:left="5268" w:hanging="212"/>
      </w:pPr>
      <w:rPr>
        <w:rFonts w:hint="default"/>
        <w:lang w:val="en-US" w:eastAsia="en-US" w:bidi="ar-SA"/>
      </w:rPr>
    </w:lvl>
    <w:lvl w:ilvl="5">
      <w:start w:val="0"/>
      <w:numFmt w:val="bullet"/>
      <w:lvlText w:val="•"/>
      <w:lvlJc w:val="left"/>
      <w:pPr>
        <w:ind w:left="6300" w:hanging="212"/>
      </w:pPr>
      <w:rPr>
        <w:rFonts w:hint="default"/>
        <w:lang w:val="en-US" w:eastAsia="en-US" w:bidi="ar-SA"/>
      </w:rPr>
    </w:lvl>
    <w:lvl w:ilvl="6">
      <w:start w:val="0"/>
      <w:numFmt w:val="bullet"/>
      <w:lvlText w:val="•"/>
      <w:lvlJc w:val="left"/>
      <w:pPr>
        <w:ind w:left="7332" w:hanging="212"/>
      </w:pPr>
      <w:rPr>
        <w:rFonts w:hint="default"/>
        <w:lang w:val="en-US" w:eastAsia="en-US" w:bidi="ar-SA"/>
      </w:rPr>
    </w:lvl>
    <w:lvl w:ilvl="7">
      <w:start w:val="0"/>
      <w:numFmt w:val="bullet"/>
      <w:lvlText w:val="•"/>
      <w:lvlJc w:val="left"/>
      <w:pPr>
        <w:ind w:left="8364" w:hanging="212"/>
      </w:pPr>
      <w:rPr>
        <w:rFonts w:hint="default"/>
        <w:lang w:val="en-US" w:eastAsia="en-US" w:bidi="ar-SA"/>
      </w:rPr>
    </w:lvl>
    <w:lvl w:ilvl="8">
      <w:start w:val="0"/>
      <w:numFmt w:val="bullet"/>
      <w:lvlText w:val="•"/>
      <w:lvlJc w:val="left"/>
      <w:pPr>
        <w:ind w:left="9396" w:hanging="212"/>
      </w:pPr>
      <w:rPr>
        <w:rFonts w:hint="default"/>
        <w:lang w:val="en-US" w:eastAsia="en-US" w:bidi="ar-SA"/>
      </w:rPr>
    </w:lvl>
  </w:abstractNum>
  <w:abstractNum w:abstractNumId="11">
    <w:multiLevelType w:val="hybridMultilevel"/>
    <w:lvl w:ilvl="0">
      <w:start w:val="1"/>
      <w:numFmt w:val="lowerLetter"/>
      <w:lvlText w:val="%1."/>
      <w:lvlJc w:val="left"/>
      <w:pPr>
        <w:ind w:left="1140" w:hanging="221"/>
        <w:jc w:val="left"/>
      </w:pPr>
      <w:rPr>
        <w:rFonts w:hint="default" w:ascii="Calibri" w:hAnsi="Calibri" w:eastAsia="Calibri" w:cs="Calibri"/>
        <w:b w:val="0"/>
        <w:bCs w:val="0"/>
        <w:i/>
        <w:iCs/>
        <w:spacing w:val="0"/>
        <w:w w:val="100"/>
        <w:sz w:val="22"/>
        <w:szCs w:val="22"/>
        <w:lang w:val="en-US" w:eastAsia="en-US" w:bidi="ar-SA"/>
      </w:rPr>
    </w:lvl>
    <w:lvl w:ilvl="1">
      <w:start w:val="0"/>
      <w:numFmt w:val="bullet"/>
      <w:lvlText w:val="•"/>
      <w:lvlJc w:val="left"/>
      <w:pPr>
        <w:ind w:left="2172" w:hanging="221"/>
      </w:pPr>
      <w:rPr>
        <w:rFonts w:hint="default"/>
        <w:lang w:val="en-US" w:eastAsia="en-US" w:bidi="ar-SA"/>
      </w:rPr>
    </w:lvl>
    <w:lvl w:ilvl="2">
      <w:start w:val="0"/>
      <w:numFmt w:val="bullet"/>
      <w:lvlText w:val="•"/>
      <w:lvlJc w:val="left"/>
      <w:pPr>
        <w:ind w:left="3204" w:hanging="221"/>
      </w:pPr>
      <w:rPr>
        <w:rFonts w:hint="default"/>
        <w:lang w:val="en-US" w:eastAsia="en-US" w:bidi="ar-SA"/>
      </w:rPr>
    </w:lvl>
    <w:lvl w:ilvl="3">
      <w:start w:val="0"/>
      <w:numFmt w:val="bullet"/>
      <w:lvlText w:val="•"/>
      <w:lvlJc w:val="left"/>
      <w:pPr>
        <w:ind w:left="4236" w:hanging="221"/>
      </w:pPr>
      <w:rPr>
        <w:rFonts w:hint="default"/>
        <w:lang w:val="en-US" w:eastAsia="en-US" w:bidi="ar-SA"/>
      </w:rPr>
    </w:lvl>
    <w:lvl w:ilvl="4">
      <w:start w:val="0"/>
      <w:numFmt w:val="bullet"/>
      <w:lvlText w:val="•"/>
      <w:lvlJc w:val="left"/>
      <w:pPr>
        <w:ind w:left="5268" w:hanging="221"/>
      </w:pPr>
      <w:rPr>
        <w:rFonts w:hint="default"/>
        <w:lang w:val="en-US" w:eastAsia="en-US" w:bidi="ar-SA"/>
      </w:rPr>
    </w:lvl>
    <w:lvl w:ilvl="5">
      <w:start w:val="0"/>
      <w:numFmt w:val="bullet"/>
      <w:lvlText w:val="•"/>
      <w:lvlJc w:val="left"/>
      <w:pPr>
        <w:ind w:left="6300" w:hanging="221"/>
      </w:pPr>
      <w:rPr>
        <w:rFonts w:hint="default"/>
        <w:lang w:val="en-US" w:eastAsia="en-US" w:bidi="ar-SA"/>
      </w:rPr>
    </w:lvl>
    <w:lvl w:ilvl="6">
      <w:start w:val="0"/>
      <w:numFmt w:val="bullet"/>
      <w:lvlText w:val="•"/>
      <w:lvlJc w:val="left"/>
      <w:pPr>
        <w:ind w:left="7332" w:hanging="221"/>
      </w:pPr>
      <w:rPr>
        <w:rFonts w:hint="default"/>
        <w:lang w:val="en-US" w:eastAsia="en-US" w:bidi="ar-SA"/>
      </w:rPr>
    </w:lvl>
    <w:lvl w:ilvl="7">
      <w:start w:val="0"/>
      <w:numFmt w:val="bullet"/>
      <w:lvlText w:val="•"/>
      <w:lvlJc w:val="left"/>
      <w:pPr>
        <w:ind w:left="8364" w:hanging="221"/>
      </w:pPr>
      <w:rPr>
        <w:rFonts w:hint="default"/>
        <w:lang w:val="en-US" w:eastAsia="en-US" w:bidi="ar-SA"/>
      </w:rPr>
    </w:lvl>
    <w:lvl w:ilvl="8">
      <w:start w:val="0"/>
      <w:numFmt w:val="bullet"/>
      <w:lvlText w:val="•"/>
      <w:lvlJc w:val="left"/>
      <w:pPr>
        <w:ind w:left="9396" w:hanging="221"/>
      </w:pPr>
      <w:rPr>
        <w:rFonts w:hint="default"/>
        <w:lang w:val="en-US" w:eastAsia="en-US" w:bidi="ar-SA"/>
      </w:rPr>
    </w:lvl>
  </w:abstractNum>
  <w:abstractNum w:abstractNumId="10">
    <w:multiLevelType w:val="hybridMultilevel"/>
    <w:lvl w:ilvl="0">
      <w:start w:val="0"/>
      <w:numFmt w:val="bullet"/>
      <w:lvlText w:val=""/>
      <w:lvlJc w:val="left"/>
      <w:pPr>
        <w:ind w:left="1640" w:hanging="360"/>
      </w:pPr>
      <w:rPr>
        <w:rFonts w:hint="default" w:ascii="Symbol" w:hAnsi="Symbol" w:eastAsia="Symbol" w:cs="Symbol"/>
        <w:b w:val="0"/>
        <w:bCs w:val="0"/>
        <w:i w:val="0"/>
        <w:iCs w:val="0"/>
        <w:spacing w:val="0"/>
        <w:w w:val="99"/>
        <w:sz w:val="24"/>
        <w:szCs w:val="24"/>
        <w:lang w:val="en-US" w:eastAsia="en-US" w:bidi="ar-SA"/>
      </w:rPr>
    </w:lvl>
    <w:lvl w:ilvl="1">
      <w:start w:val="0"/>
      <w:numFmt w:val="bullet"/>
      <w:lvlText w:val="•"/>
      <w:lvlJc w:val="left"/>
      <w:pPr>
        <w:ind w:left="2622" w:hanging="360"/>
      </w:pPr>
      <w:rPr>
        <w:rFonts w:hint="default"/>
        <w:lang w:val="en-US" w:eastAsia="en-US" w:bidi="ar-SA"/>
      </w:rPr>
    </w:lvl>
    <w:lvl w:ilvl="2">
      <w:start w:val="0"/>
      <w:numFmt w:val="bullet"/>
      <w:lvlText w:val="•"/>
      <w:lvlJc w:val="left"/>
      <w:pPr>
        <w:ind w:left="3604" w:hanging="360"/>
      </w:pPr>
      <w:rPr>
        <w:rFonts w:hint="default"/>
        <w:lang w:val="en-US" w:eastAsia="en-US" w:bidi="ar-SA"/>
      </w:rPr>
    </w:lvl>
    <w:lvl w:ilvl="3">
      <w:start w:val="0"/>
      <w:numFmt w:val="bullet"/>
      <w:lvlText w:val="•"/>
      <w:lvlJc w:val="left"/>
      <w:pPr>
        <w:ind w:left="4586" w:hanging="360"/>
      </w:pPr>
      <w:rPr>
        <w:rFonts w:hint="default"/>
        <w:lang w:val="en-US" w:eastAsia="en-US" w:bidi="ar-SA"/>
      </w:rPr>
    </w:lvl>
    <w:lvl w:ilvl="4">
      <w:start w:val="0"/>
      <w:numFmt w:val="bullet"/>
      <w:lvlText w:val="•"/>
      <w:lvlJc w:val="left"/>
      <w:pPr>
        <w:ind w:left="5568" w:hanging="360"/>
      </w:pPr>
      <w:rPr>
        <w:rFonts w:hint="default"/>
        <w:lang w:val="en-US" w:eastAsia="en-US" w:bidi="ar-SA"/>
      </w:rPr>
    </w:lvl>
    <w:lvl w:ilvl="5">
      <w:start w:val="0"/>
      <w:numFmt w:val="bullet"/>
      <w:lvlText w:val="•"/>
      <w:lvlJc w:val="left"/>
      <w:pPr>
        <w:ind w:left="6550" w:hanging="360"/>
      </w:pPr>
      <w:rPr>
        <w:rFonts w:hint="default"/>
        <w:lang w:val="en-US" w:eastAsia="en-US" w:bidi="ar-SA"/>
      </w:rPr>
    </w:lvl>
    <w:lvl w:ilvl="6">
      <w:start w:val="0"/>
      <w:numFmt w:val="bullet"/>
      <w:lvlText w:val="•"/>
      <w:lvlJc w:val="left"/>
      <w:pPr>
        <w:ind w:left="7532" w:hanging="360"/>
      </w:pPr>
      <w:rPr>
        <w:rFonts w:hint="default"/>
        <w:lang w:val="en-US" w:eastAsia="en-US" w:bidi="ar-SA"/>
      </w:rPr>
    </w:lvl>
    <w:lvl w:ilvl="7">
      <w:start w:val="0"/>
      <w:numFmt w:val="bullet"/>
      <w:lvlText w:val="•"/>
      <w:lvlJc w:val="left"/>
      <w:pPr>
        <w:ind w:left="8514" w:hanging="360"/>
      </w:pPr>
      <w:rPr>
        <w:rFonts w:hint="default"/>
        <w:lang w:val="en-US" w:eastAsia="en-US" w:bidi="ar-SA"/>
      </w:rPr>
    </w:lvl>
    <w:lvl w:ilvl="8">
      <w:start w:val="0"/>
      <w:numFmt w:val="bullet"/>
      <w:lvlText w:val="•"/>
      <w:lvlJc w:val="left"/>
      <w:pPr>
        <w:ind w:left="9496" w:hanging="360"/>
      </w:pPr>
      <w:rPr>
        <w:rFonts w:hint="default"/>
        <w:lang w:val="en-US" w:eastAsia="en-US" w:bidi="ar-SA"/>
      </w:rPr>
    </w:lvl>
  </w:abstractNum>
  <w:abstractNum w:abstractNumId="9">
    <w:multiLevelType w:val="hybridMultilevel"/>
    <w:lvl w:ilvl="0">
      <w:start w:val="2"/>
      <w:numFmt w:val="decimal"/>
      <w:lvlText w:val="%1"/>
      <w:lvlJc w:val="left"/>
      <w:pPr>
        <w:ind w:left="1246" w:hanging="327"/>
        <w:jc w:val="left"/>
      </w:pPr>
      <w:rPr>
        <w:rFonts w:hint="default"/>
        <w:lang w:val="en-US" w:eastAsia="en-US" w:bidi="ar-SA"/>
      </w:rPr>
    </w:lvl>
    <w:lvl w:ilvl="1">
      <w:start w:val="1"/>
      <w:numFmt w:val="decimal"/>
      <w:lvlText w:val="%1.%2"/>
      <w:lvlJc w:val="left"/>
      <w:pPr>
        <w:ind w:left="1246" w:hanging="327"/>
        <w:jc w:val="left"/>
      </w:pPr>
      <w:rPr>
        <w:rFonts w:hint="default"/>
        <w:spacing w:val="-2"/>
        <w:w w:val="92"/>
        <w:lang w:val="en-US" w:eastAsia="en-US" w:bidi="ar-SA"/>
      </w:rPr>
    </w:lvl>
    <w:lvl w:ilvl="2">
      <w:start w:val="1"/>
      <w:numFmt w:val="decimal"/>
      <w:lvlText w:val="%1.%2.%3"/>
      <w:lvlJc w:val="left"/>
      <w:pPr>
        <w:ind w:left="1419" w:hanging="500"/>
        <w:jc w:val="left"/>
      </w:pPr>
      <w:rPr>
        <w:rFonts w:hint="default"/>
        <w:spacing w:val="-2"/>
        <w:w w:val="100"/>
        <w:lang w:val="en-US" w:eastAsia="en-US" w:bidi="ar-SA"/>
      </w:rPr>
    </w:lvl>
    <w:lvl w:ilvl="3">
      <w:start w:val="1"/>
      <w:numFmt w:val="decimal"/>
      <w:lvlText w:val="%1.%2.%3.%4"/>
      <w:lvlJc w:val="left"/>
      <w:pPr>
        <w:ind w:left="1644" w:hanging="500"/>
        <w:jc w:val="left"/>
      </w:pPr>
      <w:rPr>
        <w:rFonts w:hint="default"/>
        <w:spacing w:val="-5"/>
        <w:w w:val="99"/>
        <w:lang w:val="en-US" w:eastAsia="en-US" w:bidi="ar-SA"/>
      </w:rPr>
    </w:lvl>
    <w:lvl w:ilvl="4">
      <w:start w:val="0"/>
      <w:numFmt w:val="bullet"/>
      <w:lvlText w:val=""/>
      <w:lvlJc w:val="left"/>
      <w:pPr>
        <w:ind w:left="1707" w:hanging="500"/>
      </w:pPr>
      <w:rPr>
        <w:rFonts w:hint="default" w:ascii="Symbol" w:hAnsi="Symbol" w:eastAsia="Symbol" w:cs="Symbol"/>
        <w:b w:val="0"/>
        <w:bCs w:val="0"/>
        <w:i w:val="0"/>
        <w:iCs w:val="0"/>
        <w:spacing w:val="0"/>
        <w:w w:val="99"/>
        <w:sz w:val="24"/>
        <w:szCs w:val="24"/>
        <w:lang w:val="en-US" w:eastAsia="en-US" w:bidi="ar-SA"/>
      </w:rPr>
    </w:lvl>
    <w:lvl w:ilvl="5">
      <w:start w:val="0"/>
      <w:numFmt w:val="bullet"/>
      <w:lvlText w:val="•"/>
      <w:lvlJc w:val="left"/>
      <w:pPr>
        <w:ind w:left="1580" w:hanging="500"/>
      </w:pPr>
      <w:rPr>
        <w:rFonts w:hint="default"/>
        <w:lang w:val="en-US" w:eastAsia="en-US" w:bidi="ar-SA"/>
      </w:rPr>
    </w:lvl>
    <w:lvl w:ilvl="6">
      <w:start w:val="0"/>
      <w:numFmt w:val="bullet"/>
      <w:lvlText w:val="•"/>
      <w:lvlJc w:val="left"/>
      <w:pPr>
        <w:ind w:left="1640" w:hanging="500"/>
      </w:pPr>
      <w:rPr>
        <w:rFonts w:hint="default"/>
        <w:lang w:val="en-US" w:eastAsia="en-US" w:bidi="ar-SA"/>
      </w:rPr>
    </w:lvl>
    <w:lvl w:ilvl="7">
      <w:start w:val="0"/>
      <w:numFmt w:val="bullet"/>
      <w:lvlText w:val="•"/>
      <w:lvlJc w:val="left"/>
      <w:pPr>
        <w:ind w:left="1700" w:hanging="500"/>
      </w:pPr>
      <w:rPr>
        <w:rFonts w:hint="default"/>
        <w:lang w:val="en-US" w:eastAsia="en-US" w:bidi="ar-SA"/>
      </w:rPr>
    </w:lvl>
    <w:lvl w:ilvl="8">
      <w:start w:val="0"/>
      <w:numFmt w:val="bullet"/>
      <w:lvlText w:val="•"/>
      <w:lvlJc w:val="left"/>
      <w:pPr>
        <w:ind w:left="4953" w:hanging="500"/>
      </w:pPr>
      <w:rPr>
        <w:rFonts w:hint="default"/>
        <w:lang w:val="en-US" w:eastAsia="en-US" w:bidi="ar-SA"/>
      </w:rPr>
    </w:lvl>
  </w:abstractNum>
  <w:abstractNum w:abstractNumId="8">
    <w:multiLevelType w:val="hybridMultilevel"/>
    <w:lvl w:ilvl="0">
      <w:start w:val="2"/>
      <w:numFmt w:val="decimal"/>
      <w:lvlText w:val="%1."/>
      <w:lvlJc w:val="left"/>
      <w:pPr>
        <w:ind w:left="920" w:hanging="221"/>
        <w:jc w:val="left"/>
      </w:pPr>
      <w:rPr>
        <w:rFonts w:hint="default" w:ascii="Calibri" w:hAnsi="Calibri" w:eastAsia="Calibri" w:cs="Calibri"/>
        <w:b w:val="0"/>
        <w:bCs w:val="0"/>
        <w:i w:val="0"/>
        <w:iCs w:val="0"/>
        <w:spacing w:val="-2"/>
        <w:w w:val="100"/>
        <w:sz w:val="22"/>
        <w:szCs w:val="22"/>
        <w:lang w:val="en-US" w:eastAsia="en-US" w:bidi="ar-SA"/>
      </w:rPr>
    </w:lvl>
    <w:lvl w:ilvl="1">
      <w:start w:val="0"/>
      <w:numFmt w:val="bullet"/>
      <w:lvlText w:val="•"/>
      <w:lvlJc w:val="left"/>
      <w:pPr>
        <w:ind w:left="1974" w:hanging="221"/>
      </w:pPr>
      <w:rPr>
        <w:rFonts w:hint="default"/>
        <w:lang w:val="en-US" w:eastAsia="en-US" w:bidi="ar-SA"/>
      </w:rPr>
    </w:lvl>
    <w:lvl w:ilvl="2">
      <w:start w:val="0"/>
      <w:numFmt w:val="bullet"/>
      <w:lvlText w:val="•"/>
      <w:lvlJc w:val="left"/>
      <w:pPr>
        <w:ind w:left="3028" w:hanging="221"/>
      </w:pPr>
      <w:rPr>
        <w:rFonts w:hint="default"/>
        <w:lang w:val="en-US" w:eastAsia="en-US" w:bidi="ar-SA"/>
      </w:rPr>
    </w:lvl>
    <w:lvl w:ilvl="3">
      <w:start w:val="0"/>
      <w:numFmt w:val="bullet"/>
      <w:lvlText w:val="•"/>
      <w:lvlJc w:val="left"/>
      <w:pPr>
        <w:ind w:left="4082" w:hanging="221"/>
      </w:pPr>
      <w:rPr>
        <w:rFonts w:hint="default"/>
        <w:lang w:val="en-US" w:eastAsia="en-US" w:bidi="ar-SA"/>
      </w:rPr>
    </w:lvl>
    <w:lvl w:ilvl="4">
      <w:start w:val="0"/>
      <w:numFmt w:val="bullet"/>
      <w:lvlText w:val="•"/>
      <w:lvlJc w:val="left"/>
      <w:pPr>
        <w:ind w:left="5136" w:hanging="221"/>
      </w:pPr>
      <w:rPr>
        <w:rFonts w:hint="default"/>
        <w:lang w:val="en-US" w:eastAsia="en-US" w:bidi="ar-SA"/>
      </w:rPr>
    </w:lvl>
    <w:lvl w:ilvl="5">
      <w:start w:val="0"/>
      <w:numFmt w:val="bullet"/>
      <w:lvlText w:val="•"/>
      <w:lvlJc w:val="left"/>
      <w:pPr>
        <w:ind w:left="6190" w:hanging="221"/>
      </w:pPr>
      <w:rPr>
        <w:rFonts w:hint="default"/>
        <w:lang w:val="en-US" w:eastAsia="en-US" w:bidi="ar-SA"/>
      </w:rPr>
    </w:lvl>
    <w:lvl w:ilvl="6">
      <w:start w:val="0"/>
      <w:numFmt w:val="bullet"/>
      <w:lvlText w:val="•"/>
      <w:lvlJc w:val="left"/>
      <w:pPr>
        <w:ind w:left="7244" w:hanging="221"/>
      </w:pPr>
      <w:rPr>
        <w:rFonts w:hint="default"/>
        <w:lang w:val="en-US" w:eastAsia="en-US" w:bidi="ar-SA"/>
      </w:rPr>
    </w:lvl>
    <w:lvl w:ilvl="7">
      <w:start w:val="0"/>
      <w:numFmt w:val="bullet"/>
      <w:lvlText w:val="•"/>
      <w:lvlJc w:val="left"/>
      <w:pPr>
        <w:ind w:left="8298" w:hanging="221"/>
      </w:pPr>
      <w:rPr>
        <w:rFonts w:hint="default"/>
        <w:lang w:val="en-US" w:eastAsia="en-US" w:bidi="ar-SA"/>
      </w:rPr>
    </w:lvl>
    <w:lvl w:ilvl="8">
      <w:start w:val="0"/>
      <w:numFmt w:val="bullet"/>
      <w:lvlText w:val="•"/>
      <w:lvlJc w:val="left"/>
      <w:pPr>
        <w:ind w:left="9352" w:hanging="221"/>
      </w:pPr>
      <w:rPr>
        <w:rFonts w:hint="default"/>
        <w:lang w:val="en-US" w:eastAsia="en-US" w:bidi="ar-SA"/>
      </w:rPr>
    </w:lvl>
  </w:abstractNum>
  <w:abstractNum w:abstractNumId="7">
    <w:multiLevelType w:val="hybridMultilevel"/>
    <w:lvl w:ilvl="0">
      <w:start w:val="1"/>
      <w:numFmt w:val="decimal"/>
      <w:lvlText w:val="%1"/>
      <w:lvlJc w:val="left"/>
      <w:pPr>
        <w:ind w:left="1246" w:hanging="327"/>
        <w:jc w:val="left"/>
      </w:pPr>
      <w:rPr>
        <w:rFonts w:hint="default"/>
        <w:lang w:val="en-US" w:eastAsia="en-US" w:bidi="ar-SA"/>
      </w:rPr>
    </w:lvl>
    <w:lvl w:ilvl="1">
      <w:start w:val="1"/>
      <w:numFmt w:val="decimal"/>
      <w:lvlText w:val="%1.%2"/>
      <w:lvlJc w:val="left"/>
      <w:pPr>
        <w:ind w:left="1246" w:hanging="327"/>
        <w:jc w:val="left"/>
      </w:pPr>
      <w:rPr>
        <w:rFonts w:hint="default" w:ascii="Calibri" w:hAnsi="Calibri" w:eastAsia="Calibri" w:cs="Calibri"/>
        <w:b/>
        <w:bCs/>
        <w:i w:val="0"/>
        <w:iCs w:val="0"/>
        <w:spacing w:val="-2"/>
        <w:w w:val="100"/>
        <w:sz w:val="22"/>
        <w:szCs w:val="22"/>
        <w:lang w:val="en-US" w:eastAsia="en-US" w:bidi="ar-SA"/>
      </w:rPr>
    </w:lvl>
    <w:lvl w:ilvl="2">
      <w:start w:val="0"/>
      <w:numFmt w:val="bullet"/>
      <w:lvlText w:val="•"/>
      <w:lvlJc w:val="left"/>
      <w:pPr>
        <w:ind w:left="3284" w:hanging="327"/>
      </w:pPr>
      <w:rPr>
        <w:rFonts w:hint="default"/>
        <w:lang w:val="en-US" w:eastAsia="en-US" w:bidi="ar-SA"/>
      </w:rPr>
    </w:lvl>
    <w:lvl w:ilvl="3">
      <w:start w:val="0"/>
      <w:numFmt w:val="bullet"/>
      <w:lvlText w:val="•"/>
      <w:lvlJc w:val="left"/>
      <w:pPr>
        <w:ind w:left="4306" w:hanging="327"/>
      </w:pPr>
      <w:rPr>
        <w:rFonts w:hint="default"/>
        <w:lang w:val="en-US" w:eastAsia="en-US" w:bidi="ar-SA"/>
      </w:rPr>
    </w:lvl>
    <w:lvl w:ilvl="4">
      <w:start w:val="0"/>
      <w:numFmt w:val="bullet"/>
      <w:lvlText w:val="•"/>
      <w:lvlJc w:val="left"/>
      <w:pPr>
        <w:ind w:left="5328" w:hanging="327"/>
      </w:pPr>
      <w:rPr>
        <w:rFonts w:hint="default"/>
        <w:lang w:val="en-US" w:eastAsia="en-US" w:bidi="ar-SA"/>
      </w:rPr>
    </w:lvl>
    <w:lvl w:ilvl="5">
      <w:start w:val="0"/>
      <w:numFmt w:val="bullet"/>
      <w:lvlText w:val="•"/>
      <w:lvlJc w:val="left"/>
      <w:pPr>
        <w:ind w:left="6350" w:hanging="327"/>
      </w:pPr>
      <w:rPr>
        <w:rFonts w:hint="default"/>
        <w:lang w:val="en-US" w:eastAsia="en-US" w:bidi="ar-SA"/>
      </w:rPr>
    </w:lvl>
    <w:lvl w:ilvl="6">
      <w:start w:val="0"/>
      <w:numFmt w:val="bullet"/>
      <w:lvlText w:val="•"/>
      <w:lvlJc w:val="left"/>
      <w:pPr>
        <w:ind w:left="7372" w:hanging="327"/>
      </w:pPr>
      <w:rPr>
        <w:rFonts w:hint="default"/>
        <w:lang w:val="en-US" w:eastAsia="en-US" w:bidi="ar-SA"/>
      </w:rPr>
    </w:lvl>
    <w:lvl w:ilvl="7">
      <w:start w:val="0"/>
      <w:numFmt w:val="bullet"/>
      <w:lvlText w:val="•"/>
      <w:lvlJc w:val="left"/>
      <w:pPr>
        <w:ind w:left="8394" w:hanging="327"/>
      </w:pPr>
      <w:rPr>
        <w:rFonts w:hint="default"/>
        <w:lang w:val="en-US" w:eastAsia="en-US" w:bidi="ar-SA"/>
      </w:rPr>
    </w:lvl>
    <w:lvl w:ilvl="8">
      <w:start w:val="0"/>
      <w:numFmt w:val="bullet"/>
      <w:lvlText w:val="•"/>
      <w:lvlJc w:val="left"/>
      <w:pPr>
        <w:ind w:left="9416" w:hanging="327"/>
      </w:pPr>
      <w:rPr>
        <w:rFonts w:hint="default"/>
        <w:lang w:val="en-US" w:eastAsia="en-US" w:bidi="ar-SA"/>
      </w:rPr>
    </w:lvl>
  </w:abstractNum>
  <w:abstractNum w:abstractNumId="6">
    <w:multiLevelType w:val="hybridMultilevel"/>
    <w:lvl w:ilvl="0">
      <w:start w:val="6"/>
      <w:numFmt w:val="decimal"/>
      <w:lvlText w:val="%1"/>
      <w:lvlJc w:val="left"/>
      <w:pPr>
        <w:ind w:left="1640" w:hanging="720"/>
        <w:jc w:val="left"/>
      </w:pPr>
      <w:rPr>
        <w:rFonts w:hint="default"/>
        <w:lang w:val="en-US" w:eastAsia="en-US" w:bidi="ar-SA"/>
      </w:rPr>
    </w:lvl>
    <w:lvl w:ilvl="1">
      <w:start w:val="0"/>
      <w:numFmt w:val="decimal"/>
      <w:lvlText w:val="%1.%2"/>
      <w:lvlJc w:val="left"/>
      <w:pPr>
        <w:ind w:left="1640" w:hanging="72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3604" w:hanging="720"/>
      </w:pPr>
      <w:rPr>
        <w:rFonts w:hint="default"/>
        <w:lang w:val="en-US" w:eastAsia="en-US" w:bidi="ar-SA"/>
      </w:rPr>
    </w:lvl>
    <w:lvl w:ilvl="3">
      <w:start w:val="0"/>
      <w:numFmt w:val="bullet"/>
      <w:lvlText w:val="•"/>
      <w:lvlJc w:val="left"/>
      <w:pPr>
        <w:ind w:left="4586" w:hanging="720"/>
      </w:pPr>
      <w:rPr>
        <w:rFonts w:hint="default"/>
        <w:lang w:val="en-US" w:eastAsia="en-US" w:bidi="ar-SA"/>
      </w:rPr>
    </w:lvl>
    <w:lvl w:ilvl="4">
      <w:start w:val="0"/>
      <w:numFmt w:val="bullet"/>
      <w:lvlText w:val="•"/>
      <w:lvlJc w:val="left"/>
      <w:pPr>
        <w:ind w:left="5568" w:hanging="720"/>
      </w:pPr>
      <w:rPr>
        <w:rFonts w:hint="default"/>
        <w:lang w:val="en-US" w:eastAsia="en-US" w:bidi="ar-SA"/>
      </w:rPr>
    </w:lvl>
    <w:lvl w:ilvl="5">
      <w:start w:val="0"/>
      <w:numFmt w:val="bullet"/>
      <w:lvlText w:val="•"/>
      <w:lvlJc w:val="left"/>
      <w:pPr>
        <w:ind w:left="6550" w:hanging="720"/>
      </w:pPr>
      <w:rPr>
        <w:rFonts w:hint="default"/>
        <w:lang w:val="en-US" w:eastAsia="en-US" w:bidi="ar-SA"/>
      </w:rPr>
    </w:lvl>
    <w:lvl w:ilvl="6">
      <w:start w:val="0"/>
      <w:numFmt w:val="bullet"/>
      <w:lvlText w:val="•"/>
      <w:lvlJc w:val="left"/>
      <w:pPr>
        <w:ind w:left="7532" w:hanging="720"/>
      </w:pPr>
      <w:rPr>
        <w:rFonts w:hint="default"/>
        <w:lang w:val="en-US" w:eastAsia="en-US" w:bidi="ar-SA"/>
      </w:rPr>
    </w:lvl>
    <w:lvl w:ilvl="7">
      <w:start w:val="0"/>
      <w:numFmt w:val="bullet"/>
      <w:lvlText w:val="•"/>
      <w:lvlJc w:val="left"/>
      <w:pPr>
        <w:ind w:left="8514" w:hanging="720"/>
      </w:pPr>
      <w:rPr>
        <w:rFonts w:hint="default"/>
        <w:lang w:val="en-US" w:eastAsia="en-US" w:bidi="ar-SA"/>
      </w:rPr>
    </w:lvl>
    <w:lvl w:ilvl="8">
      <w:start w:val="0"/>
      <w:numFmt w:val="bullet"/>
      <w:lvlText w:val="•"/>
      <w:lvlJc w:val="left"/>
      <w:pPr>
        <w:ind w:left="9496" w:hanging="720"/>
      </w:pPr>
      <w:rPr>
        <w:rFonts w:hint="default"/>
        <w:lang w:val="en-US" w:eastAsia="en-US" w:bidi="ar-SA"/>
      </w:rPr>
    </w:lvl>
  </w:abstractNum>
  <w:abstractNum w:abstractNumId="5">
    <w:multiLevelType w:val="hybridMultilevel"/>
    <w:lvl w:ilvl="0">
      <w:start w:val="5"/>
      <w:numFmt w:val="decimal"/>
      <w:lvlText w:val="%1"/>
      <w:lvlJc w:val="left"/>
      <w:pPr>
        <w:ind w:left="1284" w:hanging="365"/>
        <w:jc w:val="left"/>
      </w:pPr>
      <w:rPr>
        <w:rFonts w:hint="default"/>
        <w:lang w:val="en-US" w:eastAsia="en-US" w:bidi="ar-SA"/>
      </w:rPr>
    </w:lvl>
    <w:lvl w:ilvl="1">
      <w:start w:val="0"/>
      <w:numFmt w:val="decimal"/>
      <w:lvlText w:val="%1.%2"/>
      <w:lvlJc w:val="left"/>
      <w:pPr>
        <w:ind w:left="1284" w:hanging="365"/>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3316" w:hanging="365"/>
      </w:pPr>
      <w:rPr>
        <w:rFonts w:hint="default"/>
        <w:lang w:val="en-US" w:eastAsia="en-US" w:bidi="ar-SA"/>
      </w:rPr>
    </w:lvl>
    <w:lvl w:ilvl="3">
      <w:start w:val="0"/>
      <w:numFmt w:val="bullet"/>
      <w:lvlText w:val="•"/>
      <w:lvlJc w:val="left"/>
      <w:pPr>
        <w:ind w:left="4334" w:hanging="365"/>
      </w:pPr>
      <w:rPr>
        <w:rFonts w:hint="default"/>
        <w:lang w:val="en-US" w:eastAsia="en-US" w:bidi="ar-SA"/>
      </w:rPr>
    </w:lvl>
    <w:lvl w:ilvl="4">
      <w:start w:val="0"/>
      <w:numFmt w:val="bullet"/>
      <w:lvlText w:val="•"/>
      <w:lvlJc w:val="left"/>
      <w:pPr>
        <w:ind w:left="5352" w:hanging="365"/>
      </w:pPr>
      <w:rPr>
        <w:rFonts w:hint="default"/>
        <w:lang w:val="en-US" w:eastAsia="en-US" w:bidi="ar-SA"/>
      </w:rPr>
    </w:lvl>
    <w:lvl w:ilvl="5">
      <w:start w:val="0"/>
      <w:numFmt w:val="bullet"/>
      <w:lvlText w:val="•"/>
      <w:lvlJc w:val="left"/>
      <w:pPr>
        <w:ind w:left="6370" w:hanging="365"/>
      </w:pPr>
      <w:rPr>
        <w:rFonts w:hint="default"/>
        <w:lang w:val="en-US" w:eastAsia="en-US" w:bidi="ar-SA"/>
      </w:rPr>
    </w:lvl>
    <w:lvl w:ilvl="6">
      <w:start w:val="0"/>
      <w:numFmt w:val="bullet"/>
      <w:lvlText w:val="•"/>
      <w:lvlJc w:val="left"/>
      <w:pPr>
        <w:ind w:left="7388" w:hanging="365"/>
      </w:pPr>
      <w:rPr>
        <w:rFonts w:hint="default"/>
        <w:lang w:val="en-US" w:eastAsia="en-US" w:bidi="ar-SA"/>
      </w:rPr>
    </w:lvl>
    <w:lvl w:ilvl="7">
      <w:start w:val="0"/>
      <w:numFmt w:val="bullet"/>
      <w:lvlText w:val="•"/>
      <w:lvlJc w:val="left"/>
      <w:pPr>
        <w:ind w:left="8406" w:hanging="365"/>
      </w:pPr>
      <w:rPr>
        <w:rFonts w:hint="default"/>
        <w:lang w:val="en-US" w:eastAsia="en-US" w:bidi="ar-SA"/>
      </w:rPr>
    </w:lvl>
    <w:lvl w:ilvl="8">
      <w:start w:val="0"/>
      <w:numFmt w:val="bullet"/>
      <w:lvlText w:val="•"/>
      <w:lvlJc w:val="left"/>
      <w:pPr>
        <w:ind w:left="9424" w:hanging="365"/>
      </w:pPr>
      <w:rPr>
        <w:rFonts w:hint="default"/>
        <w:lang w:val="en-US" w:eastAsia="en-US" w:bidi="ar-SA"/>
      </w:rPr>
    </w:lvl>
  </w:abstractNum>
  <w:abstractNum w:abstractNumId="4">
    <w:multiLevelType w:val="hybridMultilevel"/>
    <w:lvl w:ilvl="0">
      <w:start w:val="4"/>
      <w:numFmt w:val="decimal"/>
      <w:lvlText w:val="%1"/>
      <w:lvlJc w:val="left"/>
      <w:pPr>
        <w:ind w:left="1284" w:hanging="365"/>
        <w:jc w:val="left"/>
      </w:pPr>
      <w:rPr>
        <w:rFonts w:hint="default"/>
        <w:lang w:val="en-US" w:eastAsia="en-US" w:bidi="ar-SA"/>
      </w:rPr>
    </w:lvl>
    <w:lvl w:ilvl="1">
      <w:start w:val="0"/>
      <w:numFmt w:val="decimal"/>
      <w:lvlText w:val="%1.%2"/>
      <w:lvlJc w:val="left"/>
      <w:pPr>
        <w:ind w:left="1284" w:hanging="365"/>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3316" w:hanging="365"/>
      </w:pPr>
      <w:rPr>
        <w:rFonts w:hint="default"/>
        <w:lang w:val="en-US" w:eastAsia="en-US" w:bidi="ar-SA"/>
      </w:rPr>
    </w:lvl>
    <w:lvl w:ilvl="3">
      <w:start w:val="0"/>
      <w:numFmt w:val="bullet"/>
      <w:lvlText w:val="•"/>
      <w:lvlJc w:val="left"/>
      <w:pPr>
        <w:ind w:left="4334" w:hanging="365"/>
      </w:pPr>
      <w:rPr>
        <w:rFonts w:hint="default"/>
        <w:lang w:val="en-US" w:eastAsia="en-US" w:bidi="ar-SA"/>
      </w:rPr>
    </w:lvl>
    <w:lvl w:ilvl="4">
      <w:start w:val="0"/>
      <w:numFmt w:val="bullet"/>
      <w:lvlText w:val="•"/>
      <w:lvlJc w:val="left"/>
      <w:pPr>
        <w:ind w:left="5352" w:hanging="365"/>
      </w:pPr>
      <w:rPr>
        <w:rFonts w:hint="default"/>
        <w:lang w:val="en-US" w:eastAsia="en-US" w:bidi="ar-SA"/>
      </w:rPr>
    </w:lvl>
    <w:lvl w:ilvl="5">
      <w:start w:val="0"/>
      <w:numFmt w:val="bullet"/>
      <w:lvlText w:val="•"/>
      <w:lvlJc w:val="left"/>
      <w:pPr>
        <w:ind w:left="6370" w:hanging="365"/>
      </w:pPr>
      <w:rPr>
        <w:rFonts w:hint="default"/>
        <w:lang w:val="en-US" w:eastAsia="en-US" w:bidi="ar-SA"/>
      </w:rPr>
    </w:lvl>
    <w:lvl w:ilvl="6">
      <w:start w:val="0"/>
      <w:numFmt w:val="bullet"/>
      <w:lvlText w:val="•"/>
      <w:lvlJc w:val="left"/>
      <w:pPr>
        <w:ind w:left="7388" w:hanging="365"/>
      </w:pPr>
      <w:rPr>
        <w:rFonts w:hint="default"/>
        <w:lang w:val="en-US" w:eastAsia="en-US" w:bidi="ar-SA"/>
      </w:rPr>
    </w:lvl>
    <w:lvl w:ilvl="7">
      <w:start w:val="0"/>
      <w:numFmt w:val="bullet"/>
      <w:lvlText w:val="•"/>
      <w:lvlJc w:val="left"/>
      <w:pPr>
        <w:ind w:left="8406" w:hanging="365"/>
      </w:pPr>
      <w:rPr>
        <w:rFonts w:hint="default"/>
        <w:lang w:val="en-US" w:eastAsia="en-US" w:bidi="ar-SA"/>
      </w:rPr>
    </w:lvl>
    <w:lvl w:ilvl="8">
      <w:start w:val="0"/>
      <w:numFmt w:val="bullet"/>
      <w:lvlText w:val="•"/>
      <w:lvlJc w:val="left"/>
      <w:pPr>
        <w:ind w:left="9424" w:hanging="365"/>
      </w:pPr>
      <w:rPr>
        <w:rFonts w:hint="default"/>
        <w:lang w:val="en-US" w:eastAsia="en-US" w:bidi="ar-SA"/>
      </w:rPr>
    </w:lvl>
  </w:abstractNum>
  <w:abstractNum w:abstractNumId="3">
    <w:multiLevelType w:val="hybridMultilevel"/>
    <w:lvl w:ilvl="0">
      <w:start w:val="3"/>
      <w:numFmt w:val="decimal"/>
      <w:lvlText w:val="%1"/>
      <w:lvlJc w:val="left"/>
      <w:pPr>
        <w:ind w:left="1461" w:hanging="542"/>
        <w:jc w:val="left"/>
      </w:pPr>
      <w:rPr>
        <w:rFonts w:hint="default"/>
        <w:lang w:val="en-US" w:eastAsia="en-US" w:bidi="ar-SA"/>
      </w:rPr>
    </w:lvl>
    <w:lvl w:ilvl="1">
      <w:start w:val="2"/>
      <w:numFmt w:val="decimal"/>
      <w:lvlText w:val="%1.%2"/>
      <w:lvlJc w:val="left"/>
      <w:pPr>
        <w:ind w:left="1461" w:hanging="542"/>
        <w:jc w:val="left"/>
      </w:pPr>
      <w:rPr>
        <w:rFonts w:hint="default"/>
        <w:lang w:val="en-US" w:eastAsia="en-US" w:bidi="ar-SA"/>
      </w:rPr>
    </w:lvl>
    <w:lvl w:ilvl="2">
      <w:start w:val="3"/>
      <w:numFmt w:val="decimal"/>
      <w:lvlText w:val="%1.%2.%3"/>
      <w:lvlJc w:val="left"/>
      <w:pPr>
        <w:ind w:left="1461" w:hanging="542"/>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3">
      <w:start w:val="1"/>
      <w:numFmt w:val="decimal"/>
      <w:lvlText w:val="%1.%2.%3.%4"/>
      <w:lvlJc w:val="left"/>
      <w:pPr>
        <w:ind w:left="1643" w:hanging="724"/>
        <w:jc w:val="left"/>
      </w:pPr>
      <w:rPr>
        <w:rFonts w:hint="default" w:ascii="Times New Roman" w:hAnsi="Times New Roman" w:eastAsia="Times New Roman" w:cs="Times New Roman"/>
        <w:b w:val="0"/>
        <w:bCs w:val="0"/>
        <w:i w:val="0"/>
        <w:iCs w:val="0"/>
        <w:spacing w:val="-5"/>
        <w:w w:val="99"/>
        <w:sz w:val="24"/>
        <w:szCs w:val="24"/>
        <w:lang w:val="en-US" w:eastAsia="en-US" w:bidi="ar-SA"/>
      </w:rPr>
    </w:lvl>
    <w:lvl w:ilvl="4">
      <w:start w:val="0"/>
      <w:numFmt w:val="bullet"/>
      <w:lvlText w:val="•"/>
      <w:lvlJc w:val="left"/>
      <w:pPr>
        <w:ind w:left="4913" w:hanging="724"/>
      </w:pPr>
      <w:rPr>
        <w:rFonts w:hint="default"/>
        <w:lang w:val="en-US" w:eastAsia="en-US" w:bidi="ar-SA"/>
      </w:rPr>
    </w:lvl>
    <w:lvl w:ilvl="5">
      <w:start w:val="0"/>
      <w:numFmt w:val="bullet"/>
      <w:lvlText w:val="•"/>
      <w:lvlJc w:val="left"/>
      <w:pPr>
        <w:ind w:left="6004" w:hanging="724"/>
      </w:pPr>
      <w:rPr>
        <w:rFonts w:hint="default"/>
        <w:lang w:val="en-US" w:eastAsia="en-US" w:bidi="ar-SA"/>
      </w:rPr>
    </w:lvl>
    <w:lvl w:ilvl="6">
      <w:start w:val="0"/>
      <w:numFmt w:val="bullet"/>
      <w:lvlText w:val="•"/>
      <w:lvlJc w:val="left"/>
      <w:pPr>
        <w:ind w:left="7095" w:hanging="724"/>
      </w:pPr>
      <w:rPr>
        <w:rFonts w:hint="default"/>
        <w:lang w:val="en-US" w:eastAsia="en-US" w:bidi="ar-SA"/>
      </w:rPr>
    </w:lvl>
    <w:lvl w:ilvl="7">
      <w:start w:val="0"/>
      <w:numFmt w:val="bullet"/>
      <w:lvlText w:val="•"/>
      <w:lvlJc w:val="left"/>
      <w:pPr>
        <w:ind w:left="8186" w:hanging="724"/>
      </w:pPr>
      <w:rPr>
        <w:rFonts w:hint="default"/>
        <w:lang w:val="en-US" w:eastAsia="en-US" w:bidi="ar-SA"/>
      </w:rPr>
    </w:lvl>
    <w:lvl w:ilvl="8">
      <w:start w:val="0"/>
      <w:numFmt w:val="bullet"/>
      <w:lvlText w:val="•"/>
      <w:lvlJc w:val="left"/>
      <w:pPr>
        <w:ind w:left="9277" w:hanging="724"/>
      </w:pPr>
      <w:rPr>
        <w:rFonts w:hint="default"/>
        <w:lang w:val="en-US" w:eastAsia="en-US" w:bidi="ar-SA"/>
      </w:rPr>
    </w:lvl>
  </w:abstractNum>
  <w:abstractNum w:abstractNumId="2">
    <w:multiLevelType w:val="hybridMultilevel"/>
    <w:lvl w:ilvl="0">
      <w:start w:val="3"/>
      <w:numFmt w:val="decimal"/>
      <w:lvlText w:val="%1"/>
      <w:lvlJc w:val="left"/>
      <w:pPr>
        <w:ind w:left="1284" w:hanging="365"/>
        <w:jc w:val="left"/>
      </w:pPr>
      <w:rPr>
        <w:rFonts w:hint="default"/>
        <w:lang w:val="en-US" w:eastAsia="en-US" w:bidi="ar-SA"/>
      </w:rPr>
    </w:lvl>
    <w:lvl w:ilvl="1">
      <w:start w:val="0"/>
      <w:numFmt w:val="decimal"/>
      <w:lvlText w:val="%1.%2"/>
      <w:lvlJc w:val="left"/>
      <w:pPr>
        <w:ind w:left="1284" w:hanging="365"/>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1"/>
      <w:numFmt w:val="decimal"/>
      <w:lvlText w:val="%1.%2.%3"/>
      <w:lvlJc w:val="left"/>
      <w:pPr>
        <w:ind w:left="1462" w:hanging="543"/>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3">
      <w:start w:val="0"/>
      <w:numFmt w:val="bullet"/>
      <w:lvlText w:val="•"/>
      <w:lvlJc w:val="left"/>
      <w:pPr>
        <w:ind w:left="3682" w:hanging="543"/>
      </w:pPr>
      <w:rPr>
        <w:rFonts w:hint="default"/>
        <w:lang w:val="en-US" w:eastAsia="en-US" w:bidi="ar-SA"/>
      </w:rPr>
    </w:lvl>
    <w:lvl w:ilvl="4">
      <w:start w:val="0"/>
      <w:numFmt w:val="bullet"/>
      <w:lvlText w:val="•"/>
      <w:lvlJc w:val="left"/>
      <w:pPr>
        <w:ind w:left="4793" w:hanging="543"/>
      </w:pPr>
      <w:rPr>
        <w:rFonts w:hint="default"/>
        <w:lang w:val="en-US" w:eastAsia="en-US" w:bidi="ar-SA"/>
      </w:rPr>
    </w:lvl>
    <w:lvl w:ilvl="5">
      <w:start w:val="0"/>
      <w:numFmt w:val="bullet"/>
      <w:lvlText w:val="•"/>
      <w:lvlJc w:val="left"/>
      <w:pPr>
        <w:ind w:left="5904" w:hanging="543"/>
      </w:pPr>
      <w:rPr>
        <w:rFonts w:hint="default"/>
        <w:lang w:val="en-US" w:eastAsia="en-US" w:bidi="ar-SA"/>
      </w:rPr>
    </w:lvl>
    <w:lvl w:ilvl="6">
      <w:start w:val="0"/>
      <w:numFmt w:val="bullet"/>
      <w:lvlText w:val="•"/>
      <w:lvlJc w:val="left"/>
      <w:pPr>
        <w:ind w:left="7015" w:hanging="543"/>
      </w:pPr>
      <w:rPr>
        <w:rFonts w:hint="default"/>
        <w:lang w:val="en-US" w:eastAsia="en-US" w:bidi="ar-SA"/>
      </w:rPr>
    </w:lvl>
    <w:lvl w:ilvl="7">
      <w:start w:val="0"/>
      <w:numFmt w:val="bullet"/>
      <w:lvlText w:val="•"/>
      <w:lvlJc w:val="left"/>
      <w:pPr>
        <w:ind w:left="8126" w:hanging="543"/>
      </w:pPr>
      <w:rPr>
        <w:rFonts w:hint="default"/>
        <w:lang w:val="en-US" w:eastAsia="en-US" w:bidi="ar-SA"/>
      </w:rPr>
    </w:lvl>
    <w:lvl w:ilvl="8">
      <w:start w:val="0"/>
      <w:numFmt w:val="bullet"/>
      <w:lvlText w:val="•"/>
      <w:lvlJc w:val="left"/>
      <w:pPr>
        <w:ind w:left="9237" w:hanging="543"/>
      </w:pPr>
      <w:rPr>
        <w:rFonts w:hint="default"/>
        <w:lang w:val="en-US" w:eastAsia="en-US" w:bidi="ar-SA"/>
      </w:rPr>
    </w:lvl>
  </w:abstractNum>
  <w:abstractNum w:abstractNumId="1">
    <w:multiLevelType w:val="hybridMultilevel"/>
    <w:lvl w:ilvl="0">
      <w:start w:val="2"/>
      <w:numFmt w:val="decimal"/>
      <w:lvlText w:val="%1"/>
      <w:lvlJc w:val="left"/>
      <w:pPr>
        <w:ind w:left="1284" w:hanging="365"/>
        <w:jc w:val="left"/>
      </w:pPr>
      <w:rPr>
        <w:rFonts w:hint="default"/>
        <w:lang w:val="en-US" w:eastAsia="en-US" w:bidi="ar-SA"/>
      </w:rPr>
    </w:lvl>
    <w:lvl w:ilvl="1">
      <w:start w:val="0"/>
      <w:numFmt w:val="decimal"/>
      <w:lvlText w:val="%1.%2"/>
      <w:lvlJc w:val="left"/>
      <w:pPr>
        <w:ind w:left="1284" w:hanging="365"/>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1"/>
      <w:numFmt w:val="decimal"/>
      <w:lvlText w:val="%1.%2.%3"/>
      <w:lvlJc w:val="left"/>
      <w:pPr>
        <w:ind w:left="1462" w:hanging="543"/>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3">
      <w:start w:val="1"/>
      <w:numFmt w:val="decimal"/>
      <w:lvlText w:val="%1.%2.%3.%4"/>
      <w:lvlJc w:val="left"/>
      <w:pPr>
        <w:ind w:left="1640" w:hanging="720"/>
        <w:jc w:val="left"/>
      </w:pPr>
      <w:rPr>
        <w:rFonts w:hint="default" w:ascii="Times New Roman" w:hAnsi="Times New Roman" w:eastAsia="Times New Roman" w:cs="Times New Roman"/>
        <w:b w:val="0"/>
        <w:bCs w:val="0"/>
        <w:i w:val="0"/>
        <w:iCs w:val="0"/>
        <w:spacing w:val="-5"/>
        <w:w w:val="99"/>
        <w:sz w:val="24"/>
        <w:szCs w:val="24"/>
        <w:lang w:val="en-US" w:eastAsia="en-US" w:bidi="ar-SA"/>
      </w:rPr>
    </w:lvl>
    <w:lvl w:ilvl="4">
      <w:start w:val="0"/>
      <w:numFmt w:val="bullet"/>
      <w:lvlText w:val="•"/>
      <w:lvlJc w:val="left"/>
      <w:pPr>
        <w:ind w:left="3042" w:hanging="720"/>
      </w:pPr>
      <w:rPr>
        <w:rFonts w:hint="default"/>
        <w:lang w:val="en-US" w:eastAsia="en-US" w:bidi="ar-SA"/>
      </w:rPr>
    </w:lvl>
    <w:lvl w:ilvl="5">
      <w:start w:val="0"/>
      <w:numFmt w:val="bullet"/>
      <w:lvlText w:val="•"/>
      <w:lvlJc w:val="left"/>
      <w:pPr>
        <w:ind w:left="4445" w:hanging="720"/>
      </w:pPr>
      <w:rPr>
        <w:rFonts w:hint="default"/>
        <w:lang w:val="en-US" w:eastAsia="en-US" w:bidi="ar-SA"/>
      </w:rPr>
    </w:lvl>
    <w:lvl w:ilvl="6">
      <w:start w:val="0"/>
      <w:numFmt w:val="bullet"/>
      <w:lvlText w:val="•"/>
      <w:lvlJc w:val="left"/>
      <w:pPr>
        <w:ind w:left="5848" w:hanging="720"/>
      </w:pPr>
      <w:rPr>
        <w:rFonts w:hint="default"/>
        <w:lang w:val="en-US" w:eastAsia="en-US" w:bidi="ar-SA"/>
      </w:rPr>
    </w:lvl>
    <w:lvl w:ilvl="7">
      <w:start w:val="0"/>
      <w:numFmt w:val="bullet"/>
      <w:lvlText w:val="•"/>
      <w:lvlJc w:val="left"/>
      <w:pPr>
        <w:ind w:left="7251" w:hanging="720"/>
      </w:pPr>
      <w:rPr>
        <w:rFonts w:hint="default"/>
        <w:lang w:val="en-US" w:eastAsia="en-US" w:bidi="ar-SA"/>
      </w:rPr>
    </w:lvl>
    <w:lvl w:ilvl="8">
      <w:start w:val="0"/>
      <w:numFmt w:val="bullet"/>
      <w:lvlText w:val="•"/>
      <w:lvlJc w:val="left"/>
      <w:pPr>
        <w:ind w:left="8654" w:hanging="720"/>
      </w:pPr>
      <w:rPr>
        <w:rFonts w:hint="default"/>
        <w:lang w:val="en-US" w:eastAsia="en-US" w:bidi="ar-SA"/>
      </w:rPr>
    </w:lvl>
  </w:abstractNum>
  <w:abstractNum w:abstractNumId="0">
    <w:multiLevelType w:val="hybridMultilevel"/>
    <w:lvl w:ilvl="0">
      <w:start w:val="1"/>
      <w:numFmt w:val="decimal"/>
      <w:lvlText w:val="%1"/>
      <w:lvlJc w:val="left"/>
      <w:pPr>
        <w:ind w:left="1284" w:hanging="365"/>
        <w:jc w:val="left"/>
      </w:pPr>
      <w:rPr>
        <w:rFonts w:hint="default"/>
        <w:lang w:val="en-US" w:eastAsia="en-US" w:bidi="ar-SA"/>
      </w:rPr>
    </w:lvl>
    <w:lvl w:ilvl="1">
      <w:start w:val="0"/>
      <w:numFmt w:val="decimal"/>
      <w:lvlText w:val="%1.%2"/>
      <w:lvlJc w:val="left"/>
      <w:pPr>
        <w:ind w:left="1284" w:hanging="365"/>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3316" w:hanging="365"/>
      </w:pPr>
      <w:rPr>
        <w:rFonts w:hint="default"/>
        <w:lang w:val="en-US" w:eastAsia="en-US" w:bidi="ar-SA"/>
      </w:rPr>
    </w:lvl>
    <w:lvl w:ilvl="3">
      <w:start w:val="0"/>
      <w:numFmt w:val="bullet"/>
      <w:lvlText w:val="•"/>
      <w:lvlJc w:val="left"/>
      <w:pPr>
        <w:ind w:left="4334" w:hanging="365"/>
      </w:pPr>
      <w:rPr>
        <w:rFonts w:hint="default"/>
        <w:lang w:val="en-US" w:eastAsia="en-US" w:bidi="ar-SA"/>
      </w:rPr>
    </w:lvl>
    <w:lvl w:ilvl="4">
      <w:start w:val="0"/>
      <w:numFmt w:val="bullet"/>
      <w:lvlText w:val="•"/>
      <w:lvlJc w:val="left"/>
      <w:pPr>
        <w:ind w:left="5352" w:hanging="365"/>
      </w:pPr>
      <w:rPr>
        <w:rFonts w:hint="default"/>
        <w:lang w:val="en-US" w:eastAsia="en-US" w:bidi="ar-SA"/>
      </w:rPr>
    </w:lvl>
    <w:lvl w:ilvl="5">
      <w:start w:val="0"/>
      <w:numFmt w:val="bullet"/>
      <w:lvlText w:val="•"/>
      <w:lvlJc w:val="left"/>
      <w:pPr>
        <w:ind w:left="6370" w:hanging="365"/>
      </w:pPr>
      <w:rPr>
        <w:rFonts w:hint="default"/>
        <w:lang w:val="en-US" w:eastAsia="en-US" w:bidi="ar-SA"/>
      </w:rPr>
    </w:lvl>
    <w:lvl w:ilvl="6">
      <w:start w:val="0"/>
      <w:numFmt w:val="bullet"/>
      <w:lvlText w:val="•"/>
      <w:lvlJc w:val="left"/>
      <w:pPr>
        <w:ind w:left="7388" w:hanging="365"/>
      </w:pPr>
      <w:rPr>
        <w:rFonts w:hint="default"/>
        <w:lang w:val="en-US" w:eastAsia="en-US" w:bidi="ar-SA"/>
      </w:rPr>
    </w:lvl>
    <w:lvl w:ilvl="7">
      <w:start w:val="0"/>
      <w:numFmt w:val="bullet"/>
      <w:lvlText w:val="•"/>
      <w:lvlJc w:val="left"/>
      <w:pPr>
        <w:ind w:left="8406" w:hanging="365"/>
      </w:pPr>
      <w:rPr>
        <w:rFonts w:hint="default"/>
        <w:lang w:val="en-US" w:eastAsia="en-US" w:bidi="ar-SA"/>
      </w:rPr>
    </w:lvl>
    <w:lvl w:ilvl="8">
      <w:start w:val="0"/>
      <w:numFmt w:val="bullet"/>
      <w:lvlText w:val="•"/>
      <w:lvlJc w:val="left"/>
      <w:pPr>
        <w:ind w:left="9424" w:hanging="365"/>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362"/>
      <w:ind w:left="9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357"/>
      <w:ind w:left="1283" w:hanging="363"/>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358"/>
      <w:ind w:left="1403" w:hanging="541"/>
    </w:pPr>
    <w:rPr>
      <w:rFonts w:ascii="Times New Roman" w:hAnsi="Times New Roman" w:eastAsia="Times New Roman" w:cs="Times New Roman"/>
      <w:i/>
      <w:iCs/>
      <w:sz w:val="24"/>
      <w:szCs w:val="24"/>
      <w:lang w:val="en-US" w:eastAsia="en-US" w:bidi="ar-SA"/>
    </w:rPr>
  </w:style>
  <w:style w:styleId="TOC4" w:type="paragraph">
    <w:name w:val="TOC 4"/>
    <w:basedOn w:val="Normal"/>
    <w:uiPriority w:val="1"/>
    <w:qFormat/>
    <w:pPr>
      <w:spacing w:before="357"/>
      <w:ind w:left="1461" w:hanging="541"/>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1710" w:hanging="790"/>
      <w:outlineLvl w:val="1"/>
    </w:pPr>
    <w:rPr>
      <w:rFonts w:ascii="Calibri" w:hAnsi="Calibri" w:eastAsia="Calibri" w:cs="Calibri"/>
      <w:b/>
      <w:bCs/>
      <w:i/>
      <w:iCs/>
      <w:sz w:val="26"/>
      <w:szCs w:val="26"/>
      <w:lang w:val="en-US"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460"/>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spacing w:line="264" w:lineRule="exact"/>
      <w:ind w:left="20"/>
      <w:outlineLvl w:val="4"/>
    </w:pPr>
    <w:rPr>
      <w:rFonts w:ascii="Calibri" w:hAnsi="Calibri" w:eastAsia="Calibri" w:cs="Calibri"/>
      <w:b/>
      <w:bCs/>
      <w:i/>
      <w:iCs/>
      <w:sz w:val="24"/>
      <w:szCs w:val="24"/>
      <w:lang w:val="en-US" w:eastAsia="en-US" w:bidi="ar-SA"/>
    </w:rPr>
  </w:style>
  <w:style w:styleId="Heading5" w:type="paragraph">
    <w:name w:val="Heading 5"/>
    <w:basedOn w:val="Normal"/>
    <w:uiPriority w:val="1"/>
    <w:qFormat/>
    <w:pPr>
      <w:spacing w:before="37"/>
      <w:ind w:left="1245" w:hanging="325"/>
      <w:outlineLvl w:val="5"/>
    </w:pPr>
    <w:rPr>
      <w:rFonts w:ascii="Calibri" w:hAnsi="Calibri" w:eastAsia="Calibri" w:cs="Calibri"/>
      <w:b/>
      <w:bCs/>
      <w:sz w:val="22"/>
      <w:szCs w:val="22"/>
      <w:lang w:val="en-US" w:eastAsia="en-US" w:bidi="ar-SA"/>
    </w:rPr>
  </w:style>
  <w:style w:styleId="Heading6" w:type="paragraph">
    <w:name w:val="Heading 6"/>
    <w:basedOn w:val="Normal"/>
    <w:uiPriority w:val="1"/>
    <w:qFormat/>
    <w:pPr>
      <w:ind w:left="1415" w:hanging="495"/>
      <w:outlineLvl w:val="6"/>
    </w:pPr>
    <w:rPr>
      <w:rFonts w:ascii="Calibri" w:hAnsi="Calibri" w:eastAsia="Calibri" w:cs="Calibri"/>
      <w:b/>
      <w:bCs/>
      <w:sz w:val="22"/>
      <w:szCs w:val="22"/>
      <w:lang w:val="en-US" w:eastAsia="en-US" w:bidi="ar-SA"/>
    </w:rPr>
  </w:style>
  <w:style w:styleId="Heading7" w:type="paragraph">
    <w:name w:val="Heading 7"/>
    <w:basedOn w:val="Normal"/>
    <w:uiPriority w:val="1"/>
    <w:qFormat/>
    <w:pPr>
      <w:ind w:left="1415" w:hanging="495"/>
      <w:outlineLvl w:val="7"/>
    </w:pPr>
    <w:rPr>
      <w:rFonts w:ascii="Calibri" w:hAnsi="Calibri" w:eastAsia="Calibri" w:cs="Calibri"/>
      <w:b/>
      <w:bCs/>
      <w:i/>
      <w:iCs/>
      <w:sz w:val="22"/>
      <w:szCs w:val="22"/>
      <w:lang w:val="en-US" w:eastAsia="en-US" w:bidi="ar-SA"/>
    </w:rPr>
  </w:style>
  <w:style w:styleId="ListParagraph" w:type="paragraph">
    <w:name w:val="List Paragraph"/>
    <w:basedOn w:val="Normal"/>
    <w:uiPriority w:val="1"/>
    <w:qFormat/>
    <w:pPr>
      <w:ind w:left="1415" w:hanging="49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25" w:lineRule="exact"/>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cdc.gov/getsmart/antibiotic-use/anitbiotic-resistance-" TargetMode="External"/><Relationship Id="rId17" Type="http://schemas.openxmlformats.org/officeDocument/2006/relationships/hyperlink" Target="http://www.cdc.gov/ncidod/aip/research/ar.html" TargetMode="External"/><Relationship Id="rId18" Type="http://schemas.openxmlformats.org/officeDocument/2006/relationships/hyperlink" Target="http://www.pubmed.com/" TargetMode="External"/><Relationship Id="rId19" Type="http://schemas.openxmlformats.org/officeDocument/2006/relationships/hyperlink" Target="http://www.fda.gov/downloads/ForConsumers/ConsumerUpdates/UCM143470" TargetMode="External"/><Relationship Id="rId20" Type="http://schemas.openxmlformats.org/officeDocument/2006/relationships/hyperlink" Target="http://www.niaid.nih.gov/topics/antimicrobialResistance/Understanding/Pages/causes.asp" TargetMode="External"/><Relationship Id="rId21" Type="http://schemas.openxmlformats.org/officeDocument/2006/relationships/hyperlink" Target="http://www.utexas.edu/conferences/africa/2005/panels/okeke.html" TargetMode="External"/><Relationship Id="rId22" Type="http://schemas.openxmlformats.org/officeDocument/2006/relationships/hyperlink" Target="http://www.emedicine.com/" TargetMode="External"/><Relationship Id="rId23" Type="http://schemas.openxmlformats.org/officeDocument/2006/relationships/hyperlink" Target="http://www.textbookofbacteriology.net/" TargetMode="External"/><Relationship Id="rId24" Type="http://schemas.openxmlformats.org/officeDocument/2006/relationships/hyperlink" Target="http://www.ionigeria.com/" TargetMode="External"/><Relationship Id="rId25" Type="http://schemas.openxmlformats.org/officeDocument/2006/relationships/hyperlink" Target="http://www.jyi.org/features/ft.php?id=524" TargetMode="External"/><Relationship Id="rId26" Type="http://schemas.openxmlformats.org/officeDocument/2006/relationships/hyperlink" Target="http://www.who.int/inf-pr-2000/en/pr2000-" TargetMode="External"/><Relationship Id="rId27" Type="http://schemas.openxmlformats.org/officeDocument/2006/relationships/hyperlink" Target="http://whqlibdoc.who.int/hq/2000/WHO_CDS_CSR_APH_2000.4.pdf" TargetMode="External"/><Relationship Id="rId28" Type="http://schemas.openxmlformats.org/officeDocument/2006/relationships/hyperlink" Target="http://www.who.int/drugresistance/amr_q%26a.pdf" TargetMode="Externa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Microsoft Word - INI PRELIMINARY</dc:title>
  <dcterms:created xsi:type="dcterms:W3CDTF">2023-11-02T20:39:02Z</dcterms:created>
  <dcterms:modified xsi:type="dcterms:W3CDTF">2023-11-02T20:39:02Z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2013-06-19T00:00:00Z</vt:filetime>
  </property>
  <property fmtid="{D5CDD505-2E9C-101B-9397-08002B2CF9AE}" pid="3" name="Creator">
    <vt:lpwstr>Microsoft Word - INI PRELIMINARY</vt:lpwstr>
  </property>
  <property fmtid="{D5CDD505-2E9C-101B-9397-08002B2CF9AE}" pid="4" name="Producer">
    <vt:lpwstr>doPDF   Ver 6.3 Build 308 (Windows XP  x32)</vt:lpwstr>
  </property>
  <property fmtid="{D5CDD505-2E9C-101B-9397-08002B2CF9AE}" pid="5" name="LastSaved">
    <vt:filetime>2013-06-19T00:00:00Z</vt:filetime>
  </property>
</Properties>
</file>