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0" w:lineRule="auto" w:before="79"/>
        <w:ind w:left="1145" w:right="0" w:firstLine="264"/>
        <w:jc w:val="left"/>
        <w:rPr>
          <w:b/>
          <w:sz w:val="24"/>
        </w:rPr>
      </w:pPr>
      <w:r>
        <w:rPr>
          <w:b/>
          <w:sz w:val="24"/>
        </w:rPr>
        <w:t>ANALYSIS OF SPATIAL DISTRIBUTION OF SELECTED SOCIAL INFRASTRUCTURE</w:t>
      </w:r>
      <w:r>
        <w:rPr>
          <w:b/>
          <w:spacing w:val="-6"/>
          <w:sz w:val="24"/>
        </w:rPr>
        <w:t> </w:t>
      </w:r>
      <w:r>
        <w:rPr>
          <w:b/>
          <w:sz w:val="24"/>
        </w:rPr>
        <w:t>IN</w:t>
      </w:r>
      <w:r>
        <w:rPr>
          <w:b/>
          <w:spacing w:val="-6"/>
          <w:sz w:val="24"/>
        </w:rPr>
        <w:t> </w:t>
      </w:r>
      <w:r>
        <w:rPr>
          <w:b/>
          <w:sz w:val="24"/>
        </w:rPr>
        <w:t>ZURU</w:t>
      </w:r>
      <w:r>
        <w:rPr>
          <w:b/>
          <w:spacing w:val="-6"/>
          <w:sz w:val="24"/>
        </w:rPr>
        <w:t> </w:t>
      </w:r>
      <w:r>
        <w:rPr>
          <w:b/>
          <w:sz w:val="24"/>
        </w:rPr>
        <w:t>LOCAL</w:t>
      </w:r>
      <w:r>
        <w:rPr>
          <w:b/>
          <w:spacing w:val="-6"/>
          <w:sz w:val="24"/>
        </w:rPr>
        <w:t> </w:t>
      </w:r>
      <w:r>
        <w:rPr>
          <w:b/>
          <w:sz w:val="24"/>
        </w:rPr>
        <w:t>GOVERNMENT,</w:t>
      </w:r>
      <w:r>
        <w:rPr>
          <w:b/>
          <w:spacing w:val="-6"/>
          <w:sz w:val="24"/>
        </w:rPr>
        <w:t> </w:t>
      </w:r>
      <w:r>
        <w:rPr>
          <w:b/>
          <w:sz w:val="24"/>
        </w:rPr>
        <w:t>KEBBI</w:t>
      </w:r>
      <w:r>
        <w:rPr>
          <w:b/>
          <w:spacing w:val="-6"/>
          <w:sz w:val="24"/>
        </w:rPr>
        <w:t> </w:t>
      </w:r>
      <w:r>
        <w:rPr>
          <w:b/>
          <w:sz w:val="24"/>
        </w:rPr>
        <w:t>STATE</w:t>
      </w:r>
    </w:p>
    <w:p>
      <w:pPr>
        <w:pStyle w:val="BodyText"/>
        <w:rPr>
          <w:b/>
          <w:sz w:val="26"/>
        </w:rPr>
      </w:pPr>
    </w:p>
    <w:p>
      <w:pPr>
        <w:pStyle w:val="BodyText"/>
        <w:spacing w:before="2"/>
        <w:rPr>
          <w:b/>
          <w:sz w:val="25"/>
        </w:rPr>
      </w:pPr>
    </w:p>
    <w:p>
      <w:pPr>
        <w:pStyle w:val="BodyText"/>
        <w:ind w:left="785" w:right="250"/>
        <w:jc w:val="both"/>
      </w:pPr>
      <w:r>
        <w:rPr/>
        <w:t>Social infrastructure includes public primary schools (PPSs) and primary health care facilities (PHCs) which are essential in fostering community wellbeing, cohesion and development. For efficiency in the distribution of social infrastructure, population or travel distance can be used as a criterion for allocating social infrastructures. This study assessed the inadequacy and spatial inequality in the distribution of social infrastructure in Zuru local government of Kebbi State using both primary and secondary data. Six wards were sampled during this study namely; Bedi, Tadurga, Dabai, Rikoto, Rafin Zuru, Manga Ushe wards. Graphical analysis and spatial analysis were adopted for this research using ArcGIS 10.1 and Qgis. Firstly, PHCs and PPSs were identified and their locations were established using geographical positioning system (GPS). This study identified 14 primary health centres and 26 public primary schools existing within the sampled area. Nearest neighbour analysis revealed that both</w:t>
      </w:r>
      <w:r>
        <w:rPr>
          <w:spacing w:val="-1"/>
        </w:rPr>
        <w:t> </w:t>
      </w:r>
      <w:r>
        <w:rPr/>
        <w:t>PPSs and</w:t>
      </w:r>
      <w:r>
        <w:rPr>
          <w:spacing w:val="-1"/>
        </w:rPr>
        <w:t> </w:t>
      </w:r>
      <w:r>
        <w:rPr/>
        <w:t>PHCs exhibited a dispersed spatial distribution pattern with a neighbour ratio of 1.199216 and 1.284260 respectively. Hence, suggesting the likelihood of each facility being allocated far away from another not necessarily by a predetermined distance. Furthermore, service areas</w:t>
      </w:r>
      <w:r>
        <w:rPr>
          <w:spacing w:val="80"/>
        </w:rPr>
        <w:t> </w:t>
      </w:r>
      <w:r>
        <w:rPr/>
        <w:t>for</w:t>
      </w:r>
      <w:r>
        <w:rPr>
          <w:spacing w:val="29"/>
        </w:rPr>
        <w:t> </w:t>
      </w:r>
      <w:r>
        <w:rPr/>
        <w:t>each</w:t>
      </w:r>
      <w:r>
        <w:rPr>
          <w:spacing w:val="33"/>
        </w:rPr>
        <w:t> </w:t>
      </w:r>
      <w:r>
        <w:rPr/>
        <w:t>facility</w:t>
      </w:r>
      <w:r>
        <w:rPr>
          <w:spacing w:val="26"/>
        </w:rPr>
        <w:t> </w:t>
      </w:r>
      <w:r>
        <w:rPr/>
        <w:t>were</w:t>
      </w:r>
      <w:r>
        <w:rPr>
          <w:spacing w:val="31"/>
        </w:rPr>
        <w:t> </w:t>
      </w:r>
      <w:r>
        <w:rPr/>
        <w:t>established</w:t>
      </w:r>
      <w:r>
        <w:rPr>
          <w:spacing w:val="30"/>
        </w:rPr>
        <w:t> </w:t>
      </w:r>
      <w:r>
        <w:rPr/>
        <w:t>using</w:t>
      </w:r>
      <w:r>
        <w:rPr>
          <w:spacing w:val="31"/>
        </w:rPr>
        <w:t> </w:t>
      </w:r>
      <w:r>
        <w:rPr/>
        <w:t>both</w:t>
      </w:r>
      <w:r>
        <w:rPr>
          <w:spacing w:val="31"/>
        </w:rPr>
        <w:t> </w:t>
      </w:r>
      <w:r>
        <w:rPr/>
        <w:t>Euclidean</w:t>
      </w:r>
      <w:r>
        <w:rPr>
          <w:spacing w:val="33"/>
        </w:rPr>
        <w:t> </w:t>
      </w:r>
      <w:r>
        <w:rPr/>
        <w:t>and</w:t>
      </w:r>
      <w:r>
        <w:rPr>
          <w:spacing w:val="30"/>
        </w:rPr>
        <w:t> </w:t>
      </w:r>
      <w:r>
        <w:rPr/>
        <w:t>road</w:t>
      </w:r>
      <w:r>
        <w:rPr>
          <w:spacing w:val="30"/>
        </w:rPr>
        <w:t> </w:t>
      </w:r>
      <w:r>
        <w:rPr/>
        <w:t>network</w:t>
      </w:r>
      <w:r>
        <w:rPr>
          <w:spacing w:val="39"/>
        </w:rPr>
        <w:t> </w:t>
      </w:r>
      <w:r>
        <w:rPr/>
        <w:t>methods</w:t>
      </w:r>
      <w:r>
        <w:rPr>
          <w:spacing w:val="31"/>
        </w:rPr>
        <w:t> </w:t>
      </w:r>
      <w:r>
        <w:rPr>
          <w:spacing w:val="-5"/>
        </w:rPr>
        <w:t>in</w:t>
      </w:r>
    </w:p>
    <w:p>
      <w:pPr>
        <w:pStyle w:val="BodyText"/>
        <w:spacing w:before="1"/>
        <w:ind w:left="785" w:right="253"/>
        <w:jc w:val="both"/>
      </w:pPr>
      <w:r>
        <w:rPr/>
        <w:t>G.I.S to determine areas that were adequately and also not adequately serviced by these facilities. Some households within Bedi, Tadurga and Manga Ushe are outside the catchment areas of PHCs and/or PPSs. More so, non-spatial data such as ward population, land area and count of PPSs and PHCs were also used to determine the spatial inequality</w:t>
      </w:r>
      <w:r>
        <w:rPr>
          <w:spacing w:val="-2"/>
        </w:rPr>
        <w:t> </w:t>
      </w:r>
      <w:r>
        <w:rPr/>
        <w:t>and inadequacy</w:t>
      </w:r>
      <w:r>
        <w:rPr>
          <w:spacing w:val="-3"/>
        </w:rPr>
        <w:t> </w:t>
      </w:r>
      <w:r>
        <w:rPr/>
        <w:t>using</w:t>
      </w:r>
      <w:r>
        <w:rPr>
          <w:spacing w:val="-1"/>
        </w:rPr>
        <w:t> </w:t>
      </w:r>
      <w:r>
        <w:rPr/>
        <w:t>the Local Quotient. Result showed that Tadurga ward has an L.Q less than 1.0 and it is the most deprived ward in the allocated existing social infrastructures. Multiple model regression showed that there is no statically significant relationship between the population of wards and the number of existing social infrastructure. Thus, suggesting that a spatial criterion is used to allocate social infrastructure in the area. There is the need provide new facilities in deprived wards at strategic positions in other to ensure the adequacy of social infrastructure within Zuru local government.</w:t>
      </w:r>
    </w:p>
    <w:p>
      <w:pPr>
        <w:spacing w:after="0"/>
        <w:jc w:val="both"/>
        <w:sectPr>
          <w:footerReference w:type="default" r:id="rId5"/>
          <w:type w:val="continuous"/>
          <w:pgSz w:w="11910" w:h="16840"/>
          <w:pgMar w:footer="1003" w:header="0" w:top="1320" w:bottom="1200" w:left="1200" w:right="1160"/>
          <w:pgNumType w:start="1"/>
        </w:sectPr>
      </w:pPr>
    </w:p>
    <w:p>
      <w:pPr>
        <w:spacing w:before="76"/>
        <w:ind w:left="2851" w:right="2325" w:firstLine="0"/>
        <w:jc w:val="center"/>
        <w:rPr>
          <w:b/>
          <w:sz w:val="24"/>
        </w:rPr>
      </w:pPr>
      <w:r>
        <w:rPr>
          <w:b/>
          <w:sz w:val="24"/>
        </w:rPr>
        <w:t>CHAPTER</w:t>
      </w:r>
      <w:r>
        <w:rPr>
          <w:b/>
          <w:spacing w:val="-4"/>
          <w:sz w:val="24"/>
        </w:rPr>
        <w:t> </w:t>
      </w:r>
      <w:r>
        <w:rPr>
          <w:b/>
          <w:spacing w:val="-5"/>
          <w:sz w:val="24"/>
        </w:rPr>
        <w:t>ONE</w:t>
      </w:r>
    </w:p>
    <w:p>
      <w:pPr>
        <w:pStyle w:val="BodyText"/>
        <w:spacing w:before="1"/>
        <w:rPr>
          <w:b/>
        </w:rPr>
      </w:pPr>
    </w:p>
    <w:p>
      <w:pPr>
        <w:pStyle w:val="ListParagraph"/>
        <w:numPr>
          <w:ilvl w:val="1"/>
          <w:numId w:val="1"/>
        </w:numPr>
        <w:tabs>
          <w:tab w:pos="4145" w:val="left" w:leader="none"/>
        </w:tabs>
        <w:spacing w:line="240" w:lineRule="auto" w:before="0" w:after="0"/>
        <w:ind w:left="4145" w:right="0" w:hanging="3360"/>
        <w:jc w:val="both"/>
        <w:rPr>
          <w:b/>
          <w:sz w:val="24"/>
        </w:rPr>
      </w:pPr>
      <w:r>
        <w:rPr>
          <w:b/>
          <w:spacing w:val="-2"/>
          <w:sz w:val="24"/>
        </w:rPr>
        <w:t>INTRODUCTION</w:t>
      </w:r>
    </w:p>
    <w:p>
      <w:pPr>
        <w:pStyle w:val="BodyText"/>
        <w:rPr>
          <w:b/>
        </w:rPr>
      </w:pPr>
    </w:p>
    <w:p>
      <w:pPr>
        <w:pStyle w:val="Heading1"/>
        <w:numPr>
          <w:ilvl w:val="1"/>
          <w:numId w:val="1"/>
        </w:numPr>
        <w:tabs>
          <w:tab w:pos="1504" w:val="left" w:leader="none"/>
        </w:tabs>
        <w:spacing w:line="240" w:lineRule="auto" w:before="0" w:after="0"/>
        <w:ind w:left="1504" w:right="0" w:hanging="719"/>
        <w:jc w:val="both"/>
      </w:pPr>
      <w:r>
        <w:rPr/>
        <w:t>Background to</w:t>
      </w:r>
      <w:r>
        <w:rPr>
          <w:spacing w:val="-1"/>
        </w:rPr>
        <w:t> </w:t>
      </w:r>
      <w:r>
        <w:rPr/>
        <w:t>the</w:t>
      </w:r>
      <w:r>
        <w:rPr>
          <w:spacing w:val="-2"/>
        </w:rPr>
        <w:t> Study</w:t>
      </w:r>
    </w:p>
    <w:p>
      <w:pPr>
        <w:pStyle w:val="BodyText"/>
        <w:spacing w:before="6"/>
        <w:rPr>
          <w:b/>
          <w:sz w:val="23"/>
        </w:rPr>
      </w:pPr>
    </w:p>
    <w:p>
      <w:pPr>
        <w:pStyle w:val="BodyText"/>
        <w:spacing w:line="480" w:lineRule="auto" w:before="1"/>
        <w:ind w:left="785" w:right="252"/>
        <w:jc w:val="both"/>
      </w:pPr>
      <w:r>
        <w:rPr/>
        <w:t>Infrastructure plays an important role in Africa’s growth and development, the interaction of social and economic infrastructure facilitates the growth process as stated in the Office of the Special Adviser on Africa report (United Nations, 2015). Social infrastructure is complex in nature because it encompasses different institutions united by similar goal of developing the city and fulfilling the essential needs of the society (Frolova </w:t>
      </w:r>
      <w:r>
        <w:rPr>
          <w:i/>
        </w:rPr>
        <w:t>et al.</w:t>
      </w:r>
      <w:r>
        <w:rPr/>
        <w:t>, 2016). These institutions are relevant sectors or offices responsible for rendering social services such as; facility for health, education and sanitation which are provided to improve human lives.</w:t>
      </w:r>
    </w:p>
    <w:p>
      <w:pPr>
        <w:pStyle w:val="BodyText"/>
        <w:spacing w:line="480" w:lineRule="auto" w:before="200"/>
        <w:ind w:left="785" w:right="256"/>
        <w:jc w:val="both"/>
      </w:pPr>
      <w:r>
        <w:rPr/>
        <w:t>United Nations (2015) pointed out that the development of social infrastructure in</w:t>
      </w:r>
      <w:r>
        <w:rPr>
          <w:spacing w:val="40"/>
        </w:rPr>
        <w:t> </w:t>
      </w:r>
      <w:r>
        <w:rPr/>
        <w:t>Africa was driven by her economic specialisation as a resource base during the colonial era. The presence of natural resources led to the development of transportation and intensified Foreign Direct Investment (FDI).</w:t>
      </w:r>
      <w:r>
        <w:rPr>
          <w:spacing w:val="40"/>
        </w:rPr>
        <w:t> </w:t>
      </w:r>
      <w:r>
        <w:rPr/>
        <w:t>The aim of infrastructural development during the colonial era was solely to facilitate communication with the western powers. Salisu</w:t>
      </w:r>
      <w:r>
        <w:rPr>
          <w:spacing w:val="-1"/>
        </w:rPr>
        <w:t> </w:t>
      </w:r>
      <w:r>
        <w:rPr/>
        <w:t>(2016)</w:t>
      </w:r>
      <w:r>
        <w:rPr>
          <w:spacing w:val="-2"/>
        </w:rPr>
        <w:t> </w:t>
      </w:r>
      <w:r>
        <w:rPr/>
        <w:t>attest</w:t>
      </w:r>
      <w:r>
        <w:rPr>
          <w:spacing w:val="-1"/>
        </w:rPr>
        <w:t> </w:t>
      </w:r>
      <w:r>
        <w:rPr/>
        <w:t>that</w:t>
      </w:r>
      <w:r>
        <w:rPr>
          <w:spacing w:val="-1"/>
        </w:rPr>
        <w:t> </w:t>
      </w:r>
      <w:r>
        <w:rPr/>
        <w:t>firms</w:t>
      </w:r>
      <w:r>
        <w:rPr>
          <w:spacing w:val="-1"/>
        </w:rPr>
        <w:t> </w:t>
      </w:r>
      <w:r>
        <w:rPr/>
        <w:t>use infrastructure as delicate</w:t>
      </w:r>
      <w:r>
        <w:rPr>
          <w:spacing w:val="-2"/>
        </w:rPr>
        <w:t> </w:t>
      </w:r>
      <w:r>
        <w:rPr/>
        <w:t>intermediate goods.</w:t>
      </w:r>
      <w:r>
        <w:rPr>
          <w:spacing w:val="40"/>
        </w:rPr>
        <w:t> </w:t>
      </w:r>
      <w:r>
        <w:rPr/>
        <w:t>In</w:t>
      </w:r>
      <w:r>
        <w:rPr>
          <w:spacing w:val="-1"/>
        </w:rPr>
        <w:t> </w:t>
      </w:r>
      <w:r>
        <w:rPr/>
        <w:t>other words, they are means to an end while household utilized infrastructure as final consumables. Historically, the development of social infrastructure in Africa is supported by several aid programmes; but they were generally disadvantaged due to poor location with large proportion of infrastructure is concentrated in urban areas than rural areas (United Nations, 2015).</w:t>
      </w:r>
    </w:p>
    <w:p>
      <w:pPr>
        <w:pStyle w:val="BodyText"/>
        <w:spacing w:line="480" w:lineRule="auto" w:before="201"/>
        <w:ind w:left="785" w:right="261"/>
        <w:jc w:val="both"/>
      </w:pPr>
      <w:r>
        <w:rPr/>
        <w:t>Accessibility</w:t>
      </w:r>
      <w:r>
        <w:rPr>
          <w:spacing w:val="-6"/>
        </w:rPr>
        <w:t> </w:t>
      </w:r>
      <w:r>
        <w:rPr/>
        <w:t>to infrastructure</w:t>
      </w:r>
      <w:r>
        <w:rPr>
          <w:spacing w:val="-3"/>
        </w:rPr>
        <w:t> </w:t>
      </w:r>
      <w:r>
        <w:rPr/>
        <w:t>cannot</w:t>
      </w:r>
      <w:r>
        <w:rPr>
          <w:spacing w:val="-1"/>
        </w:rPr>
        <w:t> </w:t>
      </w:r>
      <w:r>
        <w:rPr/>
        <w:t>be</w:t>
      </w:r>
      <w:r>
        <w:rPr>
          <w:spacing w:val="-2"/>
        </w:rPr>
        <w:t> </w:t>
      </w:r>
      <w:r>
        <w:rPr/>
        <w:t>over</w:t>
      </w:r>
      <w:r>
        <w:rPr>
          <w:spacing w:val="-2"/>
        </w:rPr>
        <w:t> </w:t>
      </w:r>
      <w:r>
        <w:rPr/>
        <w:t>emphasized</w:t>
      </w:r>
      <w:r>
        <w:rPr>
          <w:spacing w:val="-1"/>
        </w:rPr>
        <w:t> </w:t>
      </w:r>
      <w:r>
        <w:rPr/>
        <w:t>and</w:t>
      </w:r>
      <w:r>
        <w:rPr>
          <w:spacing w:val="-1"/>
        </w:rPr>
        <w:t> </w:t>
      </w:r>
      <w:r>
        <w:rPr/>
        <w:t>it</w:t>
      </w:r>
      <w:r>
        <w:rPr>
          <w:spacing w:val="-1"/>
        </w:rPr>
        <w:t> </w:t>
      </w:r>
      <w:r>
        <w:rPr/>
        <w:t>has</w:t>
      </w:r>
      <w:r>
        <w:rPr>
          <w:spacing w:val="-1"/>
        </w:rPr>
        <w:t> </w:t>
      </w:r>
      <w:r>
        <w:rPr/>
        <w:t>been</w:t>
      </w:r>
      <w:r>
        <w:rPr>
          <w:spacing w:val="-1"/>
        </w:rPr>
        <w:t> </w:t>
      </w:r>
      <w:r>
        <w:rPr/>
        <w:t>a</w:t>
      </w:r>
      <w:r>
        <w:rPr>
          <w:spacing w:val="-2"/>
        </w:rPr>
        <w:t> </w:t>
      </w:r>
      <w:r>
        <w:rPr/>
        <w:t>form</w:t>
      </w:r>
      <w:r>
        <w:rPr>
          <w:spacing w:val="-1"/>
        </w:rPr>
        <w:t> </w:t>
      </w:r>
      <w:r>
        <w:rPr/>
        <w:t>of</w:t>
      </w:r>
      <w:r>
        <w:rPr>
          <w:spacing w:val="-2"/>
        </w:rPr>
        <w:t> </w:t>
      </w:r>
      <w:r>
        <w:rPr/>
        <w:t>right in both developed and less developed countries (Akpan and Atser, 2010). Hasssan and Nor</w:t>
      </w:r>
      <w:r>
        <w:rPr>
          <w:spacing w:val="66"/>
          <w:w w:val="150"/>
        </w:rPr>
        <w:t> </w:t>
      </w:r>
      <w:r>
        <w:rPr/>
        <w:t>(2017)</w:t>
      </w:r>
      <w:r>
        <w:rPr>
          <w:spacing w:val="69"/>
          <w:w w:val="150"/>
        </w:rPr>
        <w:t> </w:t>
      </w:r>
      <w:r>
        <w:rPr/>
        <w:t>noted</w:t>
      </w:r>
      <w:r>
        <w:rPr>
          <w:spacing w:val="70"/>
          <w:w w:val="150"/>
        </w:rPr>
        <w:t> </w:t>
      </w:r>
      <w:r>
        <w:rPr/>
        <w:t>that</w:t>
      </w:r>
      <w:r>
        <w:rPr>
          <w:spacing w:val="71"/>
          <w:w w:val="150"/>
        </w:rPr>
        <w:t> </w:t>
      </w:r>
      <w:r>
        <w:rPr/>
        <w:t>in</w:t>
      </w:r>
      <w:r>
        <w:rPr>
          <w:spacing w:val="71"/>
          <w:w w:val="150"/>
        </w:rPr>
        <w:t> </w:t>
      </w:r>
      <w:r>
        <w:rPr/>
        <w:t>militating</w:t>
      </w:r>
      <w:r>
        <w:rPr>
          <w:spacing w:val="67"/>
          <w:w w:val="150"/>
        </w:rPr>
        <w:t> </w:t>
      </w:r>
      <w:r>
        <w:rPr/>
        <w:t>against</w:t>
      </w:r>
      <w:r>
        <w:rPr>
          <w:spacing w:val="71"/>
          <w:w w:val="150"/>
        </w:rPr>
        <w:t> </w:t>
      </w:r>
      <w:r>
        <w:rPr/>
        <w:t>poverty,</w:t>
      </w:r>
      <w:r>
        <w:rPr>
          <w:spacing w:val="72"/>
          <w:w w:val="150"/>
        </w:rPr>
        <w:t> </w:t>
      </w:r>
      <w:r>
        <w:rPr/>
        <w:t>the</w:t>
      </w:r>
      <w:r>
        <w:rPr>
          <w:spacing w:val="72"/>
          <w:w w:val="150"/>
        </w:rPr>
        <w:t> </w:t>
      </w:r>
      <w:r>
        <w:rPr/>
        <w:t>accessibility</w:t>
      </w:r>
      <w:r>
        <w:rPr>
          <w:spacing w:val="65"/>
          <w:w w:val="150"/>
        </w:rPr>
        <w:t> </w:t>
      </w:r>
      <w:r>
        <w:rPr/>
        <w:t>to</w:t>
      </w:r>
      <w:r>
        <w:rPr>
          <w:spacing w:val="71"/>
          <w:w w:val="150"/>
        </w:rPr>
        <w:t> </w:t>
      </w:r>
      <w:r>
        <w:rPr>
          <w:spacing w:val="-2"/>
        </w:rPr>
        <w:t>social</w:t>
      </w:r>
    </w:p>
    <w:p>
      <w:pPr>
        <w:spacing w:after="0" w:line="480" w:lineRule="auto"/>
        <w:jc w:val="both"/>
        <w:sectPr>
          <w:pgSz w:w="11910" w:h="16840"/>
          <w:pgMar w:header="0" w:footer="1003" w:top="1320" w:bottom="1200" w:left="1200" w:right="1160"/>
        </w:sectPr>
      </w:pPr>
    </w:p>
    <w:p>
      <w:pPr>
        <w:pStyle w:val="BodyText"/>
        <w:spacing w:line="480" w:lineRule="auto" w:before="72"/>
        <w:ind w:left="785" w:right="256"/>
        <w:jc w:val="both"/>
      </w:pPr>
      <w:r>
        <w:rPr/>
        <w:t>infrastructure by the poor is paramount. This perspective hence emphasizes the vitality of social infrastructure as an essential element in the development process of communities. However, the demand for social infrastructure is high and factors that affect its adequacy include insufficient resource base and competing political agenda (Oyedele, 2012).</w:t>
      </w:r>
    </w:p>
    <w:p>
      <w:pPr>
        <w:pStyle w:val="BodyText"/>
        <w:spacing w:line="480" w:lineRule="auto" w:before="199"/>
        <w:ind w:left="785" w:right="255"/>
        <w:jc w:val="both"/>
      </w:pPr>
      <w:r>
        <w:rPr/>
        <w:t>Oyedele (2012) argued that infrastructure is the benchmark for measuring democratic performance</w:t>
      </w:r>
      <w:r>
        <w:rPr>
          <w:spacing w:val="-3"/>
        </w:rPr>
        <w:t> </w:t>
      </w:r>
      <w:r>
        <w:rPr/>
        <w:t>and</w:t>
      </w:r>
      <w:r>
        <w:rPr>
          <w:spacing w:val="-2"/>
        </w:rPr>
        <w:t> </w:t>
      </w:r>
      <w:r>
        <w:rPr/>
        <w:t>the</w:t>
      </w:r>
      <w:r>
        <w:rPr>
          <w:spacing w:val="-3"/>
        </w:rPr>
        <w:t> </w:t>
      </w:r>
      <w:r>
        <w:rPr/>
        <w:t>bedrock</w:t>
      </w:r>
      <w:r>
        <w:rPr>
          <w:spacing w:val="-2"/>
        </w:rPr>
        <w:t> </w:t>
      </w:r>
      <w:r>
        <w:rPr/>
        <w:t>of</w:t>
      </w:r>
      <w:r>
        <w:rPr>
          <w:spacing w:val="-3"/>
        </w:rPr>
        <w:t> </w:t>
      </w:r>
      <w:r>
        <w:rPr/>
        <w:t>good</w:t>
      </w:r>
      <w:r>
        <w:rPr>
          <w:spacing w:val="-2"/>
        </w:rPr>
        <w:t> </w:t>
      </w:r>
      <w:r>
        <w:rPr/>
        <w:t>governance.</w:t>
      </w:r>
      <w:r>
        <w:rPr>
          <w:spacing w:val="-2"/>
        </w:rPr>
        <w:t> </w:t>
      </w:r>
      <w:r>
        <w:rPr/>
        <w:t>Hence, government</w:t>
      </w:r>
      <w:r>
        <w:rPr>
          <w:spacing w:val="-2"/>
        </w:rPr>
        <w:t> </w:t>
      </w:r>
      <w:r>
        <w:rPr/>
        <w:t>is</w:t>
      </w:r>
      <w:r>
        <w:rPr>
          <w:spacing w:val="-2"/>
        </w:rPr>
        <w:t> </w:t>
      </w:r>
      <w:r>
        <w:rPr/>
        <w:t>responsible</w:t>
      </w:r>
      <w:r>
        <w:rPr>
          <w:spacing w:val="-3"/>
        </w:rPr>
        <w:t> </w:t>
      </w:r>
      <w:r>
        <w:rPr/>
        <w:t>for providing the basic infrastructure for her populace. Akpan and Atser (2010) attributed issues such as product diversification, poverty reduction, human welfare, population growth and expanding trade in developing economies to rely on social infrastructure. Both producers and consumers are also burdened with high cost of social and economic infrastructure (United Nations, 2015).</w:t>
      </w:r>
      <w:r>
        <w:rPr>
          <w:spacing w:val="80"/>
        </w:rPr>
        <w:t> </w:t>
      </w:r>
      <w:r>
        <w:rPr/>
        <w:t>This increase in cost arose from the very nature of infrastructure as a linkage in itself on one hand and as an element that connects or link other sectors, including housing to the resource sector. The concentration of social infrastructure and the spatial distribution pattern determines the level of growth and development of any region and also reveal government autonomy (Akpan and Atser, 2010; Frolova </w:t>
      </w:r>
      <w:r>
        <w:rPr>
          <w:i/>
        </w:rPr>
        <w:t>et al., </w:t>
      </w:r>
      <w:r>
        <w:rPr/>
        <w:t>2016).</w:t>
      </w:r>
    </w:p>
    <w:p>
      <w:pPr>
        <w:pStyle w:val="BodyText"/>
        <w:spacing w:line="480" w:lineRule="auto" w:before="201"/>
        <w:ind w:left="785" w:right="251"/>
        <w:jc w:val="both"/>
      </w:pPr>
      <w:r>
        <w:rPr/>
        <w:t>The Millennium Development Goals (MDGs) initially facilitated the global concern towards social infrastructure through the development of strategies. The MDGs Strategies addressed the special needs of the less developed countries including Nigeria (Akpan and Atser, 2010). When the MDGs programme ended the global concern of social infrastructure was embedded into the Sustainable Development Goals (SDGs) programme which succeeded the MDGs (United Nations, 2018). Salisu (2016) suggested that poor infrastructure in Nigeria hinders the possibility of achieving a sustainable</w:t>
      </w:r>
      <w:r>
        <w:rPr>
          <w:spacing w:val="41"/>
        </w:rPr>
        <w:t>  </w:t>
      </w:r>
      <w:r>
        <w:rPr/>
        <w:t>socio-economic</w:t>
      </w:r>
      <w:r>
        <w:rPr>
          <w:spacing w:val="43"/>
        </w:rPr>
        <w:t>  </w:t>
      </w:r>
      <w:r>
        <w:rPr/>
        <w:t>development</w:t>
      </w:r>
      <w:r>
        <w:rPr>
          <w:spacing w:val="44"/>
        </w:rPr>
        <w:t>  </w:t>
      </w:r>
      <w:r>
        <w:rPr/>
        <w:t>as</w:t>
      </w:r>
      <w:r>
        <w:rPr>
          <w:spacing w:val="45"/>
        </w:rPr>
        <w:t>  </w:t>
      </w:r>
      <w:r>
        <w:rPr/>
        <w:t>such</w:t>
      </w:r>
      <w:r>
        <w:rPr>
          <w:spacing w:val="44"/>
        </w:rPr>
        <w:t>  </w:t>
      </w:r>
      <w:r>
        <w:rPr/>
        <w:t>there</w:t>
      </w:r>
      <w:r>
        <w:rPr>
          <w:spacing w:val="43"/>
        </w:rPr>
        <w:t>  </w:t>
      </w:r>
      <w:r>
        <w:rPr/>
        <w:t>is</w:t>
      </w:r>
      <w:r>
        <w:rPr>
          <w:spacing w:val="44"/>
        </w:rPr>
        <w:t>  </w:t>
      </w:r>
      <w:r>
        <w:rPr/>
        <w:t>need</w:t>
      </w:r>
      <w:r>
        <w:rPr>
          <w:spacing w:val="43"/>
        </w:rPr>
        <w:t>  </w:t>
      </w:r>
      <w:r>
        <w:rPr/>
        <w:t>to</w:t>
      </w:r>
      <w:r>
        <w:rPr>
          <w:spacing w:val="45"/>
        </w:rPr>
        <w:t>  </w:t>
      </w:r>
      <w:r>
        <w:rPr>
          <w:spacing w:val="-2"/>
        </w:rPr>
        <w:t>prioritize</w:t>
      </w:r>
    </w:p>
    <w:p>
      <w:pPr>
        <w:spacing w:after="0" w:line="480" w:lineRule="auto"/>
        <w:jc w:val="both"/>
        <w:sectPr>
          <w:pgSz w:w="11910" w:h="16840"/>
          <w:pgMar w:header="0" w:footer="1003" w:top="1320" w:bottom="1200" w:left="1200" w:right="1160"/>
        </w:sectPr>
      </w:pPr>
    </w:p>
    <w:p>
      <w:pPr>
        <w:pStyle w:val="BodyText"/>
        <w:spacing w:line="480" w:lineRule="auto" w:before="72"/>
        <w:ind w:left="785" w:right="254"/>
        <w:jc w:val="both"/>
      </w:pPr>
      <w:r>
        <w:rPr/>
        <w:t>infrastructure in the national budget. Oyedele (2012) blamed the military era for widening the infrastructural gap and deficit in Nigeria. Infrastructural deficit in Africa however as indicated by United Nations (2015) is caused by neglecting social infrastructure due to too much focus on economic infrastructure thereby resulting to massive rate of exclusion. Bello </w:t>
      </w:r>
      <w:r>
        <w:rPr>
          <w:i/>
        </w:rPr>
        <w:t>et al. </w:t>
      </w:r>
      <w:r>
        <w:rPr/>
        <w:t>(2014) suggested that Zuru would experience overcrowding due to the centralized forces of attractions (infrastructure) except if</w:t>
      </w:r>
      <w:r>
        <w:rPr>
          <w:spacing w:val="40"/>
        </w:rPr>
        <w:t> </w:t>
      </w:r>
      <w:r>
        <w:rPr/>
        <w:t>remote areas are provided with such infrastructure. It therefore draws attention towards the relevance of social infrastructure as a pull factor and also the potential cause of overpopulation if adequate measures are not taken.</w:t>
      </w:r>
    </w:p>
    <w:p>
      <w:pPr>
        <w:pStyle w:val="BodyText"/>
        <w:spacing w:line="480" w:lineRule="auto" w:before="200"/>
        <w:ind w:left="785" w:right="252"/>
        <w:jc w:val="both"/>
      </w:pPr>
      <w:r>
        <w:rPr/>
        <w:t>Zuru is experiencing a gradual change in land use-land cover and population growth. Bello </w:t>
      </w:r>
      <w:r>
        <w:rPr>
          <w:i/>
        </w:rPr>
        <w:t>et al. </w:t>
      </w:r>
      <w:r>
        <w:rPr/>
        <w:t>(2014) estimated land use-land cover trend to be at 5% per annum between the years 1999 to 2008 in Zuru local government. This showed that, urban growth is much anticipated in Zuru local government and as such it is indeed a pertinent issue to adequately plan for it. This would ensure sustainability and efficiency. However, such decisions must be influenced by careful observation of some underlying factors. Mapping the spatial distribution pattern of social infrastructure is a tool for decision making in balancing spatial distribution and enhancing access to social infrastructure (Akpan and Atser, 2010).</w:t>
      </w:r>
      <w:r>
        <w:rPr>
          <w:spacing w:val="40"/>
        </w:rPr>
        <w:t> </w:t>
      </w:r>
      <w:r>
        <w:rPr/>
        <w:t>With the advent of Geographical Information System (GIS) geospatial analysis has become a lot easier and precise and several studies on spatial distribution had tested the reliability of GIS software (Liu </w:t>
      </w:r>
      <w:r>
        <w:rPr>
          <w:i/>
        </w:rPr>
        <w:t>et al., </w:t>
      </w:r>
      <w:r>
        <w:rPr/>
        <w:t>2008; Dejene </w:t>
      </w:r>
      <w:r>
        <w:rPr>
          <w:i/>
        </w:rPr>
        <w:t>et al., </w:t>
      </w:r>
      <w:r>
        <w:rPr/>
        <w:t>2018; Dejen </w:t>
      </w:r>
      <w:r>
        <w:rPr>
          <w:i/>
        </w:rPr>
        <w:t>et al., </w:t>
      </w:r>
      <w:r>
        <w:rPr/>
        <w:t>2019). Hence, this study presents an analysis of spatial distribution</w:t>
      </w:r>
      <w:r>
        <w:rPr>
          <w:spacing w:val="40"/>
        </w:rPr>
        <w:t> </w:t>
      </w:r>
      <w:r>
        <w:rPr/>
        <w:t>of</w:t>
      </w:r>
      <w:r>
        <w:rPr>
          <w:spacing w:val="14"/>
        </w:rPr>
        <w:t> </w:t>
      </w:r>
      <w:r>
        <w:rPr/>
        <w:t>social</w:t>
      </w:r>
      <w:r>
        <w:rPr>
          <w:spacing w:val="15"/>
        </w:rPr>
        <w:t> </w:t>
      </w:r>
      <w:r>
        <w:rPr/>
        <w:t>infrastructure</w:t>
      </w:r>
      <w:r>
        <w:rPr>
          <w:spacing w:val="15"/>
        </w:rPr>
        <w:t> </w:t>
      </w:r>
      <w:r>
        <w:rPr/>
        <w:t>and</w:t>
      </w:r>
      <w:r>
        <w:rPr>
          <w:spacing w:val="18"/>
        </w:rPr>
        <w:t> </w:t>
      </w:r>
      <w:r>
        <w:rPr/>
        <w:t>their</w:t>
      </w:r>
      <w:r>
        <w:rPr>
          <w:spacing w:val="15"/>
        </w:rPr>
        <w:t> </w:t>
      </w:r>
      <w:r>
        <w:rPr/>
        <w:t>accessibility</w:t>
      </w:r>
      <w:r>
        <w:rPr>
          <w:spacing w:val="11"/>
        </w:rPr>
        <w:t> </w:t>
      </w:r>
      <w:r>
        <w:rPr/>
        <w:t>in</w:t>
      </w:r>
      <w:r>
        <w:rPr>
          <w:spacing w:val="18"/>
        </w:rPr>
        <w:t> </w:t>
      </w:r>
      <w:r>
        <w:rPr/>
        <w:t>Zuru</w:t>
      </w:r>
      <w:r>
        <w:rPr>
          <w:spacing w:val="17"/>
        </w:rPr>
        <w:t> </w:t>
      </w:r>
      <w:r>
        <w:rPr/>
        <w:t>local</w:t>
      </w:r>
      <w:r>
        <w:rPr>
          <w:spacing w:val="19"/>
        </w:rPr>
        <w:t> </w:t>
      </w:r>
      <w:r>
        <w:rPr/>
        <w:t>government</w:t>
      </w:r>
      <w:r>
        <w:rPr>
          <w:spacing w:val="16"/>
        </w:rPr>
        <w:t> </w:t>
      </w:r>
      <w:r>
        <w:rPr/>
        <w:t>of</w:t>
      </w:r>
      <w:r>
        <w:rPr>
          <w:spacing w:val="14"/>
        </w:rPr>
        <w:t> </w:t>
      </w:r>
      <w:r>
        <w:rPr/>
        <w:t>Kebbi</w:t>
      </w:r>
      <w:r>
        <w:rPr>
          <w:spacing w:val="17"/>
        </w:rPr>
        <w:t> </w:t>
      </w:r>
      <w:r>
        <w:rPr>
          <w:spacing w:val="-2"/>
        </w:rPr>
        <w:t>state.</w:t>
      </w:r>
    </w:p>
    <w:p>
      <w:pPr>
        <w:spacing w:after="0" w:line="480" w:lineRule="auto"/>
        <w:jc w:val="both"/>
        <w:sectPr>
          <w:pgSz w:w="11910" w:h="16840"/>
          <w:pgMar w:header="0" w:footer="1003" w:top="1320" w:bottom="1200" w:left="1200" w:right="1160"/>
        </w:sectPr>
      </w:pPr>
    </w:p>
    <w:p>
      <w:pPr>
        <w:pStyle w:val="Heading1"/>
        <w:numPr>
          <w:ilvl w:val="1"/>
          <w:numId w:val="1"/>
        </w:numPr>
        <w:tabs>
          <w:tab w:pos="1504" w:val="left" w:leader="none"/>
        </w:tabs>
        <w:spacing w:line="240" w:lineRule="auto" w:before="76" w:after="0"/>
        <w:ind w:left="1504" w:right="0" w:hanging="719"/>
        <w:jc w:val="both"/>
      </w:pPr>
      <w:r>
        <w:rPr/>
        <w:t>Statement</w:t>
      </w:r>
      <w:r>
        <w:rPr>
          <w:spacing w:val="-2"/>
        </w:rPr>
        <w:t> </w:t>
      </w:r>
      <w:r>
        <w:rPr/>
        <w:t>of the</w:t>
      </w:r>
      <w:r>
        <w:rPr>
          <w:spacing w:val="-3"/>
        </w:rPr>
        <w:t> </w:t>
      </w:r>
      <w:r>
        <w:rPr/>
        <w:t>Research </w:t>
      </w:r>
      <w:r>
        <w:rPr>
          <w:spacing w:val="-2"/>
        </w:rPr>
        <w:t>Problem</w:t>
      </w:r>
    </w:p>
    <w:p>
      <w:pPr>
        <w:pStyle w:val="BodyText"/>
        <w:spacing w:before="7"/>
        <w:rPr>
          <w:b/>
          <w:sz w:val="23"/>
        </w:rPr>
      </w:pPr>
    </w:p>
    <w:p>
      <w:pPr>
        <w:pStyle w:val="BodyText"/>
        <w:spacing w:line="480" w:lineRule="auto" w:before="1"/>
        <w:ind w:left="785" w:right="253"/>
        <w:jc w:val="both"/>
      </w:pPr>
      <w:r>
        <w:rPr/>
        <w:t>Adequate accessibility to social infrastructure is a critical element of a good neighbourhood. Housing as defined by the 2012 National Housing Policy places social infrastructure as one basic component in the composite that makes the proper setting of the neighbourhood. Adequate housing as proclaimed in the policy (Chapter 1, sub section 3.1) is a form of right that is anchored on the ability of individuals to access health,</w:t>
      </w:r>
      <w:r>
        <w:rPr>
          <w:spacing w:val="-1"/>
        </w:rPr>
        <w:t> </w:t>
      </w:r>
      <w:r>
        <w:rPr/>
        <w:t>education and</w:t>
      </w:r>
      <w:r>
        <w:rPr>
          <w:spacing w:val="-1"/>
        </w:rPr>
        <w:t> </w:t>
      </w:r>
      <w:r>
        <w:rPr/>
        <w:t>social</w:t>
      </w:r>
      <w:r>
        <w:rPr>
          <w:spacing w:val="-1"/>
        </w:rPr>
        <w:t> </w:t>
      </w:r>
      <w:r>
        <w:rPr/>
        <w:t>service</w:t>
      </w:r>
      <w:r>
        <w:rPr>
          <w:spacing w:val="-2"/>
        </w:rPr>
        <w:t> </w:t>
      </w:r>
      <w:r>
        <w:rPr/>
        <w:t>facilities</w:t>
      </w:r>
      <w:r>
        <w:rPr>
          <w:spacing w:val="-2"/>
        </w:rPr>
        <w:t> </w:t>
      </w:r>
      <w:r>
        <w:rPr/>
        <w:t>amongst</w:t>
      </w:r>
      <w:r>
        <w:rPr>
          <w:spacing w:val="-1"/>
        </w:rPr>
        <w:t> </w:t>
      </w:r>
      <w:r>
        <w:rPr/>
        <w:t>other</w:t>
      </w:r>
      <w:r>
        <w:rPr>
          <w:spacing w:val="-3"/>
        </w:rPr>
        <w:t> </w:t>
      </w:r>
      <w:r>
        <w:rPr/>
        <w:t>household</w:t>
      </w:r>
      <w:r>
        <w:rPr>
          <w:spacing w:val="-1"/>
        </w:rPr>
        <w:t> </w:t>
      </w:r>
      <w:r>
        <w:rPr/>
        <w:t>needs</w:t>
      </w:r>
      <w:r>
        <w:rPr>
          <w:spacing w:val="-1"/>
        </w:rPr>
        <w:t> </w:t>
      </w:r>
      <w:r>
        <w:rPr/>
        <w:t>to</w:t>
      </w:r>
      <w:r>
        <w:rPr>
          <w:spacing w:val="-1"/>
        </w:rPr>
        <w:t> </w:t>
      </w:r>
      <w:r>
        <w:rPr/>
        <w:t>improve quality of life (Federal Republic of Nigeria, 2012).</w:t>
      </w:r>
      <w:r>
        <w:rPr>
          <w:spacing w:val="40"/>
        </w:rPr>
        <w:t> </w:t>
      </w:r>
      <w:r>
        <w:rPr/>
        <w:t>Abraha (2019) lamented that third world countries are not only victims of overpopulation, unemployment and inadequate housing but they also lack social services. Davern </w:t>
      </w:r>
      <w:r>
        <w:rPr>
          <w:i/>
        </w:rPr>
        <w:t>et al. </w:t>
      </w:r>
      <w:r>
        <w:rPr/>
        <w:t>(2017) have established that there is a relationship between healthy communities and the availability of social infrastructure and more importantly</w:t>
      </w:r>
      <w:r>
        <w:rPr>
          <w:spacing w:val="-4"/>
        </w:rPr>
        <w:t> </w:t>
      </w:r>
      <w:r>
        <w:rPr/>
        <w:t>the spatial accessibility to the infrastructure. Brown and Barber (2012) also noted the relevance of equity in the spatial distribution of social infrastructure for efficient delivery and optimal utility of its social benefits in </w:t>
      </w:r>
      <w:r>
        <w:rPr>
          <w:spacing w:val="-2"/>
        </w:rPr>
        <w:t>neighbourhoods.</w:t>
      </w:r>
    </w:p>
    <w:p>
      <w:pPr>
        <w:pStyle w:val="BodyText"/>
        <w:spacing w:line="480" w:lineRule="auto" w:before="200"/>
        <w:ind w:left="785" w:right="251"/>
        <w:jc w:val="both"/>
      </w:pPr>
      <w:r>
        <w:rPr/>
        <w:t>In</w:t>
      </w:r>
      <w:r>
        <w:rPr>
          <w:spacing w:val="-1"/>
        </w:rPr>
        <w:t> </w:t>
      </w:r>
      <w:r>
        <w:rPr/>
        <w:t>Nigeria</w:t>
      </w:r>
      <w:r>
        <w:rPr>
          <w:spacing w:val="-2"/>
        </w:rPr>
        <w:t> </w:t>
      </w:r>
      <w:r>
        <w:rPr/>
        <w:t>few</w:t>
      </w:r>
      <w:r>
        <w:rPr>
          <w:spacing w:val="-1"/>
        </w:rPr>
        <w:t> </w:t>
      </w:r>
      <w:r>
        <w:rPr/>
        <w:t>studies</w:t>
      </w:r>
      <w:r>
        <w:rPr>
          <w:spacing w:val="-1"/>
        </w:rPr>
        <w:t> </w:t>
      </w:r>
      <w:r>
        <w:rPr/>
        <w:t>on</w:t>
      </w:r>
      <w:r>
        <w:rPr>
          <w:spacing w:val="-1"/>
        </w:rPr>
        <w:t> </w:t>
      </w:r>
      <w:r>
        <w:rPr/>
        <w:t>spatial</w:t>
      </w:r>
      <w:r>
        <w:rPr>
          <w:spacing w:val="-1"/>
        </w:rPr>
        <w:t> </w:t>
      </w:r>
      <w:r>
        <w:rPr/>
        <w:t>analysis</w:t>
      </w:r>
      <w:r>
        <w:rPr>
          <w:spacing w:val="-1"/>
        </w:rPr>
        <w:t> </w:t>
      </w:r>
      <w:r>
        <w:rPr/>
        <w:t>and</w:t>
      </w:r>
      <w:r>
        <w:rPr>
          <w:spacing w:val="-1"/>
        </w:rPr>
        <w:t> </w:t>
      </w:r>
      <w:r>
        <w:rPr/>
        <w:t>distribution</w:t>
      </w:r>
      <w:r>
        <w:rPr>
          <w:spacing w:val="-1"/>
        </w:rPr>
        <w:t> </w:t>
      </w:r>
      <w:r>
        <w:rPr/>
        <w:t>pattern</w:t>
      </w:r>
      <w:r>
        <w:rPr>
          <w:spacing w:val="-2"/>
        </w:rPr>
        <w:t> </w:t>
      </w:r>
      <w:r>
        <w:rPr/>
        <w:t>of</w:t>
      </w:r>
      <w:r>
        <w:rPr>
          <w:spacing w:val="-2"/>
        </w:rPr>
        <w:t> </w:t>
      </w:r>
      <w:r>
        <w:rPr/>
        <w:t>social infrastructure used several methodologies to analyse the phenomenon. The major focus was on spatial distribution rather than spatial accessibility. Akpan and Atser (2010) determined accessibility using social index to take inventory of the social infrastructure stock in Akwa Ibom State. Osumgborogwu (2016) used income to justify accessibility and Ogunyemi </w:t>
      </w:r>
      <w:r>
        <w:rPr>
          <w:i/>
        </w:rPr>
        <w:t>et al</w:t>
      </w:r>
      <w:r>
        <w:rPr/>
        <w:t>. (2014) stated that accessibility to social infrastructure is influenced by socio economic status of residents and local politics. However, Spatial accessibility relies on measurable travel distance to the infrastructure while spatial distribution had been</w:t>
      </w:r>
      <w:r>
        <w:rPr>
          <w:spacing w:val="48"/>
          <w:w w:val="150"/>
        </w:rPr>
        <w:t> </w:t>
      </w:r>
      <w:r>
        <w:rPr/>
        <w:t>standardized</w:t>
      </w:r>
      <w:r>
        <w:rPr>
          <w:spacing w:val="50"/>
          <w:w w:val="150"/>
        </w:rPr>
        <w:t> </w:t>
      </w:r>
      <w:r>
        <w:rPr/>
        <w:t>into</w:t>
      </w:r>
      <w:r>
        <w:rPr>
          <w:spacing w:val="52"/>
          <w:w w:val="150"/>
        </w:rPr>
        <w:t> </w:t>
      </w:r>
      <w:r>
        <w:rPr/>
        <w:t>various</w:t>
      </w:r>
      <w:r>
        <w:rPr>
          <w:spacing w:val="50"/>
          <w:w w:val="150"/>
        </w:rPr>
        <w:t> </w:t>
      </w:r>
      <w:r>
        <w:rPr/>
        <w:t>patterns</w:t>
      </w:r>
      <w:r>
        <w:rPr>
          <w:spacing w:val="79"/>
        </w:rPr>
        <w:t> </w:t>
      </w:r>
      <w:r>
        <w:rPr/>
        <w:t>or</w:t>
      </w:r>
      <w:r>
        <w:rPr>
          <w:spacing w:val="51"/>
          <w:w w:val="150"/>
        </w:rPr>
        <w:t> </w:t>
      </w:r>
      <w:r>
        <w:rPr/>
        <w:t>form</w:t>
      </w:r>
      <w:r>
        <w:rPr>
          <w:spacing w:val="55"/>
          <w:w w:val="150"/>
        </w:rPr>
        <w:t> </w:t>
      </w:r>
      <w:r>
        <w:rPr/>
        <w:t>(random,</w:t>
      </w:r>
      <w:r>
        <w:rPr>
          <w:spacing w:val="54"/>
          <w:w w:val="150"/>
        </w:rPr>
        <w:t> </w:t>
      </w:r>
      <w:r>
        <w:rPr/>
        <w:t>dispersed</w:t>
      </w:r>
      <w:r>
        <w:rPr>
          <w:spacing w:val="53"/>
          <w:w w:val="150"/>
        </w:rPr>
        <w:t> </w:t>
      </w:r>
      <w:r>
        <w:rPr/>
        <w:t>and</w:t>
      </w:r>
      <w:r>
        <w:rPr>
          <w:spacing w:val="53"/>
          <w:w w:val="150"/>
        </w:rPr>
        <w:t> </w:t>
      </w:r>
      <w:r>
        <w:rPr>
          <w:spacing w:val="-2"/>
        </w:rPr>
        <w:t>cluster).</w:t>
      </w:r>
    </w:p>
    <w:p>
      <w:pPr>
        <w:spacing w:after="0" w:line="480" w:lineRule="auto"/>
        <w:jc w:val="both"/>
        <w:sectPr>
          <w:pgSz w:w="11910" w:h="16840"/>
          <w:pgMar w:header="0" w:footer="1003" w:top="1320" w:bottom="1200" w:left="1200" w:right="1160"/>
        </w:sectPr>
      </w:pPr>
    </w:p>
    <w:p>
      <w:pPr>
        <w:pStyle w:val="BodyText"/>
        <w:spacing w:line="482" w:lineRule="auto" w:before="72"/>
        <w:ind w:left="785" w:right="257"/>
        <w:jc w:val="both"/>
      </w:pPr>
      <w:r>
        <w:rPr/>
        <w:t>Therefore, there is still need to explain spatial distribution and accessibility of social infrastructure in Nigeria especially Kebbi state.</w:t>
      </w:r>
    </w:p>
    <w:p>
      <w:pPr>
        <w:pStyle w:val="BodyText"/>
        <w:spacing w:line="480" w:lineRule="auto" w:before="194"/>
        <w:ind w:left="785" w:right="254"/>
        <w:jc w:val="both"/>
      </w:pPr>
      <w:r>
        <w:rPr/>
        <w:t>Spatial analysis has been a tool for spatial planning and management (Akpan and Atser, 2010;</w:t>
      </w:r>
      <w:r>
        <w:rPr>
          <w:spacing w:val="-1"/>
        </w:rPr>
        <w:t> </w:t>
      </w:r>
      <w:r>
        <w:rPr/>
        <w:t>Frolova</w:t>
      </w:r>
      <w:r>
        <w:rPr>
          <w:spacing w:val="-2"/>
        </w:rPr>
        <w:t> </w:t>
      </w:r>
      <w:r>
        <w:rPr>
          <w:i/>
        </w:rPr>
        <w:t>et</w:t>
      </w:r>
      <w:r>
        <w:rPr>
          <w:i/>
          <w:spacing w:val="-1"/>
        </w:rPr>
        <w:t> </w:t>
      </w:r>
      <w:r>
        <w:rPr>
          <w:i/>
        </w:rPr>
        <w:t>al</w:t>
      </w:r>
      <w:r>
        <w:rPr/>
        <w:t>,</w:t>
      </w:r>
      <w:r>
        <w:rPr>
          <w:spacing w:val="-1"/>
        </w:rPr>
        <w:t> </w:t>
      </w:r>
      <w:r>
        <w:rPr/>
        <w:t>2016; Davern</w:t>
      </w:r>
      <w:r>
        <w:rPr>
          <w:spacing w:val="-2"/>
        </w:rPr>
        <w:t> </w:t>
      </w:r>
      <w:r>
        <w:rPr>
          <w:i/>
        </w:rPr>
        <w:t>et</w:t>
      </w:r>
      <w:r>
        <w:rPr>
          <w:i/>
          <w:spacing w:val="-1"/>
        </w:rPr>
        <w:t> </w:t>
      </w:r>
      <w:r>
        <w:rPr>
          <w:i/>
        </w:rPr>
        <w:t>al., </w:t>
      </w:r>
      <w:r>
        <w:rPr/>
        <w:t>2017).</w:t>
      </w:r>
      <w:r>
        <w:rPr>
          <w:spacing w:val="-1"/>
        </w:rPr>
        <w:t> </w:t>
      </w:r>
      <w:r>
        <w:rPr/>
        <w:t>Since,</w:t>
      </w:r>
      <w:r>
        <w:rPr>
          <w:spacing w:val="-1"/>
        </w:rPr>
        <w:t> </w:t>
      </w:r>
      <w:r>
        <w:rPr/>
        <w:t>location</w:t>
      </w:r>
      <w:r>
        <w:rPr>
          <w:spacing w:val="-1"/>
        </w:rPr>
        <w:t> </w:t>
      </w:r>
      <w:r>
        <w:rPr/>
        <w:t>of</w:t>
      </w:r>
      <w:r>
        <w:rPr>
          <w:spacing w:val="-2"/>
        </w:rPr>
        <w:t> </w:t>
      </w:r>
      <w:r>
        <w:rPr/>
        <w:t>social</w:t>
      </w:r>
      <w:r>
        <w:rPr>
          <w:spacing w:val="-1"/>
        </w:rPr>
        <w:t> </w:t>
      </w:r>
      <w:r>
        <w:rPr/>
        <w:t>infrastructure</w:t>
      </w:r>
      <w:r>
        <w:rPr>
          <w:spacing w:val="-2"/>
        </w:rPr>
        <w:t> </w:t>
      </w:r>
      <w:r>
        <w:rPr/>
        <w:t>is fixed and as such users need to travel to that location to fulfil their need, the spatial distribution and also accessibility</w:t>
      </w:r>
      <w:r>
        <w:rPr>
          <w:spacing w:val="-5"/>
        </w:rPr>
        <w:t> </w:t>
      </w:r>
      <w:r>
        <w:rPr/>
        <w:t>of these facilities can be examined. In this regard, this study will examine the spatial distribution pattern, spatial inequality and accessibility to social infrastructure.</w:t>
      </w:r>
    </w:p>
    <w:p>
      <w:pPr>
        <w:pStyle w:val="Heading1"/>
        <w:numPr>
          <w:ilvl w:val="1"/>
          <w:numId w:val="1"/>
        </w:numPr>
        <w:tabs>
          <w:tab w:pos="1504" w:val="left" w:leader="none"/>
        </w:tabs>
        <w:spacing w:line="240" w:lineRule="auto" w:before="205" w:after="0"/>
        <w:ind w:left="1504" w:right="0" w:hanging="719"/>
        <w:jc w:val="both"/>
      </w:pPr>
      <w:r>
        <w:rPr/>
        <w:t>Research</w:t>
      </w:r>
      <w:r>
        <w:rPr>
          <w:spacing w:val="-5"/>
        </w:rPr>
        <w:t> </w:t>
      </w:r>
      <w:r>
        <w:rPr>
          <w:spacing w:val="-2"/>
        </w:rPr>
        <w:t>Questions</w:t>
      </w:r>
    </w:p>
    <w:p>
      <w:pPr>
        <w:pStyle w:val="BodyText"/>
        <w:spacing w:before="6"/>
        <w:rPr>
          <w:b/>
          <w:sz w:val="23"/>
        </w:rPr>
      </w:pPr>
    </w:p>
    <w:p>
      <w:pPr>
        <w:pStyle w:val="BodyText"/>
        <w:ind w:left="785"/>
        <w:jc w:val="both"/>
      </w:pPr>
      <w:r>
        <w:rPr/>
        <w:t>In</w:t>
      </w:r>
      <w:r>
        <w:rPr>
          <w:spacing w:val="-1"/>
        </w:rPr>
        <w:t> </w:t>
      </w:r>
      <w:r>
        <w:rPr/>
        <w:t>the</w:t>
      </w:r>
      <w:r>
        <w:rPr>
          <w:spacing w:val="-1"/>
        </w:rPr>
        <w:t> </w:t>
      </w:r>
      <w:r>
        <w:rPr/>
        <w:t>course</w:t>
      </w:r>
      <w:r>
        <w:rPr>
          <w:spacing w:val="-1"/>
        </w:rPr>
        <w:t> </w:t>
      </w:r>
      <w:r>
        <w:rPr/>
        <w:t>of</w:t>
      </w:r>
      <w:r>
        <w:rPr>
          <w:spacing w:val="-1"/>
        </w:rPr>
        <w:t> </w:t>
      </w:r>
      <w:r>
        <w:rPr/>
        <w:t>this research</w:t>
      </w:r>
      <w:r>
        <w:rPr>
          <w:spacing w:val="-1"/>
        </w:rPr>
        <w:t> </w:t>
      </w:r>
      <w:r>
        <w:rPr/>
        <w:t>some</w:t>
      </w:r>
      <w:r>
        <w:rPr>
          <w:spacing w:val="-1"/>
        </w:rPr>
        <w:t> </w:t>
      </w:r>
      <w:r>
        <w:rPr/>
        <w:t>relevant</w:t>
      </w:r>
      <w:r>
        <w:rPr>
          <w:spacing w:val="-1"/>
        </w:rPr>
        <w:t> </w:t>
      </w:r>
      <w:r>
        <w:rPr/>
        <w:t>questions are</w:t>
      </w:r>
      <w:r>
        <w:rPr>
          <w:spacing w:val="-2"/>
        </w:rPr>
        <w:t> </w:t>
      </w:r>
      <w:r>
        <w:rPr/>
        <w:t>thus</w:t>
      </w:r>
      <w:r>
        <w:rPr>
          <w:spacing w:val="-1"/>
        </w:rPr>
        <w:t> </w:t>
      </w:r>
      <w:r>
        <w:rPr>
          <w:spacing w:val="-2"/>
        </w:rPr>
        <w:t>presented;</w:t>
      </w:r>
    </w:p>
    <w:p>
      <w:pPr>
        <w:pStyle w:val="BodyText"/>
      </w:pPr>
    </w:p>
    <w:p>
      <w:pPr>
        <w:pStyle w:val="ListParagraph"/>
        <w:numPr>
          <w:ilvl w:val="0"/>
          <w:numId w:val="2"/>
        </w:numPr>
        <w:tabs>
          <w:tab w:pos="1505" w:val="left" w:leader="none"/>
        </w:tabs>
        <w:spacing w:line="240" w:lineRule="auto" w:before="0" w:after="0"/>
        <w:ind w:left="1505" w:right="0" w:hanging="466"/>
        <w:jc w:val="left"/>
        <w:rPr>
          <w:rFonts w:ascii="Calibri"/>
          <w:sz w:val="22"/>
        </w:rPr>
      </w:pPr>
      <w:r>
        <w:rPr>
          <w:sz w:val="24"/>
        </w:rPr>
        <w:t>Is</w:t>
      </w:r>
      <w:r>
        <w:rPr>
          <w:spacing w:val="-3"/>
          <w:sz w:val="24"/>
        </w:rPr>
        <w:t> </w:t>
      </w:r>
      <w:r>
        <w:rPr>
          <w:sz w:val="24"/>
        </w:rPr>
        <w:t>the</w:t>
      </w:r>
      <w:r>
        <w:rPr>
          <w:spacing w:val="-1"/>
          <w:sz w:val="24"/>
        </w:rPr>
        <w:t> </w:t>
      </w:r>
      <w:r>
        <w:rPr>
          <w:sz w:val="24"/>
        </w:rPr>
        <w:t>social infrastructure</w:t>
      </w:r>
      <w:r>
        <w:rPr>
          <w:spacing w:val="-2"/>
          <w:sz w:val="24"/>
        </w:rPr>
        <w:t> </w:t>
      </w:r>
      <w:r>
        <w:rPr>
          <w:sz w:val="24"/>
        </w:rPr>
        <w:t>evenly</w:t>
      </w:r>
      <w:r>
        <w:rPr>
          <w:spacing w:val="-5"/>
          <w:sz w:val="24"/>
        </w:rPr>
        <w:t> </w:t>
      </w:r>
      <w:r>
        <w:rPr>
          <w:sz w:val="24"/>
        </w:rPr>
        <w:t>distributed within Zuru</w:t>
      </w:r>
      <w:r>
        <w:rPr>
          <w:spacing w:val="-1"/>
          <w:sz w:val="24"/>
        </w:rPr>
        <w:t> </w:t>
      </w:r>
      <w:r>
        <w:rPr>
          <w:sz w:val="24"/>
        </w:rPr>
        <w:t>local</w:t>
      </w:r>
      <w:r>
        <w:rPr>
          <w:spacing w:val="2"/>
          <w:sz w:val="24"/>
        </w:rPr>
        <w:t> </w:t>
      </w:r>
      <w:r>
        <w:rPr>
          <w:spacing w:val="-2"/>
          <w:sz w:val="24"/>
        </w:rPr>
        <w:t>government?</w:t>
      </w:r>
    </w:p>
    <w:p>
      <w:pPr>
        <w:pStyle w:val="BodyText"/>
        <w:spacing w:before="5"/>
        <w:rPr>
          <w:sz w:val="23"/>
        </w:rPr>
      </w:pPr>
    </w:p>
    <w:p>
      <w:pPr>
        <w:pStyle w:val="ListParagraph"/>
        <w:numPr>
          <w:ilvl w:val="0"/>
          <w:numId w:val="2"/>
        </w:numPr>
        <w:tabs>
          <w:tab w:pos="1505" w:val="left" w:leader="none"/>
        </w:tabs>
        <w:spacing w:line="480" w:lineRule="auto" w:before="0" w:after="0"/>
        <w:ind w:left="1505" w:right="1234" w:hanging="555"/>
        <w:jc w:val="left"/>
        <w:rPr>
          <w:sz w:val="24"/>
        </w:rPr>
      </w:pPr>
      <w:r>
        <w:rPr>
          <w:sz w:val="24"/>
        </w:rPr>
        <w:t>Which</w:t>
      </w:r>
      <w:r>
        <w:rPr>
          <w:spacing w:val="-3"/>
          <w:sz w:val="24"/>
        </w:rPr>
        <w:t> </w:t>
      </w:r>
      <w:r>
        <w:rPr>
          <w:sz w:val="24"/>
        </w:rPr>
        <w:t>households</w:t>
      </w:r>
      <w:r>
        <w:rPr>
          <w:spacing w:val="-3"/>
          <w:sz w:val="24"/>
        </w:rPr>
        <w:t> </w:t>
      </w:r>
      <w:r>
        <w:rPr>
          <w:sz w:val="24"/>
        </w:rPr>
        <w:t>are</w:t>
      </w:r>
      <w:r>
        <w:rPr>
          <w:spacing w:val="-5"/>
          <w:sz w:val="24"/>
        </w:rPr>
        <w:t> </w:t>
      </w:r>
      <w:r>
        <w:rPr>
          <w:sz w:val="24"/>
        </w:rPr>
        <w:t>within</w:t>
      </w:r>
      <w:r>
        <w:rPr>
          <w:spacing w:val="-3"/>
          <w:sz w:val="24"/>
        </w:rPr>
        <w:t> </w:t>
      </w:r>
      <w:r>
        <w:rPr>
          <w:sz w:val="24"/>
        </w:rPr>
        <w:t>and</w:t>
      </w:r>
      <w:r>
        <w:rPr>
          <w:spacing w:val="-3"/>
          <w:sz w:val="24"/>
        </w:rPr>
        <w:t> </w:t>
      </w:r>
      <w:r>
        <w:rPr>
          <w:sz w:val="24"/>
        </w:rPr>
        <w:t>outside</w:t>
      </w:r>
      <w:r>
        <w:rPr>
          <w:spacing w:val="-3"/>
          <w:sz w:val="24"/>
        </w:rPr>
        <w:t> </w:t>
      </w:r>
      <w:r>
        <w:rPr>
          <w:sz w:val="24"/>
        </w:rPr>
        <w:t>the</w:t>
      </w:r>
      <w:r>
        <w:rPr>
          <w:spacing w:val="-4"/>
          <w:sz w:val="24"/>
        </w:rPr>
        <w:t> </w:t>
      </w:r>
      <w:r>
        <w:rPr>
          <w:sz w:val="24"/>
        </w:rPr>
        <w:t>service</w:t>
      </w:r>
      <w:r>
        <w:rPr>
          <w:spacing w:val="-4"/>
          <w:sz w:val="24"/>
        </w:rPr>
        <w:t> </w:t>
      </w:r>
      <w:r>
        <w:rPr>
          <w:sz w:val="24"/>
        </w:rPr>
        <w:t>area</w:t>
      </w:r>
      <w:r>
        <w:rPr>
          <w:spacing w:val="-4"/>
          <w:sz w:val="24"/>
        </w:rPr>
        <w:t> </w:t>
      </w:r>
      <w:r>
        <w:rPr>
          <w:sz w:val="24"/>
        </w:rPr>
        <w:t>of</w:t>
      </w:r>
      <w:r>
        <w:rPr>
          <w:spacing w:val="-1"/>
          <w:sz w:val="24"/>
        </w:rPr>
        <w:t> </w:t>
      </w:r>
      <w:r>
        <w:rPr>
          <w:sz w:val="24"/>
        </w:rPr>
        <w:t>this</w:t>
      </w:r>
      <w:r>
        <w:rPr>
          <w:spacing w:val="-3"/>
          <w:sz w:val="24"/>
        </w:rPr>
        <w:t> </w:t>
      </w:r>
      <w:r>
        <w:rPr>
          <w:sz w:val="24"/>
        </w:rPr>
        <w:t>social </w:t>
      </w:r>
      <w:r>
        <w:rPr>
          <w:spacing w:val="-2"/>
          <w:sz w:val="24"/>
        </w:rPr>
        <w:t>infrastructure?</w:t>
      </w:r>
    </w:p>
    <w:p>
      <w:pPr>
        <w:pStyle w:val="ListParagraph"/>
        <w:numPr>
          <w:ilvl w:val="0"/>
          <w:numId w:val="2"/>
        </w:numPr>
        <w:tabs>
          <w:tab w:pos="1505" w:val="left" w:leader="none"/>
        </w:tabs>
        <w:spacing w:line="240" w:lineRule="auto" w:before="3" w:after="0"/>
        <w:ind w:left="1505" w:right="0" w:hanging="567"/>
        <w:jc w:val="left"/>
        <w:rPr>
          <w:rFonts w:ascii="Calibri"/>
          <w:sz w:val="22"/>
        </w:rPr>
      </w:pPr>
      <w:r>
        <w:rPr>
          <w:sz w:val="24"/>
        </w:rPr>
        <w:t>What</w:t>
      </w:r>
      <w:r>
        <w:rPr>
          <w:spacing w:val="-3"/>
          <w:sz w:val="24"/>
        </w:rPr>
        <w:t> </w:t>
      </w:r>
      <w:r>
        <w:rPr>
          <w:sz w:val="24"/>
        </w:rPr>
        <w:t>is</w:t>
      </w:r>
      <w:r>
        <w:rPr>
          <w:spacing w:val="-1"/>
          <w:sz w:val="24"/>
        </w:rPr>
        <w:t> </w:t>
      </w:r>
      <w:r>
        <w:rPr>
          <w:sz w:val="24"/>
        </w:rPr>
        <w:t>the</w:t>
      </w:r>
      <w:r>
        <w:rPr>
          <w:spacing w:val="-1"/>
          <w:sz w:val="24"/>
        </w:rPr>
        <w:t> </w:t>
      </w:r>
      <w:r>
        <w:rPr>
          <w:sz w:val="24"/>
        </w:rPr>
        <w:t>level</w:t>
      </w:r>
      <w:r>
        <w:rPr>
          <w:spacing w:val="-1"/>
          <w:sz w:val="24"/>
        </w:rPr>
        <w:t> </w:t>
      </w:r>
      <w:r>
        <w:rPr>
          <w:sz w:val="24"/>
        </w:rPr>
        <w:t>of spatial</w:t>
      </w:r>
      <w:r>
        <w:rPr>
          <w:spacing w:val="-1"/>
          <w:sz w:val="24"/>
        </w:rPr>
        <w:t> </w:t>
      </w:r>
      <w:r>
        <w:rPr>
          <w:sz w:val="24"/>
        </w:rPr>
        <w:t>inequality</w:t>
      </w:r>
      <w:r>
        <w:rPr>
          <w:spacing w:val="-3"/>
          <w:sz w:val="24"/>
        </w:rPr>
        <w:t> </w:t>
      </w:r>
      <w:r>
        <w:rPr>
          <w:sz w:val="24"/>
        </w:rPr>
        <w:t>infrastructural </w:t>
      </w:r>
      <w:r>
        <w:rPr>
          <w:spacing w:val="-2"/>
          <w:sz w:val="24"/>
        </w:rPr>
        <w:t>facilities?</w:t>
      </w:r>
    </w:p>
    <w:p>
      <w:pPr>
        <w:pStyle w:val="BodyText"/>
        <w:rPr>
          <w:sz w:val="26"/>
        </w:rPr>
      </w:pPr>
    </w:p>
    <w:p>
      <w:pPr>
        <w:pStyle w:val="Heading1"/>
        <w:numPr>
          <w:ilvl w:val="1"/>
          <w:numId w:val="1"/>
        </w:numPr>
        <w:tabs>
          <w:tab w:pos="1504" w:val="left" w:leader="none"/>
        </w:tabs>
        <w:spacing w:line="240" w:lineRule="auto" w:before="174" w:after="0"/>
        <w:ind w:left="1504" w:right="0" w:hanging="719"/>
        <w:jc w:val="both"/>
      </w:pPr>
      <w:r>
        <w:rPr/>
        <w:t>Aim</w:t>
      </w:r>
      <w:r>
        <w:rPr>
          <w:spacing w:val="-4"/>
        </w:rPr>
        <w:t> </w:t>
      </w:r>
      <w:r>
        <w:rPr/>
        <w:t>of</w:t>
      </w:r>
      <w:r>
        <w:rPr>
          <w:spacing w:val="1"/>
        </w:rPr>
        <w:t> </w:t>
      </w:r>
      <w:r>
        <w:rPr/>
        <w:t>the </w:t>
      </w:r>
      <w:r>
        <w:rPr>
          <w:spacing w:val="-4"/>
        </w:rPr>
        <w:t>Study</w:t>
      </w:r>
    </w:p>
    <w:p>
      <w:pPr>
        <w:pStyle w:val="BodyText"/>
        <w:spacing w:before="6"/>
        <w:rPr>
          <w:b/>
          <w:sz w:val="23"/>
        </w:rPr>
      </w:pPr>
    </w:p>
    <w:p>
      <w:pPr>
        <w:pStyle w:val="BodyText"/>
        <w:spacing w:line="482" w:lineRule="auto"/>
        <w:ind w:left="785" w:right="256"/>
        <w:jc w:val="both"/>
      </w:pPr>
      <w:r>
        <w:rPr/>
        <w:t>The aim of this study is to analyse the spatial distribution of selected social infrastructure with a view to determining the level of inequality in the study area.</w:t>
      </w:r>
    </w:p>
    <w:p>
      <w:pPr>
        <w:pStyle w:val="Heading1"/>
        <w:numPr>
          <w:ilvl w:val="1"/>
          <w:numId w:val="1"/>
        </w:numPr>
        <w:tabs>
          <w:tab w:pos="1505" w:val="left" w:leader="none"/>
        </w:tabs>
        <w:spacing w:line="240" w:lineRule="auto" w:before="199" w:after="0"/>
        <w:ind w:left="1505" w:right="0" w:hanging="720"/>
        <w:jc w:val="left"/>
      </w:pPr>
      <w:r>
        <w:rPr/>
        <w:t>Objectives</w:t>
      </w:r>
      <w:r>
        <w:rPr>
          <w:spacing w:val="-3"/>
        </w:rPr>
        <w:t> </w:t>
      </w:r>
      <w:r>
        <w:rPr/>
        <w:t>of the</w:t>
      </w:r>
      <w:r>
        <w:rPr>
          <w:spacing w:val="-1"/>
        </w:rPr>
        <w:t> </w:t>
      </w:r>
      <w:r>
        <w:rPr>
          <w:spacing w:val="-4"/>
        </w:rPr>
        <w:t>Study</w:t>
      </w:r>
    </w:p>
    <w:p>
      <w:pPr>
        <w:pStyle w:val="BodyText"/>
        <w:spacing w:before="7"/>
        <w:rPr>
          <w:b/>
          <w:sz w:val="23"/>
        </w:rPr>
      </w:pPr>
    </w:p>
    <w:p>
      <w:pPr>
        <w:pStyle w:val="BodyText"/>
        <w:ind w:left="785"/>
        <w:jc w:val="both"/>
      </w:pPr>
      <w:r>
        <w:rPr/>
        <w:t>In</w:t>
      </w:r>
      <w:r>
        <w:rPr>
          <w:spacing w:val="-1"/>
        </w:rPr>
        <w:t> </w:t>
      </w:r>
      <w:r>
        <w:rPr/>
        <w:t>order</w:t>
      </w:r>
      <w:r>
        <w:rPr>
          <w:spacing w:val="-1"/>
        </w:rPr>
        <w:t> </w:t>
      </w:r>
      <w:r>
        <w:rPr/>
        <w:t>to</w:t>
      </w:r>
      <w:r>
        <w:rPr>
          <w:spacing w:val="-1"/>
        </w:rPr>
        <w:t> </w:t>
      </w:r>
      <w:r>
        <w:rPr/>
        <w:t>attain</w:t>
      </w:r>
      <w:r>
        <w:rPr>
          <w:spacing w:val="-1"/>
        </w:rPr>
        <w:t> </w:t>
      </w:r>
      <w:r>
        <w:rPr/>
        <w:t>the aim</w:t>
      </w:r>
      <w:r>
        <w:rPr>
          <w:spacing w:val="-1"/>
        </w:rPr>
        <w:t> </w:t>
      </w:r>
      <w:r>
        <w:rPr/>
        <w:t>of</w:t>
      </w:r>
      <w:r>
        <w:rPr>
          <w:spacing w:val="-1"/>
        </w:rPr>
        <w:t> </w:t>
      </w:r>
      <w:r>
        <w:rPr/>
        <w:t>the</w:t>
      </w:r>
      <w:r>
        <w:rPr>
          <w:spacing w:val="-3"/>
        </w:rPr>
        <w:t> </w:t>
      </w:r>
      <w:r>
        <w:rPr/>
        <w:t>study,</w:t>
      </w:r>
      <w:r>
        <w:rPr>
          <w:spacing w:val="-1"/>
        </w:rPr>
        <w:t> </w:t>
      </w:r>
      <w:r>
        <w:rPr/>
        <w:t>the</w:t>
      </w:r>
      <w:r>
        <w:rPr>
          <w:spacing w:val="-1"/>
        </w:rPr>
        <w:t> </w:t>
      </w:r>
      <w:r>
        <w:rPr/>
        <w:t>objectives</w:t>
      </w:r>
      <w:r>
        <w:rPr>
          <w:spacing w:val="3"/>
        </w:rPr>
        <w:t> </w:t>
      </w:r>
      <w:r>
        <w:rPr/>
        <w:t>are</w:t>
      </w:r>
      <w:r>
        <w:rPr>
          <w:spacing w:val="-2"/>
        </w:rPr>
        <w:t> </w:t>
      </w:r>
      <w:r>
        <w:rPr>
          <w:spacing w:val="-5"/>
        </w:rPr>
        <w:t>to;</w:t>
      </w:r>
    </w:p>
    <w:p>
      <w:pPr>
        <w:pStyle w:val="BodyText"/>
      </w:pPr>
    </w:p>
    <w:p>
      <w:pPr>
        <w:pStyle w:val="ListParagraph"/>
        <w:numPr>
          <w:ilvl w:val="0"/>
          <w:numId w:val="3"/>
        </w:numPr>
        <w:tabs>
          <w:tab w:pos="1572" w:val="left" w:leader="none"/>
        </w:tabs>
        <w:spacing w:line="240" w:lineRule="auto" w:before="0" w:after="0"/>
        <w:ind w:left="1572" w:right="0" w:hanging="487"/>
        <w:jc w:val="left"/>
        <w:rPr>
          <w:sz w:val="24"/>
        </w:rPr>
      </w:pPr>
      <w:r>
        <w:rPr>
          <w:sz w:val="24"/>
        </w:rPr>
        <w:t>Examine</w:t>
      </w:r>
      <w:r>
        <w:rPr>
          <w:spacing w:val="-3"/>
          <w:sz w:val="24"/>
        </w:rPr>
        <w:t> </w:t>
      </w:r>
      <w:r>
        <w:rPr>
          <w:sz w:val="24"/>
        </w:rPr>
        <w:t>the</w:t>
      </w:r>
      <w:r>
        <w:rPr>
          <w:spacing w:val="-1"/>
          <w:sz w:val="24"/>
        </w:rPr>
        <w:t> </w:t>
      </w:r>
      <w:r>
        <w:rPr>
          <w:sz w:val="24"/>
        </w:rPr>
        <w:t>spatial</w:t>
      </w:r>
      <w:r>
        <w:rPr>
          <w:spacing w:val="-1"/>
          <w:sz w:val="24"/>
        </w:rPr>
        <w:t> </w:t>
      </w:r>
      <w:r>
        <w:rPr>
          <w:sz w:val="24"/>
        </w:rPr>
        <w:t>distribution</w:t>
      </w:r>
      <w:r>
        <w:rPr>
          <w:spacing w:val="-1"/>
          <w:sz w:val="24"/>
        </w:rPr>
        <w:t> </w:t>
      </w:r>
      <w:r>
        <w:rPr>
          <w:sz w:val="24"/>
        </w:rPr>
        <w:t>pattern</w:t>
      </w:r>
      <w:r>
        <w:rPr>
          <w:spacing w:val="-1"/>
          <w:sz w:val="24"/>
        </w:rPr>
        <w:t> </w:t>
      </w:r>
      <w:r>
        <w:rPr>
          <w:sz w:val="24"/>
        </w:rPr>
        <w:t>of</w:t>
      </w:r>
      <w:r>
        <w:rPr>
          <w:spacing w:val="-3"/>
          <w:sz w:val="24"/>
        </w:rPr>
        <w:t> </w:t>
      </w:r>
      <w:r>
        <w:rPr>
          <w:sz w:val="24"/>
        </w:rPr>
        <w:t>existing social </w:t>
      </w:r>
      <w:r>
        <w:rPr>
          <w:spacing w:val="-2"/>
          <w:sz w:val="24"/>
        </w:rPr>
        <w:t>infrastructure.</w:t>
      </w:r>
    </w:p>
    <w:p>
      <w:pPr>
        <w:pStyle w:val="BodyText"/>
      </w:pPr>
    </w:p>
    <w:p>
      <w:pPr>
        <w:pStyle w:val="ListParagraph"/>
        <w:numPr>
          <w:ilvl w:val="0"/>
          <w:numId w:val="3"/>
        </w:numPr>
        <w:tabs>
          <w:tab w:pos="1572" w:val="left" w:leader="none"/>
        </w:tabs>
        <w:spacing w:line="240" w:lineRule="auto" w:before="0" w:after="0"/>
        <w:ind w:left="1572" w:right="0" w:hanging="554"/>
        <w:jc w:val="left"/>
        <w:rPr>
          <w:sz w:val="24"/>
        </w:rPr>
      </w:pPr>
      <w:r>
        <w:rPr>
          <w:sz w:val="24"/>
        </w:rPr>
        <w:t>Analyse</w:t>
      </w:r>
      <w:r>
        <w:rPr>
          <w:spacing w:val="-2"/>
          <w:sz w:val="24"/>
        </w:rPr>
        <w:t> </w:t>
      </w:r>
      <w:r>
        <w:rPr>
          <w:sz w:val="24"/>
        </w:rPr>
        <w:t>accessibility</w:t>
      </w:r>
      <w:r>
        <w:rPr>
          <w:spacing w:val="-5"/>
          <w:sz w:val="24"/>
        </w:rPr>
        <w:t> </w:t>
      </w:r>
      <w:r>
        <w:rPr>
          <w:sz w:val="24"/>
        </w:rPr>
        <w:t>of existing</w:t>
      </w:r>
      <w:r>
        <w:rPr>
          <w:spacing w:val="-2"/>
          <w:sz w:val="24"/>
        </w:rPr>
        <w:t> </w:t>
      </w:r>
      <w:r>
        <w:rPr>
          <w:sz w:val="24"/>
        </w:rPr>
        <w:t>social</w:t>
      </w:r>
      <w:r>
        <w:rPr>
          <w:spacing w:val="3"/>
          <w:sz w:val="24"/>
        </w:rPr>
        <w:t> </w:t>
      </w:r>
      <w:r>
        <w:rPr>
          <w:spacing w:val="-2"/>
          <w:sz w:val="24"/>
        </w:rPr>
        <w:t>infrastructure.</w:t>
      </w:r>
    </w:p>
    <w:p>
      <w:pPr>
        <w:pStyle w:val="BodyText"/>
      </w:pPr>
    </w:p>
    <w:p>
      <w:pPr>
        <w:pStyle w:val="ListParagraph"/>
        <w:numPr>
          <w:ilvl w:val="0"/>
          <w:numId w:val="3"/>
        </w:numPr>
        <w:tabs>
          <w:tab w:pos="1572" w:val="left" w:leader="none"/>
        </w:tabs>
        <w:spacing w:line="482" w:lineRule="auto" w:before="0" w:after="0"/>
        <w:ind w:left="1572" w:right="1468" w:hanging="622"/>
        <w:jc w:val="left"/>
        <w:rPr>
          <w:sz w:val="24"/>
        </w:rPr>
      </w:pPr>
      <w:r>
        <w:rPr>
          <w:sz w:val="24"/>
        </w:rPr>
        <w:t>Determine</w:t>
      </w:r>
      <w:r>
        <w:rPr>
          <w:spacing w:val="-3"/>
          <w:sz w:val="24"/>
        </w:rPr>
        <w:t> </w:t>
      </w:r>
      <w:r>
        <w:rPr>
          <w:sz w:val="24"/>
        </w:rPr>
        <w:t>the</w:t>
      </w:r>
      <w:r>
        <w:rPr>
          <w:spacing w:val="-3"/>
          <w:sz w:val="24"/>
        </w:rPr>
        <w:t> </w:t>
      </w:r>
      <w:r>
        <w:rPr>
          <w:sz w:val="24"/>
        </w:rPr>
        <w:t>level</w:t>
      </w:r>
      <w:r>
        <w:rPr>
          <w:spacing w:val="-3"/>
          <w:sz w:val="24"/>
        </w:rPr>
        <w:t> </w:t>
      </w:r>
      <w:r>
        <w:rPr>
          <w:sz w:val="24"/>
        </w:rPr>
        <w:t>of</w:t>
      </w:r>
      <w:r>
        <w:rPr>
          <w:spacing w:val="-3"/>
          <w:sz w:val="24"/>
        </w:rPr>
        <w:t> </w:t>
      </w:r>
      <w:r>
        <w:rPr>
          <w:sz w:val="24"/>
        </w:rPr>
        <w:t>spatial</w:t>
      </w:r>
      <w:r>
        <w:rPr>
          <w:spacing w:val="-3"/>
          <w:sz w:val="24"/>
        </w:rPr>
        <w:t> </w:t>
      </w:r>
      <w:r>
        <w:rPr>
          <w:sz w:val="24"/>
        </w:rPr>
        <w:t>inequality</w:t>
      </w:r>
      <w:r>
        <w:rPr>
          <w:spacing w:val="-8"/>
          <w:sz w:val="24"/>
        </w:rPr>
        <w:t> </w:t>
      </w:r>
      <w:r>
        <w:rPr>
          <w:sz w:val="24"/>
        </w:rPr>
        <w:t>in</w:t>
      </w:r>
      <w:r>
        <w:rPr>
          <w:spacing w:val="-3"/>
          <w:sz w:val="24"/>
        </w:rPr>
        <w:t> </w:t>
      </w:r>
      <w:r>
        <w:rPr>
          <w:sz w:val="24"/>
        </w:rPr>
        <w:t>the</w:t>
      </w:r>
      <w:r>
        <w:rPr>
          <w:spacing w:val="-4"/>
          <w:sz w:val="24"/>
        </w:rPr>
        <w:t> </w:t>
      </w:r>
      <w:r>
        <w:rPr>
          <w:sz w:val="24"/>
        </w:rPr>
        <w:t>distribution</w:t>
      </w:r>
      <w:r>
        <w:rPr>
          <w:spacing w:val="-3"/>
          <w:sz w:val="24"/>
        </w:rPr>
        <w:t> </w:t>
      </w:r>
      <w:r>
        <w:rPr>
          <w:sz w:val="24"/>
        </w:rPr>
        <w:t>of</w:t>
      </w:r>
      <w:r>
        <w:rPr>
          <w:spacing w:val="-4"/>
          <w:sz w:val="24"/>
        </w:rPr>
        <w:t> </w:t>
      </w:r>
      <w:r>
        <w:rPr>
          <w:sz w:val="24"/>
        </w:rPr>
        <w:t>social infrastructure in the study area.</w:t>
      </w:r>
    </w:p>
    <w:p>
      <w:pPr>
        <w:spacing w:after="0" w:line="482" w:lineRule="auto"/>
        <w:jc w:val="left"/>
        <w:rPr>
          <w:sz w:val="24"/>
        </w:rPr>
        <w:sectPr>
          <w:pgSz w:w="11910" w:h="16840"/>
          <w:pgMar w:header="0" w:footer="1003" w:top="1320" w:bottom="1200" w:left="1200" w:right="1160"/>
        </w:sectPr>
      </w:pPr>
    </w:p>
    <w:p>
      <w:pPr>
        <w:pStyle w:val="Heading1"/>
        <w:numPr>
          <w:ilvl w:val="1"/>
          <w:numId w:val="1"/>
        </w:numPr>
        <w:tabs>
          <w:tab w:pos="1504" w:val="left" w:leader="none"/>
        </w:tabs>
        <w:spacing w:line="240" w:lineRule="auto" w:before="79" w:after="0"/>
        <w:ind w:left="1504" w:right="0" w:hanging="719"/>
        <w:jc w:val="both"/>
      </w:pPr>
      <w:r>
        <w:rPr>
          <w:spacing w:val="-2"/>
        </w:rPr>
        <w:t>Hypothesis</w:t>
      </w:r>
    </w:p>
    <w:p>
      <w:pPr>
        <w:pStyle w:val="BodyText"/>
        <w:spacing w:before="233"/>
        <w:ind w:left="785"/>
        <w:jc w:val="both"/>
      </w:pPr>
      <w:r>
        <w:rPr/>
        <w:t>In</w:t>
      </w:r>
      <w:r>
        <w:rPr>
          <w:spacing w:val="-3"/>
        </w:rPr>
        <w:t> </w:t>
      </w:r>
      <w:r>
        <w:rPr/>
        <w:t>other</w:t>
      </w:r>
      <w:r>
        <w:rPr>
          <w:spacing w:val="-1"/>
        </w:rPr>
        <w:t> </w:t>
      </w:r>
      <w:r>
        <w:rPr/>
        <w:t>to</w:t>
      </w:r>
      <w:r>
        <w:rPr>
          <w:spacing w:val="-2"/>
        </w:rPr>
        <w:t> </w:t>
      </w:r>
      <w:r>
        <w:rPr/>
        <w:t>answer</w:t>
      </w:r>
      <w:r>
        <w:rPr>
          <w:spacing w:val="-1"/>
        </w:rPr>
        <w:t> </w:t>
      </w:r>
      <w:r>
        <w:rPr/>
        <w:t>the</w:t>
      </w:r>
      <w:r>
        <w:rPr>
          <w:spacing w:val="-2"/>
        </w:rPr>
        <w:t> </w:t>
      </w:r>
      <w:r>
        <w:rPr/>
        <w:t>research</w:t>
      </w:r>
      <w:r>
        <w:rPr>
          <w:spacing w:val="-1"/>
        </w:rPr>
        <w:t> </w:t>
      </w:r>
      <w:r>
        <w:rPr/>
        <w:t>question</w:t>
      </w:r>
      <w:r>
        <w:rPr>
          <w:spacing w:val="-1"/>
        </w:rPr>
        <w:t> </w:t>
      </w:r>
      <w:r>
        <w:rPr/>
        <w:t>a</w:t>
      </w:r>
      <w:r>
        <w:rPr>
          <w:spacing w:val="-2"/>
        </w:rPr>
        <w:t> </w:t>
      </w:r>
      <w:r>
        <w:rPr/>
        <w:t>hypothesis</w:t>
      </w:r>
      <w:r>
        <w:rPr>
          <w:spacing w:val="-1"/>
        </w:rPr>
        <w:t> </w:t>
      </w:r>
      <w:r>
        <w:rPr/>
        <w:t>was</w:t>
      </w:r>
      <w:r>
        <w:rPr>
          <w:spacing w:val="-1"/>
        </w:rPr>
        <w:t> </w:t>
      </w:r>
      <w:r>
        <w:rPr/>
        <w:t>formulated</w:t>
      </w:r>
      <w:r>
        <w:rPr>
          <w:spacing w:val="-1"/>
        </w:rPr>
        <w:t> </w:t>
      </w:r>
      <w:r>
        <w:rPr>
          <w:spacing w:val="-2"/>
        </w:rPr>
        <w:t>that;</w:t>
      </w:r>
    </w:p>
    <w:p>
      <w:pPr>
        <w:pStyle w:val="BodyText"/>
        <w:spacing w:before="11"/>
        <w:rPr>
          <w:sz w:val="23"/>
        </w:rPr>
      </w:pPr>
    </w:p>
    <w:p>
      <w:pPr>
        <w:pStyle w:val="BodyText"/>
        <w:spacing w:line="480" w:lineRule="auto"/>
        <w:ind w:left="785" w:right="263"/>
        <w:jc w:val="both"/>
      </w:pPr>
      <w:r>
        <w:rPr>
          <w:position w:val="2"/>
        </w:rPr>
        <w:t>H</w:t>
      </w:r>
      <w:r>
        <w:rPr>
          <w:sz w:val="16"/>
        </w:rPr>
        <w:t>o</w:t>
      </w:r>
      <w:r>
        <w:rPr>
          <w:position w:val="2"/>
        </w:rPr>
        <w:t>: There is no statistical significant relationship between the distribution of social </w:t>
      </w:r>
      <w:r>
        <w:rPr/>
        <w:t>infrastructure and population in Zuru local government.</w:t>
      </w:r>
    </w:p>
    <w:p>
      <w:pPr>
        <w:pStyle w:val="Heading1"/>
        <w:numPr>
          <w:ilvl w:val="1"/>
          <w:numId w:val="1"/>
        </w:numPr>
        <w:tabs>
          <w:tab w:pos="1504" w:val="left" w:leader="none"/>
        </w:tabs>
        <w:spacing w:line="240" w:lineRule="auto" w:before="204" w:after="0"/>
        <w:ind w:left="1504" w:right="0" w:hanging="719"/>
        <w:jc w:val="both"/>
      </w:pPr>
      <w:r>
        <w:rPr/>
        <w:t>Scope</w:t>
      </w:r>
      <w:r>
        <w:rPr>
          <w:spacing w:val="-2"/>
        </w:rPr>
        <w:t> </w:t>
      </w:r>
      <w:r>
        <w:rPr/>
        <w:t>of</w:t>
      </w:r>
      <w:r>
        <w:rPr>
          <w:spacing w:val="1"/>
        </w:rPr>
        <w:t> </w:t>
      </w:r>
      <w:r>
        <w:rPr/>
        <w:t>the </w:t>
      </w:r>
      <w:r>
        <w:rPr>
          <w:spacing w:val="-4"/>
        </w:rPr>
        <w:t>Study</w:t>
      </w:r>
    </w:p>
    <w:p>
      <w:pPr>
        <w:pStyle w:val="BodyText"/>
        <w:spacing w:before="7"/>
        <w:rPr>
          <w:b/>
          <w:sz w:val="23"/>
        </w:rPr>
      </w:pPr>
    </w:p>
    <w:p>
      <w:pPr>
        <w:pStyle w:val="BodyText"/>
        <w:spacing w:line="480" w:lineRule="auto"/>
        <w:ind w:left="785" w:right="254"/>
        <w:jc w:val="both"/>
      </w:pPr>
      <w:r>
        <w:rPr/>
        <w:t>Social infrastructure includes schools, hospitals or health facilities, recreational and sanitation facilities, water supply, museums, courts and other social-cultural centres like women</w:t>
      </w:r>
      <w:r>
        <w:rPr>
          <w:spacing w:val="-1"/>
        </w:rPr>
        <w:t> </w:t>
      </w:r>
      <w:r>
        <w:rPr/>
        <w:t>empowerment</w:t>
      </w:r>
      <w:r>
        <w:rPr>
          <w:spacing w:val="-1"/>
        </w:rPr>
        <w:t> </w:t>
      </w:r>
      <w:r>
        <w:rPr/>
        <w:t>centres. This</w:t>
      </w:r>
      <w:r>
        <w:rPr>
          <w:spacing w:val="-1"/>
        </w:rPr>
        <w:t> </w:t>
      </w:r>
      <w:r>
        <w:rPr/>
        <w:t>study</w:t>
      </w:r>
      <w:r>
        <w:rPr>
          <w:spacing w:val="-5"/>
        </w:rPr>
        <w:t> </w:t>
      </w:r>
      <w:r>
        <w:rPr/>
        <w:t>however is</w:t>
      </w:r>
      <w:r>
        <w:rPr>
          <w:spacing w:val="-1"/>
        </w:rPr>
        <w:t> </w:t>
      </w:r>
      <w:r>
        <w:rPr/>
        <w:t>focused</w:t>
      </w:r>
      <w:r>
        <w:rPr>
          <w:spacing w:val="-1"/>
        </w:rPr>
        <w:t> </w:t>
      </w:r>
      <w:r>
        <w:rPr/>
        <w:t>on public</w:t>
      </w:r>
      <w:r>
        <w:rPr>
          <w:spacing w:val="-2"/>
        </w:rPr>
        <w:t> </w:t>
      </w:r>
      <w:r>
        <w:rPr/>
        <w:t>primary</w:t>
      </w:r>
      <w:r>
        <w:rPr>
          <w:spacing w:val="-5"/>
        </w:rPr>
        <w:t> </w:t>
      </w:r>
      <w:r>
        <w:rPr/>
        <w:t>schools and primary health care centres. It aims at identifying existing Primary Health Centres (PHCs) and Public Primary</w:t>
      </w:r>
      <w:r>
        <w:rPr>
          <w:spacing w:val="-3"/>
        </w:rPr>
        <w:t> </w:t>
      </w:r>
      <w:r>
        <w:rPr/>
        <w:t>Schools (PPSs); determining</w:t>
      </w:r>
      <w:r>
        <w:rPr>
          <w:spacing w:val="-1"/>
        </w:rPr>
        <w:t> </w:t>
      </w:r>
      <w:r>
        <w:rPr/>
        <w:t>their catchment area or service radius, evaluating their threshold population, assessing the spatial distribution pattern and accessibility of the existing social infrastructure. The study adopts spatial graphical analysis which includes spatial distribution and location in the GIS environment.</w:t>
      </w:r>
    </w:p>
    <w:p>
      <w:pPr>
        <w:pStyle w:val="BodyText"/>
        <w:spacing w:line="480" w:lineRule="auto" w:before="201"/>
        <w:ind w:left="785" w:right="253"/>
        <w:jc w:val="both"/>
      </w:pPr>
      <w:r>
        <w:rPr/>
        <w:t>The spatial extent of this study is Zuru local government area which comprises of ten political wards namely; Bedi, Isgogo-Dago, Manga-Ushe, Rafin Zuru, Rikoto, Rumu- Daben Dabai Seme, Senchi, Tadurga and Zodi wards. This therefore means every PHC and PPS found within the borders of Zuru local government area would be represented and as well analysed.</w:t>
      </w:r>
    </w:p>
    <w:p>
      <w:pPr>
        <w:spacing w:after="0" w:line="480" w:lineRule="auto"/>
        <w:jc w:val="both"/>
        <w:sectPr>
          <w:pgSz w:w="11910" w:h="16840"/>
          <w:pgMar w:header="0" w:footer="1003" w:top="1320" w:bottom="1200" w:left="1200" w:right="1160"/>
        </w:sectPr>
      </w:pPr>
    </w:p>
    <w:p>
      <w:pPr>
        <w:pStyle w:val="Heading1"/>
        <w:numPr>
          <w:ilvl w:val="1"/>
          <w:numId w:val="1"/>
        </w:numPr>
        <w:tabs>
          <w:tab w:pos="1504" w:val="left" w:leader="none"/>
        </w:tabs>
        <w:spacing w:line="240" w:lineRule="auto" w:before="76" w:after="0"/>
        <w:ind w:left="1504" w:right="0" w:hanging="719"/>
        <w:jc w:val="both"/>
      </w:pPr>
      <w:r>
        <w:rPr/>
        <w:t>Justification</w:t>
      </w:r>
      <w:r>
        <w:rPr>
          <w:spacing w:val="-2"/>
        </w:rPr>
        <w:t> </w:t>
      </w:r>
      <w:r>
        <w:rPr/>
        <w:t>for</w:t>
      </w:r>
      <w:r>
        <w:rPr>
          <w:spacing w:val="-1"/>
        </w:rPr>
        <w:t> </w:t>
      </w:r>
      <w:r>
        <w:rPr/>
        <w:t>the </w:t>
      </w:r>
      <w:r>
        <w:rPr>
          <w:spacing w:val="-2"/>
        </w:rPr>
        <w:t>Study</w:t>
      </w:r>
    </w:p>
    <w:p>
      <w:pPr>
        <w:pStyle w:val="BodyText"/>
        <w:spacing w:before="7"/>
        <w:rPr>
          <w:b/>
          <w:sz w:val="23"/>
        </w:rPr>
      </w:pPr>
    </w:p>
    <w:p>
      <w:pPr>
        <w:pStyle w:val="BodyText"/>
        <w:spacing w:line="480" w:lineRule="auto" w:before="1"/>
        <w:ind w:left="785" w:right="251"/>
        <w:jc w:val="both"/>
      </w:pPr>
      <w:r>
        <w:rPr/>
        <w:t>Social Infrastructure in Nigeria is part of the public sector responsibility. Akpan and Atser (2010) had stressed the relevance of social infrastructure in society and how accessibility to them is a form of right. Teriman </w:t>
      </w:r>
      <w:r>
        <w:rPr>
          <w:i/>
        </w:rPr>
        <w:t>et al., </w:t>
      </w:r>
      <w:r>
        <w:rPr/>
        <w:t>(2011) recognised social infrastructure as an essential element in neighbourhood land use planning and development schemes. Davern </w:t>
      </w:r>
      <w:r>
        <w:rPr>
          <w:i/>
        </w:rPr>
        <w:t>et al. </w:t>
      </w:r>
      <w:r>
        <w:rPr/>
        <w:t>(2017) echoed the relevance of defining a measurable and reliable tool that would show the importance of social infrastructure to community well-being. Social infrastructure as a determinant of community wellbeing and development should be considered a critical component of community planning (Davern </w:t>
      </w:r>
      <w:r>
        <w:rPr>
          <w:i/>
        </w:rPr>
        <w:t>et al</w:t>
      </w:r>
      <w:r>
        <w:rPr/>
        <w:t>. 2017). A recent phenomenon of determining accessibility to primary health centres in the neighbourhood is to consider travel time as a determinant of accessibility</w:t>
      </w:r>
      <w:r>
        <w:rPr>
          <w:spacing w:val="-7"/>
        </w:rPr>
        <w:t> </w:t>
      </w:r>
      <w:r>
        <w:rPr/>
        <w:t>of</w:t>
      </w:r>
      <w:r>
        <w:rPr>
          <w:spacing w:val="-2"/>
        </w:rPr>
        <w:t> </w:t>
      </w:r>
      <w:r>
        <w:rPr/>
        <w:t>health centre</w:t>
      </w:r>
      <w:r>
        <w:rPr>
          <w:spacing w:val="-4"/>
        </w:rPr>
        <w:t> </w:t>
      </w:r>
      <w:r>
        <w:rPr/>
        <w:t>using</w:t>
      </w:r>
      <w:r>
        <w:rPr>
          <w:spacing w:val="-1"/>
        </w:rPr>
        <w:t> </w:t>
      </w:r>
      <w:r>
        <w:rPr/>
        <w:t>GIS as a</w:t>
      </w:r>
      <w:r>
        <w:rPr>
          <w:spacing w:val="-3"/>
        </w:rPr>
        <w:t> </w:t>
      </w:r>
      <w:r>
        <w:rPr/>
        <w:t>reliable</w:t>
      </w:r>
      <w:r>
        <w:rPr>
          <w:spacing w:val="-2"/>
        </w:rPr>
        <w:t> </w:t>
      </w:r>
      <w:r>
        <w:rPr/>
        <w:t>too</w:t>
      </w:r>
      <w:r>
        <w:rPr>
          <w:spacing w:val="-2"/>
        </w:rPr>
        <w:t> </w:t>
      </w:r>
      <w:r>
        <w:rPr/>
        <w:t>for geospatial analysis</w:t>
      </w:r>
      <w:r>
        <w:rPr>
          <w:spacing w:val="-2"/>
        </w:rPr>
        <w:t> </w:t>
      </w:r>
      <w:r>
        <w:rPr/>
        <w:t>(Dejen </w:t>
      </w:r>
      <w:r>
        <w:rPr>
          <w:i/>
        </w:rPr>
        <w:t>et al., </w:t>
      </w:r>
      <w:r>
        <w:rPr/>
        <w:t>2019).</w:t>
      </w:r>
    </w:p>
    <w:p>
      <w:pPr>
        <w:pStyle w:val="BodyText"/>
        <w:spacing w:line="480" w:lineRule="auto" w:before="200"/>
        <w:ind w:left="785" w:right="257"/>
        <w:jc w:val="both"/>
      </w:pPr>
      <w:r>
        <w:rPr/>
        <w:t>Hence, adequate spatial distribution patterns and accessibility of social infrastructure is</w:t>
      </w:r>
      <w:r>
        <w:rPr>
          <w:spacing w:val="40"/>
        </w:rPr>
        <w:t> </w:t>
      </w:r>
      <w:r>
        <w:rPr/>
        <w:t>a necessity for planning and managing healthy neighbourhoods and also in optimizing social service delivery. This study would serve as a reliable tool for policy formation and also emphasize the need to provide educational and health facilities to deprived and underserved wards and/or households within Zuru local government area.</w:t>
      </w:r>
    </w:p>
    <w:p>
      <w:pPr>
        <w:pStyle w:val="Heading1"/>
        <w:numPr>
          <w:ilvl w:val="1"/>
          <w:numId w:val="1"/>
        </w:numPr>
        <w:tabs>
          <w:tab w:pos="1504" w:val="left" w:leader="none"/>
        </w:tabs>
        <w:spacing w:line="240" w:lineRule="auto" w:before="207" w:after="0"/>
        <w:ind w:left="1504" w:right="0" w:hanging="719"/>
        <w:jc w:val="both"/>
      </w:pPr>
      <w:r>
        <w:rPr/>
        <w:t>Study</w:t>
      </w:r>
      <w:r>
        <w:rPr>
          <w:spacing w:val="-2"/>
        </w:rPr>
        <w:t> </w:t>
      </w:r>
      <w:r>
        <w:rPr>
          <w:spacing w:val="-4"/>
        </w:rPr>
        <w:t>Area</w:t>
      </w:r>
    </w:p>
    <w:p>
      <w:pPr>
        <w:pStyle w:val="BodyText"/>
        <w:spacing w:before="1"/>
        <w:rPr>
          <w:b/>
          <w:sz w:val="21"/>
        </w:rPr>
      </w:pPr>
    </w:p>
    <w:p>
      <w:pPr>
        <w:pStyle w:val="ListParagraph"/>
        <w:numPr>
          <w:ilvl w:val="2"/>
          <w:numId w:val="1"/>
        </w:numPr>
        <w:tabs>
          <w:tab w:pos="1504" w:val="left" w:leader="none"/>
        </w:tabs>
        <w:spacing w:line="240" w:lineRule="auto" w:before="1" w:after="0"/>
        <w:ind w:left="1504" w:right="0" w:hanging="719"/>
        <w:jc w:val="both"/>
        <w:rPr>
          <w:b/>
          <w:sz w:val="24"/>
        </w:rPr>
      </w:pPr>
      <w:r>
        <w:rPr>
          <w:b/>
          <w:sz w:val="24"/>
        </w:rPr>
        <w:t>Geographical location</w:t>
      </w:r>
      <w:r>
        <w:rPr>
          <w:b/>
          <w:spacing w:val="-1"/>
          <w:sz w:val="24"/>
        </w:rPr>
        <w:t> </w:t>
      </w:r>
      <w:r>
        <w:rPr>
          <w:b/>
          <w:sz w:val="24"/>
        </w:rPr>
        <w:t>and </w:t>
      </w:r>
      <w:r>
        <w:rPr>
          <w:b/>
          <w:spacing w:val="-2"/>
          <w:sz w:val="24"/>
        </w:rPr>
        <w:t>characteristics</w:t>
      </w:r>
    </w:p>
    <w:p>
      <w:pPr>
        <w:pStyle w:val="BodyText"/>
        <w:spacing w:line="480" w:lineRule="auto" w:before="232"/>
        <w:ind w:left="785" w:right="251"/>
        <w:jc w:val="both"/>
      </w:pPr>
      <w:r>
        <w:rPr/>
        <w:t>Zuru is a local government in Kebbi state in which the state is located in the north western part of Nigeria as shown in Figure 1.1. Zuru local government within the context of the sate however, is located in the south eastern region of the state as shown in</w:t>
      </w:r>
      <w:r>
        <w:rPr>
          <w:spacing w:val="6"/>
        </w:rPr>
        <w:t> </w:t>
      </w:r>
      <w:r>
        <w:rPr/>
        <w:t>Figure</w:t>
      </w:r>
      <w:r>
        <w:rPr>
          <w:spacing w:val="5"/>
        </w:rPr>
        <w:t> </w:t>
      </w:r>
      <w:r>
        <w:rPr/>
        <w:t>1.2.</w:t>
      </w:r>
      <w:r>
        <w:rPr>
          <w:spacing w:val="11"/>
        </w:rPr>
        <w:t> </w:t>
      </w:r>
      <w:r>
        <w:rPr/>
        <w:t>It</w:t>
      </w:r>
      <w:r>
        <w:rPr>
          <w:spacing w:val="7"/>
        </w:rPr>
        <w:t> </w:t>
      </w:r>
      <w:r>
        <w:rPr/>
        <w:t>lies</w:t>
      </w:r>
      <w:r>
        <w:rPr>
          <w:spacing w:val="7"/>
        </w:rPr>
        <w:t> </w:t>
      </w:r>
      <w:r>
        <w:rPr/>
        <w:t>between</w:t>
      </w:r>
      <w:r>
        <w:rPr>
          <w:spacing w:val="6"/>
        </w:rPr>
        <w:t> </w:t>
      </w:r>
      <w:r>
        <w:rPr/>
        <w:t>latitude</w:t>
      </w:r>
      <w:r>
        <w:rPr>
          <w:spacing w:val="6"/>
        </w:rPr>
        <w:t> </w:t>
      </w:r>
      <w:r>
        <w:rPr/>
        <w:t>10.84</w:t>
      </w:r>
      <w:r>
        <w:rPr>
          <w:vertAlign w:val="superscript"/>
        </w:rPr>
        <w:t>0</w:t>
      </w:r>
      <w:r>
        <w:rPr>
          <w:vertAlign w:val="baseline"/>
        </w:rPr>
        <w:t>N</w:t>
      </w:r>
      <w:r>
        <w:rPr>
          <w:spacing w:val="6"/>
          <w:vertAlign w:val="baseline"/>
        </w:rPr>
        <w:t> </w:t>
      </w:r>
      <w:r>
        <w:rPr>
          <w:vertAlign w:val="baseline"/>
        </w:rPr>
        <w:t>to</w:t>
      </w:r>
      <w:r>
        <w:rPr>
          <w:spacing w:val="9"/>
          <w:vertAlign w:val="baseline"/>
        </w:rPr>
        <w:t> </w:t>
      </w:r>
      <w:r>
        <w:rPr>
          <w:vertAlign w:val="baseline"/>
        </w:rPr>
        <w:t>11.84</w:t>
      </w:r>
      <w:r>
        <w:rPr>
          <w:vertAlign w:val="superscript"/>
        </w:rPr>
        <w:t>0</w:t>
      </w:r>
      <w:r>
        <w:rPr>
          <w:vertAlign w:val="baseline"/>
        </w:rPr>
        <w:t>N</w:t>
      </w:r>
      <w:r>
        <w:rPr>
          <w:spacing w:val="6"/>
          <w:vertAlign w:val="baseline"/>
        </w:rPr>
        <w:t> </w:t>
      </w:r>
      <w:r>
        <w:rPr>
          <w:vertAlign w:val="baseline"/>
        </w:rPr>
        <w:t>and</w:t>
      </w:r>
      <w:r>
        <w:rPr>
          <w:spacing w:val="6"/>
          <w:vertAlign w:val="baseline"/>
        </w:rPr>
        <w:t> </w:t>
      </w:r>
      <w:r>
        <w:rPr>
          <w:vertAlign w:val="baseline"/>
        </w:rPr>
        <w:t>longitude</w:t>
      </w:r>
      <w:r>
        <w:rPr>
          <w:spacing w:val="6"/>
          <w:vertAlign w:val="baseline"/>
        </w:rPr>
        <w:t> </w:t>
      </w:r>
      <w:r>
        <w:rPr>
          <w:vertAlign w:val="baseline"/>
        </w:rPr>
        <w:t>4.45</w:t>
      </w:r>
      <w:r>
        <w:rPr>
          <w:vertAlign w:val="superscript"/>
        </w:rPr>
        <w:t>0</w:t>
      </w:r>
      <w:r>
        <w:rPr>
          <w:vertAlign w:val="baseline"/>
        </w:rPr>
        <w:t>E</w:t>
      </w:r>
      <w:r>
        <w:rPr>
          <w:spacing w:val="6"/>
          <w:vertAlign w:val="baseline"/>
        </w:rPr>
        <w:t> </w:t>
      </w:r>
      <w:r>
        <w:rPr>
          <w:vertAlign w:val="baseline"/>
        </w:rPr>
        <w:t>to</w:t>
      </w:r>
      <w:r>
        <w:rPr>
          <w:spacing w:val="7"/>
          <w:vertAlign w:val="baseline"/>
        </w:rPr>
        <w:t> </w:t>
      </w:r>
      <w:r>
        <w:rPr>
          <w:spacing w:val="-2"/>
          <w:vertAlign w:val="baseline"/>
        </w:rPr>
        <w:t>6.0</w:t>
      </w:r>
      <w:r>
        <w:rPr>
          <w:spacing w:val="-2"/>
          <w:vertAlign w:val="superscript"/>
        </w:rPr>
        <w:t>0</w:t>
      </w:r>
      <w:r>
        <w:rPr>
          <w:spacing w:val="-2"/>
          <w:vertAlign w:val="baseline"/>
        </w:rPr>
        <w:t>E</w:t>
      </w:r>
    </w:p>
    <w:p>
      <w:pPr>
        <w:spacing w:after="0" w:line="480" w:lineRule="auto"/>
        <w:jc w:val="both"/>
        <w:sectPr>
          <w:pgSz w:w="11910" w:h="16840"/>
          <w:pgMar w:header="0" w:footer="1003" w:top="1320" w:bottom="1200" w:left="1200" w:right="1160"/>
        </w:sectPr>
      </w:pPr>
    </w:p>
    <w:p>
      <w:pPr>
        <w:pStyle w:val="BodyText"/>
        <w:spacing w:line="482" w:lineRule="auto" w:before="72"/>
        <w:ind w:left="785" w:right="260"/>
        <w:jc w:val="both"/>
      </w:pPr>
      <w:r>
        <w:rPr/>
        <w:t>and has a total land mass of 653km². It is characterized with an undulating topography, ranging between 350mm to 1,000m above the mean sea level.</w:t>
      </w:r>
    </w:p>
    <w:p>
      <w:pPr>
        <w:pStyle w:val="BodyText"/>
        <w:spacing w:before="4"/>
        <w:rPr>
          <w:sz w:val="15"/>
        </w:rPr>
      </w:pPr>
      <w:r>
        <w:rPr/>
        <mc:AlternateContent>
          <mc:Choice Requires="wps">
            <w:drawing>
              <wp:anchor distT="0" distB="0" distL="0" distR="0" allowOverlap="1" layoutInCell="1" locked="0" behindDoc="1" simplePos="0" relativeHeight="487587840">
                <wp:simplePos x="0" y="0"/>
                <wp:positionH relativeFrom="page">
                  <wp:posOffset>1263396</wp:posOffset>
                </wp:positionH>
                <wp:positionV relativeFrom="paragraph">
                  <wp:posOffset>128126</wp:posOffset>
                </wp:positionV>
                <wp:extent cx="5400040" cy="4196080"/>
                <wp:effectExtent l="0" t="0" r="0" b="0"/>
                <wp:wrapTopAndBottom/>
                <wp:docPr id="2" name="Group 2" descr="C:\Users\User\3rd semester\submissions\Internal Presentations\images\Nigeria Showing Kebbi.jpg"/>
                <wp:cNvGraphicFramePr>
                  <a:graphicFrameLocks/>
                </wp:cNvGraphicFramePr>
                <a:graphic>
                  <a:graphicData uri="http://schemas.microsoft.com/office/word/2010/wordprocessingGroup">
                    <wpg:wgp>
                      <wpg:cNvPr id="2" name="Group 2" descr="C:\Users\User\3rd semester\submissions\Internal Presentations\images\Nigeria Showing Kebbi.jpg"/>
                      <wpg:cNvGrpSpPr/>
                      <wpg:grpSpPr>
                        <a:xfrm>
                          <a:off x="0" y="0"/>
                          <a:ext cx="5400040" cy="4196080"/>
                          <a:chExt cx="5400040" cy="4196080"/>
                        </a:xfrm>
                      </wpg:grpSpPr>
                      <pic:pic>
                        <pic:nvPicPr>
                          <pic:cNvPr id="3" name="Image 3" descr="C:\Users\User\3rd semester\submissions\Internal Presentations\images\Nigeria Showing Kebbi.jpg"/>
                          <pic:cNvPicPr/>
                        </pic:nvPicPr>
                        <pic:blipFill>
                          <a:blip r:embed="rId6" cstate="print"/>
                          <a:stretch>
                            <a:fillRect/>
                          </a:stretch>
                        </pic:blipFill>
                        <pic:spPr>
                          <a:xfrm>
                            <a:off x="19811" y="19811"/>
                            <a:ext cx="5359908" cy="4155947"/>
                          </a:xfrm>
                          <a:prstGeom prst="rect">
                            <a:avLst/>
                          </a:prstGeom>
                        </pic:spPr>
                      </pic:pic>
                      <wps:wsp>
                        <wps:cNvPr id="4" name="Graphic 4"/>
                        <wps:cNvSpPr/>
                        <wps:spPr>
                          <a:xfrm>
                            <a:off x="9905" y="9905"/>
                            <a:ext cx="5379720" cy="4175760"/>
                          </a:xfrm>
                          <a:custGeom>
                            <a:avLst/>
                            <a:gdLst/>
                            <a:ahLst/>
                            <a:cxnLst/>
                            <a:rect l="l" t="t" r="r" b="b"/>
                            <a:pathLst>
                              <a:path w="5379720" h="4175760">
                                <a:moveTo>
                                  <a:pt x="0" y="4175759"/>
                                </a:moveTo>
                                <a:lnTo>
                                  <a:pt x="5379720" y="4175759"/>
                                </a:lnTo>
                                <a:lnTo>
                                  <a:pt x="5379720" y="0"/>
                                </a:lnTo>
                                <a:lnTo>
                                  <a:pt x="0" y="0"/>
                                </a:lnTo>
                                <a:lnTo>
                                  <a:pt x="0" y="4175759"/>
                                </a:lnTo>
                                <a:close/>
                              </a:path>
                            </a:pathLst>
                          </a:custGeom>
                          <a:ln w="198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9.480003pt;margin-top:10.088711pt;width:425.2pt;height:330.4pt;mso-position-horizontal-relative:page;mso-position-vertical-relative:paragraph;z-index:-15728640;mso-wrap-distance-left:0;mso-wrap-distance-right:0" id="docshapegroup2" coordorigin="1990,202" coordsize="8504,6608" alt="C:\Users\User\3rd semester\submissions\Internal Presentations\images\Nigeria Showing Kebbi.jpg">
                <v:shape style="position:absolute;left:2020;top:232;width:8441;height:6545" type="#_x0000_t75" id="docshape3" alt="C:\Users\User\3rd semester\submissions\Internal Presentations\images\Nigeria Showing Kebbi.jpg" stroked="false">
                  <v:imagedata r:id="rId6" o:title=""/>
                </v:shape>
                <v:rect style="position:absolute;left:2005;top:217;width:8472;height:6576" id="docshape4" filled="false" stroked="true" strokeweight="1.56pt" strokecolor="#000000">
                  <v:stroke dashstyle="solid"/>
                </v:rect>
                <w10:wrap type="topAndBottom"/>
              </v:group>
            </w:pict>
          </mc:Fallback>
        </mc:AlternateContent>
      </w:r>
    </w:p>
    <w:p>
      <w:pPr>
        <w:pStyle w:val="BodyText"/>
        <w:spacing w:line="242" w:lineRule="auto" w:before="185"/>
        <w:ind w:left="2989" w:right="1663" w:hanging="125"/>
      </w:pPr>
      <w:r>
        <w:rPr/>
        <w:t>Figure</w:t>
      </w:r>
      <w:r>
        <w:rPr>
          <w:spacing w:val="-7"/>
        </w:rPr>
        <w:t> </w:t>
      </w:r>
      <w:r>
        <w:rPr/>
        <w:t>1.1:</w:t>
      </w:r>
      <w:r>
        <w:rPr>
          <w:spacing w:val="-5"/>
        </w:rPr>
        <w:t> </w:t>
      </w:r>
      <w:r>
        <w:rPr/>
        <w:t>Kebbi</w:t>
      </w:r>
      <w:r>
        <w:rPr>
          <w:spacing w:val="-4"/>
        </w:rPr>
        <w:t> </w:t>
      </w:r>
      <w:r>
        <w:rPr/>
        <w:t>State</w:t>
      </w:r>
      <w:r>
        <w:rPr>
          <w:spacing w:val="-6"/>
        </w:rPr>
        <w:t> </w:t>
      </w:r>
      <w:r>
        <w:rPr/>
        <w:t>in</w:t>
      </w:r>
      <w:r>
        <w:rPr>
          <w:spacing w:val="-5"/>
        </w:rPr>
        <w:t> </w:t>
      </w:r>
      <w:r>
        <w:rPr/>
        <w:t>Context</w:t>
      </w:r>
      <w:r>
        <w:rPr>
          <w:spacing w:val="-5"/>
        </w:rPr>
        <w:t> </w:t>
      </w:r>
      <w:r>
        <w:rPr/>
        <w:t>of</w:t>
      </w:r>
      <w:r>
        <w:rPr>
          <w:spacing w:val="-5"/>
        </w:rPr>
        <w:t> </w:t>
      </w:r>
      <w:r>
        <w:rPr/>
        <w:t>Nigeria Source: Adopted from Google Earth, 2020</w:t>
      </w:r>
    </w:p>
    <w:p>
      <w:pPr>
        <w:pStyle w:val="BodyText"/>
        <w:rPr>
          <w:sz w:val="26"/>
        </w:rPr>
      </w:pPr>
    </w:p>
    <w:p>
      <w:pPr>
        <w:pStyle w:val="BodyText"/>
        <w:spacing w:line="480" w:lineRule="auto" w:before="173"/>
        <w:ind w:left="785" w:right="257"/>
        <w:jc w:val="both"/>
      </w:pPr>
      <w:r>
        <w:rPr/>
        <w:t>There is 1,825 mm as average rainfall and also an average temperature of 27°C. The rainy season begins from April to October and harmattan starts from December to February. Zuru is bounded by Wasagu Danko local government by the north east and north west. At the south it is bounded by Rijau local government of Niger state and by the south eastern by Sakaba local government and in the west by Fakai local</w:t>
      </w:r>
      <w:r>
        <w:rPr>
          <w:spacing w:val="40"/>
        </w:rPr>
        <w:t> </w:t>
      </w:r>
      <w:r>
        <w:rPr/>
        <w:t>government respectively as shown in Figure 1.2.</w:t>
      </w:r>
    </w:p>
    <w:p>
      <w:pPr>
        <w:spacing w:after="0" w:line="480" w:lineRule="auto"/>
        <w:jc w:val="both"/>
        <w:sectPr>
          <w:pgSz w:w="11910" w:h="16840"/>
          <w:pgMar w:header="0" w:footer="1003" w:top="1320" w:bottom="1200" w:left="1200" w:right="1160"/>
        </w:sectPr>
      </w:pPr>
    </w:p>
    <w:p>
      <w:pPr>
        <w:pStyle w:val="BodyText"/>
        <w:ind w:left="784"/>
        <w:rPr>
          <w:sz w:val="20"/>
        </w:rPr>
      </w:pPr>
      <w:r>
        <w:rPr>
          <w:sz w:val="20"/>
        </w:rPr>
        <mc:AlternateContent>
          <mc:Choice Requires="wps">
            <w:drawing>
              <wp:inline distT="0" distB="0" distL="0" distR="0">
                <wp:extent cx="5413375" cy="4282440"/>
                <wp:effectExtent l="9525" t="0" r="0" b="3810"/>
                <wp:docPr id="5" name="Group 5" descr="C:\Users\User\3rd semester\submissions\Internal Presentations\images\Kebbi Showing Zuru LGA.jpg"/>
                <wp:cNvGraphicFramePr>
                  <a:graphicFrameLocks/>
                </wp:cNvGraphicFramePr>
                <a:graphic>
                  <a:graphicData uri="http://schemas.microsoft.com/office/word/2010/wordprocessingGroup">
                    <wpg:wgp>
                      <wpg:cNvPr id="5" name="Group 5" descr="C:\Users\User\3rd semester\submissions\Internal Presentations\images\Kebbi Showing Zuru LGA.jpg"/>
                      <wpg:cNvGrpSpPr/>
                      <wpg:grpSpPr>
                        <a:xfrm>
                          <a:off x="0" y="0"/>
                          <a:ext cx="5413375" cy="4282440"/>
                          <a:chExt cx="5413375" cy="4282440"/>
                        </a:xfrm>
                      </wpg:grpSpPr>
                      <pic:pic>
                        <pic:nvPicPr>
                          <pic:cNvPr id="6" name="Image 6" descr="C:\Users\User\3rd semester\submissions\Internal Presentations\images\Kebbi Showing Zuru LGA.jpg"/>
                          <pic:cNvPicPr/>
                        </pic:nvPicPr>
                        <pic:blipFill>
                          <a:blip r:embed="rId7" cstate="print"/>
                          <a:stretch>
                            <a:fillRect/>
                          </a:stretch>
                        </pic:blipFill>
                        <pic:spPr>
                          <a:xfrm>
                            <a:off x="19811" y="19811"/>
                            <a:ext cx="5373623" cy="4242815"/>
                          </a:xfrm>
                          <a:prstGeom prst="rect">
                            <a:avLst/>
                          </a:prstGeom>
                        </pic:spPr>
                      </pic:pic>
                      <wps:wsp>
                        <wps:cNvPr id="7" name="Graphic 7"/>
                        <wps:cNvSpPr/>
                        <wps:spPr>
                          <a:xfrm>
                            <a:off x="9905" y="9905"/>
                            <a:ext cx="5393690" cy="4262755"/>
                          </a:xfrm>
                          <a:custGeom>
                            <a:avLst/>
                            <a:gdLst/>
                            <a:ahLst/>
                            <a:cxnLst/>
                            <a:rect l="l" t="t" r="r" b="b"/>
                            <a:pathLst>
                              <a:path w="5393690" h="4262755">
                                <a:moveTo>
                                  <a:pt x="0" y="4262627"/>
                                </a:moveTo>
                                <a:lnTo>
                                  <a:pt x="5393436" y="4262627"/>
                                </a:lnTo>
                                <a:lnTo>
                                  <a:pt x="5393436" y="0"/>
                                </a:lnTo>
                                <a:lnTo>
                                  <a:pt x="0" y="0"/>
                                </a:lnTo>
                                <a:lnTo>
                                  <a:pt x="0" y="4262627"/>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26.25pt;height:337.2pt;mso-position-horizontal-relative:char;mso-position-vertical-relative:line" id="docshapegroup5" coordorigin="0,0" coordsize="8525,6744" alt="C:\Users\User\3rd semester\submissions\Internal Presentations\images\Kebbi Showing Zuru LGA.jpg">
                <v:shape style="position:absolute;left:31;top:31;width:8463;height:6682" type="#_x0000_t75" id="docshape6" alt="C:\Users\User\3rd semester\submissions\Internal Presentations\images\Kebbi Showing Zuru LGA.jpg" stroked="false">
                  <v:imagedata r:id="rId7" o:title=""/>
                </v:shape>
                <v:rect style="position:absolute;left:15;top:15;width:8494;height:6713" id="docshape7" filled="false" stroked="true" strokeweight="1.56pt" strokecolor="#000000">
                  <v:stroke dashstyle="solid"/>
                </v:rect>
              </v:group>
            </w:pict>
          </mc:Fallback>
        </mc:AlternateContent>
      </w:r>
      <w:r>
        <w:rPr>
          <w:sz w:val="20"/>
        </w:rPr>
      </w:r>
    </w:p>
    <w:p>
      <w:pPr>
        <w:pStyle w:val="BodyText"/>
        <w:spacing w:before="4"/>
        <w:rPr>
          <w:sz w:val="14"/>
        </w:rPr>
      </w:pPr>
    </w:p>
    <w:p>
      <w:pPr>
        <w:pStyle w:val="BodyText"/>
        <w:spacing w:line="278" w:lineRule="auto" w:before="90"/>
        <w:ind w:left="2989" w:right="874" w:hanging="932"/>
      </w:pPr>
      <w:r>
        <w:rPr/>
        <w:t>Figure</w:t>
      </w:r>
      <w:r>
        <w:rPr>
          <w:spacing w:val="-6"/>
        </w:rPr>
        <w:t> </w:t>
      </w:r>
      <w:r>
        <w:rPr/>
        <w:t>1.2:</w:t>
      </w:r>
      <w:r>
        <w:rPr>
          <w:spacing w:val="-3"/>
        </w:rPr>
        <w:t> </w:t>
      </w:r>
      <w:r>
        <w:rPr/>
        <w:t>Zuru</w:t>
      </w:r>
      <w:r>
        <w:rPr>
          <w:spacing w:val="-3"/>
        </w:rPr>
        <w:t> </w:t>
      </w:r>
      <w:r>
        <w:rPr/>
        <w:t>Local</w:t>
      </w:r>
      <w:r>
        <w:rPr>
          <w:spacing w:val="-4"/>
        </w:rPr>
        <w:t> </w:t>
      </w:r>
      <w:r>
        <w:rPr/>
        <w:t>Government</w:t>
      </w:r>
      <w:r>
        <w:rPr>
          <w:spacing w:val="-4"/>
        </w:rPr>
        <w:t> </w:t>
      </w:r>
      <w:r>
        <w:rPr/>
        <w:t>in</w:t>
      </w:r>
      <w:r>
        <w:rPr>
          <w:spacing w:val="-4"/>
        </w:rPr>
        <w:t> </w:t>
      </w:r>
      <w:r>
        <w:rPr/>
        <w:t>Context</w:t>
      </w:r>
      <w:r>
        <w:rPr>
          <w:spacing w:val="-4"/>
        </w:rPr>
        <w:t> </w:t>
      </w:r>
      <w:r>
        <w:rPr/>
        <w:t>of</w:t>
      </w:r>
      <w:r>
        <w:rPr>
          <w:spacing w:val="-7"/>
        </w:rPr>
        <w:t> </w:t>
      </w:r>
      <w:r>
        <w:rPr/>
        <w:t>Kebbi</w:t>
      </w:r>
      <w:r>
        <w:rPr>
          <w:spacing w:val="-4"/>
        </w:rPr>
        <w:t> </w:t>
      </w:r>
      <w:r>
        <w:rPr/>
        <w:t>State Source: Adopted from Google Earth, 2020</w:t>
      </w:r>
    </w:p>
    <w:p>
      <w:pPr>
        <w:pStyle w:val="BodyText"/>
        <w:spacing w:before="7"/>
        <w:rPr>
          <w:sz w:val="37"/>
        </w:rPr>
      </w:pPr>
    </w:p>
    <w:p>
      <w:pPr>
        <w:pStyle w:val="Heading1"/>
        <w:numPr>
          <w:ilvl w:val="2"/>
          <w:numId w:val="1"/>
        </w:numPr>
        <w:tabs>
          <w:tab w:pos="1504" w:val="left" w:leader="none"/>
        </w:tabs>
        <w:spacing w:line="240" w:lineRule="auto" w:before="0" w:after="0"/>
        <w:ind w:left="1504" w:right="0" w:hanging="719"/>
        <w:jc w:val="both"/>
      </w:pPr>
      <w:r>
        <w:rPr/>
        <w:t>Socio</w:t>
      </w:r>
      <w:r>
        <w:rPr>
          <w:spacing w:val="-1"/>
        </w:rPr>
        <w:t> </w:t>
      </w:r>
      <w:r>
        <w:rPr/>
        <w:t>-</w:t>
      </w:r>
      <w:r>
        <w:rPr>
          <w:spacing w:val="-3"/>
        </w:rPr>
        <w:t> </w:t>
      </w:r>
      <w:r>
        <w:rPr/>
        <w:t>economic</w:t>
      </w:r>
      <w:r>
        <w:rPr>
          <w:spacing w:val="-1"/>
        </w:rPr>
        <w:t> </w:t>
      </w:r>
      <w:r>
        <w:rPr>
          <w:spacing w:val="-2"/>
        </w:rPr>
        <w:t>attributes</w:t>
      </w:r>
    </w:p>
    <w:p>
      <w:pPr>
        <w:pStyle w:val="BodyText"/>
        <w:spacing w:before="7"/>
        <w:rPr>
          <w:b/>
          <w:sz w:val="23"/>
        </w:rPr>
      </w:pPr>
    </w:p>
    <w:p>
      <w:pPr>
        <w:pStyle w:val="BodyText"/>
        <w:spacing w:line="480" w:lineRule="auto"/>
        <w:ind w:left="785" w:right="257"/>
        <w:jc w:val="both"/>
      </w:pPr>
      <w:r>
        <w:rPr/>
        <w:t>The predominant ethnic group are the K’lela and they are the indigenous inhabitant of the local government. Zuru has a population of about 165,547 recorded in 2006 census (National Population Commission, 2010). The major primary activities in Zuru local government are; farming and rearing</w:t>
      </w:r>
      <w:r>
        <w:rPr>
          <w:spacing w:val="-1"/>
        </w:rPr>
        <w:t> </w:t>
      </w:r>
      <w:r>
        <w:rPr/>
        <w:t>of animals other primary</w:t>
      </w:r>
      <w:r>
        <w:rPr>
          <w:spacing w:val="-1"/>
        </w:rPr>
        <w:t> </w:t>
      </w:r>
      <w:r>
        <w:rPr/>
        <w:t>activities include fishing.</w:t>
      </w:r>
    </w:p>
    <w:p>
      <w:pPr>
        <w:pStyle w:val="BodyText"/>
        <w:spacing w:line="480" w:lineRule="auto" w:before="200"/>
        <w:ind w:left="785" w:right="257"/>
        <w:jc w:val="both"/>
      </w:pPr>
      <w:r>
        <w:rPr/>
        <w:t>Tertiary socio-economic activities in Zuru local government are influenced by the existence of institutions such as; Military base, The Federal University of Agriculture Zuru, the local government secretariat.</w:t>
      </w:r>
    </w:p>
    <w:p>
      <w:pPr>
        <w:spacing w:after="0" w:line="480" w:lineRule="auto"/>
        <w:jc w:val="both"/>
        <w:sectPr>
          <w:pgSz w:w="11910" w:h="16840"/>
          <w:pgMar w:header="0" w:footer="1003" w:top="1400" w:bottom="1200" w:left="1200" w:right="1160"/>
        </w:sectPr>
      </w:pPr>
    </w:p>
    <w:p>
      <w:pPr>
        <w:pStyle w:val="Heading1"/>
        <w:numPr>
          <w:ilvl w:val="2"/>
          <w:numId w:val="1"/>
        </w:numPr>
        <w:tabs>
          <w:tab w:pos="1504" w:val="left" w:leader="none"/>
        </w:tabs>
        <w:spacing w:line="240" w:lineRule="auto" w:before="76" w:after="0"/>
        <w:ind w:left="1504" w:right="0" w:hanging="719"/>
        <w:jc w:val="both"/>
      </w:pPr>
      <w:r>
        <w:rPr/>
        <w:t>Transportation</w:t>
      </w:r>
      <w:r>
        <w:rPr>
          <w:spacing w:val="-2"/>
        </w:rPr>
        <w:t> </w:t>
      </w:r>
      <w:r>
        <w:rPr/>
        <w:t>and</w:t>
      </w:r>
      <w:r>
        <w:rPr>
          <w:spacing w:val="-2"/>
        </w:rPr>
        <w:t> </w:t>
      </w:r>
      <w:r>
        <w:rPr/>
        <w:t>settlement</w:t>
      </w:r>
      <w:r>
        <w:rPr>
          <w:spacing w:val="-3"/>
        </w:rPr>
        <w:t> </w:t>
      </w:r>
      <w:r>
        <w:rPr>
          <w:spacing w:val="-2"/>
        </w:rPr>
        <w:t>pattern</w:t>
      </w:r>
    </w:p>
    <w:p>
      <w:pPr>
        <w:pStyle w:val="BodyText"/>
        <w:spacing w:before="7"/>
        <w:rPr>
          <w:b/>
          <w:sz w:val="23"/>
        </w:rPr>
      </w:pPr>
    </w:p>
    <w:p>
      <w:pPr>
        <w:pStyle w:val="BodyText"/>
        <w:spacing w:line="480" w:lineRule="auto" w:before="1"/>
        <w:ind w:left="785" w:right="253"/>
        <w:jc w:val="both"/>
      </w:pPr>
      <w:r>
        <w:rPr/>
        <w:t>Zuru town can be described as a transit town also as indicated in Figure 1.3. With a major arterial road from Zamfara state through Zuru to Rijau, Niger state. The Zuru- Rijau Road and Zuru-Riba road are the two routes that connect the local government to other bordering local government areas. As shown in Figure 1.3, a large percentage of the household population reside at a central place and as such that area is occupied by a large proportion of the local government population.</w:t>
      </w:r>
    </w:p>
    <w:p>
      <w:pPr>
        <w:pStyle w:val="BodyText"/>
        <w:spacing w:before="10"/>
        <w:rPr>
          <w:sz w:val="15"/>
        </w:rPr>
      </w:pPr>
      <w:r>
        <w:rPr/>
        <mc:AlternateContent>
          <mc:Choice Requires="wps">
            <w:drawing>
              <wp:anchor distT="0" distB="0" distL="0" distR="0" allowOverlap="1" layoutInCell="1" locked="0" behindDoc="1" simplePos="0" relativeHeight="487588864">
                <wp:simplePos x="0" y="0"/>
                <wp:positionH relativeFrom="page">
                  <wp:posOffset>2520695</wp:posOffset>
                </wp:positionH>
                <wp:positionV relativeFrom="paragraph">
                  <wp:posOffset>131462</wp:posOffset>
                </wp:positionV>
                <wp:extent cx="3808729" cy="5367655"/>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3808729" cy="5367655"/>
                          <a:chExt cx="3808729" cy="5367655"/>
                        </a:xfrm>
                      </wpg:grpSpPr>
                      <pic:pic>
                        <pic:nvPicPr>
                          <pic:cNvPr id="9" name="Image 9"/>
                          <pic:cNvPicPr/>
                        </pic:nvPicPr>
                        <pic:blipFill>
                          <a:blip r:embed="rId8" cstate="print"/>
                          <a:stretch>
                            <a:fillRect/>
                          </a:stretch>
                        </pic:blipFill>
                        <pic:spPr>
                          <a:xfrm>
                            <a:off x="19811" y="88766"/>
                            <a:ext cx="3755063" cy="5231367"/>
                          </a:xfrm>
                          <a:prstGeom prst="rect">
                            <a:avLst/>
                          </a:prstGeom>
                        </pic:spPr>
                      </pic:pic>
                      <wps:wsp>
                        <wps:cNvPr id="10" name="Graphic 10"/>
                        <wps:cNvSpPr/>
                        <wps:spPr>
                          <a:xfrm>
                            <a:off x="9905" y="9905"/>
                            <a:ext cx="3789045" cy="5347970"/>
                          </a:xfrm>
                          <a:custGeom>
                            <a:avLst/>
                            <a:gdLst/>
                            <a:ahLst/>
                            <a:cxnLst/>
                            <a:rect l="l" t="t" r="r" b="b"/>
                            <a:pathLst>
                              <a:path w="3789045" h="5347970">
                                <a:moveTo>
                                  <a:pt x="0" y="5347715"/>
                                </a:moveTo>
                                <a:lnTo>
                                  <a:pt x="3788664" y="5347715"/>
                                </a:lnTo>
                                <a:lnTo>
                                  <a:pt x="3788664" y="0"/>
                                </a:lnTo>
                                <a:lnTo>
                                  <a:pt x="0" y="0"/>
                                </a:lnTo>
                                <a:lnTo>
                                  <a:pt x="0" y="5347715"/>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8.479996pt;margin-top:10.351357pt;width:299.9pt;height:422.65pt;mso-position-horizontal-relative:page;mso-position-vertical-relative:paragraph;z-index:-15727616;mso-wrap-distance-left:0;mso-wrap-distance-right:0" id="docshapegroup8" coordorigin="3970,207" coordsize="5998,8453">
                <v:shape style="position:absolute;left:4000;top:346;width:5914;height:8239" type="#_x0000_t75" id="docshape9" stroked="false">
                  <v:imagedata r:id="rId8" o:title=""/>
                </v:shape>
                <v:rect style="position:absolute;left:3985;top:222;width:5967;height:8422" id="docshape10" filled="false" stroked="true" strokeweight="1.56pt" strokecolor="#000000">
                  <v:stroke dashstyle="solid"/>
                </v:rect>
                <w10:wrap type="topAndBottom"/>
              </v:group>
            </w:pict>
          </mc:Fallback>
        </mc:AlternateContent>
      </w:r>
    </w:p>
    <w:p>
      <w:pPr>
        <w:pStyle w:val="BodyText"/>
        <w:spacing w:line="242" w:lineRule="auto" w:before="1"/>
        <w:ind w:left="2989" w:right="1663" w:hanging="800"/>
      </w:pPr>
      <w:r>
        <w:rPr/>
        <w:t>Figure</w:t>
      </w:r>
      <w:r>
        <w:rPr>
          <w:spacing w:val="-7"/>
        </w:rPr>
        <w:t> </w:t>
      </w:r>
      <w:r>
        <w:rPr/>
        <w:t>1.3:</w:t>
      </w:r>
      <w:r>
        <w:rPr>
          <w:spacing w:val="-5"/>
        </w:rPr>
        <w:t> </w:t>
      </w:r>
      <w:r>
        <w:rPr/>
        <w:t>Transportation</w:t>
      </w:r>
      <w:r>
        <w:rPr>
          <w:spacing w:val="-5"/>
        </w:rPr>
        <w:t> </w:t>
      </w:r>
      <w:r>
        <w:rPr/>
        <w:t>in</w:t>
      </w:r>
      <w:r>
        <w:rPr>
          <w:spacing w:val="-5"/>
        </w:rPr>
        <w:t> </w:t>
      </w:r>
      <w:r>
        <w:rPr/>
        <w:t>Zuru</w:t>
      </w:r>
      <w:r>
        <w:rPr>
          <w:spacing w:val="-5"/>
        </w:rPr>
        <w:t> </w:t>
      </w:r>
      <w:r>
        <w:rPr/>
        <w:t>Local</w:t>
      </w:r>
      <w:r>
        <w:rPr>
          <w:spacing w:val="-5"/>
        </w:rPr>
        <w:t> </w:t>
      </w:r>
      <w:r>
        <w:rPr/>
        <w:t>Government</w:t>
      </w:r>
      <w:r>
        <w:rPr>
          <w:spacing w:val="-5"/>
        </w:rPr>
        <w:t> </w:t>
      </w:r>
      <w:r>
        <w:rPr/>
        <w:t>Area Source: Adopted from Google Earth, 2020</w:t>
      </w:r>
    </w:p>
    <w:p>
      <w:pPr>
        <w:spacing w:after="0" w:line="242" w:lineRule="auto"/>
        <w:sectPr>
          <w:pgSz w:w="11910" w:h="16840"/>
          <w:pgMar w:header="0" w:footer="1003" w:top="1320" w:bottom="1200" w:left="1200" w:right="1160"/>
        </w:sectPr>
      </w:pPr>
    </w:p>
    <w:p>
      <w:pPr>
        <w:spacing w:before="76"/>
        <w:ind w:left="2851" w:right="2326" w:firstLine="0"/>
        <w:jc w:val="center"/>
        <w:rPr>
          <w:b/>
          <w:sz w:val="24"/>
        </w:rPr>
      </w:pPr>
      <w:r>
        <w:rPr>
          <w:b/>
          <w:sz w:val="24"/>
        </w:rPr>
        <w:t>CHAPTER</w:t>
      </w:r>
      <w:r>
        <w:rPr>
          <w:b/>
          <w:spacing w:val="-4"/>
          <w:sz w:val="24"/>
        </w:rPr>
        <w:t> </w:t>
      </w:r>
      <w:r>
        <w:rPr>
          <w:b/>
          <w:spacing w:val="-5"/>
          <w:sz w:val="24"/>
        </w:rPr>
        <w:t>TWO</w:t>
      </w:r>
    </w:p>
    <w:p>
      <w:pPr>
        <w:pStyle w:val="BodyText"/>
        <w:spacing w:before="1"/>
        <w:rPr>
          <w:b/>
        </w:rPr>
      </w:pPr>
    </w:p>
    <w:p>
      <w:pPr>
        <w:pStyle w:val="ListParagraph"/>
        <w:numPr>
          <w:ilvl w:val="1"/>
          <w:numId w:val="4"/>
        </w:numPr>
        <w:tabs>
          <w:tab w:pos="3725" w:val="left" w:leader="none"/>
        </w:tabs>
        <w:spacing w:line="240" w:lineRule="auto" w:before="0" w:after="0"/>
        <w:ind w:left="3725" w:right="0" w:hanging="2940"/>
        <w:jc w:val="both"/>
        <w:rPr>
          <w:b/>
          <w:sz w:val="24"/>
        </w:rPr>
      </w:pPr>
      <w:r>
        <w:rPr>
          <w:b/>
          <w:sz w:val="24"/>
        </w:rPr>
        <w:t>LITERATURE</w:t>
      </w:r>
      <w:r>
        <w:rPr>
          <w:b/>
          <w:spacing w:val="-2"/>
          <w:sz w:val="24"/>
        </w:rPr>
        <w:t> REVIEW</w:t>
      </w:r>
    </w:p>
    <w:p>
      <w:pPr>
        <w:pStyle w:val="BodyText"/>
        <w:rPr>
          <w:b/>
        </w:rPr>
      </w:pPr>
    </w:p>
    <w:p>
      <w:pPr>
        <w:pStyle w:val="Heading1"/>
        <w:numPr>
          <w:ilvl w:val="1"/>
          <w:numId w:val="4"/>
        </w:numPr>
        <w:tabs>
          <w:tab w:pos="1504" w:val="left" w:leader="none"/>
        </w:tabs>
        <w:spacing w:line="240" w:lineRule="auto" w:before="0" w:after="0"/>
        <w:ind w:left="1504" w:right="0" w:hanging="719"/>
        <w:jc w:val="both"/>
      </w:pPr>
      <w:r>
        <w:rPr/>
        <w:t>Concept</w:t>
      </w:r>
      <w:r>
        <w:rPr>
          <w:spacing w:val="-1"/>
        </w:rPr>
        <w:t> </w:t>
      </w:r>
      <w:r>
        <w:rPr/>
        <w:t>of</w:t>
      </w:r>
      <w:r>
        <w:rPr>
          <w:spacing w:val="-1"/>
        </w:rPr>
        <w:t> </w:t>
      </w:r>
      <w:r>
        <w:rPr/>
        <w:t>Social</w:t>
      </w:r>
      <w:r>
        <w:rPr>
          <w:spacing w:val="-1"/>
        </w:rPr>
        <w:t> </w:t>
      </w:r>
      <w:r>
        <w:rPr>
          <w:spacing w:val="-2"/>
        </w:rPr>
        <w:t>Infrastructure</w:t>
      </w:r>
    </w:p>
    <w:p>
      <w:pPr>
        <w:pStyle w:val="BodyText"/>
        <w:spacing w:before="6"/>
        <w:rPr>
          <w:b/>
          <w:sz w:val="23"/>
        </w:rPr>
      </w:pPr>
    </w:p>
    <w:p>
      <w:pPr>
        <w:pStyle w:val="BodyText"/>
        <w:spacing w:line="480" w:lineRule="auto" w:before="1"/>
        <w:ind w:left="785" w:right="254"/>
        <w:jc w:val="both"/>
      </w:pPr>
      <w:r>
        <w:rPr/>
        <w:t>The term ‘infrastructure’ has no universally accepted definition and classification. The taxonomy of the term varies among authors. The existing varying classification of infrastructure includes; economic and social, hard and soft, material and immaterial, core and peripheral, network, nucleus and territorial infrastructure (Gianpiero, 2009). Oguzor (2011) presented social infrastructure as a tool used in third world countries to facilitate</w:t>
      </w:r>
      <w:r>
        <w:rPr>
          <w:spacing w:val="-2"/>
        </w:rPr>
        <w:t> </w:t>
      </w:r>
      <w:r>
        <w:rPr/>
        <w:t>development. In</w:t>
      </w:r>
      <w:r>
        <w:rPr>
          <w:spacing w:val="-2"/>
        </w:rPr>
        <w:t> </w:t>
      </w:r>
      <w:r>
        <w:rPr/>
        <w:t>this</w:t>
      </w:r>
      <w:r>
        <w:rPr>
          <w:spacing w:val="-1"/>
        </w:rPr>
        <w:t> </w:t>
      </w:r>
      <w:r>
        <w:rPr/>
        <w:t>regard,</w:t>
      </w:r>
      <w:r>
        <w:rPr>
          <w:spacing w:val="-2"/>
        </w:rPr>
        <w:t> </w:t>
      </w:r>
      <w:r>
        <w:rPr/>
        <w:t>it</w:t>
      </w:r>
      <w:r>
        <w:rPr>
          <w:spacing w:val="-1"/>
        </w:rPr>
        <w:t> </w:t>
      </w:r>
      <w:r>
        <w:rPr/>
        <w:t>has</w:t>
      </w:r>
      <w:r>
        <w:rPr>
          <w:spacing w:val="-1"/>
        </w:rPr>
        <w:t> </w:t>
      </w:r>
      <w:r>
        <w:rPr/>
        <w:t>more</w:t>
      </w:r>
      <w:r>
        <w:rPr>
          <w:spacing w:val="-3"/>
        </w:rPr>
        <w:t> </w:t>
      </w:r>
      <w:r>
        <w:rPr/>
        <w:t>effect</w:t>
      </w:r>
      <w:r>
        <w:rPr>
          <w:spacing w:val="-1"/>
        </w:rPr>
        <w:t> </w:t>
      </w:r>
      <w:r>
        <w:rPr/>
        <w:t>on</w:t>
      </w:r>
      <w:r>
        <w:rPr>
          <w:spacing w:val="-1"/>
        </w:rPr>
        <w:t> </w:t>
      </w:r>
      <w:r>
        <w:rPr/>
        <w:t>the</w:t>
      </w:r>
      <w:r>
        <w:rPr>
          <w:spacing w:val="-2"/>
        </w:rPr>
        <w:t> </w:t>
      </w:r>
      <w:r>
        <w:rPr/>
        <w:t>socio-economic</w:t>
      </w:r>
      <w:r>
        <w:rPr>
          <w:spacing w:val="-2"/>
        </w:rPr>
        <w:t> </w:t>
      </w:r>
      <w:r>
        <w:rPr/>
        <w:t>aspect</w:t>
      </w:r>
      <w:r>
        <w:rPr>
          <w:spacing w:val="-1"/>
        </w:rPr>
        <w:t> </w:t>
      </w:r>
      <w:r>
        <w:rPr/>
        <w:t>of life because of its so many advantages which includes; creation of employment, reducing migration, generate income and help spread development.</w:t>
      </w:r>
      <w:r>
        <w:rPr>
          <w:spacing w:val="80"/>
        </w:rPr>
        <w:t> </w:t>
      </w:r>
      <w:r>
        <w:rPr/>
        <w:t>Social</w:t>
      </w:r>
      <w:r>
        <w:rPr>
          <w:spacing w:val="40"/>
        </w:rPr>
        <w:t> </w:t>
      </w:r>
      <w:r>
        <w:rPr/>
        <w:t>infrastructure consists of built structures and public facilities that are necessary for human development (Osumgborogwu, 2016). Frolova </w:t>
      </w:r>
      <w:r>
        <w:rPr>
          <w:i/>
        </w:rPr>
        <w:t>et al. </w:t>
      </w:r>
      <w:r>
        <w:rPr/>
        <w:t>(2016) describes social infrastructure as the essential facilities that are meant to satisfy the basic needs of society, and also improve living standard.</w:t>
      </w:r>
    </w:p>
    <w:p>
      <w:pPr>
        <w:pStyle w:val="BodyText"/>
        <w:spacing w:line="480" w:lineRule="auto" w:before="200"/>
        <w:ind w:left="785" w:right="251"/>
        <w:jc w:val="both"/>
      </w:pPr>
      <w:r>
        <w:rPr/>
        <w:t>It is also a form of right for citizenry which becomes an obligation of the state to provide. In other words, it is the responsibility of the governing body of a nation to provide social infrastructural facilities (Akpan and Atser, 2010). The policy provision for social infrastructure and the role of the Federal Government of Nigeria is enshrined in the 2015 National Integrated Infrastructural Master Plan of Nigeria. According to the report, the sub sector of social infrastructure are as follows; health, education, women affairs, labour, information,</w:t>
      </w:r>
      <w:r>
        <w:rPr>
          <w:spacing w:val="-2"/>
        </w:rPr>
        <w:t> </w:t>
      </w:r>
      <w:r>
        <w:rPr/>
        <w:t>environment,</w:t>
      </w:r>
      <w:r>
        <w:rPr>
          <w:spacing w:val="-2"/>
        </w:rPr>
        <w:t> </w:t>
      </w:r>
      <w:r>
        <w:rPr/>
        <w:t>tourism, youth and sports,</w:t>
      </w:r>
      <w:r>
        <w:rPr>
          <w:spacing w:val="-2"/>
        </w:rPr>
        <w:t> </w:t>
      </w:r>
      <w:r>
        <w:rPr/>
        <w:t>social development and productivity. However, all these subsectors are basically subsets of four broad themes under national social infrastructure from which they were derived (National Planning Commission, 2015).</w:t>
      </w:r>
    </w:p>
    <w:p>
      <w:pPr>
        <w:spacing w:after="0" w:line="480" w:lineRule="auto"/>
        <w:jc w:val="both"/>
        <w:sectPr>
          <w:pgSz w:w="11910" w:h="16840"/>
          <w:pgMar w:header="0" w:footer="1003" w:top="1320" w:bottom="1200" w:left="1200" w:right="1160"/>
        </w:sectPr>
      </w:pPr>
    </w:p>
    <w:p>
      <w:pPr>
        <w:pStyle w:val="BodyText"/>
        <w:spacing w:line="480" w:lineRule="auto" w:before="72"/>
        <w:ind w:left="785" w:right="254"/>
        <w:jc w:val="both"/>
      </w:pPr>
      <w:r>
        <w:rPr/>
        <w:t>Biktemirova </w:t>
      </w:r>
      <w:r>
        <w:rPr>
          <w:i/>
        </w:rPr>
        <w:t>et al. </w:t>
      </w:r>
      <w:r>
        <w:rPr/>
        <w:t>(2015) suggested that social infrastructure is an independent economic activity which is understudied but it also has influence on the Gross National Product (GDP) and Gross National Income (GNI). Just like every other market commodity, social infrastructure is a public good which is subjected to forces of</w:t>
      </w:r>
      <w:r>
        <w:rPr>
          <w:spacing w:val="40"/>
        </w:rPr>
        <w:t> </w:t>
      </w:r>
      <w:r>
        <w:rPr/>
        <w:t>demand and supply. Though the impact is understudied but its relevance cannot be neglected. Similarly, Frolova </w:t>
      </w:r>
      <w:r>
        <w:rPr>
          <w:i/>
        </w:rPr>
        <w:t>et al. (</w:t>
      </w:r>
      <w:r>
        <w:rPr/>
        <w:t>2016) has emphasised that the idea of social service and market economy is also critical in the provision of social infrastructure to meet the basic social demands of the community. Where the market economy is broad based focusing on social status improvement of individuals and communities, social service becomes a neo-liberal concept calling on partnership in social infrastructural delivery.</w:t>
      </w:r>
    </w:p>
    <w:p>
      <w:pPr>
        <w:pStyle w:val="BodyText"/>
        <w:spacing w:line="480" w:lineRule="auto" w:before="200"/>
        <w:ind w:left="785" w:right="251"/>
        <w:jc w:val="both"/>
      </w:pPr>
      <w:r>
        <w:rPr/>
        <w:t>Teriman </w:t>
      </w:r>
      <w:r>
        <w:rPr>
          <w:i/>
        </w:rPr>
        <w:t>et al. </w:t>
      </w:r>
      <w:r>
        <w:rPr/>
        <w:t>(2011) has enumerated the function of social infrastructure within the context of urban planning as the provision and availability of facilities that promotes spiritual and social connection, health, education and recreation. Salisu (2016) listed elements or facilities that constitute social infrastructure as, Libraries, Universities, Clinics, Hospitals, Courts, Museums, Theatres, Playgrounds, Parks, Fountains and statues, however the social infrastructure mostly studied are, transportation, health, energy and education.</w:t>
      </w:r>
    </w:p>
    <w:p>
      <w:pPr>
        <w:pStyle w:val="Heading1"/>
        <w:ind w:left="785" w:firstLine="0"/>
      </w:pPr>
      <w:r>
        <w:rPr/>
        <w:t>2.1.2</w:t>
      </w:r>
      <w:r>
        <w:rPr>
          <w:spacing w:val="55"/>
        </w:rPr>
        <w:t>  </w:t>
      </w:r>
      <w:r>
        <w:rPr/>
        <w:t>Sustainable neighbourhood and social </w:t>
      </w:r>
      <w:r>
        <w:rPr>
          <w:spacing w:val="-2"/>
        </w:rPr>
        <w:t>infrastructure</w:t>
      </w:r>
    </w:p>
    <w:p>
      <w:pPr>
        <w:pStyle w:val="BodyText"/>
        <w:spacing w:before="7"/>
        <w:rPr>
          <w:b/>
          <w:sz w:val="23"/>
        </w:rPr>
      </w:pPr>
    </w:p>
    <w:p>
      <w:pPr>
        <w:pStyle w:val="BodyText"/>
        <w:spacing w:line="480" w:lineRule="auto"/>
        <w:ind w:left="785" w:right="256"/>
        <w:jc w:val="both"/>
      </w:pPr>
      <w:r>
        <w:rPr/>
        <w:t>Teriman </w:t>
      </w:r>
      <w:r>
        <w:rPr>
          <w:i/>
        </w:rPr>
        <w:t>et al. </w:t>
      </w:r>
      <w:r>
        <w:rPr/>
        <w:t>(2011) pointed out that sustainable development and social infrastructure are two distinct concepts yet connected by spatial location. On one hand, social infrastructure is perceived as facilities that enhances social capital and quality of life. Sustainable development on the other hand, involves the process of preserving and improving the quality of life over a long period of time. Social infrastructure allocation in both developing and developed nations is carried out using local planning standard which</w:t>
      </w:r>
      <w:r>
        <w:rPr>
          <w:spacing w:val="51"/>
        </w:rPr>
        <w:t> </w:t>
      </w:r>
      <w:r>
        <w:rPr/>
        <w:t>is</w:t>
      </w:r>
      <w:r>
        <w:rPr>
          <w:spacing w:val="54"/>
        </w:rPr>
        <w:t> </w:t>
      </w:r>
      <w:r>
        <w:rPr/>
        <w:t>sometimes</w:t>
      </w:r>
      <w:r>
        <w:rPr>
          <w:spacing w:val="53"/>
        </w:rPr>
        <w:t> </w:t>
      </w:r>
      <w:r>
        <w:rPr/>
        <w:t>based</w:t>
      </w:r>
      <w:r>
        <w:rPr>
          <w:spacing w:val="52"/>
        </w:rPr>
        <w:t> </w:t>
      </w:r>
      <w:r>
        <w:rPr/>
        <w:t>on</w:t>
      </w:r>
      <w:r>
        <w:rPr>
          <w:spacing w:val="55"/>
        </w:rPr>
        <w:t> </w:t>
      </w:r>
      <w:r>
        <w:rPr/>
        <w:t>population.</w:t>
      </w:r>
      <w:r>
        <w:rPr>
          <w:spacing w:val="54"/>
        </w:rPr>
        <w:t> </w:t>
      </w:r>
      <w:r>
        <w:rPr/>
        <w:t>However,</w:t>
      </w:r>
      <w:r>
        <w:rPr>
          <w:spacing w:val="52"/>
        </w:rPr>
        <w:t> </w:t>
      </w:r>
      <w:r>
        <w:rPr/>
        <w:t>the</w:t>
      </w:r>
      <w:r>
        <w:rPr>
          <w:spacing w:val="53"/>
        </w:rPr>
        <w:t> </w:t>
      </w:r>
      <w:r>
        <w:rPr/>
        <w:t>physical</w:t>
      </w:r>
      <w:r>
        <w:rPr>
          <w:spacing w:val="54"/>
        </w:rPr>
        <w:t> </w:t>
      </w:r>
      <w:r>
        <w:rPr/>
        <w:t>and</w:t>
      </w:r>
      <w:r>
        <w:rPr>
          <w:spacing w:val="56"/>
        </w:rPr>
        <w:t> </w:t>
      </w:r>
      <w:r>
        <w:rPr>
          <w:spacing w:val="-2"/>
        </w:rPr>
        <w:t>psychological</w:t>
      </w:r>
    </w:p>
    <w:p>
      <w:pPr>
        <w:spacing w:after="0" w:line="480" w:lineRule="auto"/>
        <w:jc w:val="both"/>
        <w:sectPr>
          <w:pgSz w:w="11910" w:h="16840"/>
          <w:pgMar w:header="0" w:footer="1003" w:top="1320" w:bottom="1200" w:left="1200" w:right="1160"/>
        </w:sectPr>
      </w:pPr>
    </w:p>
    <w:p>
      <w:pPr>
        <w:pStyle w:val="BodyText"/>
        <w:spacing w:line="480" w:lineRule="auto" w:before="72"/>
        <w:ind w:left="785" w:right="251"/>
        <w:jc w:val="both"/>
      </w:pPr>
      <w:r>
        <w:rPr/>
        <w:t>barriers could deprive neighbourhoods from gaining access to facilities when demographic profiles are used as a benchmark for providing social infrastructure.</w:t>
      </w:r>
      <w:r>
        <w:rPr>
          <w:spacing w:val="40"/>
        </w:rPr>
        <w:t> </w:t>
      </w:r>
      <w:r>
        <w:rPr/>
        <w:t>Hence, it is important to realize the impact of social infrastructure to residents’ quality</w:t>
      </w:r>
      <w:r>
        <w:rPr>
          <w:spacing w:val="40"/>
        </w:rPr>
        <w:t> </w:t>
      </w:r>
      <w:r>
        <w:rPr/>
        <w:t>of life. A more pragmatic study of social infrastructure and community sustainability is presented in Brown and Baber (2012) study of Luneside East, Lancaster UK. The study has not only shown that community sustainability relies on access to proper social infrastructure but also makes recommendations that policy makers could also utilize mixed use regulations to provide accessible infrastructure at minimal distance. In siting facilities however, it is important to consider the demographic and social demands of</w:t>
      </w:r>
      <w:r>
        <w:rPr>
          <w:spacing w:val="40"/>
        </w:rPr>
        <w:t> </w:t>
      </w:r>
      <w:r>
        <w:rPr/>
        <w:t>the community, because this would determine the scale, scope, local context, building flexibility, and long term bureaucratic arrangements. Emphasis should dwell on equity as a medium to discourage spatial inequality in the allocation of infrastructure and the best toolkit for ensuring long term bureaucratic arrangements is through mapping.</w:t>
      </w:r>
    </w:p>
    <w:p>
      <w:pPr>
        <w:pStyle w:val="BodyText"/>
        <w:spacing w:line="480" w:lineRule="auto" w:before="201"/>
        <w:ind w:left="785" w:right="254"/>
        <w:jc w:val="both"/>
      </w:pPr>
      <w:r>
        <w:rPr/>
        <w:t>As advocated by</w:t>
      </w:r>
      <w:r>
        <w:rPr>
          <w:spacing w:val="-3"/>
        </w:rPr>
        <w:t> </w:t>
      </w:r>
      <w:r>
        <w:rPr/>
        <w:t>Davern </w:t>
      </w:r>
      <w:r>
        <w:rPr>
          <w:i/>
        </w:rPr>
        <w:t>et al. </w:t>
      </w:r>
      <w:r>
        <w:rPr/>
        <w:t>(2017), accessibility</w:t>
      </w:r>
      <w:r>
        <w:rPr>
          <w:spacing w:val="-3"/>
        </w:rPr>
        <w:t> </w:t>
      </w:r>
      <w:r>
        <w:rPr/>
        <w:t>is vital to the residents if quality</w:t>
      </w:r>
      <w:r>
        <w:rPr>
          <w:spacing w:val="-5"/>
        </w:rPr>
        <w:t> </w:t>
      </w:r>
      <w:r>
        <w:rPr/>
        <w:t>life must be achieved. In this regard, the notion of developing neighbourhoods without social infrastructure should be discouraged. For the sustenance of community</w:t>
      </w:r>
      <w:r>
        <w:rPr>
          <w:spacing w:val="80"/>
        </w:rPr>
        <w:t> </w:t>
      </w:r>
      <w:r>
        <w:rPr/>
        <w:t>wellbeing, there must be a standard and strict regulation to ensure that housing is developed in a proper setting with necessary facilities that meets basic social demands. Shroyer </w:t>
      </w:r>
      <w:r>
        <w:rPr>
          <w:i/>
        </w:rPr>
        <w:t>et al. </w:t>
      </w:r>
      <w:r>
        <w:rPr/>
        <w:t>(2019) revealed that individuals tend to commune in places with sound social infrastructure. It is from sustained conversation and/or interaction especially in forums of shared values that strong relationships are formed. In other words, when people meet in public spaces and interact frequently, a community is built. The role of social infrastructure could be seen as an avenue or facility that strengthens social ties within the neighbourhood. This indicates that social infrastructure is a tool for fostering social cohesion and wellbeing of residents.</w:t>
      </w:r>
    </w:p>
    <w:p>
      <w:pPr>
        <w:spacing w:after="0" w:line="480" w:lineRule="auto"/>
        <w:jc w:val="both"/>
        <w:sectPr>
          <w:pgSz w:w="11910" w:h="16840"/>
          <w:pgMar w:header="0" w:footer="1003" w:top="1320" w:bottom="1200" w:left="1200" w:right="1160"/>
        </w:sectPr>
      </w:pPr>
    </w:p>
    <w:p>
      <w:pPr>
        <w:pStyle w:val="BodyText"/>
        <w:spacing w:line="480" w:lineRule="auto" w:before="72"/>
        <w:ind w:left="785" w:right="255"/>
        <w:jc w:val="both"/>
      </w:pPr>
      <w:r>
        <w:rPr/>
        <w:t>A more recent study presented by Latham and Layton (2019) noted that the public character of a good city is exhibited in the fabric of their social network. Although, promoting social cohesion cannot be the primary or the ultimate function of social infrastructure but an added benefit. Hence, promoting a sense of togetherness in a community is one of the added advantages of existing social infrastructure. Latham and Layton (2019) citing Putman (2000) also illustrated that the informal social network sustains the infrastructure. That is, when people successfully</w:t>
      </w:r>
      <w:r>
        <w:rPr>
          <w:spacing w:val="-2"/>
        </w:rPr>
        <w:t> </w:t>
      </w:r>
      <w:r>
        <w:rPr/>
        <w:t>build a community</w:t>
      </w:r>
      <w:r>
        <w:rPr>
          <w:spacing w:val="-2"/>
        </w:rPr>
        <w:t> </w:t>
      </w:r>
      <w:r>
        <w:rPr/>
        <w:t>of trust and neighbourliness, infrastructure are</w:t>
      </w:r>
      <w:r>
        <w:rPr>
          <w:spacing w:val="-1"/>
        </w:rPr>
        <w:t> </w:t>
      </w:r>
      <w:r>
        <w:rPr/>
        <w:t>equally</w:t>
      </w:r>
      <w:r>
        <w:rPr>
          <w:spacing w:val="-1"/>
        </w:rPr>
        <w:t> </w:t>
      </w:r>
      <w:r>
        <w:rPr/>
        <w:t>guarded, maintained and cared for by</w:t>
      </w:r>
      <w:r>
        <w:rPr>
          <w:spacing w:val="-3"/>
        </w:rPr>
        <w:t> </w:t>
      </w:r>
      <w:r>
        <w:rPr/>
        <w:t>the community. Understanding</w:t>
      </w:r>
      <w:r>
        <w:rPr>
          <w:spacing w:val="-3"/>
        </w:rPr>
        <w:t> </w:t>
      </w:r>
      <w:r>
        <w:rPr/>
        <w:t>the</w:t>
      </w:r>
      <w:r>
        <w:rPr>
          <w:spacing w:val="-2"/>
        </w:rPr>
        <w:t> </w:t>
      </w:r>
      <w:r>
        <w:rPr/>
        <w:t>importance</w:t>
      </w:r>
      <w:r>
        <w:rPr>
          <w:spacing w:val="-2"/>
        </w:rPr>
        <w:t> </w:t>
      </w:r>
      <w:r>
        <w:rPr/>
        <w:t>of</w:t>
      </w:r>
      <w:r>
        <w:rPr>
          <w:spacing w:val="-2"/>
        </w:rPr>
        <w:t> </w:t>
      </w:r>
      <w:r>
        <w:rPr/>
        <w:t>social</w:t>
      </w:r>
      <w:r>
        <w:rPr>
          <w:spacing w:val="-1"/>
        </w:rPr>
        <w:t> </w:t>
      </w:r>
      <w:r>
        <w:rPr/>
        <w:t>network</w:t>
      </w:r>
      <w:r>
        <w:rPr>
          <w:spacing w:val="-2"/>
        </w:rPr>
        <w:t> </w:t>
      </w:r>
      <w:r>
        <w:rPr/>
        <w:t>in</w:t>
      </w:r>
      <w:r>
        <w:rPr>
          <w:spacing w:val="-1"/>
        </w:rPr>
        <w:t> </w:t>
      </w:r>
      <w:r>
        <w:rPr/>
        <w:t>public</w:t>
      </w:r>
      <w:r>
        <w:rPr>
          <w:spacing w:val="-2"/>
        </w:rPr>
        <w:t> </w:t>
      </w:r>
      <w:r>
        <w:rPr/>
        <w:t>life</w:t>
      </w:r>
      <w:r>
        <w:rPr>
          <w:spacing w:val="-1"/>
        </w:rPr>
        <w:t> </w:t>
      </w:r>
      <w:r>
        <w:rPr/>
        <w:t>would</w:t>
      </w:r>
      <w:r>
        <w:rPr>
          <w:spacing w:val="-1"/>
        </w:rPr>
        <w:t> </w:t>
      </w:r>
      <w:r>
        <w:rPr/>
        <w:t>enable city planners to allocate strategic outlet that would promote social mix by recommending central places for social infrastructure.</w:t>
      </w:r>
    </w:p>
    <w:p>
      <w:pPr>
        <w:pStyle w:val="Heading1"/>
        <w:numPr>
          <w:ilvl w:val="1"/>
          <w:numId w:val="4"/>
        </w:numPr>
        <w:tabs>
          <w:tab w:pos="1504" w:val="left" w:leader="none"/>
        </w:tabs>
        <w:spacing w:line="240" w:lineRule="auto" w:before="205" w:after="0"/>
        <w:ind w:left="1504" w:right="0" w:hanging="719"/>
        <w:jc w:val="both"/>
      </w:pPr>
      <w:r>
        <w:rPr/>
        <w:t>Public</w:t>
      </w:r>
      <w:r>
        <w:rPr>
          <w:spacing w:val="-5"/>
        </w:rPr>
        <w:t> </w:t>
      </w:r>
      <w:r>
        <w:rPr/>
        <w:t>Primary</w:t>
      </w:r>
      <w:r>
        <w:rPr>
          <w:spacing w:val="-4"/>
        </w:rPr>
        <w:t> </w:t>
      </w:r>
      <w:r>
        <w:rPr>
          <w:spacing w:val="-2"/>
        </w:rPr>
        <w:t>Schools</w:t>
      </w:r>
    </w:p>
    <w:p>
      <w:pPr>
        <w:pStyle w:val="BodyText"/>
        <w:spacing w:before="7"/>
        <w:rPr>
          <w:b/>
          <w:sz w:val="23"/>
        </w:rPr>
      </w:pPr>
    </w:p>
    <w:p>
      <w:pPr>
        <w:pStyle w:val="BodyText"/>
        <w:spacing w:line="480" w:lineRule="auto"/>
        <w:ind w:left="785" w:right="254"/>
        <w:jc w:val="both"/>
      </w:pPr>
      <w:r>
        <w:rPr/>
        <w:t>Public primary schools are solely managed and controlled by a public agency, council, ministry and committee (Dronkers and Robert, 2003). Haggins and Knight (2011) presented an argument that two schools of thoughts exist in defining public school. The argument is between the formalist and the functionalist, where the former agrees that</w:t>
      </w:r>
      <w:r>
        <w:rPr>
          <w:spacing w:val="80"/>
        </w:rPr>
        <w:t> </w:t>
      </w:r>
      <w:r>
        <w:rPr/>
        <w:t>the three attributes that defines public schools are; financing through tax funding, offering admission to candidates within the districts, overseen by appointed or elected officials. However, the latter concept dwells on the expected performance level of</w:t>
      </w:r>
      <w:r>
        <w:rPr>
          <w:spacing w:val="40"/>
        </w:rPr>
        <w:t> </w:t>
      </w:r>
      <w:r>
        <w:rPr/>
        <w:t>public school in fulfilling its essential goal. Avinash (2017) indicated that, the nature of education even in its elementary form is one of the most essential components that constitute human capital. Dronkers and Robert (2003) in a much earlier study also viewed public primary school as a public provider which has legal and political constraint in the overall management framework. The public primary school also commands</w:t>
      </w:r>
      <w:r>
        <w:rPr>
          <w:spacing w:val="72"/>
        </w:rPr>
        <w:t> </w:t>
      </w:r>
      <w:r>
        <w:rPr/>
        <w:t>the</w:t>
      </w:r>
      <w:r>
        <w:rPr>
          <w:spacing w:val="75"/>
        </w:rPr>
        <w:t> </w:t>
      </w:r>
      <w:r>
        <w:rPr/>
        <w:t>attention</w:t>
      </w:r>
      <w:r>
        <w:rPr>
          <w:spacing w:val="75"/>
        </w:rPr>
        <w:t> </w:t>
      </w:r>
      <w:r>
        <w:rPr/>
        <w:t>of</w:t>
      </w:r>
      <w:r>
        <w:rPr>
          <w:spacing w:val="73"/>
        </w:rPr>
        <w:t> </w:t>
      </w:r>
      <w:r>
        <w:rPr/>
        <w:t>other</w:t>
      </w:r>
      <w:r>
        <w:rPr>
          <w:spacing w:val="74"/>
        </w:rPr>
        <w:t> </w:t>
      </w:r>
      <w:r>
        <w:rPr/>
        <w:t>public</w:t>
      </w:r>
      <w:r>
        <w:rPr>
          <w:spacing w:val="74"/>
        </w:rPr>
        <w:t> </w:t>
      </w:r>
      <w:r>
        <w:rPr/>
        <w:t>institutions</w:t>
      </w:r>
      <w:r>
        <w:rPr>
          <w:spacing w:val="75"/>
        </w:rPr>
        <w:t> </w:t>
      </w:r>
      <w:r>
        <w:rPr/>
        <w:t>like</w:t>
      </w:r>
      <w:r>
        <w:rPr>
          <w:spacing w:val="73"/>
        </w:rPr>
        <w:t> </w:t>
      </w:r>
      <w:r>
        <w:rPr/>
        <w:t>Fire</w:t>
      </w:r>
      <w:r>
        <w:rPr>
          <w:spacing w:val="74"/>
        </w:rPr>
        <w:t> </w:t>
      </w:r>
      <w:r>
        <w:rPr/>
        <w:t>Service,</w:t>
      </w:r>
      <w:r>
        <w:rPr>
          <w:spacing w:val="77"/>
        </w:rPr>
        <w:t> </w:t>
      </w:r>
      <w:r>
        <w:rPr/>
        <w:t>Police</w:t>
      </w:r>
      <w:r>
        <w:rPr>
          <w:spacing w:val="74"/>
        </w:rPr>
        <w:t> </w:t>
      </w:r>
      <w:r>
        <w:rPr>
          <w:spacing w:val="-5"/>
        </w:rPr>
        <w:t>and</w:t>
      </w:r>
    </w:p>
    <w:p>
      <w:pPr>
        <w:spacing w:after="0" w:line="480" w:lineRule="auto"/>
        <w:jc w:val="both"/>
        <w:sectPr>
          <w:pgSz w:w="11910" w:h="16840"/>
          <w:pgMar w:header="0" w:footer="1003" w:top="1320" w:bottom="1200" w:left="1200" w:right="1160"/>
        </w:sectPr>
      </w:pPr>
    </w:p>
    <w:p>
      <w:pPr>
        <w:pStyle w:val="BodyText"/>
        <w:spacing w:line="482" w:lineRule="auto" w:before="72"/>
        <w:ind w:left="785" w:right="255"/>
        <w:jc w:val="both"/>
      </w:pPr>
      <w:r>
        <w:rPr/>
        <w:t>communal socio-cultural activities. Avinash (2017) echoed the importance of public school as a unique political instrument used to combat issues of unemployment and poverty in developing countries.</w:t>
      </w:r>
    </w:p>
    <w:p>
      <w:pPr>
        <w:pStyle w:val="BodyText"/>
        <w:spacing w:line="480" w:lineRule="auto" w:before="191"/>
        <w:ind w:left="785" w:right="254"/>
        <w:jc w:val="both"/>
      </w:pPr>
      <w:r>
        <w:rPr/>
        <w:t>Barret </w:t>
      </w:r>
      <w:r>
        <w:rPr>
          <w:i/>
        </w:rPr>
        <w:t>et al. </w:t>
      </w:r>
      <w:r>
        <w:rPr/>
        <w:t>(2019) acknowledge the efforts of government and societies towards improving</w:t>
      </w:r>
      <w:r>
        <w:rPr>
          <w:spacing w:val="-4"/>
        </w:rPr>
        <w:t> </w:t>
      </w:r>
      <w:r>
        <w:rPr/>
        <w:t>the</w:t>
      </w:r>
      <w:r>
        <w:rPr>
          <w:spacing w:val="-2"/>
        </w:rPr>
        <w:t> </w:t>
      </w:r>
      <w:r>
        <w:rPr/>
        <w:t>educational</w:t>
      </w:r>
      <w:r>
        <w:rPr>
          <w:spacing w:val="-1"/>
        </w:rPr>
        <w:t> </w:t>
      </w:r>
      <w:r>
        <w:rPr/>
        <w:t>systems</w:t>
      </w:r>
      <w:r>
        <w:rPr>
          <w:spacing w:val="-1"/>
        </w:rPr>
        <w:t> </w:t>
      </w:r>
      <w:r>
        <w:rPr/>
        <w:t>of</w:t>
      </w:r>
      <w:r>
        <w:rPr>
          <w:spacing w:val="-2"/>
        </w:rPr>
        <w:t> </w:t>
      </w:r>
      <w:r>
        <w:rPr/>
        <w:t>the</w:t>
      </w:r>
      <w:r>
        <w:rPr>
          <w:spacing w:val="-2"/>
        </w:rPr>
        <w:t> </w:t>
      </w:r>
      <w:r>
        <w:rPr/>
        <w:t>world. Schools</w:t>
      </w:r>
      <w:r>
        <w:rPr>
          <w:spacing w:val="-1"/>
        </w:rPr>
        <w:t> </w:t>
      </w:r>
      <w:r>
        <w:rPr/>
        <w:t>have</w:t>
      </w:r>
      <w:r>
        <w:rPr>
          <w:spacing w:val="-2"/>
        </w:rPr>
        <w:t> </w:t>
      </w:r>
      <w:r>
        <w:rPr/>
        <w:t>set</w:t>
      </w:r>
      <w:r>
        <w:rPr>
          <w:spacing w:val="-1"/>
        </w:rPr>
        <w:t> </w:t>
      </w:r>
      <w:r>
        <w:rPr/>
        <w:t>of</w:t>
      </w:r>
      <w:r>
        <w:rPr>
          <w:spacing w:val="-2"/>
        </w:rPr>
        <w:t> </w:t>
      </w:r>
      <w:r>
        <w:rPr/>
        <w:t>aspirations</w:t>
      </w:r>
      <w:r>
        <w:rPr>
          <w:spacing w:val="-1"/>
        </w:rPr>
        <w:t> </w:t>
      </w:r>
      <w:r>
        <w:rPr/>
        <w:t>and</w:t>
      </w:r>
      <w:r>
        <w:rPr>
          <w:spacing w:val="-1"/>
        </w:rPr>
        <w:t> </w:t>
      </w:r>
      <w:r>
        <w:rPr/>
        <w:t>that include; accessibility, safety and health, optimal space for learning, fitting into context and effective implementation of objectives and vision. Obi and Ezemba (2019) stated that the objective of primary education includes instilling knowledge, skills and morals, encouraging reflective thinking, good character and adaptability in pupils.</w:t>
      </w:r>
    </w:p>
    <w:p>
      <w:pPr>
        <w:pStyle w:val="Heading1"/>
        <w:numPr>
          <w:ilvl w:val="2"/>
          <w:numId w:val="4"/>
        </w:numPr>
        <w:tabs>
          <w:tab w:pos="1504" w:val="left" w:leader="none"/>
        </w:tabs>
        <w:spacing w:line="240" w:lineRule="auto" w:before="205" w:after="0"/>
        <w:ind w:left="1504" w:right="0" w:hanging="719"/>
        <w:jc w:val="both"/>
      </w:pPr>
      <w:r>
        <w:rPr/>
        <w:t>Planning</w:t>
      </w:r>
      <w:r>
        <w:rPr>
          <w:spacing w:val="-1"/>
        </w:rPr>
        <w:t> </w:t>
      </w:r>
      <w:r>
        <w:rPr/>
        <w:t>standards</w:t>
      </w:r>
      <w:r>
        <w:rPr>
          <w:spacing w:val="-4"/>
        </w:rPr>
        <w:t> </w:t>
      </w:r>
      <w:r>
        <w:rPr/>
        <w:t>for</w:t>
      </w:r>
      <w:r>
        <w:rPr>
          <w:spacing w:val="-2"/>
        </w:rPr>
        <w:t> </w:t>
      </w:r>
      <w:r>
        <w:rPr/>
        <w:t>public</w:t>
      </w:r>
      <w:r>
        <w:rPr>
          <w:spacing w:val="-2"/>
        </w:rPr>
        <w:t> </w:t>
      </w:r>
      <w:r>
        <w:rPr/>
        <w:t>primary</w:t>
      </w:r>
      <w:r>
        <w:rPr>
          <w:spacing w:val="-1"/>
        </w:rPr>
        <w:t> </w:t>
      </w:r>
      <w:r>
        <w:rPr>
          <w:spacing w:val="-2"/>
        </w:rPr>
        <w:t>schools</w:t>
      </w:r>
    </w:p>
    <w:p>
      <w:pPr>
        <w:pStyle w:val="BodyText"/>
        <w:spacing w:before="7"/>
        <w:rPr>
          <w:b/>
          <w:sz w:val="23"/>
        </w:rPr>
      </w:pPr>
    </w:p>
    <w:p>
      <w:pPr>
        <w:pStyle w:val="BodyText"/>
        <w:spacing w:line="480" w:lineRule="auto"/>
        <w:ind w:left="785" w:right="252"/>
        <w:jc w:val="both"/>
      </w:pPr>
      <w:r>
        <w:rPr/>
        <w:t>Schools are fixed infrastructural investments and its location influences trip patterns. The earliest size and location guideline for school development was developed by Cooper</w:t>
      </w:r>
      <w:r>
        <w:rPr>
          <w:spacing w:val="-2"/>
        </w:rPr>
        <w:t> </w:t>
      </w:r>
      <w:r>
        <w:rPr/>
        <w:t>in</w:t>
      </w:r>
      <w:r>
        <w:rPr>
          <w:spacing w:val="-2"/>
        </w:rPr>
        <w:t> </w:t>
      </w:r>
      <w:r>
        <w:rPr/>
        <w:t>1925 cited</w:t>
      </w:r>
      <w:r>
        <w:rPr>
          <w:spacing w:val="-2"/>
        </w:rPr>
        <w:t> </w:t>
      </w:r>
      <w:r>
        <w:rPr/>
        <w:t>by</w:t>
      </w:r>
      <w:r>
        <w:rPr>
          <w:spacing w:val="-5"/>
        </w:rPr>
        <w:t> </w:t>
      </w:r>
      <w:r>
        <w:rPr/>
        <w:t>Noreen (2010) and</w:t>
      </w:r>
      <w:r>
        <w:rPr>
          <w:spacing w:val="-2"/>
        </w:rPr>
        <w:t> </w:t>
      </w:r>
      <w:r>
        <w:rPr/>
        <w:t>it</w:t>
      </w:r>
      <w:r>
        <w:rPr>
          <w:spacing w:val="-2"/>
        </w:rPr>
        <w:t> </w:t>
      </w:r>
      <w:r>
        <w:rPr/>
        <w:t>suggested</w:t>
      </w:r>
      <w:r>
        <w:rPr>
          <w:spacing w:val="-1"/>
        </w:rPr>
        <w:t> </w:t>
      </w:r>
      <w:r>
        <w:rPr/>
        <w:t>that</w:t>
      </w:r>
      <w:r>
        <w:rPr>
          <w:spacing w:val="-2"/>
        </w:rPr>
        <w:t> </w:t>
      </w:r>
      <w:r>
        <w:rPr/>
        <w:t>schools should</w:t>
      </w:r>
      <w:r>
        <w:rPr>
          <w:spacing w:val="-2"/>
        </w:rPr>
        <w:t> </w:t>
      </w:r>
      <w:r>
        <w:rPr/>
        <w:t>be</w:t>
      </w:r>
      <w:r>
        <w:rPr>
          <w:spacing w:val="-3"/>
        </w:rPr>
        <w:t> </w:t>
      </w:r>
      <w:r>
        <w:rPr/>
        <w:t>adequate in</w:t>
      </w:r>
      <w:r>
        <w:rPr>
          <w:spacing w:val="-2"/>
        </w:rPr>
        <w:t> </w:t>
      </w:r>
      <w:r>
        <w:rPr/>
        <w:t>size</w:t>
      </w:r>
      <w:r>
        <w:rPr>
          <w:spacing w:val="-3"/>
        </w:rPr>
        <w:t> </w:t>
      </w:r>
      <w:r>
        <w:rPr/>
        <w:t>to</w:t>
      </w:r>
      <w:r>
        <w:rPr>
          <w:spacing w:val="-2"/>
        </w:rPr>
        <w:t> </w:t>
      </w:r>
      <w:r>
        <w:rPr/>
        <w:t>accommodate</w:t>
      </w:r>
      <w:r>
        <w:rPr>
          <w:spacing w:val="-2"/>
        </w:rPr>
        <w:t> </w:t>
      </w:r>
      <w:r>
        <w:rPr/>
        <w:t>classroom</w:t>
      </w:r>
      <w:r>
        <w:rPr>
          <w:spacing w:val="-3"/>
        </w:rPr>
        <w:t> </w:t>
      </w:r>
      <w:r>
        <w:rPr/>
        <w:t>and</w:t>
      </w:r>
      <w:r>
        <w:rPr>
          <w:spacing w:val="-2"/>
        </w:rPr>
        <w:t> </w:t>
      </w:r>
      <w:r>
        <w:rPr/>
        <w:t>outdoor</w:t>
      </w:r>
      <w:r>
        <w:rPr>
          <w:spacing w:val="-1"/>
        </w:rPr>
        <w:t> </w:t>
      </w:r>
      <w:r>
        <w:rPr/>
        <w:t>activities.</w:t>
      </w:r>
      <w:r>
        <w:rPr>
          <w:spacing w:val="-2"/>
        </w:rPr>
        <w:t> </w:t>
      </w:r>
      <w:r>
        <w:rPr/>
        <w:t>The</w:t>
      </w:r>
      <w:r>
        <w:rPr>
          <w:spacing w:val="-3"/>
        </w:rPr>
        <w:t> </w:t>
      </w:r>
      <w:r>
        <w:rPr/>
        <w:t>location</w:t>
      </w:r>
      <w:r>
        <w:rPr>
          <w:spacing w:val="-2"/>
        </w:rPr>
        <w:t> </w:t>
      </w:r>
      <w:r>
        <w:rPr/>
        <w:t>of</w:t>
      </w:r>
      <w:r>
        <w:rPr>
          <w:spacing w:val="-3"/>
        </w:rPr>
        <w:t> </w:t>
      </w:r>
      <w:r>
        <w:rPr/>
        <w:t>schools</w:t>
      </w:r>
      <w:r>
        <w:rPr>
          <w:spacing w:val="-2"/>
        </w:rPr>
        <w:t> </w:t>
      </w:r>
      <w:r>
        <w:rPr/>
        <w:t>should be far from noise and air polluted areas. This guideline was first adopted in USA during the industrial revolution until when the standards were advanced into measureable guidelines</w:t>
      </w:r>
      <w:r>
        <w:rPr>
          <w:spacing w:val="-1"/>
        </w:rPr>
        <w:t> </w:t>
      </w:r>
      <w:r>
        <w:rPr/>
        <w:t>between 1929 and 1974 by</w:t>
      </w:r>
      <w:r>
        <w:rPr>
          <w:spacing w:val="-8"/>
        </w:rPr>
        <w:t> </w:t>
      </w:r>
      <w:r>
        <w:rPr/>
        <w:t>the</w:t>
      </w:r>
      <w:r>
        <w:rPr>
          <w:spacing w:val="-1"/>
        </w:rPr>
        <w:t> </w:t>
      </w:r>
      <w:r>
        <w:rPr/>
        <w:t>works</w:t>
      </w:r>
      <w:r>
        <w:rPr>
          <w:spacing w:val="-1"/>
        </w:rPr>
        <w:t> </w:t>
      </w:r>
      <w:r>
        <w:rPr/>
        <w:t>of</w:t>
      </w:r>
      <w:r>
        <w:rPr>
          <w:spacing w:val="-1"/>
        </w:rPr>
        <w:t> </w:t>
      </w:r>
      <w:r>
        <w:rPr/>
        <w:t>Strayer</w:t>
      </w:r>
      <w:r>
        <w:rPr>
          <w:spacing w:val="-1"/>
        </w:rPr>
        <w:t> </w:t>
      </w:r>
      <w:r>
        <w:rPr/>
        <w:t>and Engelhardt</w:t>
      </w:r>
      <w:r>
        <w:rPr>
          <w:spacing w:val="-1"/>
        </w:rPr>
        <w:t> </w:t>
      </w:r>
      <w:r>
        <w:rPr/>
        <w:t>and Clarence Perry (Noreen, 2010). Minimum land area for primary school (elementary school) was first recommended by Strayer and Engelhard. The guideline stipulated that elementary school grade pupils should not travel more than one and a half kilometres and the minimum size of the school should be two hectares. It was these guidelines that influence Clearance Perry (1929) neighbourhood unit concept. The location of primary school is at the neighbourhood centres which allow fair access from all side. The proposed</w:t>
      </w:r>
      <w:r>
        <w:rPr>
          <w:spacing w:val="29"/>
        </w:rPr>
        <w:t> </w:t>
      </w:r>
      <w:r>
        <w:rPr/>
        <w:t>maximum</w:t>
      </w:r>
      <w:r>
        <w:rPr>
          <w:spacing w:val="30"/>
        </w:rPr>
        <w:t> </w:t>
      </w:r>
      <w:r>
        <w:rPr/>
        <w:t>service</w:t>
      </w:r>
      <w:r>
        <w:rPr>
          <w:spacing w:val="29"/>
        </w:rPr>
        <w:t> </w:t>
      </w:r>
      <w:r>
        <w:rPr/>
        <w:t>radius</w:t>
      </w:r>
      <w:r>
        <w:rPr>
          <w:spacing w:val="30"/>
        </w:rPr>
        <w:t> </w:t>
      </w:r>
      <w:r>
        <w:rPr/>
        <w:t>in</w:t>
      </w:r>
      <w:r>
        <w:rPr>
          <w:spacing w:val="30"/>
        </w:rPr>
        <w:t> </w:t>
      </w:r>
      <w:r>
        <w:rPr/>
        <w:t>the</w:t>
      </w:r>
      <w:r>
        <w:rPr>
          <w:spacing w:val="29"/>
        </w:rPr>
        <w:t> </w:t>
      </w:r>
      <w:r>
        <w:rPr/>
        <w:t>neighbourhood</w:t>
      </w:r>
      <w:r>
        <w:rPr>
          <w:spacing w:val="29"/>
        </w:rPr>
        <w:t> </w:t>
      </w:r>
      <w:r>
        <w:rPr/>
        <w:t>concept</w:t>
      </w:r>
      <w:r>
        <w:rPr>
          <w:spacing w:val="30"/>
        </w:rPr>
        <w:t> </w:t>
      </w:r>
      <w:r>
        <w:rPr/>
        <w:t>is</w:t>
      </w:r>
      <w:r>
        <w:rPr>
          <w:spacing w:val="30"/>
        </w:rPr>
        <w:t> </w:t>
      </w:r>
      <w:r>
        <w:rPr/>
        <w:t>800metres.</w:t>
      </w:r>
      <w:r>
        <w:rPr>
          <w:spacing w:val="36"/>
        </w:rPr>
        <w:t> </w:t>
      </w:r>
      <w:r>
        <w:rPr>
          <w:spacing w:val="-2"/>
        </w:rPr>
        <w:t>These</w:t>
      </w:r>
    </w:p>
    <w:p>
      <w:pPr>
        <w:spacing w:after="0" w:line="480" w:lineRule="auto"/>
        <w:jc w:val="both"/>
        <w:sectPr>
          <w:pgSz w:w="11910" w:h="16840"/>
          <w:pgMar w:header="0" w:footer="1003" w:top="1320" w:bottom="1200" w:left="1200" w:right="1160"/>
        </w:sectPr>
      </w:pPr>
    </w:p>
    <w:p>
      <w:pPr>
        <w:pStyle w:val="BodyText"/>
        <w:spacing w:line="482" w:lineRule="auto" w:before="72"/>
        <w:ind w:left="785" w:right="257"/>
        <w:jc w:val="both"/>
      </w:pPr>
      <w:r>
        <w:rPr/>
        <w:t>guidelines were the first measurable guidelines for siting primary schools in the USA and it has influence on subsequent planning guidelines (Noreen, 2010).</w:t>
      </w:r>
    </w:p>
    <w:p>
      <w:pPr>
        <w:pStyle w:val="BodyText"/>
        <w:spacing w:line="480" w:lineRule="auto" w:before="194"/>
        <w:ind w:left="785" w:right="250"/>
        <w:jc w:val="both"/>
      </w:pPr>
      <w:r>
        <w:rPr/>
        <w:t>Accessibility</w:t>
      </w:r>
      <w:r>
        <w:rPr>
          <w:spacing w:val="-4"/>
        </w:rPr>
        <w:t> </w:t>
      </w:r>
      <w:r>
        <w:rPr/>
        <w:t>by</w:t>
      </w:r>
      <w:r>
        <w:rPr>
          <w:spacing w:val="-2"/>
        </w:rPr>
        <w:t> </w:t>
      </w:r>
      <w:r>
        <w:rPr/>
        <w:t>Egbosi and Offor (2016) refers to the ability</w:t>
      </w:r>
      <w:r>
        <w:rPr>
          <w:spacing w:val="-4"/>
        </w:rPr>
        <w:t> </w:t>
      </w:r>
      <w:r>
        <w:rPr/>
        <w:t>of primary</w:t>
      </w:r>
      <w:r>
        <w:rPr>
          <w:spacing w:val="-2"/>
        </w:rPr>
        <w:t> </w:t>
      </w:r>
      <w:r>
        <w:rPr/>
        <w:t>education to be within the reach of the masses, which is the responsibility of the society. However, the standard about space for learning is debatable. Conant (1959) arguments cited in Barret </w:t>
      </w:r>
      <w:r>
        <w:rPr>
          <w:i/>
        </w:rPr>
        <w:t>et al. </w:t>
      </w:r>
      <w:r>
        <w:rPr/>
        <w:t>(2019) which influenced the public school design in USA was that “the larger the school, the</w:t>
      </w:r>
      <w:r>
        <w:rPr>
          <w:spacing w:val="-1"/>
        </w:rPr>
        <w:t> </w:t>
      </w:r>
      <w:r>
        <w:rPr/>
        <w:t>lower</w:t>
      </w:r>
      <w:r>
        <w:rPr>
          <w:spacing w:val="-1"/>
        </w:rPr>
        <w:t> </w:t>
      </w:r>
      <w:r>
        <w:rPr/>
        <w:t>the</w:t>
      </w:r>
      <w:r>
        <w:rPr>
          <w:spacing w:val="-1"/>
        </w:rPr>
        <w:t> </w:t>
      </w:r>
      <w:r>
        <w:rPr/>
        <w:t>cost per</w:t>
      </w:r>
      <w:r>
        <w:rPr>
          <w:spacing w:val="-1"/>
        </w:rPr>
        <w:t> </w:t>
      </w:r>
      <w:r>
        <w:rPr/>
        <w:t>student.”</w:t>
      </w:r>
      <w:r>
        <w:rPr>
          <w:spacing w:val="40"/>
        </w:rPr>
        <w:t> </w:t>
      </w:r>
      <w:r>
        <w:rPr/>
        <w:t>Later</w:t>
      </w:r>
      <w:r>
        <w:rPr>
          <w:spacing w:val="-1"/>
        </w:rPr>
        <w:t> </w:t>
      </w:r>
      <w:r>
        <w:rPr/>
        <w:t>study</w:t>
      </w:r>
      <w:r>
        <w:rPr>
          <w:spacing w:val="-2"/>
        </w:rPr>
        <w:t> </w:t>
      </w:r>
      <w:r>
        <w:rPr/>
        <w:t>by</w:t>
      </w:r>
      <w:r>
        <w:rPr>
          <w:spacing w:val="-5"/>
        </w:rPr>
        <w:t> </w:t>
      </w:r>
      <w:r>
        <w:rPr/>
        <w:t>Bingler </w:t>
      </w:r>
      <w:r>
        <w:rPr>
          <w:i/>
        </w:rPr>
        <w:t>et al. </w:t>
      </w:r>
      <w:r>
        <w:rPr/>
        <w:t>(2002) showed that schools can be small in size and still remain operational and cost effective. More so, small schools can take advantage of its size by creating a friendlier learning</w:t>
      </w:r>
      <w:r>
        <w:rPr>
          <w:spacing w:val="40"/>
        </w:rPr>
        <w:t> </w:t>
      </w:r>
      <w:r>
        <w:rPr/>
        <w:t>environment and more inclusive environment. Garnham (2015) declared the availability of land, the desire for</w:t>
      </w:r>
      <w:r>
        <w:rPr>
          <w:spacing w:val="-1"/>
        </w:rPr>
        <w:t> </w:t>
      </w:r>
      <w:r>
        <w:rPr/>
        <w:t>public schools to incorporate community</w:t>
      </w:r>
      <w:r>
        <w:rPr>
          <w:spacing w:val="-2"/>
        </w:rPr>
        <w:t> </w:t>
      </w:r>
      <w:r>
        <w:rPr/>
        <w:t>facilities into design and the cost of land acquisition as the factors that influence the siting of schools. One of the implications is that, it becomes challenging for policy makers to adopt service radius</w:t>
      </w:r>
      <w:r>
        <w:rPr>
          <w:spacing w:val="40"/>
        </w:rPr>
        <w:t> </w:t>
      </w:r>
      <w:r>
        <w:rPr/>
        <w:t>and land use standards as criteria for allocating space for school. This would in turn influence the trip pattern and average distance travelled by pupils to reach their respective schools. Opoh </w:t>
      </w:r>
      <w:r>
        <w:rPr>
          <w:i/>
        </w:rPr>
        <w:t>et al</w:t>
      </w:r>
      <w:r>
        <w:rPr/>
        <w:t>. (2014) and Egbosi and Offor (2016) agreed that the Universal</w:t>
      </w:r>
      <w:r>
        <w:rPr>
          <w:spacing w:val="-1"/>
        </w:rPr>
        <w:t> </w:t>
      </w:r>
      <w:r>
        <w:rPr/>
        <w:t>Basic</w:t>
      </w:r>
      <w:r>
        <w:rPr>
          <w:spacing w:val="-1"/>
        </w:rPr>
        <w:t> </w:t>
      </w:r>
      <w:r>
        <w:rPr/>
        <w:t>Education</w:t>
      </w:r>
      <w:r>
        <w:rPr>
          <w:spacing w:val="-2"/>
        </w:rPr>
        <w:t> </w:t>
      </w:r>
      <w:r>
        <w:rPr/>
        <w:t>(UBE)</w:t>
      </w:r>
      <w:r>
        <w:rPr>
          <w:spacing w:val="-3"/>
        </w:rPr>
        <w:t> </w:t>
      </w:r>
      <w:r>
        <w:rPr/>
        <w:t>Standard</w:t>
      </w:r>
      <w:r>
        <w:rPr>
          <w:spacing w:val="-1"/>
        </w:rPr>
        <w:t> </w:t>
      </w:r>
      <w:r>
        <w:rPr/>
        <w:t>Action</w:t>
      </w:r>
      <w:r>
        <w:rPr>
          <w:spacing w:val="-1"/>
        </w:rPr>
        <w:t> </w:t>
      </w:r>
      <w:r>
        <w:rPr/>
        <w:t>Plan</w:t>
      </w:r>
      <w:r>
        <w:rPr>
          <w:spacing w:val="-2"/>
        </w:rPr>
        <w:t> </w:t>
      </w:r>
      <w:r>
        <w:rPr/>
        <w:t>is</w:t>
      </w:r>
      <w:r>
        <w:rPr>
          <w:spacing w:val="-2"/>
        </w:rPr>
        <w:t> </w:t>
      </w:r>
      <w:r>
        <w:rPr/>
        <w:t>the</w:t>
      </w:r>
      <w:r>
        <w:rPr>
          <w:spacing w:val="-3"/>
        </w:rPr>
        <w:t> </w:t>
      </w:r>
      <w:r>
        <w:rPr/>
        <w:t>most adopted</w:t>
      </w:r>
      <w:r>
        <w:rPr>
          <w:spacing w:val="-1"/>
        </w:rPr>
        <w:t> </w:t>
      </w:r>
      <w:r>
        <w:rPr/>
        <w:t>guideline</w:t>
      </w:r>
      <w:r>
        <w:rPr>
          <w:spacing w:val="-3"/>
        </w:rPr>
        <w:t> </w:t>
      </w:r>
      <w:r>
        <w:rPr/>
        <w:t>in public primary school management of Nigeria. The following Criteria are contained the UBE Standard Action Plan;</w:t>
      </w:r>
    </w:p>
    <w:p>
      <w:pPr>
        <w:pStyle w:val="ListParagraph"/>
        <w:numPr>
          <w:ilvl w:val="3"/>
          <w:numId w:val="4"/>
        </w:numPr>
        <w:tabs>
          <w:tab w:pos="1505" w:val="left" w:leader="none"/>
        </w:tabs>
        <w:spacing w:line="480" w:lineRule="auto" w:before="2" w:after="0"/>
        <w:ind w:left="1505" w:right="258" w:hanging="488"/>
        <w:jc w:val="left"/>
        <w:rPr>
          <w:sz w:val="24"/>
        </w:rPr>
      </w:pPr>
      <w:r>
        <w:rPr>
          <w:sz w:val="24"/>
        </w:rPr>
        <w:t>Accessibility</w:t>
      </w:r>
      <w:r>
        <w:rPr>
          <w:spacing w:val="-4"/>
          <w:sz w:val="24"/>
        </w:rPr>
        <w:t> </w:t>
      </w:r>
      <w:r>
        <w:rPr>
          <w:sz w:val="24"/>
        </w:rPr>
        <w:t>to the central school must be good and schools must be established within maximum radius of 3-4km of cluster settlements.</w:t>
      </w:r>
    </w:p>
    <w:p>
      <w:pPr>
        <w:pStyle w:val="ListParagraph"/>
        <w:numPr>
          <w:ilvl w:val="3"/>
          <w:numId w:val="4"/>
        </w:numPr>
        <w:tabs>
          <w:tab w:pos="1505" w:val="left" w:leader="none"/>
        </w:tabs>
        <w:spacing w:line="480" w:lineRule="auto" w:before="0" w:after="0"/>
        <w:ind w:left="1505" w:right="264" w:hanging="555"/>
        <w:jc w:val="left"/>
        <w:rPr>
          <w:sz w:val="24"/>
        </w:rPr>
      </w:pPr>
      <w:r>
        <w:rPr>
          <w:sz w:val="24"/>
        </w:rPr>
        <w:t>Schools</w:t>
      </w:r>
      <w:r>
        <w:rPr>
          <w:spacing w:val="40"/>
          <w:sz w:val="24"/>
        </w:rPr>
        <w:t> </w:t>
      </w:r>
      <w:r>
        <w:rPr>
          <w:sz w:val="24"/>
        </w:rPr>
        <w:t>should</w:t>
      </w:r>
      <w:r>
        <w:rPr>
          <w:spacing w:val="40"/>
          <w:sz w:val="24"/>
        </w:rPr>
        <w:t> </w:t>
      </w:r>
      <w:r>
        <w:rPr>
          <w:sz w:val="24"/>
        </w:rPr>
        <w:t>have</w:t>
      </w:r>
      <w:r>
        <w:rPr>
          <w:spacing w:val="40"/>
          <w:sz w:val="24"/>
        </w:rPr>
        <w:t> </w:t>
      </w:r>
      <w:r>
        <w:rPr>
          <w:sz w:val="24"/>
        </w:rPr>
        <w:t>an</w:t>
      </w:r>
      <w:r>
        <w:rPr>
          <w:spacing w:val="40"/>
          <w:sz w:val="24"/>
        </w:rPr>
        <w:t> </w:t>
      </w:r>
      <w:r>
        <w:rPr>
          <w:sz w:val="24"/>
        </w:rPr>
        <w:t>architecturally</w:t>
      </w:r>
      <w:r>
        <w:rPr>
          <w:spacing w:val="40"/>
          <w:sz w:val="24"/>
        </w:rPr>
        <w:t> </w:t>
      </w:r>
      <w:r>
        <w:rPr>
          <w:sz w:val="24"/>
        </w:rPr>
        <w:t>aesthetic</w:t>
      </w:r>
      <w:r>
        <w:rPr>
          <w:spacing w:val="40"/>
          <w:sz w:val="24"/>
        </w:rPr>
        <w:t> </w:t>
      </w:r>
      <w:r>
        <w:rPr>
          <w:sz w:val="24"/>
        </w:rPr>
        <w:t>and</w:t>
      </w:r>
      <w:r>
        <w:rPr>
          <w:spacing w:val="40"/>
          <w:sz w:val="24"/>
        </w:rPr>
        <w:t> </w:t>
      </w:r>
      <w:r>
        <w:rPr>
          <w:sz w:val="24"/>
        </w:rPr>
        <w:t>well</w:t>
      </w:r>
      <w:r>
        <w:rPr>
          <w:spacing w:val="40"/>
          <w:sz w:val="24"/>
        </w:rPr>
        <w:t> </w:t>
      </w:r>
      <w:r>
        <w:rPr>
          <w:sz w:val="24"/>
        </w:rPr>
        <w:t>landscaped</w:t>
      </w:r>
      <w:r>
        <w:rPr>
          <w:spacing w:val="40"/>
          <w:sz w:val="24"/>
        </w:rPr>
        <w:t> </w:t>
      </w:r>
      <w:r>
        <w:rPr>
          <w:sz w:val="24"/>
        </w:rPr>
        <w:t>(soft</w:t>
      </w:r>
      <w:r>
        <w:rPr>
          <w:spacing w:val="80"/>
          <w:sz w:val="24"/>
        </w:rPr>
        <w:t> </w:t>
      </w:r>
      <w:r>
        <w:rPr>
          <w:sz w:val="24"/>
        </w:rPr>
        <w:t>scape) environment that should encourage student attendance.</w:t>
      </w:r>
    </w:p>
    <w:p>
      <w:pPr>
        <w:pStyle w:val="ListParagraph"/>
        <w:numPr>
          <w:ilvl w:val="3"/>
          <w:numId w:val="4"/>
        </w:numPr>
        <w:tabs>
          <w:tab w:pos="1505" w:val="left" w:leader="none"/>
        </w:tabs>
        <w:spacing w:line="240" w:lineRule="auto" w:before="0" w:after="0"/>
        <w:ind w:left="1505" w:right="0" w:hanging="619"/>
        <w:jc w:val="left"/>
        <w:rPr>
          <w:sz w:val="24"/>
        </w:rPr>
      </w:pPr>
      <w:r>
        <w:rPr>
          <w:sz w:val="24"/>
        </w:rPr>
        <w:t>Schools</w:t>
      </w:r>
      <w:r>
        <w:rPr>
          <w:spacing w:val="-1"/>
          <w:sz w:val="24"/>
        </w:rPr>
        <w:t> </w:t>
      </w:r>
      <w:r>
        <w:rPr>
          <w:sz w:val="24"/>
        </w:rPr>
        <w:t>should</w:t>
      </w:r>
      <w:r>
        <w:rPr>
          <w:spacing w:val="-1"/>
          <w:sz w:val="24"/>
        </w:rPr>
        <w:t> </w:t>
      </w:r>
      <w:r>
        <w:rPr>
          <w:sz w:val="24"/>
        </w:rPr>
        <w:t>have</w:t>
      </w:r>
      <w:r>
        <w:rPr>
          <w:spacing w:val="-2"/>
          <w:sz w:val="24"/>
        </w:rPr>
        <w:t> </w:t>
      </w:r>
      <w:r>
        <w:rPr>
          <w:sz w:val="24"/>
        </w:rPr>
        <w:t>recreational</w:t>
      </w:r>
      <w:r>
        <w:rPr>
          <w:spacing w:val="-1"/>
          <w:sz w:val="24"/>
        </w:rPr>
        <w:t> </w:t>
      </w:r>
      <w:r>
        <w:rPr>
          <w:spacing w:val="-2"/>
          <w:sz w:val="24"/>
        </w:rPr>
        <w:t>facilities</w:t>
      </w:r>
    </w:p>
    <w:p>
      <w:pPr>
        <w:spacing w:after="0" w:line="240" w:lineRule="auto"/>
        <w:jc w:val="left"/>
        <w:rPr>
          <w:sz w:val="24"/>
        </w:rPr>
        <w:sectPr>
          <w:pgSz w:w="11910" w:h="16840"/>
          <w:pgMar w:header="0" w:footer="1003" w:top="1320" w:bottom="1200" w:left="1200" w:right="1160"/>
        </w:sectPr>
      </w:pPr>
    </w:p>
    <w:p>
      <w:pPr>
        <w:pStyle w:val="ListParagraph"/>
        <w:numPr>
          <w:ilvl w:val="3"/>
          <w:numId w:val="4"/>
        </w:numPr>
        <w:tabs>
          <w:tab w:pos="1505" w:val="left" w:leader="none"/>
        </w:tabs>
        <w:spacing w:line="482" w:lineRule="auto" w:before="72" w:after="0"/>
        <w:ind w:left="1505" w:right="260" w:hanging="608"/>
        <w:jc w:val="left"/>
        <w:rPr>
          <w:sz w:val="24"/>
        </w:rPr>
      </w:pPr>
      <w:r>
        <w:rPr>
          <w:sz w:val="24"/>
        </w:rPr>
        <w:t>Improve transportation methods that would ensure safety, reduce cost and travel time of pupils to school.</w:t>
      </w:r>
    </w:p>
    <w:p>
      <w:pPr>
        <w:pStyle w:val="Heading1"/>
        <w:numPr>
          <w:ilvl w:val="2"/>
          <w:numId w:val="4"/>
        </w:numPr>
        <w:tabs>
          <w:tab w:pos="1504" w:val="left" w:leader="none"/>
        </w:tabs>
        <w:spacing w:line="240" w:lineRule="auto" w:before="199" w:after="0"/>
        <w:ind w:left="1504" w:right="0" w:hanging="719"/>
        <w:jc w:val="both"/>
      </w:pPr>
      <w:r>
        <w:rPr/>
        <w:t>Factors</w:t>
      </w:r>
      <w:r>
        <w:rPr>
          <w:spacing w:val="-3"/>
        </w:rPr>
        <w:t> </w:t>
      </w:r>
      <w:r>
        <w:rPr/>
        <w:t>affecting</w:t>
      </w:r>
      <w:r>
        <w:rPr>
          <w:spacing w:val="-1"/>
        </w:rPr>
        <w:t> </w:t>
      </w:r>
      <w:r>
        <w:rPr/>
        <w:t>the</w:t>
      </w:r>
      <w:r>
        <w:rPr>
          <w:spacing w:val="-2"/>
        </w:rPr>
        <w:t> </w:t>
      </w:r>
      <w:r>
        <w:rPr/>
        <w:t>utility</w:t>
      </w:r>
      <w:r>
        <w:rPr>
          <w:spacing w:val="-1"/>
        </w:rPr>
        <w:t> </w:t>
      </w:r>
      <w:r>
        <w:rPr/>
        <w:t>of primary</w:t>
      </w:r>
      <w:r>
        <w:rPr>
          <w:spacing w:val="-1"/>
        </w:rPr>
        <w:t> </w:t>
      </w:r>
      <w:r>
        <w:rPr>
          <w:spacing w:val="-2"/>
        </w:rPr>
        <w:t>schools</w:t>
      </w:r>
    </w:p>
    <w:p>
      <w:pPr>
        <w:pStyle w:val="BodyText"/>
        <w:spacing w:before="6"/>
        <w:rPr>
          <w:b/>
          <w:sz w:val="23"/>
        </w:rPr>
      </w:pPr>
    </w:p>
    <w:p>
      <w:pPr>
        <w:pStyle w:val="BodyText"/>
        <w:spacing w:line="480" w:lineRule="auto"/>
        <w:ind w:left="785" w:right="251"/>
        <w:jc w:val="both"/>
      </w:pPr>
      <w:r>
        <w:rPr/>
        <w:t>Yusuff (2011) indicated that the Nigeria Child Act 2003; section 15 dictates that a child has right to basic education. Therefore, it is a legal right given to every Nigeria child to obtain free, compulsory and universal basic education. This section also made it mandatory</w:t>
      </w:r>
      <w:r>
        <w:rPr>
          <w:spacing w:val="-2"/>
        </w:rPr>
        <w:t> </w:t>
      </w:r>
      <w:r>
        <w:rPr/>
        <w:t>for parents to ensure their children obtain both primary and junior secondary school education. Egbosi and Offor (2016) also emphasized that primary education is</w:t>
      </w:r>
      <w:r>
        <w:rPr>
          <w:spacing w:val="40"/>
        </w:rPr>
        <w:t> </w:t>
      </w:r>
      <w:r>
        <w:rPr/>
        <w:t>the foundation for any other level of education. This is to explain the crucial nature and importance of primary education. If there is poor quality of primary education, it would affect the pupil’s assimilation in other levels.</w:t>
      </w:r>
    </w:p>
    <w:p>
      <w:pPr>
        <w:pStyle w:val="BodyText"/>
        <w:spacing w:line="480" w:lineRule="auto" w:before="201"/>
        <w:ind w:left="785" w:right="251"/>
        <w:jc w:val="both"/>
      </w:pPr>
      <w:r>
        <w:rPr/>
        <w:t>Abraha (2019) categorized the factors that influenced the quality of education into two categories namely; the spatial and non-spatial factors. The non-spatial factors are revealed by perceptions and reflections of every stakeholder in the institution. That is, the parent, pupil, teacher and principals. They include; pupil- teacher ratio (PTR) Indicator, pupil - section ratio (PSR) Indicator, physical conditions and school facilities. While</w:t>
      </w:r>
      <w:r>
        <w:rPr>
          <w:spacing w:val="-1"/>
        </w:rPr>
        <w:t> </w:t>
      </w:r>
      <w:r>
        <w:rPr/>
        <w:t>spatial</w:t>
      </w:r>
      <w:r>
        <w:rPr>
          <w:spacing w:val="-1"/>
        </w:rPr>
        <w:t> </w:t>
      </w:r>
      <w:r>
        <w:rPr/>
        <w:t>factors</w:t>
      </w:r>
      <w:r>
        <w:rPr>
          <w:spacing w:val="-1"/>
        </w:rPr>
        <w:t> </w:t>
      </w:r>
      <w:r>
        <w:rPr/>
        <w:t>that</w:t>
      </w:r>
      <w:r>
        <w:rPr>
          <w:spacing w:val="-1"/>
        </w:rPr>
        <w:t> </w:t>
      </w:r>
      <w:r>
        <w:rPr/>
        <w:t>affect the</w:t>
      </w:r>
      <w:r>
        <w:rPr>
          <w:spacing w:val="-2"/>
        </w:rPr>
        <w:t> </w:t>
      </w:r>
      <w:r>
        <w:rPr/>
        <w:t>utilisation of</w:t>
      </w:r>
      <w:r>
        <w:rPr>
          <w:spacing w:val="-2"/>
        </w:rPr>
        <w:t> </w:t>
      </w:r>
      <w:r>
        <w:rPr/>
        <w:t>primary</w:t>
      </w:r>
      <w:r>
        <w:rPr>
          <w:spacing w:val="-8"/>
        </w:rPr>
        <w:t> </w:t>
      </w:r>
      <w:r>
        <w:rPr/>
        <w:t>school are,</w:t>
      </w:r>
      <w:r>
        <w:rPr>
          <w:spacing w:val="-1"/>
        </w:rPr>
        <w:t> </w:t>
      </w:r>
      <w:r>
        <w:rPr/>
        <w:t>spatial</w:t>
      </w:r>
      <w:r>
        <w:rPr>
          <w:spacing w:val="-1"/>
        </w:rPr>
        <w:t> </w:t>
      </w:r>
      <w:r>
        <w:rPr/>
        <w:t>distribution, accessibility and service area coverage. They are generic considerations in the siting of facilities in spatial planning. Owoeye and Yara (2011) examined the correlation</w:t>
      </w:r>
      <w:r>
        <w:rPr>
          <w:spacing w:val="40"/>
        </w:rPr>
        <w:t> </w:t>
      </w:r>
      <w:r>
        <w:rPr/>
        <w:t>between school location and academic performance of students in Ekiti state, Nigeria. Using a Student Location Questionnaire (SLQ), results revealed that there is indeed a statistical relationship. The analysis was based on an ex-post facto type of descriptive survey that used existing data of West African School Certificate Examinations (WASCE) between 1990 and 1997. However, the study aimed at making comparison between</w:t>
      </w:r>
      <w:r>
        <w:rPr>
          <w:spacing w:val="5"/>
        </w:rPr>
        <w:t> </w:t>
      </w:r>
      <w:r>
        <w:rPr/>
        <w:t>urban</w:t>
      </w:r>
      <w:r>
        <w:rPr>
          <w:spacing w:val="10"/>
        </w:rPr>
        <w:t> </w:t>
      </w:r>
      <w:r>
        <w:rPr/>
        <w:t>and</w:t>
      </w:r>
      <w:r>
        <w:rPr>
          <w:spacing w:val="8"/>
        </w:rPr>
        <w:t> </w:t>
      </w:r>
      <w:r>
        <w:rPr/>
        <w:t>rural</w:t>
      </w:r>
      <w:r>
        <w:rPr>
          <w:spacing w:val="11"/>
        </w:rPr>
        <w:t> </w:t>
      </w:r>
      <w:r>
        <w:rPr/>
        <w:t>settings.</w:t>
      </w:r>
      <w:r>
        <w:rPr>
          <w:spacing w:val="11"/>
        </w:rPr>
        <w:t> </w:t>
      </w:r>
      <w:r>
        <w:rPr/>
        <w:t>It</w:t>
      </w:r>
      <w:r>
        <w:rPr>
          <w:spacing w:val="8"/>
        </w:rPr>
        <w:t> </w:t>
      </w:r>
      <w:r>
        <w:rPr/>
        <w:t>was</w:t>
      </w:r>
      <w:r>
        <w:rPr>
          <w:spacing w:val="8"/>
        </w:rPr>
        <w:t> </w:t>
      </w:r>
      <w:r>
        <w:rPr/>
        <w:t>observed</w:t>
      </w:r>
      <w:r>
        <w:rPr>
          <w:spacing w:val="10"/>
        </w:rPr>
        <w:t> </w:t>
      </w:r>
      <w:r>
        <w:rPr/>
        <w:t>that</w:t>
      </w:r>
      <w:r>
        <w:rPr>
          <w:spacing w:val="8"/>
        </w:rPr>
        <w:t> </w:t>
      </w:r>
      <w:r>
        <w:rPr/>
        <w:t>rural</w:t>
      </w:r>
      <w:r>
        <w:rPr>
          <w:spacing w:val="8"/>
        </w:rPr>
        <w:t> </w:t>
      </w:r>
      <w:r>
        <w:rPr/>
        <w:t>schools</w:t>
      </w:r>
      <w:r>
        <w:rPr>
          <w:spacing w:val="8"/>
        </w:rPr>
        <w:t> </w:t>
      </w:r>
      <w:r>
        <w:rPr/>
        <w:t>perform</w:t>
      </w:r>
      <w:r>
        <w:rPr>
          <w:spacing w:val="8"/>
        </w:rPr>
        <w:t> </w:t>
      </w:r>
      <w:r>
        <w:rPr/>
        <w:t>lower</w:t>
      </w:r>
      <w:r>
        <w:rPr>
          <w:spacing w:val="7"/>
        </w:rPr>
        <w:t> </w:t>
      </w:r>
      <w:r>
        <w:rPr>
          <w:spacing w:val="-4"/>
        </w:rPr>
        <w:t>than</w:t>
      </w:r>
    </w:p>
    <w:p>
      <w:pPr>
        <w:spacing w:after="0" w:line="480" w:lineRule="auto"/>
        <w:jc w:val="both"/>
        <w:sectPr>
          <w:pgSz w:w="11910" w:h="16840"/>
          <w:pgMar w:header="0" w:footer="1003" w:top="1320" w:bottom="1200" w:left="1200" w:right="1160"/>
        </w:sectPr>
      </w:pPr>
    </w:p>
    <w:p>
      <w:pPr>
        <w:pStyle w:val="BodyText"/>
        <w:spacing w:line="482" w:lineRule="auto" w:before="72"/>
        <w:ind w:left="785" w:right="255"/>
        <w:jc w:val="both"/>
      </w:pPr>
      <w:r>
        <w:rPr/>
        <w:t>urban schools. Barret </w:t>
      </w:r>
      <w:r>
        <w:rPr>
          <w:i/>
        </w:rPr>
        <w:t>et al. </w:t>
      </w:r>
      <w:r>
        <w:rPr/>
        <w:t>(2019) mentioned low density of classroom occupancy and school site to maintain acceptable walking distances has attributes that should improve pupil’s academic performance.</w:t>
      </w:r>
    </w:p>
    <w:p>
      <w:pPr>
        <w:pStyle w:val="Heading1"/>
        <w:numPr>
          <w:ilvl w:val="1"/>
          <w:numId w:val="4"/>
        </w:numPr>
        <w:tabs>
          <w:tab w:pos="1504" w:val="left" w:leader="none"/>
        </w:tabs>
        <w:spacing w:line="240" w:lineRule="auto" w:before="196" w:after="0"/>
        <w:ind w:left="1504" w:right="0" w:hanging="719"/>
        <w:jc w:val="both"/>
      </w:pPr>
      <w:r>
        <w:rPr/>
        <w:t>Primary</w:t>
      </w:r>
      <w:r>
        <w:rPr>
          <w:spacing w:val="-3"/>
        </w:rPr>
        <w:t> </w:t>
      </w:r>
      <w:r>
        <w:rPr/>
        <w:t>Health</w:t>
      </w:r>
      <w:r>
        <w:rPr>
          <w:spacing w:val="-2"/>
        </w:rPr>
        <w:t> Centres</w:t>
      </w:r>
    </w:p>
    <w:p>
      <w:pPr>
        <w:pStyle w:val="BodyText"/>
        <w:spacing w:before="6"/>
        <w:rPr>
          <w:b/>
          <w:sz w:val="23"/>
        </w:rPr>
      </w:pPr>
    </w:p>
    <w:p>
      <w:pPr>
        <w:pStyle w:val="BodyText"/>
        <w:spacing w:line="480" w:lineRule="auto" w:before="1"/>
        <w:ind w:left="785" w:right="249"/>
        <w:jc w:val="both"/>
      </w:pPr>
      <w:r>
        <w:rPr/>
        <w:t>World Health Organisation (2017) noted that Nigeria is positioned as the 187</w:t>
      </w:r>
      <w:r>
        <w:rPr>
          <w:vertAlign w:val="superscript"/>
        </w:rPr>
        <w:t>th</w:t>
      </w:r>
      <w:r>
        <w:rPr>
          <w:vertAlign w:val="baseline"/>
        </w:rPr>
        <w:t> country among 191 WHO countries</w:t>
      </w:r>
      <w:r>
        <w:rPr>
          <w:spacing w:val="-1"/>
          <w:vertAlign w:val="baseline"/>
        </w:rPr>
        <w:t> </w:t>
      </w:r>
      <w:r>
        <w:rPr>
          <w:vertAlign w:val="baseline"/>
        </w:rPr>
        <w:t>in providing efficient health care system in respect to health expenditure</w:t>
      </w:r>
      <w:r>
        <w:rPr>
          <w:spacing w:val="-3"/>
          <w:vertAlign w:val="baseline"/>
        </w:rPr>
        <w:t> </w:t>
      </w:r>
      <w:r>
        <w:rPr>
          <w:vertAlign w:val="baseline"/>
        </w:rPr>
        <w:t>per</w:t>
      </w:r>
      <w:r>
        <w:rPr>
          <w:spacing w:val="-2"/>
          <w:vertAlign w:val="baseline"/>
        </w:rPr>
        <w:t> </w:t>
      </w:r>
      <w:r>
        <w:rPr>
          <w:vertAlign w:val="baseline"/>
        </w:rPr>
        <w:t>capita. White</w:t>
      </w:r>
      <w:r>
        <w:rPr>
          <w:spacing w:val="-2"/>
          <w:vertAlign w:val="baseline"/>
        </w:rPr>
        <w:t> </w:t>
      </w:r>
      <w:r>
        <w:rPr>
          <w:vertAlign w:val="baseline"/>
        </w:rPr>
        <w:t>(2015)</w:t>
      </w:r>
      <w:r>
        <w:rPr>
          <w:spacing w:val="-1"/>
          <w:vertAlign w:val="baseline"/>
        </w:rPr>
        <w:t> </w:t>
      </w:r>
      <w:r>
        <w:rPr>
          <w:vertAlign w:val="baseline"/>
        </w:rPr>
        <w:t>acknowledges</w:t>
      </w:r>
      <w:r>
        <w:rPr>
          <w:spacing w:val="-1"/>
          <w:vertAlign w:val="baseline"/>
        </w:rPr>
        <w:t> </w:t>
      </w:r>
      <w:r>
        <w:rPr>
          <w:vertAlign w:val="baseline"/>
        </w:rPr>
        <w:t>that,</w:t>
      </w:r>
      <w:r>
        <w:rPr>
          <w:spacing w:val="-1"/>
          <w:vertAlign w:val="baseline"/>
        </w:rPr>
        <w:t> </w:t>
      </w:r>
      <w:r>
        <w:rPr>
          <w:vertAlign w:val="baseline"/>
        </w:rPr>
        <w:t>in</w:t>
      </w:r>
      <w:r>
        <w:rPr>
          <w:spacing w:val="-1"/>
          <w:vertAlign w:val="baseline"/>
        </w:rPr>
        <w:t> </w:t>
      </w:r>
      <w:r>
        <w:rPr>
          <w:vertAlign w:val="baseline"/>
        </w:rPr>
        <w:t>building</w:t>
      </w:r>
      <w:r>
        <w:rPr>
          <w:spacing w:val="-3"/>
          <w:vertAlign w:val="baseline"/>
        </w:rPr>
        <w:t> </w:t>
      </w:r>
      <w:r>
        <w:rPr>
          <w:vertAlign w:val="baseline"/>
        </w:rPr>
        <w:t>a</w:t>
      </w:r>
      <w:r>
        <w:rPr>
          <w:spacing w:val="-2"/>
          <w:vertAlign w:val="baseline"/>
        </w:rPr>
        <w:t> </w:t>
      </w:r>
      <w:r>
        <w:rPr>
          <w:vertAlign w:val="baseline"/>
        </w:rPr>
        <w:t>sustainable</w:t>
      </w:r>
      <w:r>
        <w:rPr>
          <w:spacing w:val="-2"/>
          <w:vertAlign w:val="baseline"/>
        </w:rPr>
        <w:t> </w:t>
      </w:r>
      <w:r>
        <w:rPr>
          <w:vertAlign w:val="baseline"/>
        </w:rPr>
        <w:t>health system, the Primary Health Centres are considered as essential cornerstone. Primary health centres are seen as grassroots health service providers in rural communities. Egbewale and Odu (2013) defined Primary Health Care as; “an essential health care made available to all people where they live, work and play, which needs substantial community involvement for its success.” By this definition, the nature of PHCs is one that would care for people at a community, just as secondary and tertiary health</w:t>
      </w:r>
      <w:r>
        <w:rPr>
          <w:spacing w:val="40"/>
          <w:vertAlign w:val="baseline"/>
        </w:rPr>
        <w:t> </w:t>
      </w:r>
      <w:r>
        <w:rPr>
          <w:vertAlign w:val="baseline"/>
        </w:rPr>
        <w:t>facilities are found in urban centres. WHO (2017) also added that the role of PHCs is to provide preventive, curative and rehabilitative services. Primary health care system is not an independent system but a subset of the entire national health system which is meant to carryout specialized objectives. These basic functions of primary health care are as follows; education, promotion of nutrition, sanitation, maternal and child care, immunization, treatment of common diseases, provision of essential drugs for treatment of injuries and prevention of endemic diseases (Emeka and Masemote, 2011).</w:t>
      </w:r>
    </w:p>
    <w:p>
      <w:pPr>
        <w:pStyle w:val="BodyText"/>
        <w:spacing w:line="480" w:lineRule="auto" w:before="201"/>
        <w:ind w:left="785" w:right="252"/>
        <w:jc w:val="both"/>
      </w:pPr>
      <w:r>
        <w:rPr/>
        <w:t>The primary health centres were established due to the shortcomings and challenges associated with western medicine. The program was introduced by the colonial masters but one of the current challenges in its service delivery</w:t>
      </w:r>
      <w:r>
        <w:rPr>
          <w:spacing w:val="-3"/>
        </w:rPr>
        <w:t> </w:t>
      </w:r>
      <w:r>
        <w:rPr/>
        <w:t>is caused by</w:t>
      </w:r>
      <w:r>
        <w:rPr>
          <w:spacing w:val="-3"/>
        </w:rPr>
        <w:t> </w:t>
      </w:r>
      <w:r>
        <w:rPr/>
        <w:t>poor leadership and political stability (Idemudia and Victor, 2010). Abdulraheem </w:t>
      </w:r>
      <w:r>
        <w:rPr>
          <w:i/>
        </w:rPr>
        <w:t>et al. </w:t>
      </w:r>
      <w:r>
        <w:rPr/>
        <w:t>(2012) claimed that despite</w:t>
      </w:r>
      <w:r>
        <w:rPr>
          <w:spacing w:val="39"/>
        </w:rPr>
        <w:t> </w:t>
      </w:r>
      <w:r>
        <w:rPr/>
        <w:t>the</w:t>
      </w:r>
      <w:r>
        <w:rPr>
          <w:spacing w:val="42"/>
        </w:rPr>
        <w:t> </w:t>
      </w:r>
      <w:r>
        <w:rPr/>
        <w:t>uniformly</w:t>
      </w:r>
      <w:r>
        <w:rPr>
          <w:spacing w:val="34"/>
        </w:rPr>
        <w:t> </w:t>
      </w:r>
      <w:r>
        <w:rPr/>
        <w:t>distributed</w:t>
      </w:r>
      <w:r>
        <w:rPr>
          <w:spacing w:val="42"/>
        </w:rPr>
        <w:t> </w:t>
      </w:r>
      <w:r>
        <w:rPr/>
        <w:t>PHCs</w:t>
      </w:r>
      <w:r>
        <w:rPr>
          <w:spacing w:val="40"/>
        </w:rPr>
        <w:t> </w:t>
      </w:r>
      <w:r>
        <w:rPr/>
        <w:t>throughout</w:t>
      </w:r>
      <w:r>
        <w:rPr>
          <w:spacing w:val="43"/>
        </w:rPr>
        <w:t> </w:t>
      </w:r>
      <w:r>
        <w:rPr/>
        <w:t>Nigeria,</w:t>
      </w:r>
      <w:r>
        <w:rPr>
          <w:spacing w:val="47"/>
        </w:rPr>
        <w:t> </w:t>
      </w:r>
      <w:r>
        <w:rPr/>
        <w:t>the</w:t>
      </w:r>
      <w:r>
        <w:rPr>
          <w:spacing w:val="42"/>
        </w:rPr>
        <w:t> </w:t>
      </w:r>
      <w:r>
        <w:rPr/>
        <w:t>health</w:t>
      </w:r>
      <w:r>
        <w:rPr>
          <w:spacing w:val="41"/>
        </w:rPr>
        <w:t> </w:t>
      </w:r>
      <w:r>
        <w:rPr/>
        <w:t>facility</w:t>
      </w:r>
      <w:r>
        <w:rPr>
          <w:spacing w:val="38"/>
        </w:rPr>
        <w:t> </w:t>
      </w:r>
      <w:r>
        <w:rPr/>
        <w:t>is</w:t>
      </w:r>
      <w:r>
        <w:rPr>
          <w:spacing w:val="43"/>
        </w:rPr>
        <w:t> </w:t>
      </w:r>
      <w:r>
        <w:rPr>
          <w:spacing w:val="-5"/>
        </w:rPr>
        <w:t>not</w:t>
      </w:r>
    </w:p>
    <w:p>
      <w:pPr>
        <w:spacing w:after="0" w:line="480" w:lineRule="auto"/>
        <w:jc w:val="both"/>
        <w:sectPr>
          <w:pgSz w:w="11910" w:h="16840"/>
          <w:pgMar w:header="0" w:footer="1003" w:top="1320" w:bottom="1200" w:left="1200" w:right="1160"/>
        </w:sectPr>
      </w:pPr>
    </w:p>
    <w:p>
      <w:pPr>
        <w:pStyle w:val="BodyText"/>
        <w:spacing w:line="480" w:lineRule="auto" w:before="72"/>
        <w:ind w:left="785" w:right="252"/>
        <w:jc w:val="both"/>
      </w:pPr>
      <w:r>
        <w:rPr/>
        <w:t>utilized in rural communities. More so Egbewale and Odu (2013) in their opinion stressed that, the provision of health facilities in Nigeria does not necessarily command its utility. This is because, there are some underlying factors that influence the utility of health facilities across the country. They are; distance, service cost, cultural beliefs, educational status, and quality of health services and nature of illness.</w:t>
      </w:r>
    </w:p>
    <w:p>
      <w:pPr>
        <w:pStyle w:val="BodyText"/>
        <w:spacing w:line="480" w:lineRule="auto" w:before="199"/>
        <w:ind w:left="785" w:right="255"/>
        <w:jc w:val="both"/>
      </w:pPr>
      <w:r>
        <w:rPr/>
        <w:t>According to white (2015), the PHC is a component of the National health system whose primary objective is to promote and improve health. The system comprises of public, private and informal sectors. The informal health care system includes; self- help,</w:t>
      </w:r>
      <w:r>
        <w:rPr>
          <w:spacing w:val="-2"/>
        </w:rPr>
        <w:t> </w:t>
      </w:r>
      <w:r>
        <w:rPr/>
        <w:t>family</w:t>
      </w:r>
      <w:r>
        <w:rPr>
          <w:spacing w:val="-5"/>
        </w:rPr>
        <w:t> </w:t>
      </w:r>
      <w:r>
        <w:rPr/>
        <w:t>and community</w:t>
      </w:r>
      <w:r>
        <w:rPr>
          <w:spacing w:val="-7"/>
        </w:rPr>
        <w:t> </w:t>
      </w:r>
      <w:r>
        <w:rPr/>
        <w:t>care</w:t>
      </w:r>
      <w:r>
        <w:rPr>
          <w:spacing w:val="-2"/>
        </w:rPr>
        <w:t> </w:t>
      </w:r>
      <w:r>
        <w:rPr/>
        <w:t>and</w:t>
      </w:r>
      <w:r>
        <w:rPr>
          <w:spacing w:val="-2"/>
        </w:rPr>
        <w:t> </w:t>
      </w:r>
      <w:r>
        <w:rPr/>
        <w:t>traditional</w:t>
      </w:r>
      <w:r>
        <w:rPr>
          <w:spacing w:val="-2"/>
        </w:rPr>
        <w:t> </w:t>
      </w:r>
      <w:r>
        <w:rPr/>
        <w:t>practitioners.</w:t>
      </w:r>
      <w:r>
        <w:rPr>
          <w:spacing w:val="-2"/>
        </w:rPr>
        <w:t> </w:t>
      </w:r>
      <w:r>
        <w:rPr/>
        <w:t>WHO</w:t>
      </w:r>
      <w:r>
        <w:rPr>
          <w:spacing w:val="-3"/>
        </w:rPr>
        <w:t> </w:t>
      </w:r>
      <w:r>
        <w:rPr/>
        <w:t>(2017)</w:t>
      </w:r>
      <w:r>
        <w:rPr>
          <w:spacing w:val="-2"/>
        </w:rPr>
        <w:t> </w:t>
      </w:r>
      <w:r>
        <w:rPr/>
        <w:t>attested</w:t>
      </w:r>
      <w:r>
        <w:rPr>
          <w:spacing w:val="-2"/>
        </w:rPr>
        <w:t> </w:t>
      </w:r>
      <w:r>
        <w:rPr/>
        <w:t>that a large part of the Nigeria health care system is driven by the public sector. White (2015) also claimed that inability to improve health conditions is complicated by inadequate resource allocation that address issues of affordability, universality and accessibility. The WHO (2017) identified that government factors and client related factors are responsible for the inaccessibility of PHCs to communities in Nigeria. Government factors includes lack of political will and commitment, weak partnership between government agencies and embezzlement of funds while; client related factors are community perception on quality, underutilization of PHC and low level of community participation.</w:t>
      </w:r>
    </w:p>
    <w:p>
      <w:pPr>
        <w:pStyle w:val="BodyText"/>
        <w:spacing w:line="480" w:lineRule="auto" w:before="201"/>
        <w:ind w:left="785" w:right="254"/>
        <w:jc w:val="both"/>
      </w:pPr>
      <w:r>
        <w:rPr/>
        <w:t>The Nigeria Primary Health Care Development Agency (NPHCDA) has laid down guidelines and condition for developing PHCs across the country. The PHC also known as Ward Health Centre is meant to service 10,000 – 20,000 populations and designated to political wards (Nigeria Primary Health Care Development Agency, 2010). Otu (2018) described accessibility as a network of physical, social and financial links between the populace and the service provider. In other words, accessibility would distinguish</w:t>
      </w:r>
      <w:r>
        <w:rPr>
          <w:spacing w:val="4"/>
        </w:rPr>
        <w:t> </w:t>
      </w:r>
      <w:r>
        <w:rPr/>
        <w:t>between</w:t>
      </w:r>
      <w:r>
        <w:rPr>
          <w:spacing w:val="6"/>
        </w:rPr>
        <w:t> </w:t>
      </w:r>
      <w:r>
        <w:rPr/>
        <w:t>who</w:t>
      </w:r>
      <w:r>
        <w:rPr>
          <w:spacing w:val="7"/>
        </w:rPr>
        <w:t> </w:t>
      </w:r>
      <w:r>
        <w:rPr/>
        <w:t>is</w:t>
      </w:r>
      <w:r>
        <w:rPr>
          <w:spacing w:val="7"/>
        </w:rPr>
        <w:t> </w:t>
      </w:r>
      <w:r>
        <w:rPr/>
        <w:t>eligible</w:t>
      </w:r>
      <w:r>
        <w:rPr>
          <w:spacing w:val="6"/>
        </w:rPr>
        <w:t> </w:t>
      </w:r>
      <w:r>
        <w:rPr/>
        <w:t>to</w:t>
      </w:r>
      <w:r>
        <w:rPr>
          <w:spacing w:val="8"/>
        </w:rPr>
        <w:t> </w:t>
      </w:r>
      <w:r>
        <w:rPr/>
        <w:t>get</w:t>
      </w:r>
      <w:r>
        <w:rPr>
          <w:spacing w:val="7"/>
        </w:rPr>
        <w:t> </w:t>
      </w:r>
      <w:r>
        <w:rPr/>
        <w:t>served</w:t>
      </w:r>
      <w:r>
        <w:rPr>
          <w:spacing w:val="8"/>
        </w:rPr>
        <w:t> </w:t>
      </w:r>
      <w:r>
        <w:rPr/>
        <w:t>first</w:t>
      </w:r>
      <w:r>
        <w:rPr>
          <w:spacing w:val="7"/>
        </w:rPr>
        <w:t> </w:t>
      </w:r>
      <w:r>
        <w:rPr/>
        <w:t>and</w:t>
      </w:r>
      <w:r>
        <w:rPr>
          <w:spacing w:val="9"/>
        </w:rPr>
        <w:t> </w:t>
      </w:r>
      <w:r>
        <w:rPr/>
        <w:t>who</w:t>
      </w:r>
      <w:r>
        <w:rPr>
          <w:spacing w:val="5"/>
        </w:rPr>
        <w:t> </w:t>
      </w:r>
      <w:r>
        <w:rPr/>
        <w:t>would</w:t>
      </w:r>
      <w:r>
        <w:rPr>
          <w:spacing w:val="9"/>
        </w:rPr>
        <w:t> </w:t>
      </w:r>
      <w:r>
        <w:rPr/>
        <w:t>be</w:t>
      </w:r>
      <w:r>
        <w:rPr>
          <w:spacing w:val="5"/>
        </w:rPr>
        <w:t> </w:t>
      </w:r>
      <w:r>
        <w:rPr/>
        <w:t>served</w:t>
      </w:r>
      <w:r>
        <w:rPr>
          <w:spacing w:val="9"/>
        </w:rPr>
        <w:t> </w:t>
      </w:r>
      <w:r>
        <w:rPr/>
        <w:t>later</w:t>
      </w:r>
      <w:r>
        <w:rPr>
          <w:spacing w:val="8"/>
        </w:rPr>
        <w:t> </w:t>
      </w:r>
      <w:r>
        <w:rPr>
          <w:spacing w:val="-5"/>
        </w:rPr>
        <w:t>or</w:t>
      </w:r>
    </w:p>
    <w:p>
      <w:pPr>
        <w:spacing w:after="0" w:line="480" w:lineRule="auto"/>
        <w:jc w:val="both"/>
        <w:sectPr>
          <w:pgSz w:w="11910" w:h="16840"/>
          <w:pgMar w:header="0" w:footer="1003" w:top="1320" w:bottom="1200" w:left="1200" w:right="1160"/>
        </w:sectPr>
      </w:pPr>
    </w:p>
    <w:p>
      <w:pPr>
        <w:pStyle w:val="BodyText"/>
        <w:spacing w:line="480" w:lineRule="auto" w:before="72"/>
        <w:ind w:left="785" w:right="256"/>
        <w:jc w:val="both"/>
      </w:pPr>
      <w:r>
        <w:rPr/>
        <w:t>who would incur greater travel time to access services provided. The study suggested that, a strategic siting of PHCs could achieve more in terms of geographical accessibility. The geographical accessibility mentioned by Otu (2018) takes cognisance of distance, cost and travel time as an important factor in the health system. This is because when a health facility</w:t>
      </w:r>
      <w:r>
        <w:rPr>
          <w:spacing w:val="-3"/>
        </w:rPr>
        <w:t> </w:t>
      </w:r>
      <w:r>
        <w:rPr/>
        <w:t>is provided, it becomes immobile and as such it becomes challenging to change the location of the infrastructure without incurring a huge financial commitment.</w:t>
      </w:r>
    </w:p>
    <w:p>
      <w:pPr>
        <w:pStyle w:val="Heading1"/>
        <w:numPr>
          <w:ilvl w:val="2"/>
          <w:numId w:val="4"/>
        </w:numPr>
        <w:tabs>
          <w:tab w:pos="1504" w:val="left" w:leader="none"/>
        </w:tabs>
        <w:spacing w:line="240" w:lineRule="auto" w:before="205" w:after="0"/>
        <w:ind w:left="1504" w:right="0" w:hanging="719"/>
        <w:jc w:val="both"/>
      </w:pPr>
      <w:r>
        <w:rPr/>
        <w:t>Primary</w:t>
      </w:r>
      <w:r>
        <w:rPr>
          <w:spacing w:val="-3"/>
        </w:rPr>
        <w:t> </w:t>
      </w:r>
      <w:r>
        <w:rPr/>
        <w:t>health</w:t>
      </w:r>
      <w:r>
        <w:rPr>
          <w:spacing w:val="-2"/>
        </w:rPr>
        <w:t> </w:t>
      </w:r>
      <w:r>
        <w:rPr/>
        <w:t>centre</w:t>
      </w:r>
      <w:r>
        <w:rPr>
          <w:spacing w:val="-3"/>
        </w:rPr>
        <w:t> </w:t>
      </w:r>
      <w:r>
        <w:rPr/>
        <w:t>(PHC) catchment</w:t>
      </w:r>
      <w:r>
        <w:rPr>
          <w:spacing w:val="-3"/>
        </w:rPr>
        <w:t> </w:t>
      </w:r>
      <w:r>
        <w:rPr>
          <w:spacing w:val="-4"/>
        </w:rPr>
        <w:t>area</w:t>
      </w:r>
    </w:p>
    <w:p>
      <w:pPr>
        <w:pStyle w:val="BodyText"/>
        <w:spacing w:before="7"/>
        <w:rPr>
          <w:b/>
          <w:sz w:val="23"/>
        </w:rPr>
      </w:pPr>
    </w:p>
    <w:p>
      <w:pPr>
        <w:pStyle w:val="BodyText"/>
        <w:spacing w:line="480" w:lineRule="auto"/>
        <w:ind w:left="785" w:right="252"/>
        <w:jc w:val="both"/>
      </w:pPr>
      <w:r>
        <w:rPr/>
        <w:t>In 2006, Dos Anjos - Luis and Cabral identified the use of Euclidean Distance (Straight line Distance) also known as service radius and Network Distance (Road distance) as</w:t>
      </w:r>
      <w:r>
        <w:rPr>
          <w:spacing w:val="40"/>
        </w:rPr>
        <w:t> </w:t>
      </w:r>
      <w:r>
        <w:rPr/>
        <w:t>the two conventional methods of determining accessibility. Phiri and Munthali (2019) argued that the policy on accessibility to PHC in Malawi may not be pragmatic in real life scenarios. In Malawi, eight kilometres (8km) radius is recognized as the service radius of a PHC by the Ministry of Health. The study showed that the actual distances travelled by household within the service radius can be greater than 8km due to road distance and topographical constraints. Dos Anjos - Luis and Cabral (2016) also stated that, Euclidean distance underestimates the travelled distance because of its lack of consideration for natural barriers and transport routes. Accessibility becomes greater in areas with good road network leading to PHCs when road network distance is used.</w:t>
      </w:r>
    </w:p>
    <w:p>
      <w:pPr>
        <w:pStyle w:val="BodyText"/>
        <w:spacing w:line="480" w:lineRule="auto" w:before="200"/>
        <w:ind w:left="785" w:right="256"/>
        <w:jc w:val="both"/>
      </w:pPr>
      <w:r>
        <w:rPr/>
        <w:t>As a solution the World Health Organisation (WHO) recommended the use of travel time instead of distances in measuring accessibility to health care. Despite this recommendation there is still no universally accepted time range to define adequate access to health care (dos Anjos - Luis and Cabral, 2016). Adopting the use of travel time as criteria for determining the service radius, Phiri and Munthali (2019) and dos Anjos</w:t>
      </w:r>
      <w:r>
        <w:rPr>
          <w:spacing w:val="57"/>
        </w:rPr>
        <w:t> </w:t>
      </w:r>
      <w:r>
        <w:rPr/>
        <w:t>-</w:t>
      </w:r>
      <w:r>
        <w:rPr>
          <w:spacing w:val="60"/>
        </w:rPr>
        <w:t> </w:t>
      </w:r>
      <w:r>
        <w:rPr/>
        <w:t>Luis</w:t>
      </w:r>
      <w:r>
        <w:rPr>
          <w:spacing w:val="59"/>
        </w:rPr>
        <w:t> </w:t>
      </w:r>
      <w:r>
        <w:rPr/>
        <w:t>and</w:t>
      </w:r>
      <w:r>
        <w:rPr>
          <w:spacing w:val="58"/>
        </w:rPr>
        <w:t> </w:t>
      </w:r>
      <w:r>
        <w:rPr/>
        <w:t>Cabral</w:t>
      </w:r>
      <w:r>
        <w:rPr>
          <w:spacing w:val="61"/>
        </w:rPr>
        <w:t> </w:t>
      </w:r>
      <w:r>
        <w:rPr/>
        <w:t>(2016)</w:t>
      </w:r>
      <w:r>
        <w:rPr>
          <w:spacing w:val="58"/>
        </w:rPr>
        <w:t> </w:t>
      </w:r>
      <w:r>
        <w:rPr/>
        <w:t>adopted</w:t>
      </w:r>
      <w:r>
        <w:rPr>
          <w:spacing w:val="61"/>
        </w:rPr>
        <w:t> </w:t>
      </w:r>
      <w:r>
        <w:rPr/>
        <w:t>five</w:t>
      </w:r>
      <w:r>
        <w:rPr>
          <w:spacing w:val="59"/>
        </w:rPr>
        <w:t> </w:t>
      </w:r>
      <w:r>
        <w:rPr/>
        <w:t>kilometres</w:t>
      </w:r>
      <w:r>
        <w:rPr>
          <w:spacing w:val="59"/>
        </w:rPr>
        <w:t> </w:t>
      </w:r>
      <w:r>
        <w:rPr/>
        <w:t>per</w:t>
      </w:r>
      <w:r>
        <w:rPr>
          <w:spacing w:val="58"/>
        </w:rPr>
        <w:t> </w:t>
      </w:r>
      <w:r>
        <w:rPr/>
        <w:t>hour</w:t>
      </w:r>
      <w:r>
        <w:rPr>
          <w:spacing w:val="58"/>
        </w:rPr>
        <w:t> </w:t>
      </w:r>
      <w:r>
        <w:rPr/>
        <w:t>(5km/hr)</w:t>
      </w:r>
      <w:r>
        <w:rPr>
          <w:spacing w:val="57"/>
        </w:rPr>
        <w:t> </w:t>
      </w:r>
      <w:r>
        <w:rPr/>
        <w:t>as</w:t>
      </w:r>
      <w:r>
        <w:rPr>
          <w:spacing w:val="60"/>
        </w:rPr>
        <w:t> </w:t>
      </w:r>
      <w:r>
        <w:rPr>
          <w:spacing w:val="-5"/>
        </w:rPr>
        <w:t>the</w:t>
      </w:r>
    </w:p>
    <w:p>
      <w:pPr>
        <w:spacing w:after="0" w:line="480" w:lineRule="auto"/>
        <w:jc w:val="both"/>
        <w:sectPr>
          <w:pgSz w:w="11910" w:h="16840"/>
          <w:pgMar w:header="0" w:footer="1003" w:top="1320" w:bottom="1200" w:left="1200" w:right="1160"/>
        </w:sectPr>
      </w:pPr>
    </w:p>
    <w:p>
      <w:pPr>
        <w:pStyle w:val="BodyText"/>
        <w:spacing w:line="480" w:lineRule="auto" w:before="72"/>
        <w:ind w:left="785" w:right="257"/>
        <w:jc w:val="both"/>
      </w:pPr>
      <w:r>
        <w:rPr/>
        <w:t>average distance a person should walk within the recommended time. This however does</w:t>
      </w:r>
      <w:r>
        <w:rPr>
          <w:spacing w:val="-1"/>
        </w:rPr>
        <w:t> </w:t>
      </w:r>
      <w:r>
        <w:rPr/>
        <w:t>not</w:t>
      </w:r>
      <w:r>
        <w:rPr>
          <w:spacing w:val="-1"/>
        </w:rPr>
        <w:t> </w:t>
      </w:r>
      <w:r>
        <w:rPr/>
        <w:t>include</w:t>
      </w:r>
      <w:r>
        <w:rPr>
          <w:spacing w:val="-2"/>
        </w:rPr>
        <w:t> </w:t>
      </w:r>
      <w:r>
        <w:rPr/>
        <w:t>actual</w:t>
      </w:r>
      <w:r>
        <w:rPr>
          <w:spacing w:val="-1"/>
        </w:rPr>
        <w:t> </w:t>
      </w:r>
      <w:r>
        <w:rPr/>
        <w:t>road distance</w:t>
      </w:r>
      <w:r>
        <w:rPr>
          <w:spacing w:val="-2"/>
        </w:rPr>
        <w:t> </w:t>
      </w:r>
      <w:r>
        <w:rPr/>
        <w:t>because</w:t>
      </w:r>
      <w:r>
        <w:rPr>
          <w:spacing w:val="-2"/>
        </w:rPr>
        <w:t> </w:t>
      </w:r>
      <w:r>
        <w:rPr/>
        <w:t>it</w:t>
      </w:r>
      <w:r>
        <w:rPr>
          <w:spacing w:val="-3"/>
        </w:rPr>
        <w:t> </w:t>
      </w:r>
      <w:r>
        <w:rPr/>
        <w:t>might</w:t>
      </w:r>
      <w:r>
        <w:rPr>
          <w:spacing w:val="-1"/>
        </w:rPr>
        <w:t> </w:t>
      </w:r>
      <w:r>
        <w:rPr/>
        <w:t>be</w:t>
      </w:r>
      <w:r>
        <w:rPr>
          <w:spacing w:val="-2"/>
        </w:rPr>
        <w:t> </w:t>
      </w:r>
      <w:r>
        <w:rPr/>
        <w:t>greater</w:t>
      </w:r>
      <w:r>
        <w:rPr>
          <w:spacing w:val="-3"/>
        </w:rPr>
        <w:t> </w:t>
      </w:r>
      <w:r>
        <w:rPr/>
        <w:t>than</w:t>
      </w:r>
      <w:r>
        <w:rPr>
          <w:spacing w:val="-2"/>
        </w:rPr>
        <w:t> </w:t>
      </w:r>
      <w:r>
        <w:rPr/>
        <w:t>5km</w:t>
      </w:r>
      <w:r>
        <w:rPr>
          <w:spacing w:val="-1"/>
        </w:rPr>
        <w:t> </w:t>
      </w:r>
      <w:r>
        <w:rPr/>
        <w:t>to</w:t>
      </w:r>
      <w:r>
        <w:rPr>
          <w:spacing w:val="-3"/>
        </w:rPr>
        <w:t> </w:t>
      </w:r>
      <w:r>
        <w:rPr/>
        <w:t>the</w:t>
      </w:r>
      <w:r>
        <w:rPr>
          <w:spacing w:val="-2"/>
        </w:rPr>
        <w:t> </w:t>
      </w:r>
      <w:r>
        <w:rPr/>
        <w:t>nearest PHC. However, it suggests an empirical and logical distance to define access to PHCs using Ambulance Recommended travel time.</w:t>
      </w:r>
    </w:p>
    <w:p>
      <w:pPr>
        <w:pStyle w:val="Heading1"/>
        <w:numPr>
          <w:ilvl w:val="1"/>
          <w:numId w:val="4"/>
        </w:numPr>
        <w:tabs>
          <w:tab w:pos="1504" w:val="left" w:leader="none"/>
        </w:tabs>
        <w:spacing w:line="240" w:lineRule="auto" w:before="204" w:after="0"/>
        <w:ind w:left="1504" w:right="0" w:hanging="719"/>
        <w:jc w:val="both"/>
      </w:pPr>
      <w:r>
        <w:rPr/>
        <w:t>Theoretical</w:t>
      </w:r>
      <w:r>
        <w:rPr>
          <w:spacing w:val="-3"/>
        </w:rPr>
        <w:t> </w:t>
      </w:r>
      <w:r>
        <w:rPr>
          <w:spacing w:val="-2"/>
        </w:rPr>
        <w:t>Framework</w:t>
      </w:r>
    </w:p>
    <w:p>
      <w:pPr>
        <w:pStyle w:val="BodyText"/>
        <w:spacing w:before="7"/>
        <w:rPr>
          <w:b/>
          <w:sz w:val="23"/>
        </w:rPr>
      </w:pPr>
    </w:p>
    <w:p>
      <w:pPr>
        <w:pStyle w:val="BodyText"/>
        <w:spacing w:line="480" w:lineRule="auto"/>
        <w:ind w:left="785" w:right="253"/>
        <w:jc w:val="both"/>
      </w:pPr>
      <w:r>
        <w:rPr/>
        <w:t>In 1933, a German geographer named Walter Chistaller propounded the central place theory</w:t>
      </w:r>
      <w:r>
        <w:rPr>
          <w:spacing w:val="-5"/>
        </w:rPr>
        <w:t> </w:t>
      </w:r>
      <w:r>
        <w:rPr/>
        <w:t>which is an attempt to clarify</w:t>
      </w:r>
      <w:r>
        <w:rPr>
          <w:spacing w:val="-8"/>
        </w:rPr>
        <w:t> </w:t>
      </w:r>
      <w:r>
        <w:rPr/>
        <w:t>spatial distribution, size</w:t>
      </w:r>
      <w:r>
        <w:rPr>
          <w:spacing w:val="-1"/>
        </w:rPr>
        <w:t> </w:t>
      </w:r>
      <w:r>
        <w:rPr/>
        <w:t>and number</w:t>
      </w:r>
      <w:r>
        <w:rPr>
          <w:spacing w:val="-4"/>
        </w:rPr>
        <w:t> </w:t>
      </w:r>
      <w:r>
        <w:rPr/>
        <w:t>of</w:t>
      </w:r>
      <w:r>
        <w:rPr>
          <w:spacing w:val="-1"/>
        </w:rPr>
        <w:t> </w:t>
      </w:r>
      <w:r>
        <w:rPr/>
        <w:t>settlements. The theory in many ways suggests the creation of central functions in different settlements in hierarchical order. The model exhibits economic ideology in space, by presenting</w:t>
      </w:r>
      <w:r>
        <w:rPr>
          <w:spacing w:val="-5"/>
        </w:rPr>
        <w:t> </w:t>
      </w:r>
      <w:r>
        <w:rPr/>
        <w:t>the</w:t>
      </w:r>
      <w:r>
        <w:rPr>
          <w:spacing w:val="-2"/>
        </w:rPr>
        <w:t> </w:t>
      </w:r>
      <w:r>
        <w:rPr/>
        <w:t>issues</w:t>
      </w:r>
      <w:r>
        <w:rPr>
          <w:spacing w:val="-2"/>
        </w:rPr>
        <w:t> </w:t>
      </w:r>
      <w:r>
        <w:rPr/>
        <w:t>of</w:t>
      </w:r>
      <w:r>
        <w:rPr>
          <w:spacing w:val="-1"/>
        </w:rPr>
        <w:t> </w:t>
      </w:r>
      <w:r>
        <w:rPr/>
        <w:t>range</w:t>
      </w:r>
      <w:r>
        <w:rPr>
          <w:spacing w:val="-3"/>
        </w:rPr>
        <w:t> </w:t>
      </w:r>
      <w:r>
        <w:rPr/>
        <w:t>and</w:t>
      </w:r>
      <w:r>
        <w:rPr>
          <w:spacing w:val="-2"/>
        </w:rPr>
        <w:t> </w:t>
      </w:r>
      <w:r>
        <w:rPr/>
        <w:t>threshold</w:t>
      </w:r>
      <w:r>
        <w:rPr>
          <w:spacing w:val="-2"/>
        </w:rPr>
        <w:t> </w:t>
      </w:r>
      <w:r>
        <w:rPr/>
        <w:t>in</w:t>
      </w:r>
      <w:r>
        <w:rPr>
          <w:spacing w:val="-2"/>
        </w:rPr>
        <w:t> </w:t>
      </w:r>
      <w:r>
        <w:rPr/>
        <w:t>provision</w:t>
      </w:r>
      <w:r>
        <w:rPr>
          <w:spacing w:val="-2"/>
        </w:rPr>
        <w:t> </w:t>
      </w:r>
      <w:r>
        <w:rPr/>
        <w:t>of</w:t>
      </w:r>
      <w:r>
        <w:rPr>
          <w:spacing w:val="-3"/>
        </w:rPr>
        <w:t> </w:t>
      </w:r>
      <w:r>
        <w:rPr/>
        <w:t>goods and</w:t>
      </w:r>
      <w:r>
        <w:rPr>
          <w:spacing w:val="-2"/>
        </w:rPr>
        <w:t> </w:t>
      </w:r>
      <w:r>
        <w:rPr/>
        <w:t>services.</w:t>
      </w:r>
      <w:r>
        <w:rPr>
          <w:spacing w:val="-2"/>
        </w:rPr>
        <w:t> </w:t>
      </w:r>
      <w:r>
        <w:rPr/>
        <w:t>Range</w:t>
      </w:r>
      <w:r>
        <w:rPr>
          <w:spacing w:val="-3"/>
        </w:rPr>
        <w:t> </w:t>
      </w:r>
      <w:r>
        <w:rPr/>
        <w:t>is the maximum distance an individual would travel to benefit or procure goods and services while threshold is the minimum population required to command or demand</w:t>
      </w:r>
      <w:r>
        <w:rPr>
          <w:spacing w:val="40"/>
        </w:rPr>
        <w:t> </w:t>
      </w:r>
      <w:r>
        <w:rPr/>
        <w:t>the provision of a particular goods or service. Vionis and Papantoniou (2019) have</w:t>
      </w:r>
      <w:r>
        <w:rPr>
          <w:spacing w:val="40"/>
        </w:rPr>
        <w:t> </w:t>
      </w:r>
      <w:r>
        <w:rPr/>
        <w:t>noted that central place theory has undergone rigorous recycling, modification, critics, rejection, and revision many times in the past. This has in one way or another lead to several application of the concept in spatial analysis. The researchers further describe</w:t>
      </w:r>
      <w:r>
        <w:rPr>
          <w:spacing w:val="40"/>
        </w:rPr>
        <w:t> </w:t>
      </w:r>
      <w:r>
        <w:rPr/>
        <w:t>the theory as one that considers travel time (distance and cost) in its framework. Robert and Aniruddha (2019) explained that distance describes how things are far apart in numerals</w:t>
      </w:r>
      <w:r>
        <w:rPr>
          <w:spacing w:val="-1"/>
        </w:rPr>
        <w:t> </w:t>
      </w:r>
      <w:r>
        <w:rPr/>
        <w:t>and</w:t>
      </w:r>
      <w:r>
        <w:rPr>
          <w:spacing w:val="-1"/>
        </w:rPr>
        <w:t> </w:t>
      </w:r>
      <w:r>
        <w:rPr/>
        <w:t>it</w:t>
      </w:r>
      <w:r>
        <w:rPr>
          <w:spacing w:val="-1"/>
        </w:rPr>
        <w:t> </w:t>
      </w:r>
      <w:r>
        <w:rPr/>
        <w:t>explains</w:t>
      </w:r>
      <w:r>
        <w:rPr>
          <w:spacing w:val="-6"/>
        </w:rPr>
        <w:t> </w:t>
      </w:r>
      <w:r>
        <w:rPr/>
        <w:t>how</w:t>
      </w:r>
      <w:r>
        <w:rPr>
          <w:spacing w:val="-2"/>
        </w:rPr>
        <w:t> </w:t>
      </w:r>
      <w:r>
        <w:rPr/>
        <w:t>geographical</w:t>
      </w:r>
      <w:r>
        <w:rPr>
          <w:spacing w:val="-1"/>
        </w:rPr>
        <w:t> </w:t>
      </w:r>
      <w:r>
        <w:rPr/>
        <w:t>features</w:t>
      </w:r>
      <w:r>
        <w:rPr>
          <w:spacing w:val="-1"/>
        </w:rPr>
        <w:t> </w:t>
      </w:r>
      <w:r>
        <w:rPr/>
        <w:t>are</w:t>
      </w:r>
      <w:r>
        <w:rPr>
          <w:spacing w:val="-3"/>
        </w:rPr>
        <w:t> </w:t>
      </w:r>
      <w:r>
        <w:rPr/>
        <w:t>related</w:t>
      </w:r>
      <w:r>
        <w:rPr>
          <w:spacing w:val="-1"/>
        </w:rPr>
        <w:t> </w:t>
      </w:r>
      <w:r>
        <w:rPr/>
        <w:t>with</w:t>
      </w:r>
      <w:r>
        <w:rPr>
          <w:spacing w:val="-1"/>
        </w:rPr>
        <w:t> </w:t>
      </w:r>
      <w:r>
        <w:rPr/>
        <w:t>each</w:t>
      </w:r>
      <w:r>
        <w:rPr>
          <w:spacing w:val="-1"/>
        </w:rPr>
        <w:t> </w:t>
      </w:r>
      <w:r>
        <w:rPr/>
        <w:t>other in</w:t>
      </w:r>
      <w:r>
        <w:rPr>
          <w:spacing w:val="-1"/>
        </w:rPr>
        <w:t> </w:t>
      </w:r>
      <w:r>
        <w:rPr/>
        <w:t>Waldo Tobler’s First Law of Geography. It is also a basic concept in spatial dependence</w:t>
      </w:r>
      <w:r>
        <w:rPr>
          <w:spacing w:val="40"/>
        </w:rPr>
        <w:t> </w:t>
      </w:r>
      <w:r>
        <w:rPr/>
        <w:t>(spatial relationship of locations) and spatial autocorrelation (a measure of similarity between near features).</w:t>
      </w:r>
    </w:p>
    <w:p>
      <w:pPr>
        <w:pStyle w:val="BodyText"/>
        <w:spacing w:line="480" w:lineRule="auto" w:before="202"/>
        <w:ind w:left="785" w:right="255"/>
        <w:jc w:val="both"/>
      </w:pPr>
      <w:r>
        <w:rPr/>
        <w:t>Knitter and Nakoinz (2018) had emphasized that central place distinguishes settlements into three ranks which is determined using market principle, administrative and transportation principle.</w:t>
      </w:r>
      <w:r>
        <w:rPr>
          <w:spacing w:val="2"/>
        </w:rPr>
        <w:t> </w:t>
      </w:r>
      <w:r>
        <w:rPr/>
        <w:t>Hierarchically</w:t>
      </w:r>
      <w:r>
        <w:rPr>
          <w:spacing w:val="-2"/>
        </w:rPr>
        <w:t> </w:t>
      </w:r>
      <w:r>
        <w:rPr/>
        <w:t>the</w:t>
      </w:r>
      <w:r>
        <w:rPr>
          <w:spacing w:val="2"/>
        </w:rPr>
        <w:t> </w:t>
      </w:r>
      <w:r>
        <w:rPr/>
        <w:t>settlements</w:t>
      </w:r>
      <w:r>
        <w:rPr>
          <w:spacing w:val="2"/>
        </w:rPr>
        <w:t> </w:t>
      </w:r>
      <w:r>
        <w:rPr/>
        <w:t>are</w:t>
      </w:r>
      <w:r>
        <w:rPr>
          <w:spacing w:val="1"/>
        </w:rPr>
        <w:t> </w:t>
      </w:r>
      <w:r>
        <w:rPr/>
        <w:t>differentiated</w:t>
      </w:r>
      <w:r>
        <w:rPr>
          <w:spacing w:val="4"/>
        </w:rPr>
        <w:t> </w:t>
      </w:r>
      <w:r>
        <w:rPr/>
        <w:t>between</w:t>
      </w:r>
      <w:r>
        <w:rPr>
          <w:spacing w:val="3"/>
        </w:rPr>
        <w:t> </w:t>
      </w:r>
      <w:r>
        <w:rPr>
          <w:spacing w:val="-2"/>
        </w:rPr>
        <w:t>higher</w:t>
      </w:r>
    </w:p>
    <w:p>
      <w:pPr>
        <w:spacing w:after="0" w:line="480" w:lineRule="auto"/>
        <w:jc w:val="both"/>
        <w:sectPr>
          <w:pgSz w:w="11910" w:h="16840"/>
          <w:pgMar w:header="0" w:footer="1003" w:top="1320" w:bottom="1200" w:left="1200" w:right="1160"/>
        </w:sectPr>
      </w:pPr>
    </w:p>
    <w:p>
      <w:pPr>
        <w:pStyle w:val="BodyText"/>
        <w:spacing w:line="480" w:lineRule="auto" w:before="72"/>
        <w:ind w:left="785" w:right="254"/>
        <w:jc w:val="both"/>
      </w:pPr>
      <w:r>
        <w:rPr/>
        <w:t>and lower order which would enforce a central siting of political power. Knitter </w:t>
      </w:r>
      <w:r>
        <w:rPr>
          <w:i/>
        </w:rPr>
        <w:t>et al. </w:t>
      </w:r>
      <w:r>
        <w:rPr/>
        <w:t>(2013) had equally</w:t>
      </w:r>
      <w:r>
        <w:rPr>
          <w:spacing w:val="-2"/>
        </w:rPr>
        <w:t> </w:t>
      </w:r>
      <w:r>
        <w:rPr/>
        <w:t>opined that the theory</w:t>
      </w:r>
      <w:r>
        <w:rPr>
          <w:spacing w:val="-2"/>
        </w:rPr>
        <w:t> </w:t>
      </w:r>
      <w:r>
        <w:rPr/>
        <w:t>in application is not limited to settlements but can as well be extended to mean a group of institution at a neighbourhood or regional level</w:t>
      </w:r>
      <w:r>
        <w:rPr>
          <w:spacing w:val="-1"/>
        </w:rPr>
        <w:t> </w:t>
      </w:r>
      <w:r>
        <w:rPr/>
        <w:t>that</w:t>
      </w:r>
      <w:r>
        <w:rPr>
          <w:spacing w:val="-1"/>
        </w:rPr>
        <w:t> </w:t>
      </w:r>
      <w:r>
        <w:rPr/>
        <w:t>offer goods</w:t>
      </w:r>
      <w:r>
        <w:rPr>
          <w:spacing w:val="-1"/>
        </w:rPr>
        <w:t> </w:t>
      </w:r>
      <w:r>
        <w:rPr/>
        <w:t>and</w:t>
      </w:r>
      <w:r>
        <w:rPr>
          <w:spacing w:val="-1"/>
        </w:rPr>
        <w:t> </w:t>
      </w:r>
      <w:r>
        <w:rPr/>
        <w:t>services.</w:t>
      </w:r>
      <w:r>
        <w:rPr>
          <w:spacing w:val="-1"/>
        </w:rPr>
        <w:t> </w:t>
      </w:r>
      <w:r>
        <w:rPr/>
        <w:t>Hence, social infrastructure</w:t>
      </w:r>
      <w:r>
        <w:rPr>
          <w:spacing w:val="-1"/>
        </w:rPr>
        <w:t> </w:t>
      </w:r>
      <w:r>
        <w:rPr/>
        <w:t>as presented by</w:t>
      </w:r>
      <w:r>
        <w:rPr>
          <w:spacing w:val="-3"/>
        </w:rPr>
        <w:t> </w:t>
      </w:r>
      <w:r>
        <w:rPr/>
        <w:t>Teriman </w:t>
      </w:r>
      <w:r>
        <w:rPr>
          <w:i/>
        </w:rPr>
        <w:t>et al. </w:t>
      </w:r>
      <w:r>
        <w:rPr/>
        <w:t>(2011) can be regarded as an institution that seeks to deliver range of proper facilities that promotes spiritual and social connection, health, education and recreation. Since settlements exists in hierarchies so also would the scale and scope of their social demands which determines the location and type of facility to be provided in both</w:t>
      </w:r>
      <w:r>
        <w:rPr>
          <w:spacing w:val="40"/>
        </w:rPr>
        <w:t> </w:t>
      </w:r>
      <w:r>
        <w:rPr/>
        <w:t>spatial and population based approach of infrastructure planning.</w:t>
      </w:r>
    </w:p>
    <w:p>
      <w:pPr>
        <w:pStyle w:val="Heading1"/>
        <w:numPr>
          <w:ilvl w:val="1"/>
          <w:numId w:val="4"/>
        </w:numPr>
        <w:tabs>
          <w:tab w:pos="1504" w:val="left" w:leader="none"/>
        </w:tabs>
        <w:spacing w:line="240" w:lineRule="auto" w:before="205" w:after="0"/>
        <w:ind w:left="1504" w:right="0" w:hanging="719"/>
        <w:jc w:val="both"/>
      </w:pPr>
      <w:r>
        <w:rPr/>
        <w:t>Spatial</w:t>
      </w:r>
      <w:r>
        <w:rPr>
          <w:spacing w:val="-2"/>
        </w:rPr>
        <w:t> </w:t>
      </w:r>
      <w:r>
        <w:rPr/>
        <w:t>Distribution</w:t>
      </w:r>
      <w:r>
        <w:rPr>
          <w:spacing w:val="-1"/>
        </w:rPr>
        <w:t> </w:t>
      </w:r>
      <w:r>
        <w:rPr/>
        <w:t>and</w:t>
      </w:r>
      <w:r>
        <w:rPr>
          <w:spacing w:val="-1"/>
        </w:rPr>
        <w:t> </w:t>
      </w:r>
      <w:r>
        <w:rPr>
          <w:spacing w:val="-2"/>
        </w:rPr>
        <w:t>Accessibility</w:t>
      </w:r>
    </w:p>
    <w:p>
      <w:pPr>
        <w:pStyle w:val="BodyText"/>
        <w:spacing w:before="7"/>
        <w:rPr>
          <w:b/>
          <w:sz w:val="23"/>
        </w:rPr>
      </w:pPr>
    </w:p>
    <w:p>
      <w:pPr>
        <w:pStyle w:val="BodyText"/>
        <w:spacing w:line="480" w:lineRule="auto"/>
        <w:ind w:left="785" w:right="252"/>
        <w:jc w:val="both"/>
      </w:pPr>
      <w:r>
        <w:rPr/>
        <w:t>Gianpiero (2009) has established that infrastructure is measured either by quantifying the existing stock or analysing its effects in regional development. However, the quantification of infrastructure can either be in spatial or monetary</w:t>
      </w:r>
      <w:r>
        <w:rPr>
          <w:spacing w:val="-3"/>
        </w:rPr>
        <w:t> </w:t>
      </w:r>
      <w:r>
        <w:rPr/>
        <w:t>terms. This validates the claims of Liu </w:t>
      </w:r>
      <w:r>
        <w:rPr>
          <w:i/>
        </w:rPr>
        <w:t>et al. </w:t>
      </w:r>
      <w:r>
        <w:rPr/>
        <w:t>(2008) that spatial analysis is common in geosciences especially with the technological advancement of spatial information technology. Accessibility in spatial context is analysed using Geographical Information System (GIS) as an analytical tool (Fabiyi and Ogunyemi, 2015). There are several approaches to spatial analysis depending on academic discipline. However, from a geographic point of view, spatial analysis can be categorized into spatial-graphical analysis, spatial-data analysis, and spatial model (Liu </w:t>
      </w:r>
      <w:r>
        <w:rPr>
          <w:i/>
        </w:rPr>
        <w:t>et al., </w:t>
      </w:r>
      <w:r>
        <w:rPr/>
        <w:t>2008). Spatial graphical analysis includes location and spatial distributions, spatial data analysis deals with measurements of attributes while spatial model analyses spatial mechanisms.</w:t>
      </w:r>
    </w:p>
    <w:p>
      <w:pPr>
        <w:pStyle w:val="BodyText"/>
        <w:spacing w:line="480" w:lineRule="auto" w:before="201"/>
        <w:ind w:left="785" w:right="254"/>
        <w:jc w:val="both"/>
      </w:pPr>
      <w:r>
        <w:rPr/>
        <w:t>Akpan and Atser (2010) adopted a twenty-one (21) social indicator variable that were derived from indices of water, health, and education to examine the levels of social infrastructure</w:t>
      </w:r>
      <w:r>
        <w:rPr>
          <w:spacing w:val="43"/>
        </w:rPr>
        <w:t> </w:t>
      </w:r>
      <w:r>
        <w:rPr/>
        <w:t>stock</w:t>
      </w:r>
      <w:r>
        <w:rPr>
          <w:spacing w:val="45"/>
        </w:rPr>
        <w:t> </w:t>
      </w:r>
      <w:r>
        <w:rPr/>
        <w:t>and</w:t>
      </w:r>
      <w:r>
        <w:rPr>
          <w:spacing w:val="46"/>
        </w:rPr>
        <w:t> </w:t>
      </w:r>
      <w:r>
        <w:rPr/>
        <w:t>spatial</w:t>
      </w:r>
      <w:r>
        <w:rPr>
          <w:spacing w:val="44"/>
        </w:rPr>
        <w:t> </w:t>
      </w:r>
      <w:r>
        <w:rPr/>
        <w:t>distribution</w:t>
      </w:r>
      <w:r>
        <w:rPr>
          <w:spacing w:val="44"/>
        </w:rPr>
        <w:t> </w:t>
      </w:r>
      <w:r>
        <w:rPr/>
        <w:t>of</w:t>
      </w:r>
      <w:r>
        <w:rPr>
          <w:spacing w:val="43"/>
        </w:rPr>
        <w:t> </w:t>
      </w:r>
      <w:r>
        <w:rPr/>
        <w:t>fifty</w:t>
      </w:r>
      <w:r>
        <w:rPr>
          <w:spacing w:val="39"/>
        </w:rPr>
        <w:t> </w:t>
      </w:r>
      <w:r>
        <w:rPr/>
        <w:t>(50)</w:t>
      </w:r>
      <w:r>
        <w:rPr>
          <w:spacing w:val="45"/>
        </w:rPr>
        <w:t> </w:t>
      </w:r>
      <w:r>
        <w:rPr/>
        <w:t>rural</w:t>
      </w:r>
      <w:r>
        <w:rPr>
          <w:spacing w:val="44"/>
        </w:rPr>
        <w:t> </w:t>
      </w:r>
      <w:r>
        <w:rPr/>
        <w:t>communities</w:t>
      </w:r>
      <w:r>
        <w:rPr>
          <w:spacing w:val="50"/>
        </w:rPr>
        <w:t> </w:t>
      </w:r>
      <w:r>
        <w:rPr/>
        <w:t>in</w:t>
      </w:r>
      <w:r>
        <w:rPr>
          <w:spacing w:val="46"/>
        </w:rPr>
        <w:t> </w:t>
      </w:r>
      <w:r>
        <w:rPr>
          <w:spacing w:val="-4"/>
        </w:rPr>
        <w:t>Akwa</w:t>
      </w:r>
    </w:p>
    <w:p>
      <w:pPr>
        <w:spacing w:after="0" w:line="480" w:lineRule="auto"/>
        <w:jc w:val="both"/>
        <w:sectPr>
          <w:pgSz w:w="11910" w:h="16840"/>
          <w:pgMar w:header="0" w:footer="1003" w:top="1320" w:bottom="1200" w:left="1200" w:right="1160"/>
        </w:sectPr>
      </w:pPr>
    </w:p>
    <w:p>
      <w:pPr>
        <w:pStyle w:val="BodyText"/>
        <w:spacing w:line="480" w:lineRule="auto" w:before="72"/>
        <w:ind w:left="785" w:right="251"/>
        <w:jc w:val="both"/>
      </w:pPr>
      <w:r>
        <w:rPr/>
        <w:t>Ibom state. The communities were grouped using a single cluster analysis to show the level of performance of social infrastructure using Statistical Package for Social Sciences (SPSS). The study revealed the vulnerable or underserved rural communities and also determined the level of accessibility a community has to basic social infrastructure. The study however, did not examine the factors that are responsible for the unequal siting of social infrastructure in Nigeria. Biktemirova </w:t>
      </w:r>
      <w:r>
        <w:rPr>
          <w:i/>
        </w:rPr>
        <w:t>et al. </w:t>
      </w:r>
      <w:r>
        <w:rPr/>
        <w:t>(2015) drawing from Marxian ideologies indicated that socio-economic and demographic attributes of communities are what influences the distribution pattern of social infrastructure in Russia.</w:t>
      </w:r>
      <w:r>
        <w:rPr>
          <w:spacing w:val="40"/>
        </w:rPr>
        <w:t> </w:t>
      </w:r>
      <w:r>
        <w:rPr/>
        <w:t>The existing settlement system and a balanced social overhead development is what determine the location of social infrastructure. Specifically, economic</w:t>
      </w:r>
      <w:r>
        <w:rPr>
          <w:spacing w:val="40"/>
        </w:rPr>
        <w:t> </w:t>
      </w:r>
      <w:r>
        <w:rPr/>
        <w:t>development and population are responsible for influencing what social infrastructure goes to where in Russian communities. Osumgborogwu, (2016) on the other hand, investigated the correlation between accessibility</w:t>
      </w:r>
      <w:r>
        <w:rPr>
          <w:spacing w:val="-4"/>
        </w:rPr>
        <w:t> </w:t>
      </w:r>
      <w:r>
        <w:rPr/>
        <w:t>to social infrastructure and the income level of the rural community. He argued that income level affects affordability and in turn determines accessibility to social infrastructure. The study showed a strong correlation between the three social infrastructure variables (education, health and leisure facilities) and the income level of the rural community. This confirmed a much earlier observation by Ogunyemi </w:t>
      </w:r>
      <w:r>
        <w:rPr>
          <w:i/>
        </w:rPr>
        <w:t>et al. </w:t>
      </w:r>
      <w:r>
        <w:rPr/>
        <w:t>(2014) that both the issue of location and accessibility of educational facilities in the country are influenced by the ruling power and socio-economic status of residents.</w:t>
      </w:r>
    </w:p>
    <w:p>
      <w:pPr>
        <w:pStyle w:val="BodyText"/>
        <w:spacing w:line="480" w:lineRule="auto" w:before="202"/>
        <w:ind w:left="785" w:right="252"/>
        <w:jc w:val="both"/>
      </w:pPr>
      <w:r>
        <w:rPr/>
        <w:t>Davern </w:t>
      </w:r>
      <w:r>
        <w:rPr>
          <w:i/>
        </w:rPr>
        <w:t>et al. </w:t>
      </w:r>
      <w:r>
        <w:rPr/>
        <w:t>(2017) has specifically mentioned the demerits of adopting a population based approach in social infrastructure planning. Firstly, new suburban regions are deprived of social services until the minimum threshold is available. Secondly, the peri- urban areas suffer an amplified deprivation effect due to the socio-political characteristics</w:t>
      </w:r>
      <w:r>
        <w:rPr>
          <w:spacing w:val="58"/>
        </w:rPr>
        <w:t> </w:t>
      </w:r>
      <w:r>
        <w:rPr/>
        <w:t>of</w:t>
      </w:r>
      <w:r>
        <w:rPr>
          <w:spacing w:val="60"/>
        </w:rPr>
        <w:t> </w:t>
      </w:r>
      <w:r>
        <w:rPr/>
        <w:t>the</w:t>
      </w:r>
      <w:r>
        <w:rPr>
          <w:spacing w:val="60"/>
        </w:rPr>
        <w:t> </w:t>
      </w:r>
      <w:r>
        <w:rPr/>
        <w:t>lower</w:t>
      </w:r>
      <w:r>
        <w:rPr>
          <w:spacing w:val="60"/>
        </w:rPr>
        <w:t> </w:t>
      </w:r>
      <w:r>
        <w:rPr/>
        <w:t>income</w:t>
      </w:r>
      <w:r>
        <w:rPr>
          <w:spacing w:val="63"/>
        </w:rPr>
        <w:t> </w:t>
      </w:r>
      <w:r>
        <w:rPr/>
        <w:t>residents.</w:t>
      </w:r>
      <w:r>
        <w:rPr>
          <w:spacing w:val="64"/>
        </w:rPr>
        <w:t> </w:t>
      </w:r>
      <w:r>
        <w:rPr/>
        <w:t>However,</w:t>
      </w:r>
      <w:r>
        <w:rPr>
          <w:spacing w:val="60"/>
        </w:rPr>
        <w:t> </w:t>
      </w:r>
      <w:r>
        <w:rPr/>
        <w:t>an</w:t>
      </w:r>
      <w:r>
        <w:rPr>
          <w:spacing w:val="63"/>
        </w:rPr>
        <w:t> </w:t>
      </w:r>
      <w:r>
        <w:rPr/>
        <w:t>alternative</w:t>
      </w:r>
      <w:r>
        <w:rPr>
          <w:spacing w:val="62"/>
        </w:rPr>
        <w:t> </w:t>
      </w:r>
      <w:r>
        <w:rPr/>
        <w:t>approach</w:t>
      </w:r>
      <w:r>
        <w:rPr>
          <w:spacing w:val="62"/>
        </w:rPr>
        <w:t> </w:t>
      </w:r>
      <w:r>
        <w:rPr>
          <w:spacing w:val="-5"/>
        </w:rPr>
        <w:t>to</w:t>
      </w:r>
    </w:p>
    <w:p>
      <w:pPr>
        <w:spacing w:after="0" w:line="480" w:lineRule="auto"/>
        <w:jc w:val="both"/>
        <w:sectPr>
          <w:pgSz w:w="11910" w:h="16840"/>
          <w:pgMar w:header="0" w:footer="1003" w:top="1320" w:bottom="1200" w:left="1200" w:right="1160"/>
        </w:sectPr>
      </w:pPr>
    </w:p>
    <w:p>
      <w:pPr>
        <w:pStyle w:val="BodyText"/>
        <w:spacing w:line="480" w:lineRule="auto" w:before="72"/>
        <w:ind w:left="785" w:right="253"/>
        <w:jc w:val="both"/>
      </w:pPr>
      <w:r>
        <w:rPr/>
        <w:t>planning neighbourhoods is an accessibility based approach. This requires the use of walking or vehicular distances to plan for social infrastructure. For example, in the city of Vancouver a service radius of 0.8km to primary schools and playgrounds was the standard for high density developments. This emphasis affirmed the opinion of Salisu (2016) that Infrastructure is meant to be the final consumable of households and in this case accessibility to education and health facility is very important. As such an accessibility criterion in social infrastructure allocation is more suitable than a population based approach in neighbourhood planning.</w:t>
      </w:r>
    </w:p>
    <w:p>
      <w:pPr>
        <w:pStyle w:val="BodyText"/>
        <w:spacing w:line="480" w:lineRule="auto" w:before="200"/>
        <w:ind w:left="785" w:right="253"/>
        <w:jc w:val="both"/>
      </w:pPr>
      <w:r>
        <w:rPr/>
        <w:t>Dejene </w:t>
      </w:r>
      <w:r>
        <w:rPr>
          <w:i/>
        </w:rPr>
        <w:t>et al. </w:t>
      </w:r>
      <w:r>
        <w:rPr/>
        <w:t>(2018) study on spatial distribution and accessibility in Bishoftu town, Ethopia used local quotient method and spatial concentration analysis to examine unequal distribution of primary school. The nearest neighbour analysis was used to display the spatial distribution pattern of primary schools. Spatial accessibility on the other hand was analysed using road network based service area analysis. The result of both the spatial distribution and accessibility were mapped in the Geographical Information System (G.I.S) environment. Recent study of Dejen </w:t>
      </w:r>
      <w:r>
        <w:rPr>
          <w:i/>
        </w:rPr>
        <w:t>et al. </w:t>
      </w:r>
      <w:r>
        <w:rPr/>
        <w:t>(2019) also adopted the service area analysis of health care centres, using 30 and 60 minutes’ travel time</w:t>
      </w:r>
      <w:r>
        <w:rPr>
          <w:spacing w:val="34"/>
        </w:rPr>
        <w:t> </w:t>
      </w:r>
      <w:r>
        <w:rPr/>
        <w:t>on</w:t>
      </w:r>
      <w:r>
        <w:rPr>
          <w:spacing w:val="38"/>
        </w:rPr>
        <w:t> </w:t>
      </w:r>
      <w:r>
        <w:rPr/>
        <w:t>both</w:t>
      </w:r>
      <w:r>
        <w:rPr>
          <w:spacing w:val="39"/>
        </w:rPr>
        <w:t> </w:t>
      </w:r>
      <w:r>
        <w:rPr/>
        <w:t>foot</w:t>
      </w:r>
      <w:r>
        <w:rPr>
          <w:spacing w:val="36"/>
        </w:rPr>
        <w:t> </w:t>
      </w:r>
      <w:r>
        <w:rPr/>
        <w:t>and</w:t>
      </w:r>
      <w:r>
        <w:rPr>
          <w:spacing w:val="38"/>
        </w:rPr>
        <w:t> </w:t>
      </w:r>
      <w:r>
        <w:rPr/>
        <w:t>vehicle</w:t>
      </w:r>
      <w:r>
        <w:rPr>
          <w:spacing w:val="37"/>
        </w:rPr>
        <w:t> </w:t>
      </w:r>
      <w:r>
        <w:rPr/>
        <w:t>respectively</w:t>
      </w:r>
      <w:r>
        <w:rPr>
          <w:spacing w:val="34"/>
        </w:rPr>
        <w:t> </w:t>
      </w:r>
      <w:r>
        <w:rPr/>
        <w:t>as</w:t>
      </w:r>
      <w:r>
        <w:rPr>
          <w:spacing w:val="40"/>
        </w:rPr>
        <w:t> </w:t>
      </w:r>
      <w:r>
        <w:rPr/>
        <w:t>a</w:t>
      </w:r>
      <w:r>
        <w:rPr>
          <w:spacing w:val="39"/>
        </w:rPr>
        <w:t> </w:t>
      </w:r>
      <w:r>
        <w:rPr/>
        <w:t>parameter</w:t>
      </w:r>
      <w:r>
        <w:rPr>
          <w:spacing w:val="38"/>
        </w:rPr>
        <w:t> </w:t>
      </w:r>
      <w:r>
        <w:rPr/>
        <w:t>to</w:t>
      </w:r>
      <w:r>
        <w:rPr>
          <w:spacing w:val="38"/>
        </w:rPr>
        <w:t> </w:t>
      </w:r>
      <w:r>
        <w:rPr/>
        <w:t>analyse</w:t>
      </w:r>
      <w:r>
        <w:rPr>
          <w:spacing w:val="39"/>
        </w:rPr>
        <w:t> </w:t>
      </w:r>
      <w:r>
        <w:rPr/>
        <w:t>accessibility</w:t>
      </w:r>
      <w:r>
        <w:rPr>
          <w:spacing w:val="36"/>
        </w:rPr>
        <w:t> </w:t>
      </w:r>
      <w:r>
        <w:rPr>
          <w:spacing w:val="-5"/>
        </w:rPr>
        <w:t>in</w:t>
      </w:r>
    </w:p>
    <w:p>
      <w:pPr>
        <w:pStyle w:val="BodyText"/>
        <w:spacing w:line="480" w:lineRule="auto" w:before="1"/>
        <w:ind w:left="785" w:right="254"/>
        <w:jc w:val="both"/>
      </w:pPr>
      <w:r>
        <w:rPr/>
        <w:t>G.I.S. The study validates the use of geospatial technology in analysing spatial distribution and accessibility to social infrastructural facilities. The travel speed in each land cover used in the study was determined by assigning travel speed values adopted from Ebner </w:t>
      </w:r>
      <w:r>
        <w:rPr>
          <w:i/>
        </w:rPr>
        <w:t>et al. </w:t>
      </w:r>
      <w:r>
        <w:rPr/>
        <w:t>(2004). However, the author agrees that the collection of travel time information is challenging and with a tendency of variations in accuracy. These studies have shown the reliability of geospatial technology in carrying out spatial analysis.</w:t>
      </w:r>
    </w:p>
    <w:p>
      <w:pPr>
        <w:spacing w:after="0" w:line="480" w:lineRule="auto"/>
        <w:jc w:val="both"/>
        <w:sectPr>
          <w:pgSz w:w="11910" w:h="16840"/>
          <w:pgMar w:header="0" w:footer="1003" w:top="1320" w:bottom="1200" w:left="1200" w:right="1160"/>
        </w:sectPr>
      </w:pPr>
    </w:p>
    <w:p>
      <w:pPr>
        <w:pStyle w:val="Heading1"/>
        <w:numPr>
          <w:ilvl w:val="2"/>
          <w:numId w:val="4"/>
        </w:numPr>
        <w:tabs>
          <w:tab w:pos="1504" w:val="left" w:leader="none"/>
        </w:tabs>
        <w:spacing w:line="240" w:lineRule="auto" w:before="76" w:after="0"/>
        <w:ind w:left="1504" w:right="0" w:hanging="719"/>
        <w:jc w:val="both"/>
      </w:pPr>
      <w:r>
        <w:rPr/>
        <w:t>GIS</w:t>
      </w:r>
      <w:r>
        <w:rPr>
          <w:spacing w:val="-1"/>
        </w:rPr>
        <w:t> </w:t>
      </w:r>
      <w:r>
        <w:rPr/>
        <w:t>approach</w:t>
      </w:r>
      <w:r>
        <w:rPr>
          <w:spacing w:val="-1"/>
        </w:rPr>
        <w:t> </w:t>
      </w:r>
      <w:r>
        <w:rPr/>
        <w:t>to</w:t>
      </w:r>
      <w:r>
        <w:rPr>
          <w:spacing w:val="-1"/>
        </w:rPr>
        <w:t> </w:t>
      </w:r>
      <w:r>
        <w:rPr/>
        <w:t>spatial</w:t>
      </w:r>
      <w:r>
        <w:rPr>
          <w:spacing w:val="-1"/>
        </w:rPr>
        <w:t> </w:t>
      </w:r>
      <w:r>
        <w:rPr>
          <w:spacing w:val="-2"/>
        </w:rPr>
        <w:t>analysis</w:t>
      </w:r>
    </w:p>
    <w:p>
      <w:pPr>
        <w:pStyle w:val="BodyText"/>
        <w:spacing w:before="7"/>
        <w:rPr>
          <w:b/>
          <w:sz w:val="23"/>
        </w:rPr>
      </w:pPr>
    </w:p>
    <w:p>
      <w:pPr>
        <w:pStyle w:val="BodyText"/>
        <w:spacing w:line="480" w:lineRule="auto" w:before="1"/>
        <w:ind w:left="785" w:right="256"/>
        <w:jc w:val="both"/>
      </w:pPr>
      <w:r>
        <w:rPr/>
        <w:t>Several proposals on geospatial analysis in the GIS environment have been published and this is applicable to so many disciplines including physics, economics, social sciences and geography. The output of analysis is as a result of the attribute of the dataset. Each data set is independent and has the property</w:t>
      </w:r>
      <w:r>
        <w:rPr>
          <w:spacing w:val="-3"/>
        </w:rPr>
        <w:t> </w:t>
      </w:r>
      <w:r>
        <w:rPr/>
        <w:t>of distance decay. That is, the effect of the spatial data would decline as the distance between the focal point (spatial field source) and the</w:t>
      </w:r>
      <w:r>
        <w:rPr>
          <w:spacing w:val="-1"/>
        </w:rPr>
        <w:t> </w:t>
      </w:r>
      <w:r>
        <w:rPr/>
        <w:t>object increases. This property</w:t>
      </w:r>
      <w:r>
        <w:rPr>
          <w:spacing w:val="-3"/>
        </w:rPr>
        <w:t> </w:t>
      </w:r>
      <w:r>
        <w:rPr/>
        <w:t>of</w:t>
      </w:r>
      <w:r>
        <w:rPr>
          <w:spacing w:val="-1"/>
        </w:rPr>
        <w:t> </w:t>
      </w:r>
      <w:r>
        <w:rPr/>
        <w:t>a</w:t>
      </w:r>
      <w:r>
        <w:rPr>
          <w:spacing w:val="-1"/>
        </w:rPr>
        <w:t> </w:t>
      </w:r>
      <w:r>
        <w:rPr/>
        <w:t>data</w:t>
      </w:r>
      <w:r>
        <w:rPr>
          <w:spacing w:val="-1"/>
        </w:rPr>
        <w:t> </w:t>
      </w:r>
      <w:r>
        <w:rPr/>
        <w:t>set can be</w:t>
      </w:r>
      <w:r>
        <w:rPr>
          <w:spacing w:val="-1"/>
        </w:rPr>
        <w:t> </w:t>
      </w:r>
      <w:r>
        <w:rPr/>
        <w:t>used to measure the</w:t>
      </w:r>
      <w:r>
        <w:rPr>
          <w:spacing w:val="-2"/>
        </w:rPr>
        <w:t> </w:t>
      </w:r>
      <w:r>
        <w:rPr/>
        <w:t>range</w:t>
      </w:r>
      <w:r>
        <w:rPr>
          <w:spacing w:val="-2"/>
        </w:rPr>
        <w:t> </w:t>
      </w:r>
      <w:r>
        <w:rPr/>
        <w:t>of</w:t>
      </w:r>
      <w:r>
        <w:rPr>
          <w:spacing w:val="-2"/>
        </w:rPr>
        <w:t> </w:t>
      </w:r>
      <w:r>
        <w:rPr/>
        <w:t>impact</w:t>
      </w:r>
      <w:r>
        <w:rPr>
          <w:spacing w:val="-1"/>
        </w:rPr>
        <w:t> </w:t>
      </w:r>
      <w:r>
        <w:rPr/>
        <w:t>emitting</w:t>
      </w:r>
      <w:r>
        <w:rPr>
          <w:spacing w:val="-3"/>
        </w:rPr>
        <w:t> </w:t>
      </w:r>
      <w:r>
        <w:rPr/>
        <w:t>from</w:t>
      </w:r>
      <w:r>
        <w:rPr>
          <w:spacing w:val="-1"/>
        </w:rPr>
        <w:t> </w:t>
      </w:r>
      <w:r>
        <w:rPr/>
        <w:t>the dataset</w:t>
      </w:r>
      <w:r>
        <w:rPr>
          <w:spacing w:val="-1"/>
        </w:rPr>
        <w:t> </w:t>
      </w:r>
      <w:r>
        <w:rPr/>
        <w:t>to</w:t>
      </w:r>
      <w:r>
        <w:rPr>
          <w:spacing w:val="-1"/>
        </w:rPr>
        <w:t> </w:t>
      </w:r>
      <w:r>
        <w:rPr/>
        <w:t>the</w:t>
      </w:r>
      <w:r>
        <w:rPr>
          <w:spacing w:val="-2"/>
        </w:rPr>
        <w:t> </w:t>
      </w:r>
      <w:r>
        <w:rPr/>
        <w:t>surrounding</w:t>
      </w:r>
      <w:r>
        <w:rPr>
          <w:spacing w:val="-3"/>
        </w:rPr>
        <w:t> </w:t>
      </w:r>
      <w:r>
        <w:rPr/>
        <w:t>object.</w:t>
      </w:r>
      <w:r>
        <w:rPr>
          <w:spacing w:val="-1"/>
        </w:rPr>
        <w:t> </w:t>
      </w:r>
      <w:r>
        <w:rPr/>
        <w:t>This</w:t>
      </w:r>
      <w:r>
        <w:rPr>
          <w:spacing w:val="-1"/>
        </w:rPr>
        <w:t> </w:t>
      </w:r>
      <w:r>
        <w:rPr/>
        <w:t>therefore</w:t>
      </w:r>
      <w:r>
        <w:rPr>
          <w:spacing w:val="-2"/>
        </w:rPr>
        <w:t> </w:t>
      </w:r>
      <w:r>
        <w:rPr/>
        <w:t>is significant in measuring the range of social infrastructural delivery in urban and</w:t>
      </w:r>
      <w:r>
        <w:rPr>
          <w:spacing w:val="40"/>
        </w:rPr>
        <w:t> </w:t>
      </w:r>
      <w:r>
        <w:rPr/>
        <w:t>regional planning. Another property of spatial data fields is in their interaction and overlapping function when they meet. They tend to exert the same forces when they meet at any point thus, the data field would overlap. The service radius of social infrastructure could also overlap given if the distances in service radius between two features meet at the same point (Liu </w:t>
      </w:r>
      <w:r>
        <w:rPr>
          <w:i/>
        </w:rPr>
        <w:t>et al., </w:t>
      </w:r>
      <w:r>
        <w:rPr/>
        <w:t>2008). Techniques used for spatial analysis covers areas such as;</w:t>
      </w:r>
    </w:p>
    <w:p>
      <w:pPr>
        <w:pStyle w:val="Heading1"/>
        <w:numPr>
          <w:ilvl w:val="0"/>
          <w:numId w:val="5"/>
        </w:numPr>
        <w:tabs>
          <w:tab w:pos="1503" w:val="left" w:leader="none"/>
        </w:tabs>
        <w:spacing w:line="240" w:lineRule="auto" w:before="205" w:after="0"/>
        <w:ind w:left="1503" w:right="0" w:hanging="718"/>
        <w:jc w:val="both"/>
      </w:pPr>
      <w:r>
        <w:rPr/>
        <w:t>Spatial </w:t>
      </w:r>
      <w:r>
        <w:rPr>
          <w:spacing w:val="-2"/>
        </w:rPr>
        <w:t>distribution</w:t>
      </w:r>
    </w:p>
    <w:p>
      <w:pPr>
        <w:pStyle w:val="BodyText"/>
        <w:spacing w:before="7"/>
        <w:rPr>
          <w:b/>
          <w:sz w:val="23"/>
        </w:rPr>
      </w:pPr>
    </w:p>
    <w:p>
      <w:pPr>
        <w:pStyle w:val="BodyText"/>
        <w:spacing w:line="480" w:lineRule="auto"/>
        <w:ind w:left="785" w:right="256"/>
        <w:jc w:val="both"/>
      </w:pPr>
      <w:r>
        <w:rPr/>
        <w:t>Adrain (2008) presented spatial distributions as a graphical representation of phenomenon on the surface of the earth through geo-referenced datasets. The dataset could be manipulated in complicated data analysis. There are three types of spatial distribution representation across the surface of the earth. And they are as follows;</w:t>
      </w:r>
    </w:p>
    <w:p>
      <w:pPr>
        <w:pStyle w:val="ListParagraph"/>
        <w:numPr>
          <w:ilvl w:val="1"/>
          <w:numId w:val="5"/>
        </w:numPr>
        <w:tabs>
          <w:tab w:pos="1709" w:val="left" w:leader="none"/>
          <w:tab w:pos="1711" w:val="left" w:leader="none"/>
        </w:tabs>
        <w:spacing w:line="480" w:lineRule="auto" w:before="200" w:after="0"/>
        <w:ind w:left="1711" w:right="255" w:hanging="488"/>
        <w:jc w:val="both"/>
        <w:rPr>
          <w:sz w:val="24"/>
        </w:rPr>
      </w:pPr>
      <w:r>
        <w:rPr>
          <w:sz w:val="24"/>
        </w:rPr>
        <w:t>Uniform: in the graphical outcome of spatial distribution, the uniform pattern is always distinguished form other patterns by</w:t>
      </w:r>
      <w:r>
        <w:rPr>
          <w:spacing w:val="-3"/>
          <w:sz w:val="24"/>
        </w:rPr>
        <w:t> </w:t>
      </w:r>
      <w:r>
        <w:rPr>
          <w:sz w:val="24"/>
        </w:rPr>
        <w:t>a relatively farther distance that exists between geographic features or phenomenon. As shown in Figure 2.1.</w:t>
      </w:r>
    </w:p>
    <w:p>
      <w:pPr>
        <w:spacing w:after="0" w:line="480" w:lineRule="auto"/>
        <w:jc w:val="both"/>
        <w:rPr>
          <w:sz w:val="24"/>
        </w:rPr>
        <w:sectPr>
          <w:pgSz w:w="11910" w:h="16840"/>
          <w:pgMar w:header="0" w:footer="1003" w:top="1320" w:bottom="1200" w:left="1200" w:right="1160"/>
        </w:sectPr>
      </w:pPr>
    </w:p>
    <w:p>
      <w:pPr>
        <w:pStyle w:val="BodyText"/>
        <w:ind w:left="2846"/>
        <w:rPr>
          <w:sz w:val="20"/>
        </w:rPr>
      </w:pPr>
      <w:r>
        <w:rPr>
          <w:sz w:val="20"/>
        </w:rPr>
        <mc:AlternateContent>
          <mc:Choice Requires="wps">
            <w:drawing>
              <wp:inline distT="0" distB="0" distL="0" distR="0">
                <wp:extent cx="2790825" cy="1358265"/>
                <wp:effectExtent l="9525" t="0" r="0" b="3809"/>
                <wp:docPr id="11" name="Group 11"/>
                <wp:cNvGraphicFramePr>
                  <a:graphicFrameLocks/>
                </wp:cNvGraphicFramePr>
                <a:graphic>
                  <a:graphicData uri="http://schemas.microsoft.com/office/word/2010/wordprocessingGroup">
                    <wpg:wgp>
                      <wpg:cNvPr id="11" name="Group 11"/>
                      <wpg:cNvGrpSpPr/>
                      <wpg:grpSpPr>
                        <a:xfrm>
                          <a:off x="0" y="0"/>
                          <a:ext cx="2790825" cy="1358265"/>
                          <a:chExt cx="2790825" cy="1358265"/>
                        </a:xfrm>
                      </wpg:grpSpPr>
                      <pic:pic>
                        <pic:nvPicPr>
                          <pic:cNvPr id="12" name="Image 12"/>
                          <pic:cNvPicPr/>
                        </pic:nvPicPr>
                        <pic:blipFill>
                          <a:blip r:embed="rId9" cstate="print"/>
                          <a:stretch>
                            <a:fillRect/>
                          </a:stretch>
                        </pic:blipFill>
                        <pic:spPr>
                          <a:xfrm>
                            <a:off x="19811" y="19811"/>
                            <a:ext cx="2750820" cy="1318259"/>
                          </a:xfrm>
                          <a:prstGeom prst="rect">
                            <a:avLst/>
                          </a:prstGeom>
                        </pic:spPr>
                      </pic:pic>
                      <wps:wsp>
                        <wps:cNvPr id="13" name="Graphic 13"/>
                        <wps:cNvSpPr/>
                        <wps:spPr>
                          <a:xfrm>
                            <a:off x="9905" y="9905"/>
                            <a:ext cx="2771140" cy="1338580"/>
                          </a:xfrm>
                          <a:custGeom>
                            <a:avLst/>
                            <a:gdLst/>
                            <a:ahLst/>
                            <a:cxnLst/>
                            <a:rect l="l" t="t" r="r" b="b"/>
                            <a:pathLst>
                              <a:path w="2771140" h="1338580">
                                <a:moveTo>
                                  <a:pt x="0" y="1338072"/>
                                </a:moveTo>
                                <a:lnTo>
                                  <a:pt x="2770632" y="1338072"/>
                                </a:lnTo>
                                <a:lnTo>
                                  <a:pt x="2770632" y="0"/>
                                </a:lnTo>
                                <a:lnTo>
                                  <a:pt x="0" y="0"/>
                                </a:lnTo>
                                <a:lnTo>
                                  <a:pt x="0" y="1338072"/>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9.75pt;height:106.95pt;mso-position-horizontal-relative:char;mso-position-vertical-relative:line" id="docshapegroup11" coordorigin="0,0" coordsize="4395,2139">
                <v:shape style="position:absolute;left:31;top:31;width:4332;height:2076" type="#_x0000_t75" id="docshape12" stroked="false">
                  <v:imagedata r:id="rId9" o:title=""/>
                </v:shape>
                <v:rect style="position:absolute;left:15;top:15;width:4364;height:2108" id="docshape13" filled="false" stroked="true" strokeweight="1.56pt" strokecolor="#000000">
                  <v:stroke dashstyle="solid"/>
                </v:rect>
              </v:group>
            </w:pict>
          </mc:Fallback>
        </mc:AlternateContent>
      </w:r>
      <w:r>
        <w:rPr>
          <w:sz w:val="20"/>
        </w:rPr>
      </w:r>
    </w:p>
    <w:p>
      <w:pPr>
        <w:pStyle w:val="BodyText"/>
        <w:spacing w:line="237" w:lineRule="exact"/>
        <w:ind w:left="2851" w:right="2322"/>
        <w:jc w:val="center"/>
      </w:pPr>
      <w:r>
        <w:rPr/>
        <w:t>Figure</w:t>
      </w:r>
      <w:r>
        <w:rPr>
          <w:spacing w:val="-3"/>
        </w:rPr>
        <w:t> </w:t>
      </w:r>
      <w:r>
        <w:rPr/>
        <w:t>2.1:</w:t>
      </w:r>
      <w:r>
        <w:rPr>
          <w:spacing w:val="-1"/>
        </w:rPr>
        <w:t> </w:t>
      </w:r>
      <w:r>
        <w:rPr/>
        <w:t>Uniform</w:t>
      </w:r>
      <w:r>
        <w:rPr>
          <w:spacing w:val="-1"/>
        </w:rPr>
        <w:t> </w:t>
      </w:r>
      <w:r>
        <w:rPr/>
        <w:t>Spatial </w:t>
      </w:r>
      <w:r>
        <w:rPr>
          <w:spacing w:val="-2"/>
        </w:rPr>
        <w:t>Distribution</w:t>
      </w:r>
    </w:p>
    <w:p>
      <w:pPr>
        <w:pStyle w:val="BodyText"/>
        <w:ind w:left="2851" w:right="2327"/>
        <w:jc w:val="center"/>
      </w:pPr>
      <w:r>
        <w:rPr/>
        <w:t>Source:</w:t>
      </w:r>
      <w:r>
        <w:rPr>
          <w:spacing w:val="-3"/>
        </w:rPr>
        <w:t> </w:t>
      </w:r>
      <w:r>
        <w:rPr/>
        <w:t>Adrain</w:t>
      </w:r>
      <w:r>
        <w:rPr>
          <w:spacing w:val="-1"/>
        </w:rPr>
        <w:t> </w:t>
      </w:r>
      <w:r>
        <w:rPr>
          <w:spacing w:val="-2"/>
        </w:rPr>
        <w:t>(2008)</w:t>
      </w:r>
    </w:p>
    <w:p>
      <w:pPr>
        <w:pStyle w:val="BodyText"/>
      </w:pPr>
    </w:p>
    <w:p>
      <w:pPr>
        <w:pStyle w:val="ListParagraph"/>
        <w:numPr>
          <w:ilvl w:val="1"/>
          <w:numId w:val="5"/>
        </w:numPr>
        <w:tabs>
          <w:tab w:pos="1709" w:val="left" w:leader="none"/>
          <w:tab w:pos="1711" w:val="left" w:leader="none"/>
        </w:tabs>
        <w:spacing w:line="480" w:lineRule="auto" w:before="0" w:after="8"/>
        <w:ind w:left="1711" w:right="260" w:hanging="552"/>
        <w:jc w:val="both"/>
        <w:rPr>
          <w:sz w:val="24"/>
        </w:rPr>
      </w:pPr>
      <w:r>
        <w:rPr>
          <w:sz w:val="24"/>
        </w:rPr>
        <w:t>Clustered: there is a concentration of geographic features or phenomenon within a region while other areas contain few. As such the outcome of the graphical representation</w:t>
      </w:r>
      <w:r>
        <w:rPr>
          <w:spacing w:val="-1"/>
          <w:sz w:val="24"/>
        </w:rPr>
        <w:t> </w:t>
      </w:r>
      <w:r>
        <w:rPr>
          <w:sz w:val="24"/>
        </w:rPr>
        <w:t>is</w:t>
      </w:r>
      <w:r>
        <w:rPr>
          <w:spacing w:val="-1"/>
          <w:sz w:val="24"/>
        </w:rPr>
        <w:t> </w:t>
      </w:r>
      <w:r>
        <w:rPr>
          <w:sz w:val="24"/>
        </w:rPr>
        <w:t>shown</w:t>
      </w:r>
      <w:r>
        <w:rPr>
          <w:spacing w:val="-2"/>
          <w:sz w:val="24"/>
        </w:rPr>
        <w:t> </w:t>
      </w:r>
      <w:r>
        <w:rPr>
          <w:sz w:val="24"/>
        </w:rPr>
        <w:t>in</w:t>
      </w:r>
      <w:r>
        <w:rPr>
          <w:spacing w:val="-1"/>
          <w:sz w:val="24"/>
        </w:rPr>
        <w:t> </w:t>
      </w:r>
      <w:r>
        <w:rPr>
          <w:sz w:val="24"/>
        </w:rPr>
        <w:t>form of</w:t>
      </w:r>
      <w:r>
        <w:rPr>
          <w:spacing w:val="-2"/>
          <w:sz w:val="24"/>
        </w:rPr>
        <w:t> </w:t>
      </w:r>
      <w:r>
        <w:rPr>
          <w:sz w:val="24"/>
        </w:rPr>
        <w:t>patches</w:t>
      </w:r>
      <w:r>
        <w:rPr>
          <w:spacing w:val="-1"/>
          <w:sz w:val="24"/>
        </w:rPr>
        <w:t> </w:t>
      </w:r>
      <w:r>
        <w:rPr>
          <w:sz w:val="24"/>
        </w:rPr>
        <w:t>of</w:t>
      </w:r>
      <w:r>
        <w:rPr>
          <w:spacing w:val="-2"/>
          <w:sz w:val="24"/>
        </w:rPr>
        <w:t> </w:t>
      </w:r>
      <w:r>
        <w:rPr>
          <w:sz w:val="24"/>
        </w:rPr>
        <w:t>varying</w:t>
      </w:r>
      <w:r>
        <w:rPr>
          <w:spacing w:val="-4"/>
          <w:sz w:val="24"/>
        </w:rPr>
        <w:t> </w:t>
      </w:r>
      <w:r>
        <w:rPr>
          <w:sz w:val="24"/>
        </w:rPr>
        <w:t>concentrations as illustrated in Figure 2.2.</w:t>
      </w:r>
    </w:p>
    <w:p>
      <w:pPr>
        <w:pStyle w:val="BodyText"/>
        <w:ind w:left="2634"/>
        <w:rPr>
          <w:sz w:val="20"/>
        </w:rPr>
      </w:pPr>
      <w:r>
        <w:rPr>
          <w:sz w:val="20"/>
        </w:rPr>
        <mc:AlternateContent>
          <mc:Choice Requires="wps">
            <w:drawing>
              <wp:inline distT="0" distB="0" distL="0" distR="0">
                <wp:extent cx="3058795" cy="1493520"/>
                <wp:effectExtent l="9525" t="0" r="0" b="1905"/>
                <wp:docPr id="14" name="Group 14"/>
                <wp:cNvGraphicFramePr>
                  <a:graphicFrameLocks/>
                </wp:cNvGraphicFramePr>
                <a:graphic>
                  <a:graphicData uri="http://schemas.microsoft.com/office/word/2010/wordprocessingGroup">
                    <wpg:wgp>
                      <wpg:cNvPr id="14" name="Group 14"/>
                      <wpg:cNvGrpSpPr/>
                      <wpg:grpSpPr>
                        <a:xfrm>
                          <a:off x="0" y="0"/>
                          <a:ext cx="3058795" cy="1493520"/>
                          <a:chExt cx="3058795" cy="1493520"/>
                        </a:xfrm>
                      </wpg:grpSpPr>
                      <pic:pic>
                        <pic:nvPicPr>
                          <pic:cNvPr id="15" name="Image 15"/>
                          <pic:cNvPicPr/>
                        </pic:nvPicPr>
                        <pic:blipFill>
                          <a:blip r:embed="rId10" cstate="print"/>
                          <a:stretch>
                            <a:fillRect/>
                          </a:stretch>
                        </pic:blipFill>
                        <pic:spPr>
                          <a:xfrm>
                            <a:off x="19811" y="19811"/>
                            <a:ext cx="3000746" cy="1453896"/>
                          </a:xfrm>
                          <a:prstGeom prst="rect">
                            <a:avLst/>
                          </a:prstGeom>
                        </pic:spPr>
                      </pic:pic>
                      <wps:wsp>
                        <wps:cNvPr id="16" name="Graphic 16"/>
                        <wps:cNvSpPr/>
                        <wps:spPr>
                          <a:xfrm>
                            <a:off x="9905" y="9905"/>
                            <a:ext cx="3039110" cy="1473835"/>
                          </a:xfrm>
                          <a:custGeom>
                            <a:avLst/>
                            <a:gdLst/>
                            <a:ahLst/>
                            <a:cxnLst/>
                            <a:rect l="l" t="t" r="r" b="b"/>
                            <a:pathLst>
                              <a:path w="3039110" h="1473835">
                                <a:moveTo>
                                  <a:pt x="0" y="1473708"/>
                                </a:moveTo>
                                <a:lnTo>
                                  <a:pt x="3038856" y="1473708"/>
                                </a:lnTo>
                                <a:lnTo>
                                  <a:pt x="3038856" y="0"/>
                                </a:lnTo>
                                <a:lnTo>
                                  <a:pt x="0" y="0"/>
                                </a:lnTo>
                                <a:lnTo>
                                  <a:pt x="0" y="1473708"/>
                                </a:lnTo>
                                <a:close/>
                              </a:path>
                            </a:pathLst>
                          </a:custGeom>
                          <a:ln w="198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40.85pt;height:117.6pt;mso-position-horizontal-relative:char;mso-position-vertical-relative:line" id="docshapegroup14" coordorigin="0,0" coordsize="4817,2352">
                <v:shape style="position:absolute;left:31;top:31;width:4726;height:2290" type="#_x0000_t75" id="docshape15" stroked="false">
                  <v:imagedata r:id="rId10" o:title=""/>
                </v:shape>
                <v:rect style="position:absolute;left:15;top:15;width:4786;height:2321" id="docshape16" filled="false" stroked="true" strokeweight="1.56pt" strokecolor="#000000">
                  <v:stroke dashstyle="solid"/>
                </v:rect>
              </v:group>
            </w:pict>
          </mc:Fallback>
        </mc:AlternateContent>
      </w:r>
      <w:r>
        <w:rPr>
          <w:sz w:val="20"/>
        </w:rPr>
      </w:r>
    </w:p>
    <w:p>
      <w:pPr>
        <w:pStyle w:val="BodyText"/>
        <w:ind w:left="2851" w:right="2322"/>
        <w:jc w:val="center"/>
      </w:pPr>
      <w:r>
        <w:rPr/>
        <w:t>Figure</w:t>
      </w:r>
      <w:r>
        <w:rPr>
          <w:spacing w:val="-10"/>
        </w:rPr>
        <w:t> </w:t>
      </w:r>
      <w:r>
        <w:rPr/>
        <w:t>2.2:</w:t>
      </w:r>
      <w:r>
        <w:rPr>
          <w:spacing w:val="-8"/>
        </w:rPr>
        <w:t> </w:t>
      </w:r>
      <w:r>
        <w:rPr/>
        <w:t>Clustered</w:t>
      </w:r>
      <w:r>
        <w:rPr>
          <w:spacing w:val="-8"/>
        </w:rPr>
        <w:t> </w:t>
      </w:r>
      <w:r>
        <w:rPr/>
        <w:t>Spatial</w:t>
      </w:r>
      <w:r>
        <w:rPr>
          <w:spacing w:val="-8"/>
        </w:rPr>
        <w:t> </w:t>
      </w:r>
      <w:r>
        <w:rPr/>
        <w:t>Distribution Source: Adrain (2008)</w:t>
      </w:r>
    </w:p>
    <w:p>
      <w:pPr>
        <w:pStyle w:val="BodyText"/>
        <w:spacing w:before="9"/>
        <w:rPr>
          <w:sz w:val="20"/>
        </w:rPr>
      </w:pPr>
    </w:p>
    <w:p>
      <w:pPr>
        <w:pStyle w:val="ListParagraph"/>
        <w:numPr>
          <w:ilvl w:val="1"/>
          <w:numId w:val="5"/>
        </w:numPr>
        <w:tabs>
          <w:tab w:pos="1708" w:val="left" w:leader="none"/>
          <w:tab w:pos="1711" w:val="left" w:leader="none"/>
        </w:tabs>
        <w:spacing w:line="480" w:lineRule="auto" w:before="1" w:after="6"/>
        <w:ind w:left="1711" w:right="256" w:hanging="620"/>
        <w:jc w:val="both"/>
        <w:rPr>
          <w:sz w:val="24"/>
        </w:rPr>
      </w:pPr>
      <w:r>
        <w:rPr>
          <w:sz w:val="24"/>
        </w:rPr>
        <w:t>Random: as shown in Figure 2.3, geographic features or phenomenon have</w:t>
      </w:r>
      <w:r>
        <w:rPr>
          <w:spacing w:val="40"/>
          <w:sz w:val="24"/>
        </w:rPr>
        <w:t> </w:t>
      </w:r>
      <w:r>
        <w:rPr>
          <w:sz w:val="24"/>
        </w:rPr>
        <w:t>less influenced on the location of another. There are chances of them to exist</w:t>
      </w:r>
      <w:r>
        <w:rPr>
          <w:spacing w:val="40"/>
          <w:sz w:val="24"/>
        </w:rPr>
        <w:t> </w:t>
      </w:r>
      <w:r>
        <w:rPr>
          <w:sz w:val="24"/>
        </w:rPr>
        <w:t>in any location and as such the result would show a representation that is not likely to occur at defined intervals or clusters.</w:t>
      </w:r>
    </w:p>
    <w:p>
      <w:pPr>
        <w:pStyle w:val="BodyText"/>
        <w:ind w:left="2649"/>
        <w:rPr>
          <w:sz w:val="20"/>
        </w:rPr>
      </w:pPr>
      <w:r>
        <w:rPr>
          <w:sz w:val="20"/>
        </w:rPr>
        <mc:AlternateContent>
          <mc:Choice Requires="wps">
            <w:drawing>
              <wp:inline distT="0" distB="0" distL="0" distR="0">
                <wp:extent cx="3037840" cy="1537970"/>
                <wp:effectExtent l="9525" t="0" r="0" b="5080"/>
                <wp:docPr id="17" name="Group 17"/>
                <wp:cNvGraphicFramePr>
                  <a:graphicFrameLocks/>
                </wp:cNvGraphicFramePr>
                <a:graphic>
                  <a:graphicData uri="http://schemas.microsoft.com/office/word/2010/wordprocessingGroup">
                    <wpg:wgp>
                      <wpg:cNvPr id="17" name="Group 17"/>
                      <wpg:cNvGrpSpPr/>
                      <wpg:grpSpPr>
                        <a:xfrm>
                          <a:off x="0" y="0"/>
                          <a:ext cx="3037840" cy="1537970"/>
                          <a:chExt cx="3037840" cy="1537970"/>
                        </a:xfrm>
                      </wpg:grpSpPr>
                      <pic:pic>
                        <pic:nvPicPr>
                          <pic:cNvPr id="18" name="Image 18"/>
                          <pic:cNvPicPr/>
                        </pic:nvPicPr>
                        <pic:blipFill>
                          <a:blip r:embed="rId11" cstate="print"/>
                          <a:stretch>
                            <a:fillRect/>
                          </a:stretch>
                        </pic:blipFill>
                        <pic:spPr>
                          <a:xfrm>
                            <a:off x="19811" y="19811"/>
                            <a:ext cx="2997708" cy="1498091"/>
                          </a:xfrm>
                          <a:prstGeom prst="rect">
                            <a:avLst/>
                          </a:prstGeom>
                        </pic:spPr>
                      </pic:pic>
                      <wps:wsp>
                        <wps:cNvPr id="19" name="Graphic 19"/>
                        <wps:cNvSpPr/>
                        <wps:spPr>
                          <a:xfrm>
                            <a:off x="9905" y="9905"/>
                            <a:ext cx="3017520" cy="1518285"/>
                          </a:xfrm>
                          <a:custGeom>
                            <a:avLst/>
                            <a:gdLst/>
                            <a:ahLst/>
                            <a:cxnLst/>
                            <a:rect l="l" t="t" r="r" b="b"/>
                            <a:pathLst>
                              <a:path w="3017520" h="1518285">
                                <a:moveTo>
                                  <a:pt x="0" y="1517904"/>
                                </a:moveTo>
                                <a:lnTo>
                                  <a:pt x="3017520" y="1517904"/>
                                </a:lnTo>
                                <a:lnTo>
                                  <a:pt x="3017520" y="0"/>
                                </a:lnTo>
                                <a:lnTo>
                                  <a:pt x="0" y="0"/>
                                </a:lnTo>
                                <a:lnTo>
                                  <a:pt x="0" y="1517904"/>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39.2pt;height:121.1pt;mso-position-horizontal-relative:char;mso-position-vertical-relative:line" id="docshapegroup17" coordorigin="0,0" coordsize="4784,2422">
                <v:shape style="position:absolute;left:31;top:31;width:4721;height:2360" type="#_x0000_t75" id="docshape18" stroked="false">
                  <v:imagedata r:id="rId11" o:title=""/>
                </v:shape>
                <v:rect style="position:absolute;left:15;top:15;width:4752;height:2391" id="docshape19" filled="false" stroked="true" strokeweight="1.56pt" strokecolor="#000000">
                  <v:stroke dashstyle="solid"/>
                </v:rect>
              </v:group>
            </w:pict>
          </mc:Fallback>
        </mc:AlternateContent>
      </w:r>
      <w:r>
        <w:rPr>
          <w:sz w:val="20"/>
        </w:rPr>
      </w:r>
    </w:p>
    <w:p>
      <w:pPr>
        <w:pStyle w:val="BodyText"/>
        <w:spacing w:line="242" w:lineRule="auto"/>
        <w:ind w:left="2851" w:right="2321"/>
        <w:jc w:val="center"/>
      </w:pPr>
      <w:r>
        <w:rPr/>
        <w:t>Figure</w:t>
      </w:r>
      <w:r>
        <w:rPr>
          <w:spacing w:val="-10"/>
        </w:rPr>
        <w:t> </w:t>
      </w:r>
      <w:r>
        <w:rPr/>
        <w:t>2.3:</w:t>
      </w:r>
      <w:r>
        <w:rPr>
          <w:spacing w:val="-8"/>
        </w:rPr>
        <w:t> </w:t>
      </w:r>
      <w:r>
        <w:rPr/>
        <w:t>Random</w:t>
      </w:r>
      <w:r>
        <w:rPr>
          <w:spacing w:val="-8"/>
        </w:rPr>
        <w:t> </w:t>
      </w:r>
      <w:r>
        <w:rPr/>
        <w:t>Spatial</w:t>
      </w:r>
      <w:r>
        <w:rPr>
          <w:spacing w:val="-8"/>
        </w:rPr>
        <w:t> </w:t>
      </w:r>
      <w:r>
        <w:rPr/>
        <w:t>Distribution Source: Adrain (2008)</w:t>
      </w:r>
    </w:p>
    <w:p>
      <w:pPr>
        <w:spacing w:after="0" w:line="242" w:lineRule="auto"/>
        <w:jc w:val="center"/>
        <w:sectPr>
          <w:pgSz w:w="11910" w:h="16840"/>
          <w:pgMar w:header="0" w:footer="1003" w:top="1400" w:bottom="1200" w:left="1200" w:right="1160"/>
        </w:sectPr>
      </w:pPr>
    </w:p>
    <w:p>
      <w:pPr>
        <w:pStyle w:val="BodyText"/>
        <w:spacing w:line="480" w:lineRule="auto" w:before="72"/>
        <w:ind w:left="785" w:right="256"/>
        <w:jc w:val="both"/>
      </w:pPr>
      <w:r>
        <w:rPr/>
        <w:t>Kosfeld </w:t>
      </w:r>
      <w:r>
        <w:rPr>
          <w:i/>
        </w:rPr>
        <w:t>et al. </w:t>
      </w:r>
      <w:r>
        <w:rPr/>
        <w:t>(2019) mentioned that nearest neighbour analysis is an explorative tool</w:t>
      </w:r>
      <w:r>
        <w:rPr>
          <w:spacing w:val="40"/>
        </w:rPr>
        <w:t> </w:t>
      </w:r>
      <w:r>
        <w:rPr/>
        <w:t>for spatial point analysis. Point analysis is used to determine the spatial distribution pattern aforementioned by Adrain (2008). Nearest neighbour analysis is a method of testing spatial randomness hypothesis and it takes cognisance of distance between adjacent spatial features. This method of analysis is obtainable in the GIS environment. The range value in the result of the analysis ranges from 0 to 10. It is represented as</w:t>
      </w:r>
      <w:r>
        <w:rPr>
          <w:spacing w:val="40"/>
        </w:rPr>
        <w:t> </w:t>
      </w:r>
      <w:r>
        <w:rPr/>
        <w:t>(Rn) and the formula is;</w:t>
      </w:r>
    </w:p>
    <w:p>
      <w:pPr>
        <w:pStyle w:val="BodyText"/>
        <w:spacing w:before="3"/>
        <w:rPr>
          <w:sz w:val="15"/>
        </w:rPr>
      </w:pPr>
    </w:p>
    <w:p>
      <w:pPr>
        <w:spacing w:after="0"/>
        <w:rPr>
          <w:sz w:val="15"/>
        </w:rPr>
        <w:sectPr>
          <w:pgSz w:w="11910" w:h="16840"/>
          <w:pgMar w:header="0" w:footer="1003" w:top="1320" w:bottom="1200" w:left="1200" w:right="1160"/>
        </w:sectPr>
      </w:pPr>
    </w:p>
    <w:p>
      <w:pPr>
        <w:pStyle w:val="BodyText"/>
        <w:rPr>
          <w:sz w:val="21"/>
        </w:rPr>
      </w:pPr>
    </w:p>
    <w:p>
      <w:pPr>
        <w:spacing w:before="0"/>
        <w:ind w:left="0" w:right="0" w:firstLine="0"/>
        <w:jc w:val="right"/>
        <w:rPr>
          <w:rFonts w:ascii="Cambria Math" w:eastAsia="Cambria Math"/>
          <w:sz w:val="24"/>
        </w:rPr>
      </w:pPr>
      <w:r>
        <w:rPr>
          <w:rFonts w:ascii="Cambria Math" w:eastAsia="Cambria Math"/>
          <w:sz w:val="24"/>
        </w:rPr>
        <w:t>𝐑𝐧</w:t>
      </w:r>
      <w:r>
        <w:rPr>
          <w:rFonts w:ascii="Cambria Math" w:eastAsia="Cambria Math"/>
          <w:spacing w:val="14"/>
          <w:sz w:val="24"/>
        </w:rPr>
        <w:t> </w:t>
      </w:r>
      <w:r>
        <w:rPr>
          <w:rFonts w:ascii="Cambria Math" w:eastAsia="Cambria Math"/>
          <w:spacing w:val="-10"/>
          <w:sz w:val="24"/>
        </w:rPr>
        <w:t>=</w:t>
      </w:r>
    </w:p>
    <w:p>
      <w:pPr>
        <w:spacing w:before="59"/>
        <w:ind w:left="18" w:right="3865" w:firstLine="0"/>
        <w:jc w:val="center"/>
        <w:rPr>
          <w:rFonts w:ascii="Cambria Math" w:hAnsi="Cambria Math" w:eastAsia="Cambria Math"/>
          <w:sz w:val="24"/>
        </w:rPr>
      </w:pPr>
      <w:r>
        <w:rPr/>
        <w:br w:type="column"/>
      </w:r>
      <w:r>
        <w:rPr>
          <w:rFonts w:ascii="Cambria Math" w:hAnsi="Cambria Math" w:eastAsia="Cambria Math"/>
          <w:spacing w:val="-2"/>
          <w:sz w:val="24"/>
        </w:rPr>
        <w:t>(𝑑√𝑛)</w:t>
      </w:r>
    </w:p>
    <w:p>
      <w:pPr>
        <w:pStyle w:val="BodyText"/>
        <w:spacing w:before="5"/>
        <w:rPr>
          <w:rFonts w:ascii="Cambria Math"/>
          <w:sz w:val="4"/>
        </w:rPr>
      </w:pPr>
    </w:p>
    <w:p>
      <w:pPr>
        <w:pStyle w:val="BodyText"/>
        <w:spacing w:line="20" w:lineRule="exact"/>
        <w:ind w:left="25"/>
        <w:rPr>
          <w:rFonts w:ascii="Cambria Math"/>
          <w:sz w:val="2"/>
        </w:rPr>
      </w:pPr>
      <w:r>
        <w:rPr>
          <w:rFonts w:ascii="Cambria Math"/>
          <w:sz w:val="2"/>
        </w:rPr>
        <mc:AlternateContent>
          <mc:Choice Requires="wps">
            <w:drawing>
              <wp:inline distT="0" distB="0" distL="0" distR="0">
                <wp:extent cx="410209" cy="10795"/>
                <wp:effectExtent l="0" t="0" r="0" b="0"/>
                <wp:docPr id="20" name="Group 20"/>
                <wp:cNvGraphicFramePr>
                  <a:graphicFrameLocks/>
                </wp:cNvGraphicFramePr>
                <a:graphic>
                  <a:graphicData uri="http://schemas.microsoft.com/office/word/2010/wordprocessingGroup">
                    <wpg:wgp>
                      <wpg:cNvPr id="20" name="Group 20"/>
                      <wpg:cNvGrpSpPr/>
                      <wpg:grpSpPr>
                        <a:xfrm>
                          <a:off x="0" y="0"/>
                          <a:ext cx="410209" cy="10795"/>
                          <a:chExt cx="410209" cy="10795"/>
                        </a:xfrm>
                      </wpg:grpSpPr>
                      <wps:wsp>
                        <wps:cNvPr id="21" name="Graphic 21"/>
                        <wps:cNvSpPr/>
                        <wps:spPr>
                          <a:xfrm>
                            <a:off x="0" y="0"/>
                            <a:ext cx="410209" cy="10795"/>
                          </a:xfrm>
                          <a:custGeom>
                            <a:avLst/>
                            <a:gdLst/>
                            <a:ahLst/>
                            <a:cxnLst/>
                            <a:rect l="l" t="t" r="r" b="b"/>
                            <a:pathLst>
                              <a:path w="410209" h="10795">
                                <a:moveTo>
                                  <a:pt x="409955" y="0"/>
                                </a:moveTo>
                                <a:lnTo>
                                  <a:pt x="0" y="0"/>
                                </a:lnTo>
                                <a:lnTo>
                                  <a:pt x="0" y="10668"/>
                                </a:lnTo>
                                <a:lnTo>
                                  <a:pt x="409955" y="10668"/>
                                </a:lnTo>
                                <a:lnTo>
                                  <a:pt x="4099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2.3pt;height:.85pt;mso-position-horizontal-relative:char;mso-position-vertical-relative:line" id="docshapegroup20" coordorigin="0,0" coordsize="646,17">
                <v:rect style="position:absolute;left:0;top:0;width:646;height:17" id="docshape21" filled="true" fillcolor="#000000" stroked="false">
                  <v:fill type="solid"/>
                </v:rect>
              </v:group>
            </w:pict>
          </mc:Fallback>
        </mc:AlternateContent>
      </w:r>
      <w:r>
        <w:rPr>
          <w:rFonts w:ascii="Cambria Math"/>
          <w:sz w:val="2"/>
        </w:rPr>
      </w:r>
    </w:p>
    <w:p>
      <w:pPr>
        <w:spacing w:before="0"/>
        <w:ind w:left="11" w:right="3865" w:firstLine="0"/>
        <w:jc w:val="center"/>
        <w:rPr>
          <w:rFonts w:ascii="Cambria Math" w:eastAsia="Cambria Math"/>
          <w:sz w:val="24"/>
        </w:rPr>
      </w:pPr>
      <w:r>
        <w:rPr>
          <w:rFonts w:ascii="Cambria Math" w:eastAsia="Cambria Math"/>
          <w:spacing w:val="-10"/>
          <w:sz w:val="24"/>
        </w:rPr>
        <w:t>𝑎</w:t>
      </w:r>
    </w:p>
    <w:p>
      <w:pPr>
        <w:spacing w:after="0"/>
        <w:jc w:val="center"/>
        <w:rPr>
          <w:rFonts w:ascii="Cambria Math" w:eastAsia="Cambria Math"/>
          <w:sz w:val="24"/>
        </w:rPr>
        <w:sectPr>
          <w:type w:val="continuous"/>
          <w:pgSz w:w="11910" w:h="16840"/>
          <w:pgMar w:header="0" w:footer="1003" w:top="1320" w:bottom="1200" w:left="1200" w:right="1160"/>
          <w:cols w:num="2" w:equalWidth="0">
            <w:col w:w="4962" w:space="40"/>
            <w:col w:w="4548"/>
          </w:cols>
        </w:sectPr>
      </w:pPr>
    </w:p>
    <w:p>
      <w:pPr>
        <w:pStyle w:val="BodyText"/>
        <w:spacing w:before="7"/>
        <w:rPr>
          <w:rFonts w:ascii="Cambria Math"/>
          <w:sz w:val="27"/>
        </w:rPr>
      </w:pPr>
    </w:p>
    <w:p>
      <w:pPr>
        <w:pStyle w:val="BodyText"/>
        <w:spacing w:before="90"/>
        <w:ind w:left="785"/>
      </w:pPr>
      <w:r>
        <w:rPr>
          <w:spacing w:val="-2"/>
        </w:rPr>
        <w:t>Where;</w:t>
      </w:r>
    </w:p>
    <w:p>
      <w:pPr>
        <w:pStyle w:val="BodyText"/>
      </w:pPr>
    </w:p>
    <w:p>
      <w:pPr>
        <w:pStyle w:val="BodyText"/>
        <w:ind w:left="785"/>
      </w:pPr>
      <w:r>
        <w:rPr/>
        <w:t>Rn=</w:t>
      </w:r>
      <w:r>
        <w:rPr>
          <w:spacing w:val="-2"/>
        </w:rPr>
        <w:t> </w:t>
      </w:r>
      <w:r>
        <w:rPr/>
        <w:t>the</w:t>
      </w:r>
      <w:r>
        <w:rPr>
          <w:spacing w:val="-1"/>
        </w:rPr>
        <w:t> </w:t>
      </w:r>
      <w:r>
        <w:rPr/>
        <w:t>average</w:t>
      </w:r>
      <w:r>
        <w:rPr>
          <w:spacing w:val="-2"/>
        </w:rPr>
        <w:t> </w:t>
      </w:r>
      <w:r>
        <w:rPr/>
        <w:t>nearest</w:t>
      </w:r>
      <w:r>
        <w:rPr>
          <w:spacing w:val="-1"/>
        </w:rPr>
        <w:t> </w:t>
      </w:r>
      <w:r>
        <w:rPr/>
        <w:t>neighbour</w:t>
      </w:r>
      <w:r>
        <w:rPr>
          <w:spacing w:val="-1"/>
        </w:rPr>
        <w:t> </w:t>
      </w:r>
      <w:r>
        <w:rPr>
          <w:spacing w:val="-2"/>
        </w:rPr>
        <w:t>index</w:t>
      </w:r>
    </w:p>
    <w:p>
      <w:pPr>
        <w:pStyle w:val="BodyText"/>
      </w:pPr>
    </w:p>
    <w:p>
      <w:pPr>
        <w:pStyle w:val="BodyText"/>
        <w:spacing w:line="480" w:lineRule="auto"/>
        <w:ind w:left="785" w:right="3021"/>
      </w:pPr>
      <w:r>
        <w:rPr/>
        <w:t>n=</w:t>
      </w:r>
      <w:r>
        <w:rPr>
          <w:spacing w:val="-7"/>
        </w:rPr>
        <w:t> </w:t>
      </w:r>
      <w:r>
        <w:rPr/>
        <w:t>number</w:t>
      </w:r>
      <w:r>
        <w:rPr>
          <w:spacing w:val="-8"/>
        </w:rPr>
        <w:t> </w:t>
      </w:r>
      <w:r>
        <w:rPr/>
        <w:t>of</w:t>
      </w:r>
      <w:r>
        <w:rPr>
          <w:spacing w:val="-6"/>
        </w:rPr>
        <w:t> </w:t>
      </w:r>
      <w:r>
        <w:rPr/>
        <w:t>geographical</w:t>
      </w:r>
      <w:r>
        <w:rPr>
          <w:spacing w:val="-6"/>
        </w:rPr>
        <w:t> </w:t>
      </w:r>
      <w:r>
        <w:rPr/>
        <w:t>features</w:t>
      </w:r>
      <w:r>
        <w:rPr>
          <w:spacing w:val="-6"/>
        </w:rPr>
        <w:t> </w:t>
      </w:r>
      <w:r>
        <w:rPr/>
        <w:t>(social</w:t>
      </w:r>
      <w:r>
        <w:rPr>
          <w:spacing w:val="-5"/>
        </w:rPr>
        <w:t> </w:t>
      </w:r>
      <w:r>
        <w:rPr/>
        <w:t>infrastructure) a= the size of the study area</w:t>
      </w:r>
    </w:p>
    <w:p>
      <w:pPr>
        <w:pStyle w:val="BodyText"/>
        <w:spacing w:before="3"/>
        <w:ind w:left="785"/>
      </w:pPr>
      <w:r>
        <w:rPr/>
        <w:t>d=</w:t>
      </w:r>
      <w:r>
        <w:rPr>
          <w:spacing w:val="-5"/>
        </w:rPr>
        <w:t> </w:t>
      </w:r>
      <w:r>
        <w:rPr/>
        <w:t>the</w:t>
      </w:r>
      <w:r>
        <w:rPr>
          <w:spacing w:val="-1"/>
        </w:rPr>
        <w:t> </w:t>
      </w:r>
      <w:r>
        <w:rPr/>
        <w:t>mean</w:t>
      </w:r>
      <w:r>
        <w:rPr>
          <w:spacing w:val="-2"/>
        </w:rPr>
        <w:t> </w:t>
      </w:r>
      <w:r>
        <w:rPr/>
        <w:t>distance</w:t>
      </w:r>
      <w:r>
        <w:rPr>
          <w:spacing w:val="-2"/>
        </w:rPr>
        <w:t> </w:t>
      </w:r>
      <w:r>
        <w:rPr/>
        <w:t>between</w:t>
      </w:r>
      <w:r>
        <w:rPr>
          <w:spacing w:val="1"/>
        </w:rPr>
        <w:t> </w:t>
      </w:r>
      <w:r>
        <w:rPr/>
        <w:t>geographical</w:t>
      </w:r>
      <w:r>
        <w:rPr>
          <w:spacing w:val="-2"/>
        </w:rPr>
        <w:t> </w:t>
      </w:r>
      <w:r>
        <w:rPr/>
        <w:t>features</w:t>
      </w:r>
      <w:r>
        <w:rPr>
          <w:spacing w:val="-1"/>
        </w:rPr>
        <w:t> </w:t>
      </w:r>
      <w:r>
        <w:rPr/>
        <w:t>(social</w:t>
      </w:r>
      <w:r>
        <w:rPr>
          <w:spacing w:val="3"/>
        </w:rPr>
        <w:t> </w:t>
      </w:r>
      <w:r>
        <w:rPr>
          <w:spacing w:val="-2"/>
        </w:rPr>
        <w:t>infrastructure)</w:t>
      </w:r>
    </w:p>
    <w:p>
      <w:pPr>
        <w:pStyle w:val="BodyText"/>
        <w:rPr>
          <w:sz w:val="26"/>
        </w:rPr>
      </w:pPr>
    </w:p>
    <w:p>
      <w:pPr>
        <w:pStyle w:val="BodyText"/>
        <w:spacing w:line="480" w:lineRule="auto" w:before="174"/>
        <w:ind w:left="785" w:right="263"/>
        <w:jc w:val="both"/>
      </w:pPr>
      <w:r>
        <w:rPr/>
        <w:t>When the</w:t>
      </w:r>
      <w:r>
        <w:rPr>
          <w:spacing w:val="-1"/>
        </w:rPr>
        <w:t> </w:t>
      </w:r>
      <w:r>
        <w:rPr/>
        <w:t>value</w:t>
      </w:r>
      <w:r>
        <w:rPr>
          <w:spacing w:val="-1"/>
        </w:rPr>
        <w:t> </w:t>
      </w:r>
      <w:r>
        <w:rPr/>
        <w:t>is 2.15 it shows that there</w:t>
      </w:r>
      <w:r>
        <w:rPr>
          <w:spacing w:val="-1"/>
        </w:rPr>
        <w:t> </w:t>
      </w:r>
      <w:r>
        <w:rPr/>
        <w:t>is uniform</w:t>
      </w:r>
      <w:r>
        <w:rPr>
          <w:spacing w:val="-1"/>
        </w:rPr>
        <w:t> </w:t>
      </w:r>
      <w:r>
        <w:rPr/>
        <w:t>pattern</w:t>
      </w:r>
      <w:r>
        <w:rPr>
          <w:spacing w:val="-1"/>
        </w:rPr>
        <w:t> </w:t>
      </w:r>
      <w:r>
        <w:rPr/>
        <w:t>of</w:t>
      </w:r>
      <w:r>
        <w:rPr>
          <w:spacing w:val="-1"/>
        </w:rPr>
        <w:t> </w:t>
      </w:r>
      <w:r>
        <w:rPr/>
        <w:t>distribution. 10 signifies a perfect random distribution, 1.0 however shows a probable spacing of features while clustering</w:t>
      </w:r>
      <w:r>
        <w:rPr>
          <w:spacing w:val="-1"/>
        </w:rPr>
        <w:t> </w:t>
      </w:r>
      <w:r>
        <w:rPr/>
        <w:t>values are usually</w:t>
      </w:r>
      <w:r>
        <w:rPr>
          <w:spacing w:val="-3"/>
        </w:rPr>
        <w:t> </w:t>
      </w:r>
      <w:r>
        <w:rPr/>
        <w:t>below 1.0. Many</w:t>
      </w:r>
      <w:r>
        <w:rPr>
          <w:spacing w:val="-5"/>
        </w:rPr>
        <w:t> </w:t>
      </w:r>
      <w:r>
        <w:rPr/>
        <w:t>studies have employed the use of GIS for spatial distribution pattern analysis (Dejene </w:t>
      </w:r>
      <w:r>
        <w:rPr>
          <w:i/>
        </w:rPr>
        <w:t>et al., </w:t>
      </w:r>
      <w:r>
        <w:rPr/>
        <w:t>2018).</w:t>
      </w:r>
    </w:p>
    <w:p>
      <w:pPr>
        <w:pStyle w:val="Heading1"/>
        <w:numPr>
          <w:ilvl w:val="0"/>
          <w:numId w:val="5"/>
        </w:numPr>
        <w:tabs>
          <w:tab w:pos="1503" w:val="left" w:leader="none"/>
        </w:tabs>
        <w:spacing w:line="240" w:lineRule="auto" w:before="204" w:after="0"/>
        <w:ind w:left="1503" w:right="0" w:hanging="718"/>
        <w:jc w:val="both"/>
      </w:pPr>
      <w:r>
        <w:rPr>
          <w:spacing w:val="-2"/>
        </w:rPr>
        <w:t>Accessibility</w:t>
      </w:r>
    </w:p>
    <w:p>
      <w:pPr>
        <w:pStyle w:val="BodyText"/>
        <w:spacing w:before="7"/>
        <w:rPr>
          <w:b/>
          <w:sz w:val="23"/>
        </w:rPr>
      </w:pPr>
    </w:p>
    <w:p>
      <w:pPr>
        <w:pStyle w:val="BodyText"/>
        <w:spacing w:line="480" w:lineRule="auto"/>
        <w:ind w:left="785" w:right="253"/>
        <w:jc w:val="both"/>
      </w:pPr>
      <w:r>
        <w:rPr/>
        <w:t>Efiong (2019) described accessibility as the distance travelled between origin and destination.</w:t>
      </w:r>
      <w:r>
        <w:rPr>
          <w:spacing w:val="40"/>
        </w:rPr>
        <w:t> </w:t>
      </w:r>
      <w:r>
        <w:rPr/>
        <w:t>That means that accessibility is characterised by</w:t>
      </w:r>
      <w:r>
        <w:rPr>
          <w:spacing w:val="-3"/>
        </w:rPr>
        <w:t> </w:t>
      </w:r>
      <w:r>
        <w:rPr/>
        <w:t>origin, destination and the interaction between them. The interaction which is expressed as distance has the potential to either limit or enhance peoples’ ability</w:t>
      </w:r>
      <w:r>
        <w:rPr>
          <w:spacing w:val="-1"/>
        </w:rPr>
        <w:t> </w:t>
      </w:r>
      <w:r>
        <w:rPr/>
        <w:t>to access their destinations. In social infrastructure</w:t>
      </w:r>
      <w:r>
        <w:rPr>
          <w:spacing w:val="12"/>
        </w:rPr>
        <w:t> </w:t>
      </w:r>
      <w:r>
        <w:rPr/>
        <w:t>discourse,</w:t>
      </w:r>
      <w:r>
        <w:rPr>
          <w:spacing w:val="15"/>
        </w:rPr>
        <w:t> </w:t>
      </w:r>
      <w:r>
        <w:rPr/>
        <w:t>there</w:t>
      </w:r>
      <w:r>
        <w:rPr>
          <w:spacing w:val="13"/>
        </w:rPr>
        <w:t> </w:t>
      </w:r>
      <w:r>
        <w:rPr/>
        <w:t>exist</w:t>
      </w:r>
      <w:r>
        <w:rPr>
          <w:spacing w:val="14"/>
        </w:rPr>
        <w:t> </w:t>
      </w:r>
      <w:r>
        <w:rPr/>
        <w:t>a</w:t>
      </w:r>
      <w:r>
        <w:rPr>
          <w:spacing w:val="12"/>
        </w:rPr>
        <w:t> </w:t>
      </w:r>
      <w:r>
        <w:rPr/>
        <w:t>demand</w:t>
      </w:r>
      <w:r>
        <w:rPr>
          <w:spacing w:val="17"/>
        </w:rPr>
        <w:t> </w:t>
      </w:r>
      <w:r>
        <w:rPr/>
        <w:t>(origin)</w:t>
      </w:r>
      <w:r>
        <w:rPr>
          <w:spacing w:val="13"/>
        </w:rPr>
        <w:t> </w:t>
      </w:r>
      <w:r>
        <w:rPr/>
        <w:t>and</w:t>
      </w:r>
      <w:r>
        <w:rPr>
          <w:spacing w:val="13"/>
        </w:rPr>
        <w:t> </w:t>
      </w:r>
      <w:r>
        <w:rPr/>
        <w:t>supply</w:t>
      </w:r>
      <w:r>
        <w:rPr>
          <w:spacing w:val="13"/>
        </w:rPr>
        <w:t> </w:t>
      </w:r>
      <w:r>
        <w:rPr/>
        <w:t>(destination)</w:t>
      </w:r>
      <w:r>
        <w:rPr>
          <w:spacing w:val="14"/>
        </w:rPr>
        <w:t> </w:t>
      </w:r>
      <w:r>
        <w:rPr/>
        <w:t>point</w:t>
      </w:r>
      <w:r>
        <w:rPr>
          <w:spacing w:val="14"/>
        </w:rPr>
        <w:t> </w:t>
      </w:r>
      <w:r>
        <w:rPr>
          <w:spacing w:val="-5"/>
        </w:rPr>
        <w:t>or</w:t>
      </w:r>
    </w:p>
    <w:p>
      <w:pPr>
        <w:spacing w:after="0" w:line="480" w:lineRule="auto"/>
        <w:jc w:val="both"/>
        <w:sectPr>
          <w:type w:val="continuous"/>
          <w:pgSz w:w="11910" w:h="16840"/>
          <w:pgMar w:header="0" w:footer="1003" w:top="1320" w:bottom="1200" w:left="1200" w:right="1160"/>
        </w:sectPr>
      </w:pPr>
    </w:p>
    <w:p>
      <w:pPr>
        <w:pStyle w:val="BodyText"/>
        <w:spacing w:line="480" w:lineRule="auto" w:before="72"/>
        <w:ind w:left="785" w:right="256"/>
        <w:jc w:val="both"/>
      </w:pPr>
      <w:r>
        <w:rPr/>
        <w:t>centre where consumers’ travel to satisfy their social needs. Accessibility is also a function of distance decay. That is, the shorter the distance between the origin and destination, the greater the accessibility. However, analysing accessibility requires developing and selecting a technique according to the purpose of the study and the nature of the problem. This would command specific method of measuring distance and method of data presentation. The spatial unit of accessibility can be zoned into individuals, household and building blocks or socio-economic groups (Liu and Zhu </w:t>
      </w:r>
      <w:r>
        <w:rPr>
          <w:spacing w:val="-2"/>
        </w:rPr>
        <w:t>2004).</w:t>
      </w:r>
    </w:p>
    <w:p>
      <w:pPr>
        <w:pStyle w:val="BodyText"/>
        <w:spacing w:line="480" w:lineRule="auto" w:before="200"/>
        <w:ind w:left="785" w:right="253"/>
        <w:jc w:val="both"/>
      </w:pPr>
      <w:r>
        <w:rPr/>
        <w:t>Shanmathi </w:t>
      </w:r>
      <w:r>
        <w:rPr>
          <w:i/>
        </w:rPr>
        <w:t>et al. </w:t>
      </w:r>
      <w:r>
        <w:rPr/>
        <w:t>(2017) summarized accessibility models into four namely; provider to population ratio, distance to nearest provider, average distance to a set of providers and gravitational models of provider influence. Provider to population ratio is significant in communities where population based criteria is used in the provision of social infrastructure. The constraint however, is that smaller communities are deprived from essential facilities. The average distance to a set of providers is measured either by</w:t>
      </w:r>
      <w:r>
        <w:rPr>
          <w:spacing w:val="80"/>
        </w:rPr>
        <w:t> </w:t>
      </w:r>
      <w:r>
        <w:rPr/>
        <w:t>using Euclidean (Straight line) distance, network distance or estimated travel time. Efiong (2019) also emphasized that buffering and network analysis are GIS techniques used in determining accessibility. Buffering is used to answer questions that relates to linear network. Network analysis on the other hand assesses the demand and supply of goods and services. It is used to analyse facilities that are optimized more from a demand centre. This way the policy maker can decide which facility to close down and which to rehabilitate to ensure efficiency. This technique incorporates the use of socio- economic data of the sampled population.</w:t>
      </w:r>
    </w:p>
    <w:p>
      <w:pPr>
        <w:pStyle w:val="BodyText"/>
        <w:spacing w:line="480" w:lineRule="auto" w:before="201"/>
        <w:ind w:left="785" w:right="252"/>
        <w:jc w:val="both"/>
      </w:pPr>
      <w:r>
        <w:rPr/>
        <w:t>The ability to measure straight line distances, travel time and cost, three-part network distances and shortest path distances is an advantage of using GIS Accessibility</w:t>
      </w:r>
      <w:r>
        <w:rPr>
          <w:spacing w:val="80"/>
        </w:rPr>
        <w:t> </w:t>
      </w:r>
      <w:r>
        <w:rPr/>
        <w:t>Analyst.</w:t>
      </w:r>
      <w:r>
        <w:rPr>
          <w:spacing w:val="7"/>
        </w:rPr>
        <w:t> </w:t>
      </w:r>
      <w:r>
        <w:rPr/>
        <w:t>Where</w:t>
      </w:r>
      <w:r>
        <w:rPr>
          <w:spacing w:val="7"/>
        </w:rPr>
        <w:t> </w:t>
      </w:r>
      <w:r>
        <w:rPr/>
        <w:t>different</w:t>
      </w:r>
      <w:r>
        <w:rPr>
          <w:spacing w:val="11"/>
        </w:rPr>
        <w:t> </w:t>
      </w:r>
      <w:r>
        <w:rPr/>
        <w:t>modes</w:t>
      </w:r>
      <w:r>
        <w:rPr>
          <w:spacing w:val="8"/>
        </w:rPr>
        <w:t> </w:t>
      </w:r>
      <w:r>
        <w:rPr/>
        <w:t>of</w:t>
      </w:r>
      <w:r>
        <w:rPr>
          <w:spacing w:val="7"/>
        </w:rPr>
        <w:t> </w:t>
      </w:r>
      <w:r>
        <w:rPr/>
        <w:t>transport</w:t>
      </w:r>
      <w:r>
        <w:rPr>
          <w:spacing w:val="9"/>
        </w:rPr>
        <w:t> </w:t>
      </w:r>
      <w:r>
        <w:rPr/>
        <w:t>are</w:t>
      </w:r>
      <w:r>
        <w:rPr>
          <w:spacing w:val="7"/>
        </w:rPr>
        <w:t> </w:t>
      </w:r>
      <w:r>
        <w:rPr/>
        <w:t>involved,</w:t>
      </w:r>
      <w:r>
        <w:rPr>
          <w:spacing w:val="8"/>
        </w:rPr>
        <w:t> </w:t>
      </w:r>
      <w:r>
        <w:rPr/>
        <w:t>the</w:t>
      </w:r>
      <w:r>
        <w:rPr>
          <w:spacing w:val="7"/>
        </w:rPr>
        <w:t> </w:t>
      </w:r>
      <w:r>
        <w:rPr/>
        <w:t>distances</w:t>
      </w:r>
      <w:r>
        <w:rPr>
          <w:spacing w:val="11"/>
        </w:rPr>
        <w:t> </w:t>
      </w:r>
      <w:r>
        <w:rPr/>
        <w:t>can</w:t>
      </w:r>
      <w:r>
        <w:rPr>
          <w:spacing w:val="8"/>
        </w:rPr>
        <w:t> </w:t>
      </w:r>
      <w:r>
        <w:rPr/>
        <w:t>be</w:t>
      </w:r>
      <w:r>
        <w:rPr>
          <w:spacing w:val="10"/>
        </w:rPr>
        <w:t> </w:t>
      </w:r>
      <w:r>
        <w:rPr>
          <w:spacing w:val="-2"/>
        </w:rPr>
        <w:t>grouped</w:t>
      </w:r>
    </w:p>
    <w:p>
      <w:pPr>
        <w:spacing w:after="0" w:line="480" w:lineRule="auto"/>
        <w:jc w:val="both"/>
        <w:sectPr>
          <w:pgSz w:w="11910" w:h="16840"/>
          <w:pgMar w:header="0" w:footer="1003" w:top="1320" w:bottom="1200" w:left="1200" w:right="1160"/>
        </w:sectPr>
      </w:pPr>
    </w:p>
    <w:p>
      <w:pPr>
        <w:pStyle w:val="BodyText"/>
        <w:spacing w:line="480" w:lineRule="auto" w:before="72"/>
        <w:ind w:left="785" w:right="254"/>
        <w:jc w:val="both"/>
      </w:pPr>
      <w:r>
        <w:rPr/>
        <w:t>into three part network distances and the cumulative sum of the distances would yield the</w:t>
      </w:r>
      <w:r>
        <w:rPr>
          <w:spacing w:val="-2"/>
        </w:rPr>
        <w:t> </w:t>
      </w:r>
      <w:r>
        <w:rPr/>
        <w:t>total</w:t>
      </w:r>
      <w:r>
        <w:rPr>
          <w:spacing w:val="-2"/>
        </w:rPr>
        <w:t> </w:t>
      </w:r>
      <w:r>
        <w:rPr/>
        <w:t>calculated</w:t>
      </w:r>
      <w:r>
        <w:rPr>
          <w:spacing w:val="-2"/>
        </w:rPr>
        <w:t> </w:t>
      </w:r>
      <w:r>
        <w:rPr/>
        <w:t>travel</w:t>
      </w:r>
      <w:r>
        <w:rPr>
          <w:spacing w:val="-2"/>
        </w:rPr>
        <w:t> </w:t>
      </w:r>
      <w:r>
        <w:rPr/>
        <w:t>distance. The</w:t>
      </w:r>
      <w:r>
        <w:rPr>
          <w:spacing w:val="-3"/>
        </w:rPr>
        <w:t> </w:t>
      </w:r>
      <w:r>
        <w:rPr/>
        <w:t>constraint</w:t>
      </w:r>
      <w:r>
        <w:rPr>
          <w:spacing w:val="-2"/>
        </w:rPr>
        <w:t> </w:t>
      </w:r>
      <w:r>
        <w:rPr/>
        <w:t>of</w:t>
      </w:r>
      <w:r>
        <w:rPr>
          <w:spacing w:val="-2"/>
        </w:rPr>
        <w:t> </w:t>
      </w:r>
      <w:r>
        <w:rPr/>
        <w:t>analysing</w:t>
      </w:r>
      <w:r>
        <w:rPr>
          <w:spacing w:val="-5"/>
        </w:rPr>
        <w:t> </w:t>
      </w:r>
      <w:r>
        <w:rPr/>
        <w:t>accessibility</w:t>
      </w:r>
      <w:r>
        <w:rPr>
          <w:spacing w:val="-3"/>
        </w:rPr>
        <w:t> </w:t>
      </w:r>
      <w:r>
        <w:rPr/>
        <w:t>using</w:t>
      </w:r>
      <w:r>
        <w:rPr>
          <w:spacing w:val="-4"/>
        </w:rPr>
        <w:t> </w:t>
      </w:r>
      <w:r>
        <w:rPr/>
        <w:t>GIS</w:t>
      </w:r>
      <w:r>
        <w:rPr>
          <w:spacing w:val="-2"/>
        </w:rPr>
        <w:t> </w:t>
      </w:r>
      <w:r>
        <w:rPr/>
        <w:t>is that, personal preferences in travel pattern, space time limitation and individual time budgeted are usually ignored. Hence, the result presents an analysis of spatial or place accessibility and not individual accessibility (Liu and Zhu 2004).</w:t>
      </w:r>
    </w:p>
    <w:p>
      <w:pPr>
        <w:pStyle w:val="BodyText"/>
        <w:spacing w:line="480" w:lineRule="auto" w:before="199"/>
        <w:ind w:left="785" w:right="252"/>
        <w:jc w:val="both"/>
      </w:pPr>
      <w:r>
        <w:rPr/>
        <w:t>Tao </w:t>
      </w:r>
      <w:r>
        <w:rPr>
          <w:i/>
        </w:rPr>
        <w:t>et al</w:t>
      </w:r>
      <w:r>
        <w:rPr/>
        <w:t>. (2018) noted that the Two Step Floating Catchment Area (2SFCA) method is one of the most conventional method used in measuring accessibility to PHC. The 2SFCA is described as the interaction between demanders and suppliers (facilities) as a way of measuring accessibility. The accuracy of this method can be influenced by demands</w:t>
      </w:r>
      <w:r>
        <w:rPr>
          <w:spacing w:val="-2"/>
        </w:rPr>
        <w:t> </w:t>
      </w:r>
      <w:r>
        <w:rPr/>
        <w:t>emanating</w:t>
      </w:r>
      <w:r>
        <w:rPr>
          <w:spacing w:val="-2"/>
        </w:rPr>
        <w:t> </w:t>
      </w:r>
      <w:r>
        <w:rPr/>
        <w:t>beyond</w:t>
      </w:r>
      <w:r>
        <w:rPr>
          <w:spacing w:val="-2"/>
        </w:rPr>
        <w:t> </w:t>
      </w:r>
      <w:r>
        <w:rPr/>
        <w:t>the</w:t>
      </w:r>
      <w:r>
        <w:rPr>
          <w:spacing w:val="-1"/>
        </w:rPr>
        <w:t> </w:t>
      </w:r>
      <w:r>
        <w:rPr/>
        <w:t>administrative</w:t>
      </w:r>
      <w:r>
        <w:rPr>
          <w:spacing w:val="-3"/>
        </w:rPr>
        <w:t> </w:t>
      </w:r>
      <w:r>
        <w:rPr/>
        <w:t>boundary.</w:t>
      </w:r>
      <w:r>
        <w:rPr>
          <w:spacing w:val="-2"/>
        </w:rPr>
        <w:t> </w:t>
      </w:r>
      <w:r>
        <w:rPr/>
        <w:t>To</w:t>
      </w:r>
      <w:r>
        <w:rPr>
          <w:spacing w:val="-1"/>
        </w:rPr>
        <w:t> </w:t>
      </w:r>
      <w:r>
        <w:rPr/>
        <w:t>neglect</w:t>
      </w:r>
      <w:r>
        <w:rPr>
          <w:spacing w:val="-2"/>
        </w:rPr>
        <w:t> </w:t>
      </w:r>
      <w:r>
        <w:rPr/>
        <w:t>this</w:t>
      </w:r>
      <w:r>
        <w:rPr>
          <w:spacing w:val="-2"/>
        </w:rPr>
        <w:t> </w:t>
      </w:r>
      <w:r>
        <w:rPr/>
        <w:t>factor</w:t>
      </w:r>
      <w:r>
        <w:rPr>
          <w:spacing w:val="-2"/>
        </w:rPr>
        <w:t> </w:t>
      </w:r>
      <w:r>
        <w:rPr/>
        <w:t>will</w:t>
      </w:r>
      <w:r>
        <w:rPr>
          <w:spacing w:val="-2"/>
        </w:rPr>
        <w:t> </w:t>
      </w:r>
      <w:r>
        <w:rPr/>
        <w:t>lead to a biased result. Phiri and Munthali (2019) noted the relevance of spatial and non- spatial data in analysing accessibility using the 2SFCA method. The non-spatial data involved the administration of questionnaires to collect relevant data on mode of transportation, factors affecting access to PHCs, The Household suppliers and the capacity of the PHC. There must be an efficient mechanism to determine the accuracy</w:t>
      </w:r>
      <w:r>
        <w:rPr>
          <w:spacing w:val="40"/>
        </w:rPr>
        <w:t> </w:t>
      </w:r>
      <w:r>
        <w:rPr/>
        <w:t>of each variable in the 2SFCA method to ensure an unbiased result.</w:t>
      </w:r>
    </w:p>
    <w:p>
      <w:pPr>
        <w:pStyle w:val="BodyText"/>
        <w:spacing w:line="480" w:lineRule="auto" w:before="201"/>
        <w:ind w:left="785" w:right="256"/>
        <w:jc w:val="both"/>
      </w:pPr>
      <w:r>
        <w:rPr/>
        <w:t>Spatial factors include the geo points of households (demanders), PHCs (suppliers) and a Digital Elevation Model (DEM) of the study area. Both the spatial and non-spatial variables represent either the suppliers or the demanders. In the study, the Malawi districts</w:t>
      </w:r>
      <w:r>
        <w:rPr>
          <w:spacing w:val="-2"/>
        </w:rPr>
        <w:t> </w:t>
      </w:r>
      <w:r>
        <w:rPr/>
        <w:t>were</w:t>
      </w:r>
      <w:r>
        <w:rPr>
          <w:spacing w:val="-5"/>
        </w:rPr>
        <w:t> </w:t>
      </w:r>
      <w:r>
        <w:rPr/>
        <w:t>mapped</w:t>
      </w:r>
      <w:r>
        <w:rPr>
          <w:spacing w:val="-3"/>
        </w:rPr>
        <w:t> </w:t>
      </w:r>
      <w:r>
        <w:rPr/>
        <w:t>into</w:t>
      </w:r>
      <w:r>
        <w:rPr>
          <w:spacing w:val="-3"/>
        </w:rPr>
        <w:t> </w:t>
      </w:r>
      <w:r>
        <w:rPr/>
        <w:t>enumeration</w:t>
      </w:r>
      <w:r>
        <w:rPr>
          <w:spacing w:val="-1"/>
        </w:rPr>
        <w:t> </w:t>
      </w:r>
      <w:r>
        <w:rPr/>
        <w:t>areas</w:t>
      </w:r>
      <w:r>
        <w:rPr>
          <w:spacing w:val="-3"/>
        </w:rPr>
        <w:t> </w:t>
      </w:r>
      <w:r>
        <w:rPr/>
        <w:t>with</w:t>
      </w:r>
      <w:r>
        <w:rPr>
          <w:spacing w:val="-1"/>
        </w:rPr>
        <w:t> </w:t>
      </w:r>
      <w:r>
        <w:rPr/>
        <w:t>an</w:t>
      </w:r>
      <w:r>
        <w:rPr>
          <w:spacing w:val="-3"/>
        </w:rPr>
        <w:t> </w:t>
      </w:r>
      <w:r>
        <w:rPr/>
        <w:t>average</w:t>
      </w:r>
      <w:r>
        <w:rPr>
          <w:spacing w:val="-4"/>
        </w:rPr>
        <w:t> </w:t>
      </w:r>
      <w:r>
        <w:rPr/>
        <w:t>of</w:t>
      </w:r>
      <w:r>
        <w:rPr>
          <w:spacing w:val="-3"/>
        </w:rPr>
        <w:t> </w:t>
      </w:r>
      <w:r>
        <w:rPr/>
        <w:t>233</w:t>
      </w:r>
      <w:r>
        <w:rPr>
          <w:spacing w:val="-1"/>
        </w:rPr>
        <w:t> </w:t>
      </w:r>
      <w:r>
        <w:rPr/>
        <w:t>households</w:t>
      </w:r>
      <w:r>
        <w:rPr>
          <w:spacing w:val="-3"/>
        </w:rPr>
        <w:t> </w:t>
      </w:r>
      <w:r>
        <w:rPr/>
        <w:t>in</w:t>
      </w:r>
      <w:r>
        <w:rPr>
          <w:spacing w:val="-3"/>
        </w:rPr>
        <w:t> </w:t>
      </w:r>
      <w:r>
        <w:rPr/>
        <w:t>each enumerated area by the National Statistical Office. This ensures a spatial referenced</w:t>
      </w:r>
      <w:r>
        <w:rPr>
          <w:spacing w:val="40"/>
        </w:rPr>
        <w:t> </w:t>
      </w:r>
      <w:r>
        <w:rPr/>
        <w:t>data ready for the 2SFCA method and also policy making (Phiri and Munthali 2019). This kind of spatial referenced data can be difficult to obtain in some developing countries. In summary spatial analysis is used to determine areas that have access to infrastructure and those that do not have adequate access to the infrastructure.</w:t>
      </w:r>
    </w:p>
    <w:p>
      <w:pPr>
        <w:spacing w:after="0" w:line="480" w:lineRule="auto"/>
        <w:jc w:val="both"/>
        <w:sectPr>
          <w:pgSz w:w="11910" w:h="16840"/>
          <w:pgMar w:header="0" w:footer="1003" w:top="1320" w:bottom="1200" w:left="1200" w:right="1160"/>
        </w:sectPr>
      </w:pPr>
    </w:p>
    <w:p>
      <w:pPr>
        <w:pStyle w:val="Heading1"/>
        <w:numPr>
          <w:ilvl w:val="1"/>
          <w:numId w:val="4"/>
        </w:numPr>
        <w:tabs>
          <w:tab w:pos="1444" w:val="left" w:leader="none"/>
        </w:tabs>
        <w:spacing w:line="240" w:lineRule="auto" w:before="79" w:after="0"/>
        <w:ind w:left="1444" w:right="0" w:hanging="659"/>
        <w:jc w:val="both"/>
      </w:pPr>
      <w:r>
        <w:rPr/>
        <w:t>Spatial </w:t>
      </w:r>
      <w:r>
        <w:rPr>
          <w:spacing w:val="-2"/>
        </w:rPr>
        <w:t>Inequality</w:t>
      </w:r>
    </w:p>
    <w:p>
      <w:pPr>
        <w:pStyle w:val="BodyText"/>
        <w:spacing w:line="480" w:lineRule="auto" w:before="233"/>
        <w:ind w:left="785" w:right="255"/>
        <w:jc w:val="both"/>
      </w:pPr>
      <w:r>
        <w:rPr/>
        <w:t>Scholars have used different concepts to explain spatial inequalities; some are based on geography while others are based on social, economic or political features or a combination of variables from two or more features aforementioned. In a general sense, measuring spatial inequality entails examining the quality of infrastructure existing in a place with a view of identifying the level of spatial equity and determining the underserved communities in that place (Adefila and Bulus, 2014). According to Somik and Sanjoy (2005), spatial inequality exists in all levels of settlements, in neighbourhoods, districts, towns, cities, metropolis and country levels.</w:t>
      </w:r>
    </w:p>
    <w:p>
      <w:pPr>
        <w:pStyle w:val="BodyText"/>
        <w:spacing w:line="480" w:lineRule="auto" w:before="203"/>
        <w:ind w:left="785" w:right="254"/>
        <w:jc w:val="both"/>
      </w:pPr>
      <w:r>
        <w:rPr/>
        <w:t>Grant (2010) attributed matters of spatial inequalities to poverty rather than access to infrastructure and services. The proposition suggested that spatial inequalities exist due to the relationship between social and political processes and not a factor of geography alone. Adefila and Bulus (2014) confirmed that, the core and the peripheral areas</w:t>
      </w:r>
      <w:r>
        <w:rPr>
          <w:spacing w:val="80"/>
        </w:rPr>
        <w:t> </w:t>
      </w:r>
      <w:r>
        <w:rPr/>
        <w:t>exhibit inequalities in varying degrees which only the state and national politics could address. However, in Nigeria policies are not fully implemented and resources are</w:t>
      </w:r>
      <w:r>
        <w:rPr>
          <w:spacing w:val="40"/>
        </w:rPr>
        <w:t> </w:t>
      </w:r>
      <w:r>
        <w:rPr/>
        <w:t>meant to favour social groups with political affiliation. Oyedele (2012) has highlighted that existing infrastructure in the community represent the performance of government and it also serves as criteria for measuring good governance. It suffices to say that despite spatial inequality is influenced by socio-political factors; the severity is proved by the existence and non-existence of physical infrastructure. As such it is easier to measure and investigate social inequality.</w:t>
      </w:r>
    </w:p>
    <w:p>
      <w:pPr>
        <w:pStyle w:val="BodyText"/>
        <w:spacing w:line="480" w:lineRule="auto" w:before="200"/>
        <w:ind w:left="785" w:right="256"/>
        <w:jc w:val="both"/>
      </w:pPr>
      <w:r>
        <w:rPr/>
        <w:t>Somik and Sanjoy (2005) stressed that, spatial units for measuring spatial inequalities must contain a significant amount of data for the variable measured, or must be responsible for creating policies that affects the variables substantially. According to Adefila</w:t>
      </w:r>
      <w:r>
        <w:rPr>
          <w:spacing w:val="8"/>
        </w:rPr>
        <w:t> </w:t>
      </w:r>
      <w:r>
        <w:rPr/>
        <w:t>and</w:t>
      </w:r>
      <w:r>
        <w:rPr>
          <w:spacing w:val="8"/>
        </w:rPr>
        <w:t> </w:t>
      </w:r>
      <w:r>
        <w:rPr/>
        <w:t>Bulus</w:t>
      </w:r>
      <w:r>
        <w:rPr>
          <w:spacing w:val="12"/>
        </w:rPr>
        <w:t> </w:t>
      </w:r>
      <w:r>
        <w:rPr/>
        <w:t>(2014)</w:t>
      </w:r>
      <w:r>
        <w:rPr>
          <w:spacing w:val="7"/>
        </w:rPr>
        <w:t> </w:t>
      </w:r>
      <w:r>
        <w:rPr/>
        <w:t>models</w:t>
      </w:r>
      <w:r>
        <w:rPr>
          <w:spacing w:val="9"/>
        </w:rPr>
        <w:t> </w:t>
      </w:r>
      <w:r>
        <w:rPr/>
        <w:t>for</w:t>
      </w:r>
      <w:r>
        <w:rPr>
          <w:spacing w:val="9"/>
        </w:rPr>
        <w:t> </w:t>
      </w:r>
      <w:r>
        <w:rPr/>
        <w:t>measuring</w:t>
      </w:r>
      <w:r>
        <w:rPr>
          <w:spacing w:val="6"/>
        </w:rPr>
        <w:t> </w:t>
      </w:r>
      <w:r>
        <w:rPr/>
        <w:t>spatial</w:t>
      </w:r>
      <w:r>
        <w:rPr>
          <w:spacing w:val="8"/>
        </w:rPr>
        <w:t> </w:t>
      </w:r>
      <w:r>
        <w:rPr/>
        <w:t>inequalities</w:t>
      </w:r>
      <w:r>
        <w:rPr>
          <w:spacing w:val="9"/>
        </w:rPr>
        <w:t> </w:t>
      </w:r>
      <w:r>
        <w:rPr/>
        <w:t>include;</w:t>
      </w:r>
      <w:r>
        <w:rPr>
          <w:spacing w:val="8"/>
        </w:rPr>
        <w:t> </w:t>
      </w:r>
      <w:r>
        <w:rPr/>
        <w:t>total</w:t>
      </w:r>
      <w:r>
        <w:rPr>
          <w:spacing w:val="9"/>
        </w:rPr>
        <w:t> </w:t>
      </w:r>
      <w:r>
        <w:rPr>
          <w:spacing w:val="-2"/>
        </w:rPr>
        <w:t>factor</w:t>
      </w:r>
    </w:p>
    <w:p>
      <w:pPr>
        <w:spacing w:after="0" w:line="480" w:lineRule="auto"/>
        <w:jc w:val="both"/>
        <w:sectPr>
          <w:pgSz w:w="11910" w:h="16840"/>
          <w:pgMar w:header="0" w:footer="1003" w:top="1320" w:bottom="1200" w:left="1200" w:right="1160"/>
        </w:sectPr>
      </w:pPr>
    </w:p>
    <w:p>
      <w:pPr>
        <w:pStyle w:val="BodyText"/>
        <w:spacing w:line="480" w:lineRule="auto" w:before="72"/>
        <w:ind w:left="785" w:right="256"/>
        <w:jc w:val="both"/>
      </w:pPr>
      <w:r>
        <w:rPr/>
        <w:t>productivity, Z score, regression analysis model (Least cost, linear regression etc.) and location quotient (LQ). The determinant of spatial inequality varies with available data and method of data analysis. The difference between the LQ and other models is that, the LQ dwells on infrastructural index inventory while regression, Z score, total productivity factor and regression models used a more complex set of variables. These variables may include endogenous and exogenous variables, social and ecological variables (Ngeleza </w:t>
      </w:r>
      <w:r>
        <w:rPr>
          <w:i/>
        </w:rPr>
        <w:t>et al. </w:t>
      </w:r>
      <w:r>
        <w:rPr/>
        <w:t>2011).</w:t>
      </w:r>
    </w:p>
    <w:p>
      <w:pPr>
        <w:pStyle w:val="Heading1"/>
        <w:numPr>
          <w:ilvl w:val="2"/>
          <w:numId w:val="4"/>
        </w:numPr>
        <w:tabs>
          <w:tab w:pos="1504" w:val="left" w:leader="none"/>
        </w:tabs>
        <w:spacing w:line="240" w:lineRule="auto" w:before="205" w:after="0"/>
        <w:ind w:left="1504" w:right="0" w:hanging="719"/>
        <w:jc w:val="both"/>
      </w:pPr>
      <w:r>
        <w:rPr/>
        <w:t>Location</w:t>
      </w:r>
      <w:r>
        <w:rPr>
          <w:spacing w:val="-1"/>
        </w:rPr>
        <w:t> </w:t>
      </w:r>
      <w:r>
        <w:rPr/>
        <w:t>quotient</w:t>
      </w:r>
      <w:r>
        <w:rPr>
          <w:spacing w:val="-2"/>
        </w:rPr>
        <w:t> </w:t>
      </w:r>
      <w:r>
        <w:rPr>
          <w:spacing w:val="-4"/>
        </w:rPr>
        <w:t>(LQ)</w:t>
      </w:r>
    </w:p>
    <w:p>
      <w:pPr>
        <w:pStyle w:val="BodyText"/>
        <w:spacing w:before="7"/>
        <w:rPr>
          <w:b/>
          <w:sz w:val="23"/>
        </w:rPr>
      </w:pPr>
    </w:p>
    <w:p>
      <w:pPr>
        <w:pStyle w:val="BodyText"/>
        <w:spacing w:line="480" w:lineRule="auto"/>
        <w:ind w:left="785" w:right="257"/>
        <w:jc w:val="both"/>
      </w:pPr>
      <w:r>
        <w:rPr/>
        <w:t>According to Chobotová and Palová (2015), location quotient (LQ) was first introduced by</w:t>
      </w:r>
      <w:r>
        <w:rPr>
          <w:spacing w:val="-3"/>
        </w:rPr>
        <w:t> </w:t>
      </w:r>
      <w:r>
        <w:rPr/>
        <w:t>Florence</w:t>
      </w:r>
      <w:r>
        <w:rPr>
          <w:spacing w:val="-1"/>
        </w:rPr>
        <w:t> </w:t>
      </w:r>
      <w:r>
        <w:rPr/>
        <w:t>in 1939 as a tool for</w:t>
      </w:r>
      <w:r>
        <w:rPr>
          <w:spacing w:val="-2"/>
        </w:rPr>
        <w:t> </w:t>
      </w:r>
      <w:r>
        <w:rPr/>
        <w:t>comparing</w:t>
      </w:r>
      <w:r>
        <w:rPr>
          <w:spacing w:val="-3"/>
        </w:rPr>
        <w:t> </w:t>
      </w:r>
      <w:r>
        <w:rPr/>
        <w:t>the characteristics of</w:t>
      </w:r>
      <w:r>
        <w:rPr>
          <w:spacing w:val="-1"/>
        </w:rPr>
        <w:t> </w:t>
      </w:r>
      <w:r>
        <w:rPr/>
        <w:t>a</w:t>
      </w:r>
      <w:r>
        <w:rPr>
          <w:spacing w:val="-1"/>
        </w:rPr>
        <w:t> </w:t>
      </w:r>
      <w:r>
        <w:rPr/>
        <w:t>smaller region to the characteristics of a larger region. It is mostly used to quantify the concentration of industries in a region. LQ is significant in establishing a benchmark that is used to compare smaller regions with larger ones in exploratory research (Gokan, 2010). In exploratory research, LQ will provide more understanding and description of the </w:t>
      </w:r>
      <w:r>
        <w:rPr>
          <w:spacing w:val="-2"/>
        </w:rPr>
        <w:t>phenomenon.</w:t>
      </w:r>
    </w:p>
    <w:p>
      <w:pPr>
        <w:pStyle w:val="BodyText"/>
        <w:spacing w:line="480" w:lineRule="auto" w:before="200"/>
        <w:ind w:left="785" w:right="254"/>
        <w:jc w:val="both"/>
      </w:pPr>
      <w:r>
        <w:rPr/>
        <w:t>Abu </w:t>
      </w:r>
      <w:r>
        <w:rPr>
          <w:i/>
        </w:rPr>
        <w:t>et al. </w:t>
      </w:r>
      <w:r>
        <w:rPr/>
        <w:t>(2015) in an attempt to explain ‘region’ as a concept re-echoed John (1974) that, a region is either viewed subjectively or objectively. These schools of thoughts have opposing views about the term. Subjectively, regions exist as a mere idea, a paradigm used to study, classify and segregate the world. On the other hand, the objective thinkers viewed regions as an organism, an end in itself that can be defined and as well mapped.</w:t>
      </w:r>
    </w:p>
    <w:p>
      <w:pPr>
        <w:pStyle w:val="BodyText"/>
        <w:spacing w:line="480" w:lineRule="auto" w:before="200"/>
        <w:ind w:left="785" w:right="254"/>
        <w:jc w:val="both"/>
      </w:pPr>
      <w:r>
        <w:rPr/>
        <w:t>Gokan (2010) noted that spatial inequalities can be measured between an industry and population using LQ, which can be presented also in a locational curve. Abu </w:t>
      </w:r>
      <w:r>
        <w:rPr>
          <w:i/>
        </w:rPr>
        <w:t>et al. </w:t>
      </w:r>
      <w:r>
        <w:rPr/>
        <w:t>(2015)</w:t>
      </w:r>
      <w:r>
        <w:rPr>
          <w:spacing w:val="-3"/>
        </w:rPr>
        <w:t> </w:t>
      </w:r>
      <w:r>
        <w:rPr/>
        <w:t>opined that,</w:t>
      </w:r>
      <w:r>
        <w:rPr>
          <w:spacing w:val="1"/>
        </w:rPr>
        <w:t> </w:t>
      </w:r>
      <w:r>
        <w:rPr/>
        <w:t>LQ is</w:t>
      </w:r>
      <w:r>
        <w:rPr>
          <w:spacing w:val="1"/>
        </w:rPr>
        <w:t> </w:t>
      </w:r>
      <w:r>
        <w:rPr/>
        <w:t>also a tool</w:t>
      </w:r>
      <w:r>
        <w:rPr>
          <w:spacing w:val="-1"/>
        </w:rPr>
        <w:t> </w:t>
      </w:r>
      <w:r>
        <w:rPr/>
        <w:t>used in</w:t>
      </w:r>
      <w:r>
        <w:rPr>
          <w:spacing w:val="-1"/>
        </w:rPr>
        <w:t> </w:t>
      </w:r>
      <w:r>
        <w:rPr/>
        <w:t>understanding</w:t>
      </w:r>
      <w:r>
        <w:rPr>
          <w:spacing w:val="-3"/>
        </w:rPr>
        <w:t> </w:t>
      </w:r>
      <w:r>
        <w:rPr/>
        <w:t>the</w:t>
      </w:r>
      <w:r>
        <w:rPr>
          <w:spacing w:val="3"/>
        </w:rPr>
        <w:t> </w:t>
      </w:r>
      <w:r>
        <w:rPr/>
        <w:t>growth</w:t>
      </w:r>
      <w:r>
        <w:rPr>
          <w:spacing w:val="-1"/>
        </w:rPr>
        <w:t> </w:t>
      </w:r>
      <w:r>
        <w:rPr/>
        <w:t>pattern of</w:t>
      </w:r>
      <w:r>
        <w:rPr>
          <w:spacing w:val="-2"/>
        </w:rPr>
        <w:t> smaller</w:t>
      </w:r>
    </w:p>
    <w:p>
      <w:pPr>
        <w:spacing w:after="0" w:line="480" w:lineRule="auto"/>
        <w:jc w:val="both"/>
        <w:sectPr>
          <w:pgSz w:w="11910" w:h="16840"/>
          <w:pgMar w:header="0" w:footer="1003" w:top="1320" w:bottom="1200" w:left="1200" w:right="1160"/>
        </w:sectPr>
      </w:pPr>
    </w:p>
    <w:p>
      <w:pPr>
        <w:pStyle w:val="BodyText"/>
        <w:spacing w:line="480" w:lineRule="auto" w:before="72"/>
        <w:ind w:left="785" w:right="260"/>
        <w:jc w:val="both"/>
      </w:pPr>
      <w:r>
        <w:rPr/>
        <w:t>regions within the context of a larger region. However, Gokan (2010) cautioned that, despite the tendencies of LQ measuring spatial inequalities, it is not a viable tool for measuring export and import industries. Thus, LQ is primarily used in measuring industrial concentrations (Somik and Sanjoy, 2005). The formula is given as;</w:t>
      </w:r>
    </w:p>
    <w:p>
      <w:pPr>
        <w:spacing w:after="0" w:line="480" w:lineRule="auto"/>
        <w:jc w:val="both"/>
        <w:sectPr>
          <w:pgSz w:w="11910" w:h="16840"/>
          <w:pgMar w:header="0" w:footer="1003" w:top="1320" w:bottom="1200" w:left="1200" w:right="1160"/>
        </w:sectPr>
      </w:pPr>
    </w:p>
    <w:p>
      <w:pPr>
        <w:pStyle w:val="BodyText"/>
        <w:rPr>
          <w:sz w:val="28"/>
        </w:rPr>
      </w:pPr>
    </w:p>
    <w:p>
      <w:pPr>
        <w:pStyle w:val="BodyText"/>
        <w:spacing w:before="3"/>
      </w:pPr>
    </w:p>
    <w:p>
      <w:pPr>
        <w:spacing w:before="0"/>
        <w:ind w:left="0" w:right="0" w:firstLine="0"/>
        <w:jc w:val="right"/>
        <w:rPr>
          <w:rFonts w:ascii="Cambria Math" w:eastAsia="Cambria Math"/>
          <w:sz w:val="28"/>
        </w:rPr>
      </w:pPr>
      <w:r>
        <w:rPr>
          <w:rFonts w:ascii="Cambria Math" w:eastAsia="Cambria Math"/>
          <w:sz w:val="28"/>
        </w:rPr>
        <w:t>𝐋𝐐</w:t>
      </w:r>
      <w:r>
        <w:rPr>
          <w:rFonts w:ascii="Cambria Math" w:eastAsia="Cambria Math"/>
          <w:spacing w:val="16"/>
          <w:sz w:val="28"/>
        </w:rPr>
        <w:t> </w:t>
      </w:r>
      <w:r>
        <w:rPr>
          <w:rFonts w:ascii="Cambria Math" w:eastAsia="Cambria Math"/>
          <w:spacing w:val="-10"/>
          <w:sz w:val="28"/>
        </w:rPr>
        <w:t>=</w:t>
      </w:r>
    </w:p>
    <w:p>
      <w:pPr>
        <w:spacing w:line="341" w:lineRule="exact" w:before="109"/>
        <w:ind w:left="88" w:right="0" w:firstLine="0"/>
        <w:jc w:val="left"/>
        <w:rPr>
          <w:rFonts w:ascii="Cambria Math" w:eastAsia="Cambria Math"/>
          <w:sz w:val="20"/>
        </w:rPr>
      </w:pPr>
      <w:r>
        <w:rPr/>
        <w:br w:type="column"/>
      </w:r>
      <w:r>
        <w:rPr>
          <w:rFonts w:ascii="Cambria Math" w:eastAsia="Cambria Math"/>
          <w:spacing w:val="-5"/>
          <w:w w:val="105"/>
          <w:position w:val="6"/>
          <w:sz w:val="28"/>
        </w:rPr>
        <w:t>𝑒</w:t>
      </w:r>
      <w:r>
        <w:rPr>
          <w:rFonts w:ascii="Cambria Math" w:eastAsia="Cambria Math"/>
          <w:spacing w:val="-5"/>
          <w:w w:val="105"/>
          <w:sz w:val="20"/>
        </w:rPr>
        <w:t>𝑖𝑟</w:t>
      </w:r>
    </w:p>
    <w:p>
      <w:pPr>
        <w:pStyle w:val="BodyText"/>
        <w:spacing w:line="20" w:lineRule="exact"/>
        <w:ind w:left="88"/>
        <w:rPr>
          <w:rFonts w:ascii="Cambria Math"/>
          <w:sz w:val="2"/>
        </w:rPr>
      </w:pPr>
      <w:r>
        <w:rPr>
          <w:rFonts w:ascii="Cambria Math"/>
          <w:sz w:val="2"/>
        </w:rPr>
        <mc:AlternateContent>
          <mc:Choice Requires="wps">
            <w:drawing>
              <wp:inline distT="0" distB="0" distL="0" distR="0">
                <wp:extent cx="205740" cy="12700"/>
                <wp:effectExtent l="0" t="0" r="0" b="0"/>
                <wp:docPr id="22" name="Group 22"/>
                <wp:cNvGraphicFramePr>
                  <a:graphicFrameLocks/>
                </wp:cNvGraphicFramePr>
                <a:graphic>
                  <a:graphicData uri="http://schemas.microsoft.com/office/word/2010/wordprocessingGroup">
                    <wpg:wgp>
                      <wpg:cNvPr id="22" name="Group 22"/>
                      <wpg:cNvGrpSpPr/>
                      <wpg:grpSpPr>
                        <a:xfrm>
                          <a:off x="0" y="0"/>
                          <a:ext cx="205740" cy="12700"/>
                          <a:chExt cx="205740" cy="12700"/>
                        </a:xfrm>
                      </wpg:grpSpPr>
                      <wps:wsp>
                        <wps:cNvPr id="23" name="Graphic 23"/>
                        <wps:cNvSpPr/>
                        <wps:spPr>
                          <a:xfrm>
                            <a:off x="0" y="0"/>
                            <a:ext cx="205740" cy="12700"/>
                          </a:xfrm>
                          <a:custGeom>
                            <a:avLst/>
                            <a:gdLst/>
                            <a:ahLst/>
                            <a:cxnLst/>
                            <a:rect l="l" t="t" r="r" b="b"/>
                            <a:pathLst>
                              <a:path w="205740" h="12700">
                                <a:moveTo>
                                  <a:pt x="205739" y="0"/>
                                </a:moveTo>
                                <a:lnTo>
                                  <a:pt x="0" y="0"/>
                                </a:lnTo>
                                <a:lnTo>
                                  <a:pt x="0" y="12192"/>
                                </a:lnTo>
                                <a:lnTo>
                                  <a:pt x="205739" y="12192"/>
                                </a:lnTo>
                                <a:lnTo>
                                  <a:pt x="2057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6.2pt;height:1pt;mso-position-horizontal-relative:char;mso-position-vertical-relative:line" id="docshapegroup22" coordorigin="0,0" coordsize="324,20">
                <v:rect style="position:absolute;left:0;top:0;width:324;height:20" id="docshape23" filled="true" fillcolor="#000000" stroked="false">
                  <v:fill type="solid"/>
                </v:rect>
              </v:group>
            </w:pict>
          </mc:Fallback>
        </mc:AlternateContent>
      </w:r>
      <w:r>
        <w:rPr>
          <w:rFonts w:ascii="Cambria Math"/>
          <w:sz w:val="2"/>
        </w:rPr>
      </w:r>
    </w:p>
    <w:p>
      <w:pPr>
        <w:spacing w:line="300" w:lineRule="exact" w:before="0"/>
        <w:ind w:left="124" w:right="0" w:firstLine="0"/>
        <w:jc w:val="left"/>
        <w:rPr>
          <w:rFonts w:ascii="Cambria Math" w:eastAsia="Cambria Math"/>
          <w:sz w:val="20"/>
        </w:rPr>
      </w:pPr>
      <w:r>
        <w:rPr>
          <w:rFonts w:ascii="Cambria Math" w:eastAsia="Cambria Math"/>
          <w:spacing w:val="-5"/>
          <w:w w:val="105"/>
          <w:sz w:val="28"/>
        </w:rPr>
        <w:t>𝑒</w:t>
      </w:r>
      <w:r>
        <w:rPr>
          <w:rFonts w:ascii="Cambria Math" w:eastAsia="Cambria Math"/>
          <w:spacing w:val="-5"/>
          <w:w w:val="105"/>
          <w:position w:val="-5"/>
          <w:sz w:val="20"/>
        </w:rPr>
        <w:t>𝑟</w:t>
      </w:r>
    </w:p>
    <w:p>
      <w:pPr>
        <w:spacing w:line="320" w:lineRule="exact" w:before="0"/>
        <w:ind w:left="64" w:right="0" w:firstLine="0"/>
        <w:jc w:val="left"/>
        <w:rPr>
          <w:rFonts w:ascii="Cambria Math" w:eastAsia="Cambria Math"/>
          <w:sz w:val="20"/>
        </w:rPr>
      </w:pPr>
      <w:r>
        <w:rPr/>
        <mc:AlternateContent>
          <mc:Choice Requires="wps">
            <w:drawing>
              <wp:anchor distT="0" distB="0" distL="0" distR="0" allowOverlap="1" layoutInCell="1" locked="0" behindDoc="0" simplePos="0" relativeHeight="15733248">
                <wp:simplePos x="0" y="0"/>
                <wp:positionH relativeFrom="page">
                  <wp:posOffset>4053204</wp:posOffset>
                </wp:positionH>
                <wp:positionV relativeFrom="paragraph">
                  <wp:posOffset>4832</wp:posOffset>
                </wp:positionV>
                <wp:extent cx="274320" cy="1270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274320" cy="12700"/>
                        </a:xfrm>
                        <a:custGeom>
                          <a:avLst/>
                          <a:gdLst/>
                          <a:ahLst/>
                          <a:cxnLst/>
                          <a:rect l="l" t="t" r="r" b="b"/>
                          <a:pathLst>
                            <a:path w="274320" h="12700">
                              <a:moveTo>
                                <a:pt x="274320" y="0"/>
                              </a:moveTo>
                              <a:lnTo>
                                <a:pt x="0" y="0"/>
                              </a:lnTo>
                              <a:lnTo>
                                <a:pt x="0" y="12192"/>
                              </a:lnTo>
                              <a:lnTo>
                                <a:pt x="274320" y="12192"/>
                              </a:lnTo>
                              <a:lnTo>
                                <a:pt x="2743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149994pt;margin-top:.380511pt;width:21.6pt;height:.96001pt;mso-position-horizontal-relative:page;mso-position-vertical-relative:paragraph;z-index:15733248" id="docshape24" filled="true" fillcolor="#000000" stroked="false">
                <v:fill type="solid"/>
                <w10:wrap type="none"/>
              </v:rect>
            </w:pict>
          </mc:Fallback>
        </mc:AlternateContent>
      </w:r>
      <w:r>
        <w:rPr>
          <w:rFonts w:ascii="Cambria Math" w:eastAsia="Cambria Math"/>
          <w:spacing w:val="-5"/>
          <w:w w:val="105"/>
          <w:position w:val="6"/>
          <w:sz w:val="28"/>
        </w:rPr>
        <w:t>𝐸</w:t>
      </w:r>
      <w:r>
        <w:rPr>
          <w:rFonts w:ascii="Cambria Math" w:eastAsia="Cambria Math"/>
          <w:spacing w:val="-5"/>
          <w:w w:val="105"/>
          <w:sz w:val="20"/>
        </w:rPr>
        <w:t>𝑖𝑛</w:t>
      </w:r>
    </w:p>
    <w:p>
      <w:pPr>
        <w:spacing w:line="341" w:lineRule="exact" w:before="0"/>
        <w:ind w:left="98" w:right="0" w:firstLine="0"/>
        <w:jc w:val="left"/>
        <w:rPr>
          <w:rFonts w:ascii="Cambria Math" w:eastAsia="Cambria Math"/>
          <w:sz w:val="20"/>
        </w:rPr>
      </w:pPr>
      <w:r>
        <w:rPr/>
        <mc:AlternateContent>
          <mc:Choice Requires="wps">
            <w:drawing>
              <wp:anchor distT="0" distB="0" distL="0" distR="0" allowOverlap="1" layoutInCell="1" locked="0" behindDoc="0" simplePos="0" relativeHeight="15732736">
                <wp:simplePos x="0" y="0"/>
                <wp:positionH relativeFrom="page">
                  <wp:posOffset>4071492</wp:posOffset>
                </wp:positionH>
                <wp:positionV relativeFrom="paragraph">
                  <wp:posOffset>4070</wp:posOffset>
                </wp:positionV>
                <wp:extent cx="238125" cy="1270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238125" cy="12700"/>
                        </a:xfrm>
                        <a:custGeom>
                          <a:avLst/>
                          <a:gdLst/>
                          <a:ahLst/>
                          <a:cxnLst/>
                          <a:rect l="l" t="t" r="r" b="b"/>
                          <a:pathLst>
                            <a:path w="238125" h="12700">
                              <a:moveTo>
                                <a:pt x="237743" y="0"/>
                              </a:moveTo>
                              <a:lnTo>
                                <a:pt x="0" y="0"/>
                              </a:lnTo>
                              <a:lnTo>
                                <a:pt x="0" y="12191"/>
                              </a:lnTo>
                              <a:lnTo>
                                <a:pt x="237743" y="12191"/>
                              </a:lnTo>
                              <a:lnTo>
                                <a:pt x="2377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0.589996pt;margin-top:.320542pt;width:18.72pt;height:.95999pt;mso-position-horizontal-relative:page;mso-position-vertical-relative:paragraph;z-index:15732736" id="docshape25" filled="true" fillcolor="#000000" stroked="false">
                <v:fill type="solid"/>
                <w10:wrap type="none"/>
              </v:rect>
            </w:pict>
          </mc:Fallback>
        </mc:AlternateContent>
      </w:r>
      <w:r>
        <w:rPr>
          <w:rFonts w:ascii="Cambria Math" w:eastAsia="Cambria Math"/>
          <w:spacing w:val="-5"/>
          <w:w w:val="105"/>
          <w:sz w:val="28"/>
        </w:rPr>
        <w:t>𝐸</w:t>
      </w:r>
      <w:r>
        <w:rPr>
          <w:rFonts w:ascii="Cambria Math" w:eastAsia="Cambria Math"/>
          <w:spacing w:val="-5"/>
          <w:w w:val="105"/>
          <w:position w:val="-5"/>
          <w:sz w:val="20"/>
        </w:rPr>
        <w:t>𝑛</w:t>
      </w:r>
    </w:p>
    <w:p>
      <w:pPr>
        <w:spacing w:after="0" w:line="341" w:lineRule="exact"/>
        <w:jc w:val="left"/>
        <w:rPr>
          <w:rFonts w:ascii="Cambria Math" w:eastAsia="Cambria Math"/>
          <w:sz w:val="20"/>
        </w:rPr>
        <w:sectPr>
          <w:type w:val="continuous"/>
          <w:pgSz w:w="11910" w:h="16840"/>
          <w:pgMar w:header="0" w:footer="1003" w:top="1320" w:bottom="1200" w:left="1200" w:right="1160"/>
          <w:cols w:num="2" w:equalWidth="0">
            <w:col w:w="5108" w:space="40"/>
            <w:col w:w="4402"/>
          </w:cols>
        </w:sectPr>
      </w:pPr>
    </w:p>
    <w:p>
      <w:pPr>
        <w:pStyle w:val="BodyText"/>
        <w:rPr>
          <w:rFonts w:ascii="Cambria Math"/>
          <w:sz w:val="20"/>
        </w:rPr>
      </w:pPr>
    </w:p>
    <w:p>
      <w:pPr>
        <w:pStyle w:val="BodyText"/>
        <w:spacing w:before="7"/>
        <w:rPr>
          <w:rFonts w:ascii="Cambria Math"/>
          <w:sz w:val="20"/>
        </w:rPr>
      </w:pPr>
    </w:p>
    <w:p>
      <w:pPr>
        <w:pStyle w:val="BodyText"/>
        <w:ind w:left="785"/>
      </w:pPr>
      <w:r>
        <w:rPr>
          <w:spacing w:val="-2"/>
        </w:rPr>
        <w:t>Where;</w:t>
      </w:r>
    </w:p>
    <w:p>
      <w:pPr>
        <w:pStyle w:val="BodyText"/>
        <w:spacing w:before="10"/>
        <w:rPr>
          <w:sz w:val="23"/>
        </w:rPr>
      </w:pPr>
    </w:p>
    <w:p>
      <w:pPr>
        <w:pStyle w:val="BodyText"/>
        <w:spacing w:line="477" w:lineRule="auto" w:before="1"/>
        <w:ind w:left="785" w:right="4644"/>
      </w:pPr>
      <w:r>
        <w:rPr>
          <w:position w:val="2"/>
        </w:rPr>
        <w:t>e</w:t>
      </w:r>
      <w:r>
        <w:rPr>
          <w:sz w:val="16"/>
        </w:rPr>
        <w:t>ir</w:t>
      </w:r>
      <w:r>
        <w:rPr>
          <w:position w:val="2"/>
        </w:rPr>
        <w:t>=</w:t>
      </w:r>
      <w:r>
        <w:rPr>
          <w:spacing w:val="-6"/>
          <w:position w:val="2"/>
        </w:rPr>
        <w:t> </w:t>
      </w:r>
      <w:r>
        <w:rPr>
          <w:position w:val="2"/>
        </w:rPr>
        <w:t>industy</w:t>
      </w:r>
      <w:r>
        <w:rPr>
          <w:spacing w:val="-10"/>
          <w:position w:val="2"/>
        </w:rPr>
        <w:t> </w:t>
      </w:r>
      <w:r>
        <w:rPr>
          <w:position w:val="2"/>
        </w:rPr>
        <w:t>employment,</w:t>
      </w:r>
      <w:r>
        <w:rPr>
          <w:spacing w:val="-4"/>
          <w:position w:val="2"/>
        </w:rPr>
        <w:t> </w:t>
      </w:r>
      <w:r>
        <w:rPr>
          <w:position w:val="2"/>
        </w:rPr>
        <w:t>i</w:t>
      </w:r>
      <w:r>
        <w:rPr>
          <w:spacing w:val="-5"/>
          <w:position w:val="2"/>
        </w:rPr>
        <w:t> </w:t>
      </w:r>
      <w:r>
        <w:rPr>
          <w:position w:val="2"/>
        </w:rPr>
        <w:t>in</w:t>
      </w:r>
      <w:r>
        <w:rPr>
          <w:spacing w:val="-5"/>
          <w:position w:val="2"/>
        </w:rPr>
        <w:t> </w:t>
      </w:r>
      <w:r>
        <w:rPr>
          <w:position w:val="2"/>
        </w:rPr>
        <w:t>sub</w:t>
      </w:r>
      <w:r>
        <w:rPr>
          <w:spacing w:val="-5"/>
          <w:position w:val="2"/>
        </w:rPr>
        <w:t> </w:t>
      </w:r>
      <w:r>
        <w:rPr>
          <w:position w:val="2"/>
        </w:rPr>
        <w:t>region</w:t>
      </w:r>
      <w:r>
        <w:rPr>
          <w:spacing w:val="-5"/>
          <w:position w:val="2"/>
        </w:rPr>
        <w:t> </w:t>
      </w:r>
      <w:r>
        <w:rPr>
          <w:position w:val="2"/>
        </w:rPr>
        <w:t>r e</w:t>
      </w:r>
      <w:r>
        <w:rPr>
          <w:sz w:val="16"/>
        </w:rPr>
        <w:t>r</w:t>
      </w:r>
      <w:r>
        <w:rPr>
          <w:position w:val="2"/>
        </w:rPr>
        <w:t>= overall employment in sub region r E</w:t>
      </w:r>
      <w:r>
        <w:rPr>
          <w:sz w:val="16"/>
        </w:rPr>
        <w:t>in</w:t>
      </w:r>
      <w:r>
        <w:rPr>
          <w:position w:val="2"/>
        </w:rPr>
        <w:t>= industry employment i region n</w:t>
      </w:r>
    </w:p>
    <w:p>
      <w:pPr>
        <w:pStyle w:val="BodyText"/>
        <w:ind w:left="785"/>
      </w:pPr>
      <w:r>
        <w:rPr>
          <w:position w:val="2"/>
        </w:rPr>
        <w:t>E</w:t>
      </w:r>
      <w:r>
        <w:rPr>
          <w:sz w:val="16"/>
        </w:rPr>
        <w:t>n</w:t>
      </w:r>
      <w:r>
        <w:rPr>
          <w:position w:val="2"/>
        </w:rPr>
        <w:t>=</w:t>
      </w:r>
      <w:r>
        <w:rPr>
          <w:spacing w:val="-6"/>
          <w:position w:val="2"/>
        </w:rPr>
        <w:t> </w:t>
      </w:r>
      <w:r>
        <w:rPr>
          <w:position w:val="2"/>
        </w:rPr>
        <w:t>overall</w:t>
      </w:r>
      <w:r>
        <w:rPr>
          <w:spacing w:val="-2"/>
          <w:position w:val="2"/>
        </w:rPr>
        <w:t> </w:t>
      </w:r>
      <w:r>
        <w:rPr>
          <w:position w:val="2"/>
        </w:rPr>
        <w:t>employment</w:t>
      </w:r>
      <w:r>
        <w:rPr>
          <w:spacing w:val="-2"/>
          <w:position w:val="2"/>
        </w:rPr>
        <w:t> </w:t>
      </w:r>
      <w:r>
        <w:rPr>
          <w:position w:val="2"/>
        </w:rPr>
        <w:t>in</w:t>
      </w:r>
      <w:r>
        <w:rPr>
          <w:spacing w:val="-2"/>
          <w:position w:val="2"/>
        </w:rPr>
        <w:t> </w:t>
      </w:r>
      <w:r>
        <w:rPr>
          <w:position w:val="2"/>
        </w:rPr>
        <w:t>region</w:t>
      </w:r>
      <w:r>
        <w:rPr>
          <w:spacing w:val="-2"/>
          <w:position w:val="2"/>
        </w:rPr>
        <w:t> </w:t>
      </w:r>
      <w:r>
        <w:rPr>
          <w:spacing w:val="-10"/>
          <w:position w:val="2"/>
        </w:rPr>
        <w:t>n</w:t>
      </w:r>
    </w:p>
    <w:p>
      <w:pPr>
        <w:pStyle w:val="BodyText"/>
        <w:rPr>
          <w:sz w:val="26"/>
        </w:rPr>
      </w:pPr>
    </w:p>
    <w:p>
      <w:pPr>
        <w:pStyle w:val="BodyText"/>
        <w:spacing w:line="480" w:lineRule="auto" w:before="215"/>
        <w:ind w:left="785" w:right="250"/>
        <w:jc w:val="both"/>
      </w:pPr>
      <w:r>
        <w:rPr/>
        <w:t>Chobotová and Palová (2015) revealed that social inequality determines the level of cohesion and also helps the populace become informed of their regional position in relation to other regions. This can extend beyond measuring physical facilities and structures to activities, performance, income and other variables. The method of loose- coupling of GIS module using both GIS and other non-spatial analytical software made it possible to analyse both spatial and temporal regional economic development and industrial clusters datasets. This included the use of LQ and Moran’s </w:t>
      </w:r>
      <w:r>
        <w:rPr>
          <w:i/>
        </w:rPr>
        <w:t>I </w:t>
      </w:r>
      <w:r>
        <w:rPr/>
        <w:t>statistics. One of the advantages in using GIS for spatial inequality studies model is that, one can use the count of existing infrastructure to measure the level and pattern of spatial concentration and also carryout spatial regression (Boasson and Boasson, 2011).</w:t>
      </w:r>
    </w:p>
    <w:p>
      <w:pPr>
        <w:pStyle w:val="BodyText"/>
        <w:spacing w:line="480" w:lineRule="auto" w:before="201"/>
        <w:ind w:left="785" w:right="259"/>
        <w:jc w:val="both"/>
      </w:pPr>
      <w:r>
        <w:rPr/>
        <w:t>As</w:t>
      </w:r>
      <w:r>
        <w:rPr>
          <w:spacing w:val="-2"/>
        </w:rPr>
        <w:t> </w:t>
      </w:r>
      <w:r>
        <w:rPr/>
        <w:t>illustrated</w:t>
      </w:r>
      <w:r>
        <w:rPr>
          <w:spacing w:val="-2"/>
        </w:rPr>
        <w:t> </w:t>
      </w:r>
      <w:r>
        <w:rPr/>
        <w:t>by</w:t>
      </w:r>
      <w:r>
        <w:rPr>
          <w:spacing w:val="-8"/>
        </w:rPr>
        <w:t> </w:t>
      </w:r>
      <w:r>
        <w:rPr/>
        <w:t>Abu </w:t>
      </w:r>
      <w:r>
        <w:rPr>
          <w:i/>
        </w:rPr>
        <w:t>et al. </w:t>
      </w:r>
      <w:r>
        <w:rPr/>
        <w:t>(2015), LQ</w:t>
      </w:r>
      <w:r>
        <w:rPr>
          <w:spacing w:val="-2"/>
        </w:rPr>
        <w:t> </w:t>
      </w:r>
      <w:r>
        <w:rPr/>
        <w:t>of</w:t>
      </w:r>
      <w:r>
        <w:rPr>
          <w:spacing w:val="-2"/>
        </w:rPr>
        <w:t> </w:t>
      </w:r>
      <w:r>
        <w:rPr/>
        <w:t>sub</w:t>
      </w:r>
      <w:r>
        <w:rPr>
          <w:spacing w:val="-1"/>
        </w:rPr>
        <w:t> </w:t>
      </w:r>
      <w:r>
        <w:rPr/>
        <w:t>regions</w:t>
      </w:r>
      <w:r>
        <w:rPr>
          <w:spacing w:val="-1"/>
        </w:rPr>
        <w:t> </w:t>
      </w:r>
      <w:r>
        <w:rPr/>
        <w:t>or</w:t>
      </w:r>
      <w:r>
        <w:rPr>
          <w:spacing w:val="-2"/>
        </w:rPr>
        <w:t> </w:t>
      </w:r>
      <w:r>
        <w:rPr/>
        <w:t>smaller</w:t>
      </w:r>
      <w:r>
        <w:rPr>
          <w:spacing w:val="-2"/>
        </w:rPr>
        <w:t> </w:t>
      </w:r>
      <w:r>
        <w:rPr/>
        <w:t>regions</w:t>
      </w:r>
      <w:r>
        <w:rPr>
          <w:spacing w:val="-1"/>
        </w:rPr>
        <w:t> </w:t>
      </w:r>
      <w:r>
        <w:rPr/>
        <w:t>can</w:t>
      </w:r>
      <w:r>
        <w:rPr>
          <w:spacing w:val="-1"/>
        </w:rPr>
        <w:t> </w:t>
      </w:r>
      <w:r>
        <w:rPr/>
        <w:t>be</w:t>
      </w:r>
      <w:r>
        <w:rPr>
          <w:spacing w:val="-2"/>
        </w:rPr>
        <w:t> </w:t>
      </w:r>
      <w:r>
        <w:rPr/>
        <w:t>grouped according</w:t>
      </w:r>
      <w:r>
        <w:rPr>
          <w:spacing w:val="17"/>
        </w:rPr>
        <w:t> </w:t>
      </w:r>
      <w:r>
        <w:rPr/>
        <w:t>to</w:t>
      </w:r>
      <w:r>
        <w:rPr>
          <w:spacing w:val="22"/>
        </w:rPr>
        <w:t> </w:t>
      </w:r>
      <w:r>
        <w:rPr/>
        <w:t>range.</w:t>
      </w:r>
      <w:r>
        <w:rPr>
          <w:spacing w:val="21"/>
        </w:rPr>
        <w:t> </w:t>
      </w:r>
      <w:r>
        <w:rPr/>
        <w:t>The</w:t>
      </w:r>
      <w:r>
        <w:rPr>
          <w:spacing w:val="22"/>
        </w:rPr>
        <w:t> </w:t>
      </w:r>
      <w:r>
        <w:rPr/>
        <w:t>result</w:t>
      </w:r>
      <w:r>
        <w:rPr>
          <w:spacing w:val="23"/>
        </w:rPr>
        <w:t> </w:t>
      </w:r>
      <w:r>
        <w:rPr/>
        <w:t>can</w:t>
      </w:r>
      <w:r>
        <w:rPr>
          <w:spacing w:val="21"/>
        </w:rPr>
        <w:t> </w:t>
      </w:r>
      <w:r>
        <w:rPr/>
        <w:t>be</w:t>
      </w:r>
      <w:r>
        <w:rPr>
          <w:spacing w:val="20"/>
        </w:rPr>
        <w:t> </w:t>
      </w:r>
      <w:r>
        <w:rPr/>
        <w:t>interpreted</w:t>
      </w:r>
      <w:r>
        <w:rPr>
          <w:spacing w:val="23"/>
        </w:rPr>
        <w:t> </w:t>
      </w:r>
      <w:r>
        <w:rPr/>
        <w:t>where</w:t>
      </w:r>
      <w:r>
        <w:rPr>
          <w:spacing w:val="20"/>
        </w:rPr>
        <w:t> </w:t>
      </w:r>
      <w:r>
        <w:rPr/>
        <w:t>regions</w:t>
      </w:r>
      <w:r>
        <w:rPr>
          <w:spacing w:val="23"/>
        </w:rPr>
        <w:t> </w:t>
      </w:r>
      <w:r>
        <w:rPr/>
        <w:t>with</w:t>
      </w:r>
      <w:r>
        <w:rPr>
          <w:spacing w:val="24"/>
        </w:rPr>
        <w:t> </w:t>
      </w:r>
      <w:r>
        <w:rPr/>
        <w:t>LQ</w:t>
      </w:r>
      <w:r>
        <w:rPr>
          <w:spacing w:val="21"/>
        </w:rPr>
        <w:t> </w:t>
      </w:r>
      <w:r>
        <w:rPr/>
        <w:t>less</w:t>
      </w:r>
      <w:r>
        <w:rPr>
          <w:spacing w:val="21"/>
        </w:rPr>
        <w:t> </w:t>
      </w:r>
      <w:r>
        <w:rPr/>
        <w:t>than</w:t>
      </w:r>
      <w:r>
        <w:rPr>
          <w:spacing w:val="22"/>
        </w:rPr>
        <w:t> </w:t>
      </w:r>
      <w:r>
        <w:rPr>
          <w:spacing w:val="-5"/>
        </w:rPr>
        <w:t>0.4</w:t>
      </w:r>
    </w:p>
    <w:p>
      <w:pPr>
        <w:spacing w:after="0" w:line="480" w:lineRule="auto"/>
        <w:jc w:val="both"/>
        <w:sectPr>
          <w:type w:val="continuous"/>
          <w:pgSz w:w="11910" w:h="16840"/>
          <w:pgMar w:header="0" w:footer="1003" w:top="1320" w:bottom="1200" w:left="1200" w:right="1160"/>
        </w:sectPr>
      </w:pPr>
    </w:p>
    <w:p>
      <w:pPr>
        <w:pStyle w:val="BodyText"/>
        <w:spacing w:line="480" w:lineRule="auto" w:before="72"/>
        <w:ind w:left="785" w:right="253"/>
        <w:jc w:val="both"/>
      </w:pPr>
      <w:r>
        <w:rPr/>
        <w:t>are regarded as very poor, 0.4 to less than 0.8 means poor while, 0.8 to less than 1.0 means moderate share compared to the larger regional share. When the LQ ranges between 1.0 to less than 1.5, it shows that a sub region as equal share of the industry or features as the larger region. Any LQ above 1.0 will mean that the sub region has a higher proportion of the industry, characteristics or feature than the larger region. Classification of LQ can also be done in GIS using these ranges.</w:t>
      </w:r>
    </w:p>
    <w:p>
      <w:pPr>
        <w:spacing w:after="0" w:line="480" w:lineRule="auto"/>
        <w:jc w:val="both"/>
        <w:sectPr>
          <w:pgSz w:w="11910" w:h="16840"/>
          <w:pgMar w:header="0" w:footer="1003" w:top="1320" w:bottom="1200" w:left="1200" w:right="1160"/>
        </w:sectPr>
      </w:pPr>
    </w:p>
    <w:p>
      <w:pPr>
        <w:spacing w:before="76"/>
        <w:ind w:left="2851" w:right="2326" w:firstLine="0"/>
        <w:jc w:val="center"/>
        <w:rPr>
          <w:b/>
          <w:sz w:val="24"/>
        </w:rPr>
      </w:pPr>
      <w:r>
        <w:rPr>
          <w:b/>
          <w:sz w:val="24"/>
        </w:rPr>
        <w:t>CHAPTER</w:t>
      </w:r>
      <w:r>
        <w:rPr>
          <w:b/>
          <w:spacing w:val="-4"/>
          <w:sz w:val="24"/>
        </w:rPr>
        <w:t> </w:t>
      </w:r>
      <w:r>
        <w:rPr>
          <w:b/>
          <w:spacing w:val="-2"/>
          <w:sz w:val="24"/>
        </w:rPr>
        <w:t>THREE</w:t>
      </w:r>
    </w:p>
    <w:p>
      <w:pPr>
        <w:pStyle w:val="BodyText"/>
        <w:spacing w:before="1"/>
        <w:rPr>
          <w:b/>
        </w:rPr>
      </w:pPr>
    </w:p>
    <w:p>
      <w:pPr>
        <w:pStyle w:val="ListParagraph"/>
        <w:numPr>
          <w:ilvl w:val="1"/>
          <w:numId w:val="6"/>
        </w:numPr>
        <w:tabs>
          <w:tab w:pos="3365" w:val="left" w:leader="none"/>
        </w:tabs>
        <w:spacing w:line="240" w:lineRule="auto" w:before="0" w:after="0"/>
        <w:ind w:left="3365" w:right="0" w:hanging="2580"/>
        <w:jc w:val="both"/>
        <w:rPr>
          <w:b/>
          <w:sz w:val="24"/>
        </w:rPr>
      </w:pPr>
      <w:r>
        <w:rPr>
          <w:b/>
          <w:sz w:val="24"/>
        </w:rPr>
        <w:t>RESEARCH</w:t>
      </w:r>
      <w:r>
        <w:rPr>
          <w:b/>
          <w:spacing w:val="-1"/>
          <w:sz w:val="24"/>
        </w:rPr>
        <w:t> </w:t>
      </w:r>
      <w:r>
        <w:rPr>
          <w:b/>
          <w:spacing w:val="-2"/>
          <w:sz w:val="24"/>
        </w:rPr>
        <w:t>METHODOLOGY</w:t>
      </w:r>
    </w:p>
    <w:p>
      <w:pPr>
        <w:pStyle w:val="BodyText"/>
        <w:rPr>
          <w:b/>
        </w:rPr>
      </w:pPr>
    </w:p>
    <w:p>
      <w:pPr>
        <w:pStyle w:val="Heading1"/>
        <w:numPr>
          <w:ilvl w:val="1"/>
          <w:numId w:val="6"/>
        </w:numPr>
        <w:tabs>
          <w:tab w:pos="1145" w:val="left" w:leader="none"/>
        </w:tabs>
        <w:spacing w:line="240" w:lineRule="auto" w:before="0" w:after="0"/>
        <w:ind w:left="1145" w:right="0" w:hanging="360"/>
        <w:jc w:val="both"/>
      </w:pPr>
      <w:r>
        <w:rPr/>
        <w:t>Research</w:t>
      </w:r>
      <w:r>
        <w:rPr>
          <w:spacing w:val="-3"/>
        </w:rPr>
        <w:t> </w:t>
      </w:r>
      <w:r>
        <w:rPr>
          <w:spacing w:val="-2"/>
        </w:rPr>
        <w:t>Design</w:t>
      </w:r>
    </w:p>
    <w:p>
      <w:pPr>
        <w:pStyle w:val="BodyText"/>
        <w:spacing w:before="6"/>
        <w:rPr>
          <w:b/>
          <w:sz w:val="23"/>
        </w:rPr>
      </w:pPr>
    </w:p>
    <w:p>
      <w:pPr>
        <w:pStyle w:val="BodyText"/>
        <w:spacing w:line="480" w:lineRule="auto" w:before="1"/>
        <w:ind w:left="785" w:right="252"/>
        <w:jc w:val="both"/>
      </w:pPr>
      <w:r>
        <w:rPr/>
        <w:t>This research adopts a cross-sectional study design; this is because the phenomena are subject to change and the data are not necessarily consistent overtime. The existing geographical location of primary health centres and public primary schools in Zuru</w:t>
      </w:r>
      <w:r>
        <w:rPr>
          <w:spacing w:val="80"/>
        </w:rPr>
        <w:t> </w:t>
      </w:r>
      <w:r>
        <w:rPr/>
        <w:t>local government area is essential to the study. The methodology of this study depends on quantitative data collected and sourced in other to achieve both the research broad aim and its objectives as shown in Figure 3.1. It will include issues such as; instruments for gathering of spatial and non-spatial data along with methods of sampling, data analysis and presentation.</w:t>
      </w:r>
    </w:p>
    <w:p>
      <w:pPr>
        <w:spacing w:after="0" w:line="480" w:lineRule="auto"/>
        <w:jc w:val="both"/>
        <w:sectPr>
          <w:pgSz w:w="11910" w:h="16840"/>
          <w:pgMar w:header="0" w:footer="1003" w:top="1320" w:bottom="1200" w:left="1200" w:right="1160"/>
        </w:sectPr>
      </w:pPr>
    </w:p>
    <w:p>
      <w:pPr>
        <w:pStyle w:val="BodyText"/>
        <w:rPr>
          <w:sz w:val="20"/>
        </w:rPr>
      </w:pPr>
      <w:r>
        <w:rPr/>
        <mc:AlternateContent>
          <mc:Choice Requires="wps">
            <w:drawing>
              <wp:anchor distT="0" distB="0" distL="0" distR="0" allowOverlap="1" layoutInCell="1" locked="0" behindDoc="0" simplePos="0" relativeHeight="15733760">
                <wp:simplePos x="0" y="0"/>
                <wp:positionH relativeFrom="page">
                  <wp:posOffset>1260347</wp:posOffset>
                </wp:positionH>
                <wp:positionV relativeFrom="page">
                  <wp:posOffset>899159</wp:posOffset>
                </wp:positionV>
                <wp:extent cx="5905500" cy="644080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5905500" cy="6440805"/>
                          <a:chExt cx="5905500" cy="6440805"/>
                        </a:xfrm>
                      </wpg:grpSpPr>
                      <pic:pic>
                        <pic:nvPicPr>
                          <pic:cNvPr id="27" name="Image 27" descr="C:\Users\User\3rd semester\submissions\Internal Presentations\Flow Chart.jpg"/>
                          <pic:cNvPicPr/>
                        </pic:nvPicPr>
                        <pic:blipFill>
                          <a:blip r:embed="rId12" cstate="print"/>
                          <a:stretch>
                            <a:fillRect/>
                          </a:stretch>
                        </pic:blipFill>
                        <pic:spPr>
                          <a:xfrm>
                            <a:off x="163980" y="555070"/>
                            <a:ext cx="5334252" cy="5798634"/>
                          </a:xfrm>
                          <a:prstGeom prst="rect">
                            <a:avLst/>
                          </a:prstGeom>
                        </pic:spPr>
                      </pic:pic>
                      <wps:wsp>
                        <wps:cNvPr id="28" name="Graphic 28"/>
                        <wps:cNvSpPr/>
                        <wps:spPr>
                          <a:xfrm>
                            <a:off x="9905" y="9905"/>
                            <a:ext cx="5885815" cy="6421120"/>
                          </a:xfrm>
                          <a:custGeom>
                            <a:avLst/>
                            <a:gdLst/>
                            <a:ahLst/>
                            <a:cxnLst/>
                            <a:rect l="l" t="t" r="r" b="b"/>
                            <a:pathLst>
                              <a:path w="5885815" h="6421120">
                                <a:moveTo>
                                  <a:pt x="0" y="6420611"/>
                                </a:moveTo>
                                <a:lnTo>
                                  <a:pt x="5885688" y="6420611"/>
                                </a:lnTo>
                                <a:lnTo>
                                  <a:pt x="5885688" y="0"/>
                                </a:lnTo>
                                <a:lnTo>
                                  <a:pt x="0" y="0"/>
                                </a:lnTo>
                                <a:lnTo>
                                  <a:pt x="0" y="6420611"/>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9.239998pt;margin-top:70.799980pt;width:465pt;height:507.15pt;mso-position-horizontal-relative:page;mso-position-vertical-relative:page;z-index:15733760" id="docshapegroup26" coordorigin="1985,1416" coordsize="9300,10143">
                <v:shape style="position:absolute;left:2243;top:2290;width:8401;height:9132" type="#_x0000_t75" id="docshape27" alt="C:\Users\User\3rd semester\submissions\Internal Presentations\Flow Chart.jpg" stroked="false">
                  <v:imagedata r:id="rId12" o:title=""/>
                </v:shape>
                <v:rect style="position:absolute;left:2000;top:1431;width:9269;height:10112" id="docshape28" filled="false" stroked="true" strokeweight="1.56pt" strokecolor="#000000">
                  <v:stroke dashstyle="solid"/>
                </v:rect>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spacing w:line="242" w:lineRule="auto"/>
        <w:ind w:left="3848" w:right="1954" w:hanging="694"/>
      </w:pPr>
      <w:r>
        <w:rPr/>
        <w:t>Figure</w:t>
      </w:r>
      <w:r>
        <w:rPr>
          <w:spacing w:val="-11"/>
        </w:rPr>
        <w:t> </w:t>
      </w:r>
      <w:r>
        <w:rPr/>
        <w:t>3.1:</w:t>
      </w:r>
      <w:r>
        <w:rPr>
          <w:spacing w:val="-9"/>
        </w:rPr>
        <w:t> </w:t>
      </w:r>
      <w:r>
        <w:rPr/>
        <w:t>Research</w:t>
      </w:r>
      <w:r>
        <w:rPr>
          <w:spacing w:val="-8"/>
        </w:rPr>
        <w:t> </w:t>
      </w:r>
      <w:r>
        <w:rPr/>
        <w:t>Design</w:t>
      </w:r>
      <w:r>
        <w:rPr>
          <w:spacing w:val="-9"/>
        </w:rPr>
        <w:t> </w:t>
      </w:r>
      <w:r>
        <w:rPr/>
        <w:t>Flowchart Source: Reseacher, 2020</w:t>
      </w:r>
    </w:p>
    <w:p>
      <w:pPr>
        <w:pStyle w:val="BodyText"/>
        <w:rPr>
          <w:sz w:val="26"/>
        </w:rPr>
      </w:pPr>
    </w:p>
    <w:p>
      <w:pPr>
        <w:pStyle w:val="Heading1"/>
        <w:numPr>
          <w:ilvl w:val="1"/>
          <w:numId w:val="6"/>
        </w:numPr>
        <w:tabs>
          <w:tab w:pos="1504" w:val="left" w:leader="none"/>
        </w:tabs>
        <w:spacing w:line="240" w:lineRule="auto" w:before="177" w:after="0"/>
        <w:ind w:left="1504" w:right="0" w:hanging="719"/>
        <w:jc w:val="both"/>
      </w:pPr>
      <w:r>
        <w:rPr/>
        <w:t>Sources</w:t>
      </w:r>
      <w:r>
        <w:rPr>
          <w:spacing w:val="-2"/>
        </w:rPr>
        <w:t> </w:t>
      </w:r>
      <w:r>
        <w:rPr/>
        <w:t>and</w:t>
      </w:r>
      <w:r>
        <w:rPr>
          <w:spacing w:val="-1"/>
        </w:rPr>
        <w:t> </w:t>
      </w:r>
      <w:r>
        <w:rPr/>
        <w:t>Method</w:t>
      </w:r>
      <w:r>
        <w:rPr>
          <w:spacing w:val="-2"/>
        </w:rPr>
        <w:t> </w:t>
      </w:r>
      <w:r>
        <w:rPr/>
        <w:t>of</w:t>
      </w:r>
      <w:r>
        <w:rPr>
          <w:spacing w:val="-2"/>
        </w:rPr>
        <w:t> </w:t>
      </w:r>
      <w:r>
        <w:rPr/>
        <w:t>Data</w:t>
      </w:r>
      <w:r>
        <w:rPr>
          <w:spacing w:val="-1"/>
        </w:rPr>
        <w:t> </w:t>
      </w:r>
      <w:r>
        <w:rPr>
          <w:spacing w:val="-2"/>
        </w:rPr>
        <w:t>Collection</w:t>
      </w:r>
    </w:p>
    <w:p>
      <w:pPr>
        <w:pStyle w:val="BodyText"/>
        <w:spacing w:before="6"/>
        <w:rPr>
          <w:b/>
          <w:sz w:val="23"/>
        </w:rPr>
      </w:pPr>
    </w:p>
    <w:p>
      <w:pPr>
        <w:pStyle w:val="BodyText"/>
        <w:spacing w:line="480" w:lineRule="auto"/>
        <w:ind w:left="785" w:right="253"/>
        <w:jc w:val="both"/>
      </w:pPr>
      <w:r>
        <w:rPr/>
        <w:t>In achieving the objectives of this research, both primary and secondary data are employed in the study. Table 3.1 presents the type of data required for each objective in this study and also a summary description of methods of analysis. The highlighted details</w:t>
      </w:r>
      <w:r>
        <w:rPr>
          <w:spacing w:val="44"/>
        </w:rPr>
        <w:t> </w:t>
      </w:r>
      <w:r>
        <w:rPr/>
        <w:t>showed</w:t>
      </w:r>
      <w:r>
        <w:rPr>
          <w:spacing w:val="45"/>
        </w:rPr>
        <w:t> </w:t>
      </w:r>
      <w:r>
        <w:rPr/>
        <w:t>how</w:t>
      </w:r>
      <w:r>
        <w:rPr>
          <w:spacing w:val="44"/>
        </w:rPr>
        <w:t> </w:t>
      </w:r>
      <w:r>
        <w:rPr/>
        <w:t>every</w:t>
      </w:r>
      <w:r>
        <w:rPr>
          <w:spacing w:val="43"/>
        </w:rPr>
        <w:t> </w:t>
      </w:r>
      <w:r>
        <w:rPr/>
        <w:t>objective</w:t>
      </w:r>
      <w:r>
        <w:rPr>
          <w:spacing w:val="47"/>
        </w:rPr>
        <w:t> </w:t>
      </w:r>
      <w:r>
        <w:rPr/>
        <w:t>was</w:t>
      </w:r>
      <w:r>
        <w:rPr>
          <w:spacing w:val="48"/>
        </w:rPr>
        <w:t> </w:t>
      </w:r>
      <w:r>
        <w:rPr/>
        <w:t>analysed</w:t>
      </w:r>
      <w:r>
        <w:rPr>
          <w:spacing w:val="45"/>
        </w:rPr>
        <w:t> </w:t>
      </w:r>
      <w:r>
        <w:rPr/>
        <w:t>and</w:t>
      </w:r>
      <w:r>
        <w:rPr>
          <w:spacing w:val="49"/>
        </w:rPr>
        <w:t> </w:t>
      </w:r>
      <w:r>
        <w:rPr/>
        <w:t>presented</w:t>
      </w:r>
      <w:r>
        <w:rPr>
          <w:spacing w:val="44"/>
        </w:rPr>
        <w:t> </w:t>
      </w:r>
      <w:r>
        <w:rPr/>
        <w:t>uniquely</w:t>
      </w:r>
      <w:r>
        <w:rPr>
          <w:spacing w:val="44"/>
        </w:rPr>
        <w:t> </w:t>
      </w:r>
      <w:r>
        <w:rPr/>
        <w:t>for</w:t>
      </w:r>
      <w:r>
        <w:rPr>
          <w:spacing w:val="46"/>
        </w:rPr>
        <w:t> </w:t>
      </w:r>
      <w:r>
        <w:rPr>
          <w:spacing w:val="-2"/>
        </w:rPr>
        <w:t>better</w:t>
      </w:r>
    </w:p>
    <w:p>
      <w:pPr>
        <w:spacing w:after="0" w:line="480" w:lineRule="auto"/>
        <w:jc w:val="both"/>
        <w:sectPr>
          <w:pgSz w:w="11910" w:h="16840"/>
          <w:pgMar w:header="0" w:footer="1003" w:top="1400" w:bottom="1200" w:left="1200" w:right="1160"/>
        </w:sectPr>
      </w:pPr>
    </w:p>
    <w:p>
      <w:pPr>
        <w:pStyle w:val="BodyText"/>
        <w:spacing w:line="482" w:lineRule="auto" w:before="72"/>
        <w:ind w:left="785" w:right="255"/>
        <w:jc w:val="both"/>
      </w:pPr>
      <w:r>
        <w:rPr/>
        <w:t>interpretations and deductions. For instance, the location of social infrastructure will require primary and secondary data and analysed descriptively, which the result will be presented using tables and/or figures.</w:t>
      </w:r>
    </w:p>
    <w:p>
      <w:pPr>
        <w:pStyle w:val="Heading1"/>
        <w:spacing w:before="196" w:after="3"/>
        <w:ind w:left="785" w:firstLine="0"/>
      </w:pPr>
      <w:r>
        <w:rPr/>
        <w:t>Table</w:t>
      </w:r>
      <w:r>
        <w:rPr>
          <w:spacing w:val="-4"/>
        </w:rPr>
        <w:t> </w:t>
      </w:r>
      <w:r>
        <w:rPr/>
        <w:t>3.1:</w:t>
      </w:r>
      <w:r>
        <w:rPr>
          <w:spacing w:val="-4"/>
        </w:rPr>
        <w:t> </w:t>
      </w:r>
      <w:r>
        <w:rPr/>
        <w:t>Summary</w:t>
      </w:r>
      <w:r>
        <w:rPr>
          <w:spacing w:val="-2"/>
        </w:rPr>
        <w:t> </w:t>
      </w:r>
      <w:r>
        <w:rPr/>
        <w:t>of</w:t>
      </w:r>
      <w:r>
        <w:rPr>
          <w:spacing w:val="-1"/>
        </w:rPr>
        <w:t> </w:t>
      </w:r>
      <w:r>
        <w:rPr/>
        <w:t>the</w:t>
      </w:r>
      <w:r>
        <w:rPr>
          <w:spacing w:val="-1"/>
        </w:rPr>
        <w:t> </w:t>
      </w:r>
      <w:r>
        <w:rPr/>
        <w:t>Research</w:t>
      </w:r>
      <w:r>
        <w:rPr>
          <w:spacing w:val="-2"/>
        </w:rPr>
        <w:t> </w:t>
      </w:r>
      <w:r>
        <w:rPr/>
        <w:t>Data</w:t>
      </w:r>
      <w:r>
        <w:rPr>
          <w:spacing w:val="-2"/>
        </w:rPr>
        <w:t> </w:t>
      </w:r>
      <w:r>
        <w:rPr/>
        <w:t>Requirements</w:t>
      </w:r>
      <w:r>
        <w:rPr>
          <w:spacing w:val="-2"/>
        </w:rPr>
        <w:t> </w:t>
      </w:r>
      <w:r>
        <w:rPr/>
        <w:t>and </w:t>
      </w:r>
      <w:r>
        <w:rPr>
          <w:spacing w:val="-2"/>
        </w:rPr>
        <w:t>Objectives</w:t>
      </w:r>
    </w:p>
    <w:tbl>
      <w:tblPr>
        <w:tblW w:w="0" w:type="auto"/>
        <w:jc w:val="left"/>
        <w:tblInd w:w="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5"/>
        <w:gridCol w:w="1789"/>
        <w:gridCol w:w="1690"/>
        <w:gridCol w:w="1854"/>
        <w:gridCol w:w="1370"/>
        <w:gridCol w:w="1288"/>
      </w:tblGrid>
      <w:tr>
        <w:trPr>
          <w:trHeight w:val="582" w:hRule="atLeast"/>
        </w:trPr>
        <w:tc>
          <w:tcPr>
            <w:tcW w:w="575" w:type="dxa"/>
            <w:tcBorders>
              <w:top w:val="single" w:sz="8" w:space="0" w:color="000000"/>
              <w:bottom w:val="single" w:sz="8" w:space="0" w:color="000000"/>
            </w:tcBorders>
          </w:tcPr>
          <w:p>
            <w:pPr>
              <w:pStyle w:val="TableParagraph"/>
              <w:spacing w:line="251" w:lineRule="exact"/>
              <w:ind w:left="13"/>
              <w:rPr>
                <w:b/>
                <w:sz w:val="22"/>
              </w:rPr>
            </w:pPr>
            <w:r>
              <w:rPr>
                <w:b/>
                <w:spacing w:val="-5"/>
                <w:sz w:val="22"/>
              </w:rPr>
              <w:t>S/N</w:t>
            </w:r>
          </w:p>
        </w:tc>
        <w:tc>
          <w:tcPr>
            <w:tcW w:w="1789" w:type="dxa"/>
            <w:tcBorders>
              <w:top w:val="single" w:sz="8" w:space="0" w:color="000000"/>
              <w:bottom w:val="single" w:sz="8" w:space="0" w:color="000000"/>
            </w:tcBorders>
          </w:tcPr>
          <w:p>
            <w:pPr>
              <w:pStyle w:val="TableParagraph"/>
              <w:spacing w:line="251" w:lineRule="exact"/>
              <w:ind w:left="387"/>
              <w:jc w:val="left"/>
              <w:rPr>
                <w:b/>
                <w:sz w:val="22"/>
              </w:rPr>
            </w:pPr>
            <w:r>
              <w:rPr>
                <w:b/>
                <w:spacing w:val="-2"/>
                <w:sz w:val="22"/>
              </w:rPr>
              <w:t>Objectives</w:t>
            </w:r>
          </w:p>
        </w:tc>
        <w:tc>
          <w:tcPr>
            <w:tcW w:w="1690" w:type="dxa"/>
            <w:tcBorders>
              <w:top w:val="single" w:sz="8" w:space="0" w:color="000000"/>
              <w:bottom w:val="single" w:sz="8" w:space="0" w:color="000000"/>
            </w:tcBorders>
          </w:tcPr>
          <w:p>
            <w:pPr>
              <w:pStyle w:val="TableParagraph"/>
              <w:spacing w:line="251" w:lineRule="exact"/>
              <w:ind w:left="187" w:right="194"/>
              <w:rPr>
                <w:b/>
                <w:sz w:val="22"/>
              </w:rPr>
            </w:pPr>
            <w:r>
              <w:rPr>
                <w:b/>
                <w:sz w:val="22"/>
              </w:rPr>
              <w:t>Type</w:t>
            </w:r>
            <w:r>
              <w:rPr>
                <w:b/>
                <w:spacing w:val="-2"/>
                <w:sz w:val="22"/>
              </w:rPr>
              <w:t> </w:t>
            </w:r>
            <w:r>
              <w:rPr>
                <w:b/>
                <w:sz w:val="22"/>
              </w:rPr>
              <w:t>of</w:t>
            </w:r>
            <w:r>
              <w:rPr>
                <w:b/>
                <w:spacing w:val="1"/>
                <w:sz w:val="22"/>
              </w:rPr>
              <w:t> </w:t>
            </w:r>
            <w:r>
              <w:rPr>
                <w:b/>
                <w:spacing w:val="-4"/>
                <w:sz w:val="22"/>
              </w:rPr>
              <w:t>Data</w:t>
            </w:r>
          </w:p>
          <w:p>
            <w:pPr>
              <w:pStyle w:val="TableParagraph"/>
              <w:spacing w:before="40"/>
              <w:ind w:left="187" w:right="194"/>
              <w:rPr>
                <w:b/>
                <w:sz w:val="22"/>
              </w:rPr>
            </w:pPr>
            <w:r>
              <w:rPr>
                <w:b/>
                <w:spacing w:val="-2"/>
                <w:sz w:val="22"/>
              </w:rPr>
              <w:t>Required</w:t>
            </w:r>
          </w:p>
        </w:tc>
        <w:tc>
          <w:tcPr>
            <w:tcW w:w="1854" w:type="dxa"/>
            <w:tcBorders>
              <w:top w:val="single" w:sz="8" w:space="0" w:color="000000"/>
              <w:bottom w:val="single" w:sz="8" w:space="0" w:color="000000"/>
            </w:tcBorders>
          </w:tcPr>
          <w:p>
            <w:pPr>
              <w:pStyle w:val="TableParagraph"/>
              <w:spacing w:line="251" w:lineRule="exact"/>
              <w:ind w:left="211"/>
              <w:jc w:val="left"/>
              <w:rPr>
                <w:b/>
                <w:sz w:val="22"/>
              </w:rPr>
            </w:pPr>
            <w:r>
              <w:rPr>
                <w:b/>
                <w:sz w:val="22"/>
              </w:rPr>
              <w:t>Source</w:t>
            </w:r>
            <w:r>
              <w:rPr>
                <w:b/>
                <w:spacing w:val="-4"/>
                <w:sz w:val="22"/>
              </w:rPr>
              <w:t> </w:t>
            </w:r>
            <w:r>
              <w:rPr>
                <w:b/>
                <w:sz w:val="22"/>
              </w:rPr>
              <w:t>of</w:t>
            </w:r>
            <w:r>
              <w:rPr>
                <w:b/>
                <w:spacing w:val="-1"/>
                <w:sz w:val="22"/>
              </w:rPr>
              <w:t> </w:t>
            </w:r>
            <w:r>
              <w:rPr>
                <w:b/>
                <w:spacing w:val="-4"/>
                <w:sz w:val="22"/>
              </w:rPr>
              <w:t>Data</w:t>
            </w:r>
          </w:p>
        </w:tc>
        <w:tc>
          <w:tcPr>
            <w:tcW w:w="1370" w:type="dxa"/>
            <w:tcBorders>
              <w:top w:val="single" w:sz="8" w:space="0" w:color="000000"/>
              <w:bottom w:val="single" w:sz="8" w:space="0" w:color="000000"/>
            </w:tcBorders>
          </w:tcPr>
          <w:p>
            <w:pPr>
              <w:pStyle w:val="TableParagraph"/>
              <w:spacing w:line="251" w:lineRule="exact"/>
              <w:ind w:left="331"/>
              <w:jc w:val="left"/>
              <w:rPr>
                <w:b/>
                <w:sz w:val="22"/>
              </w:rPr>
            </w:pPr>
            <w:r>
              <w:rPr>
                <w:b/>
                <w:sz w:val="22"/>
              </w:rPr>
              <w:t>Type</w:t>
            </w:r>
            <w:r>
              <w:rPr>
                <w:b/>
                <w:spacing w:val="-1"/>
                <w:sz w:val="22"/>
              </w:rPr>
              <w:t> </w:t>
            </w:r>
            <w:r>
              <w:rPr>
                <w:b/>
                <w:spacing w:val="-5"/>
                <w:sz w:val="22"/>
              </w:rPr>
              <w:t>of</w:t>
            </w:r>
          </w:p>
          <w:p>
            <w:pPr>
              <w:pStyle w:val="TableParagraph"/>
              <w:spacing w:before="40"/>
              <w:ind w:left="292"/>
              <w:jc w:val="left"/>
              <w:rPr>
                <w:b/>
                <w:sz w:val="22"/>
              </w:rPr>
            </w:pPr>
            <w:r>
              <w:rPr>
                <w:b/>
                <w:spacing w:val="-2"/>
                <w:sz w:val="22"/>
              </w:rPr>
              <w:t>Analysis</w:t>
            </w:r>
          </w:p>
        </w:tc>
        <w:tc>
          <w:tcPr>
            <w:tcW w:w="1288" w:type="dxa"/>
            <w:tcBorders>
              <w:top w:val="single" w:sz="8" w:space="0" w:color="000000"/>
              <w:bottom w:val="single" w:sz="8" w:space="0" w:color="000000"/>
            </w:tcBorders>
          </w:tcPr>
          <w:p>
            <w:pPr>
              <w:pStyle w:val="TableParagraph"/>
              <w:spacing w:line="251" w:lineRule="exact"/>
              <w:ind w:left="169" w:right="112"/>
              <w:rPr>
                <w:b/>
                <w:sz w:val="22"/>
              </w:rPr>
            </w:pPr>
            <w:r>
              <w:rPr>
                <w:b/>
                <w:spacing w:val="-2"/>
                <w:sz w:val="22"/>
              </w:rPr>
              <w:t>Analytical</w:t>
            </w:r>
          </w:p>
          <w:p>
            <w:pPr>
              <w:pStyle w:val="TableParagraph"/>
              <w:spacing w:before="40"/>
              <w:ind w:left="175" w:right="112"/>
              <w:rPr>
                <w:b/>
                <w:sz w:val="22"/>
              </w:rPr>
            </w:pPr>
            <w:r>
              <w:rPr>
                <w:b/>
                <w:spacing w:val="-4"/>
                <w:sz w:val="22"/>
              </w:rPr>
              <w:t>Tool</w:t>
            </w:r>
          </w:p>
        </w:tc>
      </w:tr>
      <w:tr>
        <w:trPr>
          <w:trHeight w:val="1612" w:hRule="atLeast"/>
        </w:trPr>
        <w:tc>
          <w:tcPr>
            <w:tcW w:w="575" w:type="dxa"/>
            <w:tcBorders>
              <w:top w:val="single" w:sz="8" w:space="0" w:color="000000"/>
            </w:tcBorders>
          </w:tcPr>
          <w:p>
            <w:pPr>
              <w:pStyle w:val="TableParagraph"/>
              <w:spacing w:line="251" w:lineRule="exact"/>
              <w:ind w:left="10"/>
              <w:rPr>
                <w:b/>
                <w:sz w:val="22"/>
              </w:rPr>
            </w:pPr>
            <w:r>
              <w:rPr>
                <w:b/>
                <w:w w:val="100"/>
                <w:sz w:val="22"/>
              </w:rPr>
              <w:t>1</w:t>
            </w:r>
          </w:p>
        </w:tc>
        <w:tc>
          <w:tcPr>
            <w:tcW w:w="1789" w:type="dxa"/>
            <w:tcBorders>
              <w:top w:val="single" w:sz="8" w:space="0" w:color="000000"/>
            </w:tcBorders>
          </w:tcPr>
          <w:p>
            <w:pPr>
              <w:pStyle w:val="TableParagraph"/>
              <w:spacing w:line="276" w:lineRule="auto"/>
              <w:ind w:left="248" w:right="273"/>
              <w:rPr>
                <w:sz w:val="22"/>
              </w:rPr>
            </w:pPr>
            <w:r>
              <w:rPr>
                <w:spacing w:val="-2"/>
                <w:sz w:val="22"/>
              </w:rPr>
              <w:t>Spatial distribution </w:t>
            </w:r>
            <w:r>
              <w:rPr>
                <w:sz w:val="22"/>
              </w:rPr>
              <w:t>pattern of existing</w:t>
            </w:r>
            <w:r>
              <w:rPr>
                <w:spacing w:val="-14"/>
                <w:sz w:val="22"/>
              </w:rPr>
              <w:t> </w:t>
            </w:r>
            <w:r>
              <w:rPr>
                <w:sz w:val="22"/>
              </w:rPr>
              <w:t>social </w:t>
            </w:r>
            <w:r>
              <w:rPr>
                <w:spacing w:val="-2"/>
                <w:sz w:val="22"/>
              </w:rPr>
              <w:t>infrastructure.</w:t>
            </w:r>
          </w:p>
        </w:tc>
        <w:tc>
          <w:tcPr>
            <w:tcW w:w="1690" w:type="dxa"/>
            <w:tcBorders>
              <w:top w:val="single" w:sz="8" w:space="0" w:color="000000"/>
            </w:tcBorders>
          </w:tcPr>
          <w:p>
            <w:pPr>
              <w:pStyle w:val="TableParagraph"/>
              <w:spacing w:line="276" w:lineRule="auto"/>
              <w:ind w:left="194" w:right="202" w:hanging="1"/>
              <w:rPr>
                <w:sz w:val="22"/>
              </w:rPr>
            </w:pPr>
            <w:r>
              <w:rPr>
                <w:sz w:val="22"/>
              </w:rPr>
              <w:t>Inventory and location of existing PPSs and PHCs in selected</w:t>
            </w:r>
            <w:r>
              <w:rPr>
                <w:spacing w:val="-4"/>
                <w:sz w:val="22"/>
              </w:rPr>
              <w:t> </w:t>
            </w:r>
            <w:r>
              <w:rPr>
                <w:spacing w:val="-2"/>
                <w:sz w:val="22"/>
              </w:rPr>
              <w:t>wards</w:t>
            </w:r>
          </w:p>
        </w:tc>
        <w:tc>
          <w:tcPr>
            <w:tcW w:w="1854" w:type="dxa"/>
            <w:tcBorders>
              <w:top w:val="single" w:sz="8" w:space="0" w:color="000000"/>
            </w:tcBorders>
          </w:tcPr>
          <w:p>
            <w:pPr>
              <w:pStyle w:val="TableParagraph"/>
              <w:spacing w:line="276" w:lineRule="auto"/>
              <w:ind w:left="144" w:right="179" w:firstLine="3"/>
              <w:rPr>
                <w:sz w:val="22"/>
              </w:rPr>
            </w:pPr>
            <w:r>
              <w:rPr>
                <w:spacing w:val="-2"/>
                <w:sz w:val="22"/>
              </w:rPr>
              <w:t>Secondary </w:t>
            </w:r>
            <w:r>
              <w:rPr>
                <w:sz w:val="22"/>
              </w:rPr>
              <w:t>(records</w:t>
            </w:r>
            <w:r>
              <w:rPr>
                <w:spacing w:val="-14"/>
                <w:sz w:val="22"/>
              </w:rPr>
              <w:t> </w:t>
            </w:r>
            <w:r>
              <w:rPr>
                <w:sz w:val="22"/>
              </w:rPr>
              <w:t>of</w:t>
            </w:r>
            <w:r>
              <w:rPr>
                <w:spacing w:val="-14"/>
                <w:sz w:val="22"/>
              </w:rPr>
              <w:t> </w:t>
            </w:r>
            <w:r>
              <w:rPr>
                <w:sz w:val="22"/>
              </w:rPr>
              <w:t>PHCs and PPSs)</w:t>
            </w:r>
          </w:p>
        </w:tc>
        <w:tc>
          <w:tcPr>
            <w:tcW w:w="1370" w:type="dxa"/>
            <w:tcBorders>
              <w:top w:val="single" w:sz="8" w:space="0" w:color="000000"/>
            </w:tcBorders>
          </w:tcPr>
          <w:p>
            <w:pPr>
              <w:pStyle w:val="TableParagraph"/>
              <w:spacing w:line="276" w:lineRule="auto"/>
              <w:ind w:left="304" w:hanging="123"/>
              <w:jc w:val="left"/>
              <w:rPr>
                <w:sz w:val="22"/>
              </w:rPr>
            </w:pPr>
            <w:r>
              <w:rPr>
                <w:spacing w:val="-2"/>
                <w:sz w:val="22"/>
              </w:rPr>
              <w:t>Descriptive Analysis</w:t>
            </w:r>
          </w:p>
        </w:tc>
        <w:tc>
          <w:tcPr>
            <w:tcW w:w="1288" w:type="dxa"/>
            <w:tcBorders>
              <w:top w:val="single" w:sz="8" w:space="0" w:color="000000"/>
            </w:tcBorders>
          </w:tcPr>
          <w:p>
            <w:pPr>
              <w:pStyle w:val="TableParagraph"/>
              <w:spacing w:line="246" w:lineRule="exact"/>
              <w:ind w:left="168" w:right="112"/>
              <w:rPr>
                <w:sz w:val="22"/>
              </w:rPr>
            </w:pPr>
            <w:r>
              <w:rPr>
                <w:spacing w:val="-2"/>
                <w:sz w:val="22"/>
              </w:rPr>
              <w:t>ArcGIS</w:t>
            </w:r>
          </w:p>
          <w:p>
            <w:pPr>
              <w:pStyle w:val="TableParagraph"/>
              <w:spacing w:before="8"/>
              <w:jc w:val="left"/>
              <w:rPr>
                <w:b/>
                <w:sz w:val="28"/>
              </w:rPr>
            </w:pPr>
          </w:p>
          <w:p>
            <w:pPr>
              <w:pStyle w:val="TableParagraph"/>
              <w:spacing w:line="276" w:lineRule="auto"/>
              <w:ind w:left="175" w:right="112"/>
              <w:rPr>
                <w:sz w:val="22"/>
              </w:rPr>
            </w:pPr>
            <w:r>
              <w:rPr>
                <w:spacing w:val="-2"/>
                <w:sz w:val="22"/>
              </w:rPr>
              <w:t>Microsoft </w:t>
            </w:r>
            <w:r>
              <w:rPr>
                <w:sz w:val="22"/>
              </w:rPr>
              <w:t>Excel</w:t>
            </w:r>
            <w:r>
              <w:rPr>
                <w:spacing w:val="-2"/>
                <w:sz w:val="22"/>
              </w:rPr>
              <w:t> </w:t>
            </w:r>
            <w:r>
              <w:rPr>
                <w:spacing w:val="-4"/>
                <w:sz w:val="22"/>
              </w:rPr>
              <w:t>2010</w:t>
            </w:r>
          </w:p>
        </w:tc>
      </w:tr>
      <w:tr>
        <w:trPr>
          <w:trHeight w:val="1410" w:hRule="atLeast"/>
        </w:trPr>
        <w:tc>
          <w:tcPr>
            <w:tcW w:w="575" w:type="dxa"/>
          </w:tcPr>
          <w:p>
            <w:pPr>
              <w:pStyle w:val="TableParagraph"/>
              <w:jc w:val="left"/>
              <w:rPr>
                <w:sz w:val="22"/>
              </w:rPr>
            </w:pPr>
          </w:p>
        </w:tc>
        <w:tc>
          <w:tcPr>
            <w:tcW w:w="1789" w:type="dxa"/>
          </w:tcPr>
          <w:p>
            <w:pPr>
              <w:pStyle w:val="TableParagraph"/>
              <w:jc w:val="left"/>
              <w:rPr>
                <w:sz w:val="22"/>
              </w:rPr>
            </w:pPr>
          </w:p>
        </w:tc>
        <w:tc>
          <w:tcPr>
            <w:tcW w:w="1690" w:type="dxa"/>
          </w:tcPr>
          <w:p>
            <w:pPr>
              <w:pStyle w:val="TableParagraph"/>
              <w:spacing w:line="276" w:lineRule="auto" w:before="193"/>
              <w:ind w:left="187" w:right="198"/>
              <w:rPr>
                <w:sz w:val="22"/>
              </w:rPr>
            </w:pPr>
            <w:r>
              <w:rPr>
                <w:sz w:val="22"/>
              </w:rPr>
              <w:t>Coordinates</w:t>
            </w:r>
            <w:r>
              <w:rPr>
                <w:spacing w:val="-14"/>
                <w:sz w:val="22"/>
              </w:rPr>
              <w:t> </w:t>
            </w:r>
            <w:r>
              <w:rPr>
                <w:sz w:val="22"/>
              </w:rPr>
              <w:t>of each</w:t>
            </w:r>
            <w:r>
              <w:rPr>
                <w:spacing w:val="-10"/>
                <w:sz w:val="22"/>
              </w:rPr>
              <w:t> </w:t>
            </w:r>
            <w:r>
              <w:rPr>
                <w:sz w:val="22"/>
              </w:rPr>
              <w:t>PPSs</w:t>
            </w:r>
            <w:r>
              <w:rPr>
                <w:spacing w:val="-10"/>
                <w:sz w:val="22"/>
              </w:rPr>
              <w:t> </w:t>
            </w:r>
            <w:r>
              <w:rPr>
                <w:sz w:val="22"/>
              </w:rPr>
              <w:t>and </w:t>
            </w:r>
            <w:r>
              <w:rPr>
                <w:spacing w:val="-4"/>
                <w:sz w:val="22"/>
              </w:rPr>
              <w:t>PHCs</w:t>
            </w:r>
          </w:p>
        </w:tc>
        <w:tc>
          <w:tcPr>
            <w:tcW w:w="1854" w:type="dxa"/>
          </w:tcPr>
          <w:p>
            <w:pPr>
              <w:pStyle w:val="TableParagraph"/>
              <w:spacing w:line="276" w:lineRule="auto" w:before="193"/>
              <w:ind w:left="302" w:firstLine="252"/>
              <w:jc w:val="left"/>
              <w:rPr>
                <w:sz w:val="22"/>
              </w:rPr>
            </w:pPr>
            <w:r>
              <w:rPr>
                <w:spacing w:val="-2"/>
                <w:sz w:val="22"/>
              </w:rPr>
              <w:t>Primary (Coordinates)</w:t>
            </w:r>
          </w:p>
        </w:tc>
        <w:tc>
          <w:tcPr>
            <w:tcW w:w="1370" w:type="dxa"/>
          </w:tcPr>
          <w:p>
            <w:pPr>
              <w:pStyle w:val="TableParagraph"/>
              <w:spacing w:line="276" w:lineRule="auto" w:before="193"/>
              <w:ind w:left="218" w:right="207" w:hanging="1"/>
              <w:rPr>
                <w:sz w:val="22"/>
              </w:rPr>
            </w:pPr>
            <w:r>
              <w:rPr>
                <w:spacing w:val="-2"/>
                <w:sz w:val="22"/>
              </w:rPr>
              <w:t>Nearest Neighbour Analysis</w:t>
            </w:r>
          </w:p>
        </w:tc>
        <w:tc>
          <w:tcPr>
            <w:tcW w:w="1288" w:type="dxa"/>
          </w:tcPr>
          <w:p>
            <w:pPr>
              <w:pStyle w:val="TableParagraph"/>
              <w:jc w:val="left"/>
              <w:rPr>
                <w:sz w:val="22"/>
              </w:rPr>
            </w:pPr>
          </w:p>
        </w:tc>
      </w:tr>
      <w:tr>
        <w:trPr>
          <w:trHeight w:val="1952" w:hRule="atLeast"/>
        </w:trPr>
        <w:tc>
          <w:tcPr>
            <w:tcW w:w="575" w:type="dxa"/>
          </w:tcPr>
          <w:p>
            <w:pPr>
              <w:pStyle w:val="TableParagraph"/>
              <w:spacing w:before="11"/>
              <w:jc w:val="left"/>
              <w:rPr>
                <w:b/>
                <w:sz w:val="32"/>
              </w:rPr>
            </w:pPr>
          </w:p>
          <w:p>
            <w:pPr>
              <w:pStyle w:val="TableParagraph"/>
              <w:ind w:left="10"/>
              <w:rPr>
                <w:b/>
                <w:sz w:val="22"/>
              </w:rPr>
            </w:pPr>
            <w:r>
              <w:rPr>
                <w:b/>
                <w:w w:val="100"/>
                <w:sz w:val="22"/>
              </w:rPr>
              <w:t>2</w:t>
            </w:r>
          </w:p>
        </w:tc>
        <w:tc>
          <w:tcPr>
            <w:tcW w:w="1789" w:type="dxa"/>
          </w:tcPr>
          <w:p>
            <w:pPr>
              <w:pStyle w:val="TableParagraph"/>
              <w:spacing w:before="6"/>
              <w:jc w:val="left"/>
              <w:rPr>
                <w:b/>
                <w:sz w:val="32"/>
              </w:rPr>
            </w:pPr>
          </w:p>
          <w:p>
            <w:pPr>
              <w:pStyle w:val="TableParagraph"/>
              <w:spacing w:line="276" w:lineRule="auto"/>
              <w:ind w:left="224" w:right="248" w:hanging="3"/>
              <w:rPr>
                <w:sz w:val="22"/>
              </w:rPr>
            </w:pPr>
            <w:r>
              <w:rPr>
                <w:spacing w:val="-2"/>
                <w:sz w:val="22"/>
              </w:rPr>
              <w:t>Analyse </w:t>
            </w:r>
            <w:r>
              <w:rPr>
                <w:sz w:val="22"/>
              </w:rPr>
              <w:t>accessibility</w:t>
            </w:r>
            <w:r>
              <w:rPr>
                <w:spacing w:val="-14"/>
                <w:sz w:val="22"/>
              </w:rPr>
              <w:t> </w:t>
            </w:r>
            <w:r>
              <w:rPr>
                <w:sz w:val="22"/>
              </w:rPr>
              <w:t>to existing social </w:t>
            </w:r>
            <w:r>
              <w:rPr>
                <w:spacing w:val="-2"/>
                <w:sz w:val="22"/>
              </w:rPr>
              <w:t>infrastructure.</w:t>
            </w:r>
          </w:p>
        </w:tc>
        <w:tc>
          <w:tcPr>
            <w:tcW w:w="1690" w:type="dxa"/>
          </w:tcPr>
          <w:p>
            <w:pPr>
              <w:pStyle w:val="TableParagraph"/>
              <w:spacing w:before="6"/>
              <w:jc w:val="left"/>
              <w:rPr>
                <w:b/>
                <w:sz w:val="32"/>
              </w:rPr>
            </w:pPr>
          </w:p>
          <w:p>
            <w:pPr>
              <w:pStyle w:val="TableParagraph"/>
              <w:spacing w:line="276" w:lineRule="auto"/>
              <w:ind w:left="146" w:right="141" w:hanging="15"/>
              <w:jc w:val="left"/>
              <w:rPr>
                <w:sz w:val="22"/>
              </w:rPr>
            </w:pPr>
            <w:r>
              <w:rPr>
                <w:sz w:val="22"/>
              </w:rPr>
              <w:t>Space</w:t>
            </w:r>
            <w:r>
              <w:rPr>
                <w:spacing w:val="-14"/>
                <w:sz w:val="22"/>
              </w:rPr>
              <w:t> </w:t>
            </w:r>
            <w:r>
              <w:rPr>
                <w:sz w:val="22"/>
              </w:rPr>
              <w:t>standards and</w:t>
            </w:r>
            <w:r>
              <w:rPr>
                <w:spacing w:val="-2"/>
                <w:sz w:val="22"/>
              </w:rPr>
              <w:t> coordinates</w:t>
            </w:r>
          </w:p>
        </w:tc>
        <w:tc>
          <w:tcPr>
            <w:tcW w:w="1854" w:type="dxa"/>
          </w:tcPr>
          <w:p>
            <w:pPr>
              <w:pStyle w:val="TableParagraph"/>
              <w:spacing w:before="6"/>
              <w:jc w:val="left"/>
              <w:rPr>
                <w:b/>
                <w:sz w:val="32"/>
              </w:rPr>
            </w:pPr>
          </w:p>
          <w:p>
            <w:pPr>
              <w:pStyle w:val="TableParagraph"/>
              <w:spacing w:line="276" w:lineRule="auto"/>
              <w:ind w:left="437" w:right="472" w:firstLine="7"/>
              <w:jc w:val="both"/>
              <w:rPr>
                <w:sz w:val="22"/>
              </w:rPr>
            </w:pPr>
            <w:r>
              <w:rPr>
                <w:spacing w:val="-2"/>
                <w:sz w:val="22"/>
              </w:rPr>
              <w:t>Secondary (Planning Standards)</w:t>
            </w:r>
          </w:p>
        </w:tc>
        <w:tc>
          <w:tcPr>
            <w:tcW w:w="1370" w:type="dxa"/>
          </w:tcPr>
          <w:p>
            <w:pPr>
              <w:pStyle w:val="TableParagraph"/>
              <w:spacing w:before="6"/>
              <w:jc w:val="left"/>
              <w:rPr>
                <w:b/>
                <w:sz w:val="32"/>
              </w:rPr>
            </w:pPr>
          </w:p>
          <w:p>
            <w:pPr>
              <w:pStyle w:val="TableParagraph"/>
              <w:ind w:left="304" w:hanging="44"/>
              <w:jc w:val="left"/>
              <w:rPr>
                <w:sz w:val="22"/>
              </w:rPr>
            </w:pPr>
            <w:r>
              <w:rPr>
                <w:spacing w:val="-2"/>
                <w:sz w:val="22"/>
              </w:rPr>
              <w:t>Buffering</w:t>
            </w:r>
          </w:p>
          <w:p>
            <w:pPr>
              <w:pStyle w:val="TableParagraph"/>
              <w:spacing w:before="6"/>
              <w:jc w:val="left"/>
              <w:rPr>
                <w:b/>
                <w:sz w:val="28"/>
              </w:rPr>
            </w:pPr>
          </w:p>
          <w:p>
            <w:pPr>
              <w:pStyle w:val="TableParagraph"/>
              <w:spacing w:line="276" w:lineRule="auto"/>
              <w:ind w:left="304" w:right="290"/>
              <w:jc w:val="left"/>
              <w:rPr>
                <w:sz w:val="22"/>
              </w:rPr>
            </w:pPr>
            <w:r>
              <w:rPr>
                <w:spacing w:val="-2"/>
                <w:sz w:val="22"/>
              </w:rPr>
              <w:t>Network Analysis</w:t>
            </w:r>
          </w:p>
        </w:tc>
        <w:tc>
          <w:tcPr>
            <w:tcW w:w="1288" w:type="dxa"/>
          </w:tcPr>
          <w:p>
            <w:pPr>
              <w:pStyle w:val="TableParagraph"/>
              <w:spacing w:before="6"/>
              <w:jc w:val="left"/>
              <w:rPr>
                <w:b/>
                <w:sz w:val="32"/>
              </w:rPr>
            </w:pPr>
          </w:p>
          <w:p>
            <w:pPr>
              <w:pStyle w:val="TableParagraph"/>
              <w:spacing w:line="276" w:lineRule="auto"/>
              <w:ind w:left="483" w:right="262" w:hanging="150"/>
              <w:jc w:val="left"/>
              <w:rPr>
                <w:sz w:val="22"/>
              </w:rPr>
            </w:pPr>
            <w:r>
              <w:rPr>
                <w:spacing w:val="-2"/>
                <w:sz w:val="22"/>
              </w:rPr>
              <w:t>ArcGIS </w:t>
            </w:r>
            <w:r>
              <w:rPr>
                <w:spacing w:val="-4"/>
                <w:sz w:val="22"/>
              </w:rPr>
              <w:t>10.1</w:t>
            </w:r>
          </w:p>
        </w:tc>
      </w:tr>
      <w:tr>
        <w:trPr>
          <w:trHeight w:val="3362" w:hRule="atLeast"/>
        </w:trPr>
        <w:tc>
          <w:tcPr>
            <w:tcW w:w="575" w:type="dxa"/>
            <w:tcBorders>
              <w:bottom w:val="single" w:sz="8" w:space="0" w:color="000000"/>
            </w:tcBorders>
          </w:tcPr>
          <w:p>
            <w:pPr>
              <w:pStyle w:val="TableParagraph"/>
              <w:jc w:val="left"/>
              <w:rPr>
                <w:b/>
                <w:sz w:val="24"/>
              </w:rPr>
            </w:pPr>
          </w:p>
          <w:p>
            <w:pPr>
              <w:pStyle w:val="TableParagraph"/>
              <w:spacing w:before="174"/>
              <w:ind w:left="10"/>
              <w:rPr>
                <w:b/>
                <w:sz w:val="22"/>
              </w:rPr>
            </w:pPr>
            <w:r>
              <w:rPr>
                <w:b/>
                <w:w w:val="100"/>
                <w:sz w:val="22"/>
              </w:rPr>
              <w:t>3</w:t>
            </w:r>
          </w:p>
        </w:tc>
        <w:tc>
          <w:tcPr>
            <w:tcW w:w="1789" w:type="dxa"/>
            <w:tcBorders>
              <w:bottom w:val="single" w:sz="8" w:space="0" w:color="000000"/>
            </w:tcBorders>
          </w:tcPr>
          <w:p>
            <w:pPr>
              <w:pStyle w:val="TableParagraph"/>
              <w:jc w:val="left"/>
              <w:rPr>
                <w:b/>
                <w:sz w:val="24"/>
              </w:rPr>
            </w:pPr>
          </w:p>
          <w:p>
            <w:pPr>
              <w:pStyle w:val="TableParagraph"/>
              <w:spacing w:line="276" w:lineRule="auto" w:before="169"/>
              <w:ind w:left="117" w:right="140"/>
              <w:rPr>
                <w:sz w:val="22"/>
              </w:rPr>
            </w:pPr>
            <w:r>
              <w:rPr>
                <w:sz w:val="22"/>
              </w:rPr>
              <w:t>Spatial</w:t>
            </w:r>
            <w:r>
              <w:rPr>
                <w:spacing w:val="-14"/>
                <w:sz w:val="22"/>
              </w:rPr>
              <w:t> </w:t>
            </w:r>
            <w:r>
              <w:rPr>
                <w:sz w:val="22"/>
              </w:rPr>
              <w:t>inequality in the</w:t>
            </w:r>
            <w:r>
              <w:rPr>
                <w:spacing w:val="40"/>
                <w:sz w:val="22"/>
              </w:rPr>
              <w:t> </w:t>
            </w:r>
            <w:r>
              <w:rPr>
                <w:sz w:val="22"/>
              </w:rPr>
              <w:t>distribution of </w:t>
            </w:r>
            <w:r>
              <w:rPr>
                <w:spacing w:val="-2"/>
                <w:sz w:val="22"/>
              </w:rPr>
              <w:t>social infrastructure.</w:t>
            </w:r>
          </w:p>
        </w:tc>
        <w:tc>
          <w:tcPr>
            <w:tcW w:w="1690" w:type="dxa"/>
            <w:tcBorders>
              <w:bottom w:val="single" w:sz="8" w:space="0" w:color="000000"/>
            </w:tcBorders>
          </w:tcPr>
          <w:p>
            <w:pPr>
              <w:pStyle w:val="TableParagraph"/>
              <w:jc w:val="left"/>
              <w:rPr>
                <w:b/>
                <w:sz w:val="24"/>
              </w:rPr>
            </w:pPr>
          </w:p>
          <w:p>
            <w:pPr>
              <w:pStyle w:val="TableParagraph"/>
              <w:spacing w:line="276" w:lineRule="auto" w:before="169"/>
              <w:ind w:left="206" w:right="217" w:firstLine="2"/>
              <w:rPr>
                <w:sz w:val="22"/>
              </w:rPr>
            </w:pPr>
            <w:r>
              <w:rPr>
                <w:sz w:val="22"/>
              </w:rPr>
              <w:t>Number of existing</w:t>
            </w:r>
            <w:r>
              <w:rPr>
                <w:spacing w:val="-14"/>
                <w:sz w:val="22"/>
              </w:rPr>
              <w:t> </w:t>
            </w:r>
            <w:r>
              <w:rPr>
                <w:sz w:val="22"/>
              </w:rPr>
              <w:t>PHCs and PPSs in various</w:t>
            </w:r>
            <w:r>
              <w:rPr>
                <w:spacing w:val="-2"/>
                <w:sz w:val="22"/>
              </w:rPr>
              <w:t> wards</w:t>
            </w:r>
          </w:p>
          <w:p>
            <w:pPr>
              <w:pStyle w:val="TableParagraph"/>
              <w:spacing w:before="3"/>
              <w:jc w:val="left"/>
              <w:rPr>
                <w:b/>
                <w:sz w:val="25"/>
              </w:rPr>
            </w:pPr>
          </w:p>
          <w:p>
            <w:pPr>
              <w:pStyle w:val="TableParagraph"/>
              <w:spacing w:line="276" w:lineRule="auto"/>
              <w:ind w:left="187" w:right="196"/>
              <w:rPr>
                <w:sz w:val="22"/>
              </w:rPr>
            </w:pPr>
            <w:r>
              <w:rPr>
                <w:sz w:val="22"/>
              </w:rPr>
              <w:t>The</w:t>
            </w:r>
            <w:r>
              <w:rPr>
                <w:spacing w:val="-14"/>
                <w:sz w:val="22"/>
              </w:rPr>
              <w:t> </w:t>
            </w:r>
            <w:r>
              <w:rPr>
                <w:sz w:val="22"/>
              </w:rPr>
              <w:t>estimated population of each ward Land area of</w:t>
            </w:r>
          </w:p>
          <w:p>
            <w:pPr>
              <w:pStyle w:val="TableParagraph"/>
              <w:spacing w:before="1"/>
              <w:ind w:left="187" w:right="192"/>
              <w:rPr>
                <w:sz w:val="22"/>
              </w:rPr>
            </w:pPr>
            <w:r>
              <w:rPr>
                <w:sz w:val="22"/>
              </w:rPr>
              <w:t>each </w:t>
            </w:r>
            <w:r>
              <w:rPr>
                <w:spacing w:val="-4"/>
                <w:sz w:val="22"/>
              </w:rPr>
              <w:t>ward</w:t>
            </w:r>
          </w:p>
        </w:tc>
        <w:tc>
          <w:tcPr>
            <w:tcW w:w="1854" w:type="dxa"/>
            <w:tcBorders>
              <w:bottom w:val="single" w:sz="8" w:space="0" w:color="000000"/>
            </w:tcBorders>
          </w:tcPr>
          <w:p>
            <w:pPr>
              <w:pStyle w:val="TableParagraph"/>
              <w:jc w:val="left"/>
              <w:rPr>
                <w:b/>
                <w:sz w:val="24"/>
              </w:rPr>
            </w:pPr>
          </w:p>
          <w:p>
            <w:pPr>
              <w:pStyle w:val="TableParagraph"/>
              <w:spacing w:line="276" w:lineRule="auto" w:before="169"/>
              <w:ind w:left="156" w:right="189"/>
              <w:rPr>
                <w:sz w:val="22"/>
              </w:rPr>
            </w:pPr>
            <w:r>
              <w:rPr>
                <w:spacing w:val="-2"/>
                <w:sz w:val="22"/>
              </w:rPr>
              <w:t>Secondary </w:t>
            </w:r>
            <w:r>
              <w:rPr>
                <w:sz w:val="22"/>
              </w:rPr>
              <w:t>(population</w:t>
            </w:r>
            <w:r>
              <w:rPr>
                <w:spacing w:val="-5"/>
                <w:sz w:val="22"/>
              </w:rPr>
              <w:t> </w:t>
            </w:r>
            <w:r>
              <w:rPr>
                <w:sz w:val="22"/>
              </w:rPr>
              <w:t>data and number of PHCs</w:t>
            </w:r>
            <w:r>
              <w:rPr>
                <w:spacing w:val="-2"/>
                <w:sz w:val="22"/>
              </w:rPr>
              <w:t> </w:t>
            </w:r>
            <w:r>
              <w:rPr>
                <w:sz w:val="22"/>
              </w:rPr>
              <w:t>and</w:t>
            </w:r>
            <w:r>
              <w:rPr>
                <w:spacing w:val="-1"/>
                <w:sz w:val="22"/>
              </w:rPr>
              <w:t> </w:t>
            </w:r>
            <w:r>
              <w:rPr>
                <w:spacing w:val="-2"/>
                <w:sz w:val="22"/>
              </w:rPr>
              <w:t>PPSs)</w:t>
            </w:r>
          </w:p>
          <w:p>
            <w:pPr>
              <w:pStyle w:val="TableParagraph"/>
              <w:spacing w:before="3"/>
              <w:jc w:val="left"/>
              <w:rPr>
                <w:b/>
                <w:sz w:val="25"/>
              </w:rPr>
            </w:pPr>
          </w:p>
          <w:p>
            <w:pPr>
              <w:pStyle w:val="TableParagraph"/>
              <w:spacing w:line="276" w:lineRule="auto"/>
              <w:ind w:left="156" w:right="191"/>
              <w:rPr>
                <w:sz w:val="22"/>
              </w:rPr>
            </w:pPr>
            <w:r>
              <w:rPr>
                <w:sz w:val="22"/>
              </w:rPr>
              <w:t>Primary (ground trothing</w:t>
            </w:r>
            <w:r>
              <w:rPr>
                <w:spacing w:val="-14"/>
                <w:sz w:val="22"/>
              </w:rPr>
              <w:t> </w:t>
            </w:r>
            <w:r>
              <w:rPr>
                <w:sz w:val="22"/>
              </w:rPr>
              <w:t>of</w:t>
            </w:r>
            <w:r>
              <w:rPr>
                <w:spacing w:val="-14"/>
                <w:sz w:val="22"/>
              </w:rPr>
              <w:t> </w:t>
            </w:r>
            <w:r>
              <w:rPr>
                <w:sz w:val="22"/>
              </w:rPr>
              <w:t>PHCs and )</w:t>
            </w:r>
          </w:p>
        </w:tc>
        <w:tc>
          <w:tcPr>
            <w:tcW w:w="1370" w:type="dxa"/>
            <w:tcBorders>
              <w:bottom w:val="single" w:sz="8" w:space="0" w:color="000000"/>
            </w:tcBorders>
          </w:tcPr>
          <w:p>
            <w:pPr>
              <w:pStyle w:val="TableParagraph"/>
              <w:jc w:val="left"/>
              <w:rPr>
                <w:b/>
                <w:sz w:val="24"/>
              </w:rPr>
            </w:pPr>
          </w:p>
          <w:p>
            <w:pPr>
              <w:pStyle w:val="TableParagraph"/>
              <w:spacing w:line="276" w:lineRule="auto" w:before="169"/>
              <w:ind w:left="182" w:right="171"/>
              <w:rPr>
                <w:sz w:val="22"/>
              </w:rPr>
            </w:pPr>
            <w:r>
              <w:rPr>
                <w:spacing w:val="-2"/>
                <w:sz w:val="22"/>
              </w:rPr>
              <w:t>Descriptive </w:t>
            </w:r>
            <w:r>
              <w:rPr>
                <w:spacing w:val="-4"/>
                <w:sz w:val="22"/>
              </w:rPr>
              <w:t>and </w:t>
            </w:r>
            <w:r>
              <w:rPr>
                <w:spacing w:val="-2"/>
                <w:sz w:val="22"/>
              </w:rPr>
              <w:t>Inferential Statistics</w:t>
            </w:r>
          </w:p>
        </w:tc>
        <w:tc>
          <w:tcPr>
            <w:tcW w:w="1288" w:type="dxa"/>
            <w:tcBorders>
              <w:bottom w:val="single" w:sz="8" w:space="0" w:color="000000"/>
            </w:tcBorders>
          </w:tcPr>
          <w:p>
            <w:pPr>
              <w:pStyle w:val="TableParagraph"/>
              <w:jc w:val="left"/>
              <w:rPr>
                <w:b/>
                <w:sz w:val="24"/>
              </w:rPr>
            </w:pPr>
          </w:p>
          <w:p>
            <w:pPr>
              <w:pStyle w:val="TableParagraph"/>
              <w:spacing w:before="169"/>
              <w:ind w:left="209"/>
              <w:jc w:val="left"/>
              <w:rPr>
                <w:sz w:val="22"/>
              </w:rPr>
            </w:pPr>
            <w:r>
              <w:rPr>
                <w:sz w:val="22"/>
              </w:rPr>
              <w:t>JASP</w:t>
            </w:r>
            <w:r>
              <w:rPr>
                <w:spacing w:val="-1"/>
                <w:sz w:val="22"/>
              </w:rPr>
              <w:t> </w:t>
            </w:r>
            <w:r>
              <w:rPr>
                <w:spacing w:val="-4"/>
                <w:sz w:val="22"/>
              </w:rPr>
              <w:t>0.10</w:t>
            </w:r>
          </w:p>
        </w:tc>
      </w:tr>
    </w:tbl>
    <w:p>
      <w:pPr>
        <w:pStyle w:val="BodyText"/>
        <w:ind w:left="785"/>
        <w:jc w:val="both"/>
      </w:pPr>
      <w:r>
        <w:rPr/>
        <w:t>Source:</w:t>
      </w:r>
      <w:r>
        <w:rPr>
          <w:spacing w:val="-4"/>
        </w:rPr>
        <w:t> </w:t>
      </w:r>
      <w:r>
        <w:rPr/>
        <w:t>Author</w:t>
      </w:r>
      <w:r>
        <w:rPr>
          <w:spacing w:val="-1"/>
        </w:rPr>
        <w:t> </w:t>
      </w:r>
      <w:r>
        <w:rPr>
          <w:spacing w:val="-4"/>
        </w:rPr>
        <w:t>2021</w:t>
      </w:r>
    </w:p>
    <w:p>
      <w:pPr>
        <w:spacing w:after="0"/>
        <w:jc w:val="both"/>
        <w:sectPr>
          <w:pgSz w:w="11910" w:h="16840"/>
          <w:pgMar w:header="0" w:footer="1003" w:top="1320" w:bottom="1200" w:left="1200" w:right="1160"/>
        </w:sectPr>
      </w:pPr>
    </w:p>
    <w:p>
      <w:pPr>
        <w:pStyle w:val="Heading1"/>
        <w:numPr>
          <w:ilvl w:val="2"/>
          <w:numId w:val="6"/>
        </w:numPr>
        <w:tabs>
          <w:tab w:pos="959" w:val="left" w:leader="none"/>
        </w:tabs>
        <w:spacing w:line="240" w:lineRule="auto" w:before="78" w:after="0"/>
        <w:ind w:left="959" w:right="0" w:hanging="719"/>
        <w:jc w:val="both"/>
      </w:pPr>
      <w:r>
        <w:rPr/>
        <w:t>Primary</w:t>
      </w:r>
      <w:r>
        <w:rPr>
          <w:spacing w:val="-4"/>
        </w:rPr>
        <w:t> data</w:t>
      </w:r>
    </w:p>
    <w:p>
      <w:pPr>
        <w:pStyle w:val="BodyText"/>
        <w:spacing w:before="7"/>
        <w:rPr>
          <w:b/>
          <w:sz w:val="23"/>
        </w:rPr>
      </w:pPr>
    </w:p>
    <w:p>
      <w:pPr>
        <w:pStyle w:val="BodyText"/>
        <w:spacing w:line="480" w:lineRule="auto"/>
        <w:ind w:left="240" w:right="276"/>
        <w:jc w:val="both"/>
      </w:pPr>
      <w:r>
        <w:rPr/>
        <w:t>The geographical coordinates of the public primary schools and primary health care facilities were among the primary data for this study. Satellite images were also used and verified by ground trothing. This ensures the accuracy</w:t>
      </w:r>
      <w:r>
        <w:rPr>
          <w:spacing w:val="-1"/>
        </w:rPr>
        <w:t> </w:t>
      </w:r>
      <w:r>
        <w:rPr/>
        <w:t>of spatial distribution and accessibility</w:t>
      </w:r>
      <w:r>
        <w:rPr>
          <w:spacing w:val="-2"/>
        </w:rPr>
        <w:t> </w:t>
      </w:r>
      <w:r>
        <w:rPr/>
        <w:t>analysis of Primary Health Centres and Public Primary Schools in Zuru local government.</w:t>
      </w:r>
    </w:p>
    <w:p>
      <w:pPr>
        <w:pStyle w:val="Heading1"/>
        <w:numPr>
          <w:ilvl w:val="2"/>
          <w:numId w:val="6"/>
        </w:numPr>
        <w:tabs>
          <w:tab w:pos="959" w:val="left" w:leader="none"/>
        </w:tabs>
        <w:spacing w:line="240" w:lineRule="auto" w:before="204" w:after="0"/>
        <w:ind w:left="959" w:right="0" w:hanging="719"/>
        <w:jc w:val="both"/>
      </w:pPr>
      <w:r>
        <w:rPr/>
        <w:t>Secondary</w:t>
      </w:r>
      <w:r>
        <w:rPr>
          <w:spacing w:val="-2"/>
        </w:rPr>
        <w:t> </w:t>
      </w:r>
      <w:r>
        <w:rPr>
          <w:spacing w:val="-4"/>
        </w:rPr>
        <w:t>data</w:t>
      </w:r>
    </w:p>
    <w:p>
      <w:pPr>
        <w:pStyle w:val="BodyText"/>
        <w:spacing w:before="7"/>
        <w:rPr>
          <w:b/>
          <w:sz w:val="23"/>
        </w:rPr>
      </w:pPr>
    </w:p>
    <w:p>
      <w:pPr>
        <w:pStyle w:val="BodyText"/>
        <w:spacing w:line="480" w:lineRule="auto"/>
        <w:ind w:left="240" w:right="274"/>
        <w:jc w:val="both"/>
      </w:pPr>
      <w:r>
        <w:rPr/>
        <w:t>For the purpose of this research, data were sourced from local and international journal publications,</w:t>
      </w:r>
      <w:r>
        <w:rPr>
          <w:spacing w:val="-2"/>
        </w:rPr>
        <w:t> </w:t>
      </w:r>
      <w:r>
        <w:rPr/>
        <w:t>text</w:t>
      </w:r>
      <w:r>
        <w:rPr>
          <w:spacing w:val="-2"/>
        </w:rPr>
        <w:t> </w:t>
      </w:r>
      <w:r>
        <w:rPr/>
        <w:t>books</w:t>
      </w:r>
      <w:r>
        <w:rPr>
          <w:spacing w:val="-2"/>
        </w:rPr>
        <w:t> </w:t>
      </w:r>
      <w:r>
        <w:rPr/>
        <w:t>and</w:t>
      </w:r>
      <w:r>
        <w:rPr>
          <w:spacing w:val="-2"/>
        </w:rPr>
        <w:t> </w:t>
      </w:r>
      <w:r>
        <w:rPr/>
        <w:t>other</w:t>
      </w:r>
      <w:r>
        <w:rPr>
          <w:spacing w:val="-4"/>
        </w:rPr>
        <w:t> </w:t>
      </w:r>
      <w:r>
        <w:rPr/>
        <w:t>published</w:t>
      </w:r>
      <w:r>
        <w:rPr>
          <w:spacing w:val="-2"/>
        </w:rPr>
        <w:t> </w:t>
      </w:r>
      <w:r>
        <w:rPr/>
        <w:t>materials.</w:t>
      </w:r>
      <w:r>
        <w:rPr>
          <w:spacing w:val="-2"/>
        </w:rPr>
        <w:t> </w:t>
      </w:r>
      <w:r>
        <w:rPr/>
        <w:t>The</w:t>
      </w:r>
      <w:r>
        <w:rPr>
          <w:spacing w:val="-3"/>
        </w:rPr>
        <w:t> </w:t>
      </w:r>
      <w:r>
        <w:rPr/>
        <w:t>data were</w:t>
      </w:r>
      <w:r>
        <w:rPr>
          <w:spacing w:val="-4"/>
        </w:rPr>
        <w:t> </w:t>
      </w:r>
      <w:r>
        <w:rPr/>
        <w:t>used</w:t>
      </w:r>
      <w:r>
        <w:rPr>
          <w:spacing w:val="-2"/>
        </w:rPr>
        <w:t> </w:t>
      </w:r>
      <w:r>
        <w:rPr/>
        <w:t>to</w:t>
      </w:r>
      <w:r>
        <w:rPr>
          <w:spacing w:val="-2"/>
        </w:rPr>
        <w:t> </w:t>
      </w:r>
      <w:r>
        <w:rPr/>
        <w:t>develop</w:t>
      </w:r>
      <w:r>
        <w:rPr>
          <w:spacing w:val="-2"/>
        </w:rPr>
        <w:t> </w:t>
      </w:r>
      <w:r>
        <w:rPr/>
        <w:t>a</w:t>
      </w:r>
      <w:r>
        <w:rPr>
          <w:spacing w:val="-2"/>
        </w:rPr>
        <w:t> </w:t>
      </w:r>
      <w:r>
        <w:rPr/>
        <w:t>sound literature relevant to this study, and also in providing necessary background on spatial distribution and accessibility, nature of primary health centres and public schools and spatial inequality.</w:t>
      </w:r>
      <w:r>
        <w:rPr>
          <w:spacing w:val="40"/>
        </w:rPr>
        <w:t> </w:t>
      </w:r>
      <w:r>
        <w:rPr/>
        <w:t>Data on household population, wards, names and location of primary health centres were obtained from the Zuru Primary Health Centre Local Government head office. Equally</w:t>
      </w:r>
      <w:r>
        <w:rPr>
          <w:spacing w:val="-5"/>
        </w:rPr>
        <w:t> </w:t>
      </w:r>
      <w:r>
        <w:rPr/>
        <w:t>the</w:t>
      </w:r>
      <w:r>
        <w:rPr>
          <w:spacing w:val="-1"/>
        </w:rPr>
        <w:t> </w:t>
      </w:r>
      <w:r>
        <w:rPr/>
        <w:t>names and location of</w:t>
      </w:r>
      <w:r>
        <w:rPr>
          <w:spacing w:val="-1"/>
        </w:rPr>
        <w:t> </w:t>
      </w:r>
      <w:r>
        <w:rPr/>
        <w:t>public</w:t>
      </w:r>
      <w:r>
        <w:rPr>
          <w:spacing w:val="-1"/>
        </w:rPr>
        <w:t> </w:t>
      </w:r>
      <w:r>
        <w:rPr/>
        <w:t>primary</w:t>
      </w:r>
      <w:r>
        <w:rPr>
          <w:spacing w:val="-3"/>
        </w:rPr>
        <w:t> </w:t>
      </w:r>
      <w:r>
        <w:rPr/>
        <w:t>schools were</w:t>
      </w:r>
      <w:r>
        <w:rPr>
          <w:spacing w:val="-1"/>
        </w:rPr>
        <w:t> </w:t>
      </w:r>
      <w:r>
        <w:rPr/>
        <w:t>collected</w:t>
      </w:r>
      <w:r>
        <w:rPr>
          <w:spacing w:val="-1"/>
        </w:rPr>
        <w:t> </w:t>
      </w:r>
      <w:r>
        <w:rPr/>
        <w:t>from the</w:t>
      </w:r>
      <w:r>
        <w:rPr>
          <w:spacing w:val="-1"/>
        </w:rPr>
        <w:t> </w:t>
      </w:r>
      <w:r>
        <w:rPr/>
        <w:t>Zuru Local Government Primary Board. This data informed and aided the researcher in spatial distribution and accessibility analysis. An Open Street Map (OSM) of the study area was obtained as a dataset for network analysis in the GIS environment.</w:t>
      </w:r>
    </w:p>
    <w:p>
      <w:pPr>
        <w:pStyle w:val="Heading1"/>
        <w:numPr>
          <w:ilvl w:val="2"/>
          <w:numId w:val="6"/>
        </w:numPr>
        <w:tabs>
          <w:tab w:pos="959" w:val="left" w:leader="none"/>
        </w:tabs>
        <w:spacing w:line="240" w:lineRule="auto" w:before="206" w:after="0"/>
        <w:ind w:left="959" w:right="0" w:hanging="719"/>
        <w:jc w:val="both"/>
      </w:pPr>
      <w:r>
        <w:rPr/>
        <w:t>Instrument</w:t>
      </w:r>
      <w:r>
        <w:rPr>
          <w:spacing w:val="-3"/>
        </w:rPr>
        <w:t> </w:t>
      </w:r>
      <w:r>
        <w:rPr/>
        <w:t>for</w:t>
      </w:r>
      <w:r>
        <w:rPr>
          <w:spacing w:val="-3"/>
        </w:rPr>
        <w:t> </w:t>
      </w:r>
      <w:r>
        <w:rPr/>
        <w:t>data</w:t>
      </w:r>
      <w:r>
        <w:rPr>
          <w:spacing w:val="-2"/>
        </w:rPr>
        <w:t> collection</w:t>
      </w:r>
    </w:p>
    <w:p>
      <w:pPr>
        <w:pStyle w:val="BodyText"/>
        <w:spacing w:before="6"/>
        <w:rPr>
          <w:b/>
          <w:sz w:val="23"/>
        </w:rPr>
      </w:pPr>
    </w:p>
    <w:p>
      <w:pPr>
        <w:pStyle w:val="BodyText"/>
        <w:spacing w:line="480" w:lineRule="auto"/>
        <w:ind w:left="240" w:right="279"/>
        <w:jc w:val="both"/>
      </w:pPr>
      <w:r>
        <w:rPr/>
        <w:t>A handheld GPS, field survey checklist, remote sensing and G.I.S Software were the instruments used as instrument for data collection for this study. The GPS device was used to acquire the coordinates of public primary schools and primary health care centres respectively. Terraincognita software was used as a remote sensing software to acquire a five metre resolution satellite imagery of the study area which was digitize into a vector data in ArcMap 10.1 software. The field survey checklist was used to take record of distances and coordinates during the study.</w:t>
      </w:r>
    </w:p>
    <w:p>
      <w:pPr>
        <w:spacing w:after="0" w:line="480" w:lineRule="auto"/>
        <w:jc w:val="both"/>
        <w:sectPr>
          <w:footerReference w:type="default" r:id="rId13"/>
          <w:pgSz w:w="11910" w:h="16840"/>
          <w:pgMar w:footer="1003" w:header="0" w:top="1340" w:bottom="1200" w:left="1200" w:right="1160"/>
        </w:sectPr>
      </w:pPr>
    </w:p>
    <w:p>
      <w:pPr>
        <w:pStyle w:val="Heading1"/>
        <w:numPr>
          <w:ilvl w:val="1"/>
          <w:numId w:val="6"/>
        </w:numPr>
        <w:tabs>
          <w:tab w:pos="959" w:val="left" w:leader="none"/>
        </w:tabs>
        <w:spacing w:line="240" w:lineRule="auto" w:before="78" w:after="0"/>
        <w:ind w:left="959" w:right="0" w:hanging="719"/>
        <w:jc w:val="both"/>
      </w:pPr>
      <w:r>
        <w:rPr/>
        <w:t>Procedure</w:t>
      </w:r>
      <w:r>
        <w:rPr>
          <w:spacing w:val="-3"/>
        </w:rPr>
        <w:t> </w:t>
      </w:r>
      <w:r>
        <w:rPr/>
        <w:t>for</w:t>
      </w:r>
      <w:r>
        <w:rPr>
          <w:spacing w:val="-3"/>
        </w:rPr>
        <w:t> </w:t>
      </w:r>
      <w:r>
        <w:rPr>
          <w:spacing w:val="-2"/>
        </w:rPr>
        <w:t>Sampling</w:t>
      </w:r>
    </w:p>
    <w:p>
      <w:pPr>
        <w:pStyle w:val="BodyText"/>
        <w:spacing w:before="7"/>
        <w:rPr>
          <w:b/>
          <w:sz w:val="23"/>
        </w:rPr>
      </w:pPr>
    </w:p>
    <w:p>
      <w:pPr>
        <w:pStyle w:val="BodyText"/>
        <w:spacing w:line="480" w:lineRule="auto"/>
        <w:ind w:left="240" w:right="274"/>
        <w:jc w:val="both"/>
      </w:pPr>
      <w:r>
        <w:rPr/>
        <w:t>A census of the existing</w:t>
      </w:r>
      <w:r>
        <w:rPr>
          <w:spacing w:val="-1"/>
        </w:rPr>
        <w:t> </w:t>
      </w:r>
      <w:r>
        <w:rPr/>
        <w:t>PHCs and PPSs</w:t>
      </w:r>
      <w:r>
        <w:rPr>
          <w:spacing w:val="-1"/>
        </w:rPr>
        <w:t> </w:t>
      </w:r>
      <w:r>
        <w:rPr/>
        <w:t>in Zuru local government area were carried out. The population of each respective ward was also used to assess impact of population in the siting of the social infrastructure.</w:t>
      </w:r>
    </w:p>
    <w:p>
      <w:pPr>
        <w:pStyle w:val="Heading1"/>
        <w:numPr>
          <w:ilvl w:val="2"/>
          <w:numId w:val="6"/>
        </w:numPr>
        <w:tabs>
          <w:tab w:pos="959" w:val="left" w:leader="none"/>
        </w:tabs>
        <w:spacing w:line="240" w:lineRule="auto" w:before="204" w:after="0"/>
        <w:ind w:left="959" w:right="0" w:hanging="719"/>
        <w:jc w:val="both"/>
      </w:pPr>
      <w:r>
        <w:rPr/>
        <w:t>Population</w:t>
      </w:r>
      <w:r>
        <w:rPr>
          <w:spacing w:val="-3"/>
        </w:rPr>
        <w:t> </w:t>
      </w:r>
      <w:r>
        <w:rPr/>
        <w:t>of the</w:t>
      </w:r>
      <w:r>
        <w:rPr>
          <w:spacing w:val="-1"/>
        </w:rPr>
        <w:t> </w:t>
      </w:r>
      <w:r>
        <w:rPr>
          <w:spacing w:val="-4"/>
        </w:rPr>
        <w:t>study</w:t>
      </w:r>
    </w:p>
    <w:p>
      <w:pPr>
        <w:pStyle w:val="BodyText"/>
        <w:spacing w:before="7"/>
        <w:rPr>
          <w:b/>
          <w:sz w:val="23"/>
        </w:rPr>
      </w:pPr>
    </w:p>
    <w:p>
      <w:pPr>
        <w:pStyle w:val="BodyText"/>
        <w:spacing w:line="480" w:lineRule="auto"/>
        <w:ind w:left="240" w:right="278"/>
        <w:jc w:val="both"/>
      </w:pPr>
      <w:r>
        <w:rPr/>
        <w:t>The population of wards is relevant in this study especially</w:t>
      </w:r>
      <w:r>
        <w:rPr>
          <w:spacing w:val="-3"/>
        </w:rPr>
        <w:t> </w:t>
      </w:r>
      <w:r>
        <w:rPr/>
        <w:t>in determining the level of spatial inequality. As shown in Table 3.2 the household population was obtained from records of house to house immunization program carried out in 2019. The estimated population in each ward were derived by</w:t>
      </w:r>
      <w:r>
        <w:rPr>
          <w:spacing w:val="-1"/>
        </w:rPr>
        <w:t> </w:t>
      </w:r>
      <w:r>
        <w:rPr/>
        <w:t>multiplying the respective household population (Hh) with the average National Household Size of 5.0. (National Population Commission, 2019). This resulted to a total of two hundred and eighteen thousand, three hundred and eighty-five people in Zuru local government as shown in Table 3.2.</w:t>
      </w:r>
    </w:p>
    <w:p>
      <w:pPr>
        <w:pStyle w:val="Heading1"/>
        <w:spacing w:before="207" w:after="36"/>
        <w:ind w:left="240" w:firstLine="0"/>
      </w:pPr>
      <w:r>
        <w:rPr/>
        <w:t>Table</w:t>
      </w:r>
      <w:r>
        <w:rPr>
          <w:spacing w:val="-3"/>
        </w:rPr>
        <w:t> </w:t>
      </w:r>
      <w:r>
        <w:rPr/>
        <w:t>3.2:</w:t>
      </w:r>
      <w:r>
        <w:rPr>
          <w:spacing w:val="-3"/>
        </w:rPr>
        <w:t> </w:t>
      </w:r>
      <w:r>
        <w:rPr/>
        <w:t>Wards,</w:t>
      </w:r>
      <w:r>
        <w:rPr>
          <w:spacing w:val="-2"/>
        </w:rPr>
        <w:t> </w:t>
      </w:r>
      <w:r>
        <w:rPr/>
        <w:t>Household</w:t>
      </w:r>
      <w:r>
        <w:rPr>
          <w:spacing w:val="-2"/>
        </w:rPr>
        <w:t> </w:t>
      </w:r>
      <w:r>
        <w:rPr/>
        <w:t>Population</w:t>
      </w:r>
      <w:r>
        <w:rPr>
          <w:spacing w:val="-2"/>
        </w:rPr>
        <w:t> </w:t>
      </w:r>
      <w:r>
        <w:rPr/>
        <w:t>and Estimated </w:t>
      </w:r>
      <w:r>
        <w:rPr>
          <w:spacing w:val="-2"/>
        </w:rPr>
        <w:t>Population</w:t>
      </w: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8"/>
        <w:gridCol w:w="1671"/>
        <w:gridCol w:w="1797"/>
        <w:gridCol w:w="2701"/>
        <w:gridCol w:w="1984"/>
      </w:tblGrid>
      <w:tr>
        <w:trPr>
          <w:trHeight w:val="551" w:hRule="atLeast"/>
        </w:trPr>
        <w:tc>
          <w:tcPr>
            <w:tcW w:w="778" w:type="dxa"/>
            <w:tcBorders>
              <w:top w:val="single" w:sz="8" w:space="0" w:color="F79546"/>
              <w:bottom w:val="single" w:sz="8" w:space="0" w:color="F79546"/>
            </w:tcBorders>
          </w:tcPr>
          <w:p>
            <w:pPr>
              <w:pStyle w:val="TableParagraph"/>
              <w:spacing w:before="5"/>
              <w:ind w:left="107" w:right="94"/>
              <w:rPr>
                <w:b/>
                <w:sz w:val="24"/>
              </w:rPr>
            </w:pPr>
            <w:r>
              <w:rPr>
                <w:b/>
                <w:spacing w:val="-5"/>
                <w:sz w:val="24"/>
              </w:rPr>
              <w:t>S/N</w:t>
            </w:r>
          </w:p>
        </w:tc>
        <w:tc>
          <w:tcPr>
            <w:tcW w:w="1671" w:type="dxa"/>
            <w:tcBorders>
              <w:top w:val="single" w:sz="8" w:space="0" w:color="F79546"/>
              <w:bottom w:val="single" w:sz="8" w:space="0" w:color="F79546"/>
            </w:tcBorders>
          </w:tcPr>
          <w:p>
            <w:pPr>
              <w:pStyle w:val="TableParagraph"/>
              <w:spacing w:before="5"/>
              <w:ind w:left="98" w:right="314"/>
              <w:rPr>
                <w:b/>
                <w:sz w:val="24"/>
              </w:rPr>
            </w:pPr>
            <w:r>
              <w:rPr>
                <w:b/>
                <w:spacing w:val="-4"/>
                <w:sz w:val="24"/>
              </w:rPr>
              <w:t>Ward</w:t>
            </w:r>
          </w:p>
        </w:tc>
        <w:tc>
          <w:tcPr>
            <w:tcW w:w="1797" w:type="dxa"/>
            <w:tcBorders>
              <w:top w:val="single" w:sz="8" w:space="0" w:color="F79546"/>
              <w:bottom w:val="single" w:sz="8" w:space="0" w:color="F79546"/>
            </w:tcBorders>
          </w:tcPr>
          <w:p>
            <w:pPr>
              <w:pStyle w:val="TableParagraph"/>
              <w:spacing w:line="270" w:lineRule="atLeast"/>
              <w:ind w:left="323" w:firstLine="12"/>
              <w:jc w:val="left"/>
              <w:rPr>
                <w:b/>
                <w:sz w:val="24"/>
              </w:rPr>
            </w:pPr>
            <w:r>
              <w:rPr>
                <w:b/>
                <w:spacing w:val="-2"/>
                <w:sz w:val="24"/>
              </w:rPr>
              <w:t>Household Population</w:t>
            </w:r>
          </w:p>
        </w:tc>
        <w:tc>
          <w:tcPr>
            <w:tcW w:w="2701" w:type="dxa"/>
            <w:tcBorders>
              <w:top w:val="single" w:sz="8" w:space="0" w:color="F79546"/>
              <w:bottom w:val="single" w:sz="8" w:space="0" w:color="F79546"/>
            </w:tcBorders>
          </w:tcPr>
          <w:p>
            <w:pPr>
              <w:pStyle w:val="TableParagraph"/>
              <w:spacing w:line="270" w:lineRule="atLeast"/>
              <w:ind w:left="1147" w:right="339" w:hanging="797"/>
              <w:jc w:val="left"/>
              <w:rPr>
                <w:b/>
                <w:sz w:val="24"/>
              </w:rPr>
            </w:pPr>
            <w:r>
              <w:rPr>
                <w:b/>
                <w:sz w:val="24"/>
              </w:rPr>
              <w:t>Average</w:t>
            </w:r>
            <w:r>
              <w:rPr>
                <w:b/>
                <w:spacing w:val="-15"/>
                <w:sz w:val="24"/>
              </w:rPr>
              <w:t> </w:t>
            </w:r>
            <w:r>
              <w:rPr>
                <w:b/>
                <w:sz w:val="24"/>
              </w:rPr>
              <w:t>Household </w:t>
            </w:r>
            <w:r>
              <w:rPr>
                <w:b/>
                <w:spacing w:val="-4"/>
                <w:sz w:val="24"/>
              </w:rPr>
              <w:t>Size</w:t>
            </w:r>
          </w:p>
        </w:tc>
        <w:tc>
          <w:tcPr>
            <w:tcW w:w="1984" w:type="dxa"/>
            <w:tcBorders>
              <w:top w:val="single" w:sz="8" w:space="0" w:color="F79546"/>
              <w:bottom w:val="single" w:sz="8" w:space="0" w:color="F79546"/>
            </w:tcBorders>
          </w:tcPr>
          <w:p>
            <w:pPr>
              <w:pStyle w:val="TableParagraph"/>
              <w:spacing w:line="270" w:lineRule="atLeast"/>
              <w:ind w:left="340" w:firstLine="40"/>
              <w:jc w:val="left"/>
              <w:rPr>
                <w:b/>
                <w:sz w:val="24"/>
              </w:rPr>
            </w:pPr>
            <w:r>
              <w:rPr>
                <w:b/>
                <w:spacing w:val="-2"/>
                <w:sz w:val="24"/>
              </w:rPr>
              <w:t>Estimated Population</w:t>
            </w:r>
          </w:p>
        </w:tc>
      </w:tr>
      <w:tr>
        <w:trPr>
          <w:trHeight w:val="320" w:hRule="atLeast"/>
        </w:trPr>
        <w:tc>
          <w:tcPr>
            <w:tcW w:w="778" w:type="dxa"/>
            <w:tcBorders>
              <w:top w:val="single" w:sz="8" w:space="0" w:color="F79546"/>
            </w:tcBorders>
          </w:tcPr>
          <w:p>
            <w:pPr>
              <w:pStyle w:val="TableParagraph"/>
              <w:ind w:left="14"/>
              <w:rPr>
                <w:sz w:val="24"/>
              </w:rPr>
            </w:pPr>
            <w:r>
              <w:rPr>
                <w:sz w:val="24"/>
              </w:rPr>
              <w:t>1</w:t>
            </w:r>
          </w:p>
        </w:tc>
        <w:tc>
          <w:tcPr>
            <w:tcW w:w="1671" w:type="dxa"/>
            <w:tcBorders>
              <w:top w:val="single" w:sz="8" w:space="0" w:color="F79546"/>
            </w:tcBorders>
          </w:tcPr>
          <w:p>
            <w:pPr>
              <w:pStyle w:val="TableParagraph"/>
              <w:ind w:left="98" w:right="314"/>
              <w:rPr>
                <w:sz w:val="24"/>
              </w:rPr>
            </w:pPr>
            <w:r>
              <w:rPr>
                <w:spacing w:val="-4"/>
                <w:sz w:val="24"/>
              </w:rPr>
              <w:t>Bedi</w:t>
            </w:r>
          </w:p>
        </w:tc>
        <w:tc>
          <w:tcPr>
            <w:tcW w:w="1797" w:type="dxa"/>
            <w:tcBorders>
              <w:top w:val="single" w:sz="8" w:space="0" w:color="F79546"/>
            </w:tcBorders>
          </w:tcPr>
          <w:p>
            <w:pPr>
              <w:pStyle w:val="TableParagraph"/>
              <w:ind w:left="539" w:right="568"/>
              <w:rPr>
                <w:sz w:val="24"/>
              </w:rPr>
            </w:pPr>
            <w:r>
              <w:rPr>
                <w:spacing w:val="-4"/>
                <w:sz w:val="24"/>
              </w:rPr>
              <w:t>3928</w:t>
            </w:r>
          </w:p>
        </w:tc>
        <w:tc>
          <w:tcPr>
            <w:tcW w:w="2701" w:type="dxa"/>
            <w:tcBorders>
              <w:top w:val="single" w:sz="8" w:space="0" w:color="F79546"/>
            </w:tcBorders>
          </w:tcPr>
          <w:p>
            <w:pPr>
              <w:pStyle w:val="TableParagraph"/>
              <w:ind w:left="1190" w:right="1186"/>
              <w:rPr>
                <w:sz w:val="24"/>
              </w:rPr>
            </w:pPr>
            <w:r>
              <w:rPr>
                <w:spacing w:val="-5"/>
                <w:sz w:val="24"/>
              </w:rPr>
              <w:t>5.0</w:t>
            </w:r>
          </w:p>
        </w:tc>
        <w:tc>
          <w:tcPr>
            <w:tcW w:w="1984" w:type="dxa"/>
            <w:tcBorders>
              <w:top w:val="single" w:sz="8" w:space="0" w:color="F79546"/>
            </w:tcBorders>
          </w:tcPr>
          <w:p>
            <w:pPr>
              <w:pStyle w:val="TableParagraph"/>
              <w:ind w:left="571"/>
              <w:jc w:val="left"/>
              <w:rPr>
                <w:sz w:val="24"/>
              </w:rPr>
            </w:pPr>
            <w:r>
              <w:rPr>
                <w:spacing w:val="-2"/>
                <w:sz w:val="24"/>
              </w:rPr>
              <w:t>19,640</w:t>
            </w:r>
          </w:p>
        </w:tc>
      </w:tr>
      <w:tr>
        <w:trPr>
          <w:trHeight w:val="401" w:hRule="atLeast"/>
        </w:trPr>
        <w:tc>
          <w:tcPr>
            <w:tcW w:w="778" w:type="dxa"/>
          </w:tcPr>
          <w:p>
            <w:pPr>
              <w:pStyle w:val="TableParagraph"/>
              <w:spacing w:before="51"/>
              <w:ind w:left="14"/>
              <w:rPr>
                <w:sz w:val="24"/>
              </w:rPr>
            </w:pPr>
            <w:r>
              <w:rPr>
                <w:sz w:val="24"/>
              </w:rPr>
              <w:t>2</w:t>
            </w:r>
          </w:p>
        </w:tc>
        <w:tc>
          <w:tcPr>
            <w:tcW w:w="1671" w:type="dxa"/>
          </w:tcPr>
          <w:p>
            <w:pPr>
              <w:pStyle w:val="TableParagraph"/>
              <w:spacing w:before="51"/>
              <w:ind w:left="98" w:right="314"/>
              <w:rPr>
                <w:sz w:val="24"/>
              </w:rPr>
            </w:pPr>
            <w:r>
              <w:rPr>
                <w:spacing w:val="-2"/>
                <w:sz w:val="24"/>
              </w:rPr>
              <w:t>Dabai</w:t>
            </w:r>
          </w:p>
        </w:tc>
        <w:tc>
          <w:tcPr>
            <w:tcW w:w="1797" w:type="dxa"/>
          </w:tcPr>
          <w:p>
            <w:pPr>
              <w:pStyle w:val="TableParagraph"/>
              <w:spacing w:before="51"/>
              <w:ind w:left="539" w:right="568"/>
              <w:rPr>
                <w:sz w:val="24"/>
              </w:rPr>
            </w:pPr>
            <w:r>
              <w:rPr>
                <w:spacing w:val="-4"/>
                <w:sz w:val="24"/>
              </w:rPr>
              <w:t>6211</w:t>
            </w:r>
          </w:p>
        </w:tc>
        <w:tc>
          <w:tcPr>
            <w:tcW w:w="2701" w:type="dxa"/>
          </w:tcPr>
          <w:p>
            <w:pPr>
              <w:pStyle w:val="TableParagraph"/>
              <w:spacing w:before="51"/>
              <w:ind w:left="1190" w:right="1186"/>
              <w:rPr>
                <w:sz w:val="24"/>
              </w:rPr>
            </w:pPr>
            <w:r>
              <w:rPr>
                <w:spacing w:val="-5"/>
                <w:sz w:val="24"/>
              </w:rPr>
              <w:t>5.0</w:t>
            </w:r>
          </w:p>
        </w:tc>
        <w:tc>
          <w:tcPr>
            <w:tcW w:w="1984" w:type="dxa"/>
          </w:tcPr>
          <w:p>
            <w:pPr>
              <w:pStyle w:val="TableParagraph"/>
              <w:spacing w:before="51"/>
              <w:ind w:left="571"/>
              <w:jc w:val="left"/>
              <w:rPr>
                <w:sz w:val="24"/>
              </w:rPr>
            </w:pPr>
            <w:r>
              <w:rPr>
                <w:spacing w:val="-2"/>
                <w:sz w:val="24"/>
              </w:rPr>
              <w:t>31,055</w:t>
            </w:r>
          </w:p>
        </w:tc>
      </w:tr>
      <w:tr>
        <w:trPr>
          <w:trHeight w:val="433" w:hRule="atLeast"/>
        </w:trPr>
        <w:tc>
          <w:tcPr>
            <w:tcW w:w="778" w:type="dxa"/>
          </w:tcPr>
          <w:p>
            <w:pPr>
              <w:pStyle w:val="TableParagraph"/>
              <w:spacing w:before="81"/>
              <w:ind w:left="14"/>
              <w:rPr>
                <w:sz w:val="24"/>
              </w:rPr>
            </w:pPr>
            <w:r>
              <w:rPr>
                <w:sz w:val="24"/>
              </w:rPr>
              <w:t>3</w:t>
            </w:r>
          </w:p>
        </w:tc>
        <w:tc>
          <w:tcPr>
            <w:tcW w:w="1671" w:type="dxa"/>
          </w:tcPr>
          <w:p>
            <w:pPr>
              <w:pStyle w:val="TableParagraph"/>
              <w:spacing w:before="81"/>
              <w:ind w:left="97" w:right="314"/>
              <w:rPr>
                <w:sz w:val="24"/>
              </w:rPr>
            </w:pPr>
            <w:r>
              <w:rPr>
                <w:sz w:val="24"/>
              </w:rPr>
              <w:t>Dabai</w:t>
            </w:r>
            <w:r>
              <w:rPr>
                <w:spacing w:val="-5"/>
                <w:sz w:val="24"/>
              </w:rPr>
              <w:t> </w:t>
            </w:r>
            <w:r>
              <w:rPr>
                <w:spacing w:val="-4"/>
                <w:sz w:val="24"/>
              </w:rPr>
              <w:t>Sema</w:t>
            </w:r>
          </w:p>
        </w:tc>
        <w:tc>
          <w:tcPr>
            <w:tcW w:w="1797" w:type="dxa"/>
          </w:tcPr>
          <w:p>
            <w:pPr>
              <w:pStyle w:val="TableParagraph"/>
              <w:spacing w:before="81"/>
              <w:ind w:left="539" w:right="568"/>
              <w:rPr>
                <w:sz w:val="24"/>
              </w:rPr>
            </w:pPr>
            <w:r>
              <w:rPr>
                <w:spacing w:val="-4"/>
                <w:sz w:val="24"/>
              </w:rPr>
              <w:t>2841</w:t>
            </w:r>
          </w:p>
        </w:tc>
        <w:tc>
          <w:tcPr>
            <w:tcW w:w="2701" w:type="dxa"/>
          </w:tcPr>
          <w:p>
            <w:pPr>
              <w:pStyle w:val="TableParagraph"/>
              <w:spacing w:before="81"/>
              <w:ind w:left="1190" w:right="1186"/>
              <w:rPr>
                <w:sz w:val="24"/>
              </w:rPr>
            </w:pPr>
            <w:r>
              <w:rPr>
                <w:spacing w:val="-5"/>
                <w:sz w:val="24"/>
              </w:rPr>
              <w:t>5.0</w:t>
            </w:r>
          </w:p>
        </w:tc>
        <w:tc>
          <w:tcPr>
            <w:tcW w:w="1984" w:type="dxa"/>
          </w:tcPr>
          <w:p>
            <w:pPr>
              <w:pStyle w:val="TableParagraph"/>
              <w:spacing w:before="81"/>
              <w:ind w:left="571"/>
              <w:jc w:val="left"/>
              <w:rPr>
                <w:sz w:val="24"/>
              </w:rPr>
            </w:pPr>
            <w:r>
              <w:rPr>
                <w:spacing w:val="-2"/>
                <w:sz w:val="24"/>
              </w:rPr>
              <w:t>14,205</w:t>
            </w:r>
          </w:p>
        </w:tc>
      </w:tr>
      <w:tr>
        <w:trPr>
          <w:trHeight w:val="420" w:hRule="atLeast"/>
        </w:trPr>
        <w:tc>
          <w:tcPr>
            <w:tcW w:w="778" w:type="dxa"/>
          </w:tcPr>
          <w:p>
            <w:pPr>
              <w:pStyle w:val="TableParagraph"/>
              <w:spacing w:before="83"/>
              <w:ind w:left="14"/>
              <w:rPr>
                <w:sz w:val="24"/>
              </w:rPr>
            </w:pPr>
            <w:r>
              <w:rPr>
                <w:sz w:val="24"/>
              </w:rPr>
              <w:t>4</w:t>
            </w:r>
          </w:p>
        </w:tc>
        <w:tc>
          <w:tcPr>
            <w:tcW w:w="1671" w:type="dxa"/>
          </w:tcPr>
          <w:p>
            <w:pPr>
              <w:pStyle w:val="TableParagraph"/>
              <w:spacing w:before="83"/>
              <w:ind w:left="98" w:right="314"/>
              <w:rPr>
                <w:sz w:val="24"/>
              </w:rPr>
            </w:pPr>
            <w:r>
              <w:rPr>
                <w:spacing w:val="-2"/>
                <w:sz w:val="24"/>
              </w:rPr>
              <w:t>Isgogo/Dago</w:t>
            </w:r>
          </w:p>
        </w:tc>
        <w:tc>
          <w:tcPr>
            <w:tcW w:w="1797" w:type="dxa"/>
          </w:tcPr>
          <w:p>
            <w:pPr>
              <w:pStyle w:val="TableParagraph"/>
              <w:spacing w:before="83"/>
              <w:ind w:left="539" w:right="568"/>
              <w:rPr>
                <w:sz w:val="24"/>
              </w:rPr>
            </w:pPr>
            <w:r>
              <w:rPr>
                <w:spacing w:val="-4"/>
                <w:sz w:val="24"/>
              </w:rPr>
              <w:t>2639</w:t>
            </w:r>
          </w:p>
        </w:tc>
        <w:tc>
          <w:tcPr>
            <w:tcW w:w="2701" w:type="dxa"/>
          </w:tcPr>
          <w:p>
            <w:pPr>
              <w:pStyle w:val="TableParagraph"/>
              <w:spacing w:before="83"/>
              <w:ind w:left="1190" w:right="1186"/>
              <w:rPr>
                <w:sz w:val="24"/>
              </w:rPr>
            </w:pPr>
            <w:r>
              <w:rPr>
                <w:spacing w:val="-5"/>
                <w:sz w:val="24"/>
              </w:rPr>
              <w:t>5.0</w:t>
            </w:r>
          </w:p>
        </w:tc>
        <w:tc>
          <w:tcPr>
            <w:tcW w:w="1984" w:type="dxa"/>
          </w:tcPr>
          <w:p>
            <w:pPr>
              <w:pStyle w:val="TableParagraph"/>
              <w:spacing w:before="83"/>
              <w:ind w:left="571"/>
              <w:jc w:val="left"/>
              <w:rPr>
                <w:sz w:val="24"/>
              </w:rPr>
            </w:pPr>
            <w:r>
              <w:rPr>
                <w:spacing w:val="-2"/>
                <w:sz w:val="24"/>
              </w:rPr>
              <w:t>13.195</w:t>
            </w:r>
          </w:p>
        </w:tc>
      </w:tr>
      <w:tr>
        <w:trPr>
          <w:trHeight w:val="415" w:hRule="atLeast"/>
        </w:trPr>
        <w:tc>
          <w:tcPr>
            <w:tcW w:w="778" w:type="dxa"/>
          </w:tcPr>
          <w:p>
            <w:pPr>
              <w:pStyle w:val="TableParagraph"/>
              <w:spacing w:before="68"/>
              <w:ind w:left="14"/>
              <w:rPr>
                <w:sz w:val="24"/>
              </w:rPr>
            </w:pPr>
            <w:r>
              <w:rPr>
                <w:sz w:val="24"/>
              </w:rPr>
              <w:t>5</w:t>
            </w:r>
          </w:p>
        </w:tc>
        <w:tc>
          <w:tcPr>
            <w:tcW w:w="1671" w:type="dxa"/>
          </w:tcPr>
          <w:p>
            <w:pPr>
              <w:pStyle w:val="TableParagraph"/>
              <w:spacing w:before="68"/>
              <w:ind w:left="98" w:right="314"/>
              <w:rPr>
                <w:sz w:val="24"/>
              </w:rPr>
            </w:pPr>
            <w:r>
              <w:rPr>
                <w:sz w:val="24"/>
              </w:rPr>
              <w:t>Manga</w:t>
            </w:r>
            <w:r>
              <w:rPr>
                <w:spacing w:val="-2"/>
                <w:sz w:val="24"/>
              </w:rPr>
              <w:t> </w:t>
            </w:r>
            <w:r>
              <w:rPr>
                <w:spacing w:val="-4"/>
                <w:sz w:val="24"/>
              </w:rPr>
              <w:t>Ushe</w:t>
            </w:r>
          </w:p>
        </w:tc>
        <w:tc>
          <w:tcPr>
            <w:tcW w:w="1797" w:type="dxa"/>
          </w:tcPr>
          <w:p>
            <w:pPr>
              <w:pStyle w:val="TableParagraph"/>
              <w:spacing w:before="68"/>
              <w:ind w:left="539" w:right="568"/>
              <w:rPr>
                <w:sz w:val="24"/>
              </w:rPr>
            </w:pPr>
            <w:r>
              <w:rPr>
                <w:spacing w:val="-4"/>
                <w:sz w:val="24"/>
              </w:rPr>
              <w:t>5657</w:t>
            </w:r>
          </w:p>
        </w:tc>
        <w:tc>
          <w:tcPr>
            <w:tcW w:w="2701" w:type="dxa"/>
          </w:tcPr>
          <w:p>
            <w:pPr>
              <w:pStyle w:val="TableParagraph"/>
              <w:spacing w:before="68"/>
              <w:ind w:left="1190" w:right="1186"/>
              <w:rPr>
                <w:sz w:val="24"/>
              </w:rPr>
            </w:pPr>
            <w:r>
              <w:rPr>
                <w:spacing w:val="-5"/>
                <w:sz w:val="24"/>
              </w:rPr>
              <w:t>5.0</w:t>
            </w:r>
          </w:p>
        </w:tc>
        <w:tc>
          <w:tcPr>
            <w:tcW w:w="1984" w:type="dxa"/>
          </w:tcPr>
          <w:p>
            <w:pPr>
              <w:pStyle w:val="TableParagraph"/>
              <w:spacing w:before="68"/>
              <w:ind w:left="571"/>
              <w:jc w:val="left"/>
              <w:rPr>
                <w:sz w:val="24"/>
              </w:rPr>
            </w:pPr>
            <w:r>
              <w:rPr>
                <w:spacing w:val="-2"/>
                <w:sz w:val="24"/>
              </w:rPr>
              <w:t>28,285</w:t>
            </w:r>
          </w:p>
        </w:tc>
      </w:tr>
      <w:tr>
        <w:trPr>
          <w:trHeight w:val="423" w:hRule="atLeast"/>
        </w:trPr>
        <w:tc>
          <w:tcPr>
            <w:tcW w:w="778" w:type="dxa"/>
          </w:tcPr>
          <w:p>
            <w:pPr>
              <w:pStyle w:val="TableParagraph"/>
              <w:spacing w:before="78"/>
              <w:ind w:left="14"/>
              <w:rPr>
                <w:sz w:val="24"/>
              </w:rPr>
            </w:pPr>
            <w:r>
              <w:rPr>
                <w:sz w:val="24"/>
              </w:rPr>
              <w:t>6</w:t>
            </w:r>
          </w:p>
        </w:tc>
        <w:tc>
          <w:tcPr>
            <w:tcW w:w="1671" w:type="dxa"/>
          </w:tcPr>
          <w:p>
            <w:pPr>
              <w:pStyle w:val="TableParagraph"/>
              <w:spacing w:before="78"/>
              <w:ind w:left="97" w:right="314"/>
              <w:rPr>
                <w:sz w:val="24"/>
              </w:rPr>
            </w:pPr>
            <w:r>
              <w:rPr>
                <w:sz w:val="24"/>
              </w:rPr>
              <w:t>Rafin</w:t>
            </w:r>
            <w:r>
              <w:rPr>
                <w:spacing w:val="-3"/>
                <w:sz w:val="24"/>
              </w:rPr>
              <w:t> </w:t>
            </w:r>
            <w:r>
              <w:rPr>
                <w:spacing w:val="-4"/>
                <w:sz w:val="24"/>
              </w:rPr>
              <w:t>Zuru</w:t>
            </w:r>
          </w:p>
        </w:tc>
        <w:tc>
          <w:tcPr>
            <w:tcW w:w="1797" w:type="dxa"/>
          </w:tcPr>
          <w:p>
            <w:pPr>
              <w:pStyle w:val="TableParagraph"/>
              <w:spacing w:before="78"/>
              <w:ind w:left="539" w:right="568"/>
              <w:rPr>
                <w:sz w:val="24"/>
              </w:rPr>
            </w:pPr>
            <w:r>
              <w:rPr>
                <w:spacing w:val="-4"/>
                <w:sz w:val="24"/>
              </w:rPr>
              <w:t>5310</w:t>
            </w:r>
          </w:p>
        </w:tc>
        <w:tc>
          <w:tcPr>
            <w:tcW w:w="2701" w:type="dxa"/>
          </w:tcPr>
          <w:p>
            <w:pPr>
              <w:pStyle w:val="TableParagraph"/>
              <w:spacing w:before="78"/>
              <w:ind w:left="1190" w:right="1186"/>
              <w:rPr>
                <w:sz w:val="24"/>
              </w:rPr>
            </w:pPr>
            <w:r>
              <w:rPr>
                <w:spacing w:val="-5"/>
                <w:sz w:val="24"/>
              </w:rPr>
              <w:t>5.0</w:t>
            </w:r>
          </w:p>
        </w:tc>
        <w:tc>
          <w:tcPr>
            <w:tcW w:w="1984" w:type="dxa"/>
          </w:tcPr>
          <w:p>
            <w:pPr>
              <w:pStyle w:val="TableParagraph"/>
              <w:spacing w:before="78"/>
              <w:ind w:left="571"/>
              <w:jc w:val="left"/>
              <w:rPr>
                <w:sz w:val="24"/>
              </w:rPr>
            </w:pPr>
            <w:r>
              <w:rPr>
                <w:spacing w:val="-2"/>
                <w:sz w:val="24"/>
              </w:rPr>
              <w:t>26,550</w:t>
            </w:r>
          </w:p>
        </w:tc>
      </w:tr>
      <w:tr>
        <w:trPr>
          <w:trHeight w:val="422" w:hRule="atLeast"/>
        </w:trPr>
        <w:tc>
          <w:tcPr>
            <w:tcW w:w="778" w:type="dxa"/>
          </w:tcPr>
          <w:p>
            <w:pPr>
              <w:pStyle w:val="TableParagraph"/>
              <w:spacing w:before="77"/>
              <w:ind w:left="14"/>
              <w:rPr>
                <w:sz w:val="24"/>
              </w:rPr>
            </w:pPr>
            <w:r>
              <w:rPr>
                <w:sz w:val="24"/>
              </w:rPr>
              <w:t>7</w:t>
            </w:r>
          </w:p>
        </w:tc>
        <w:tc>
          <w:tcPr>
            <w:tcW w:w="1671" w:type="dxa"/>
          </w:tcPr>
          <w:p>
            <w:pPr>
              <w:pStyle w:val="TableParagraph"/>
              <w:spacing w:before="77"/>
              <w:ind w:left="98" w:right="311"/>
              <w:rPr>
                <w:sz w:val="24"/>
              </w:rPr>
            </w:pPr>
            <w:r>
              <w:rPr>
                <w:spacing w:val="-2"/>
                <w:sz w:val="24"/>
              </w:rPr>
              <w:t>Rikoto</w:t>
            </w:r>
          </w:p>
        </w:tc>
        <w:tc>
          <w:tcPr>
            <w:tcW w:w="1797" w:type="dxa"/>
          </w:tcPr>
          <w:p>
            <w:pPr>
              <w:pStyle w:val="TableParagraph"/>
              <w:spacing w:before="77"/>
              <w:ind w:left="539" w:right="568"/>
              <w:rPr>
                <w:sz w:val="24"/>
              </w:rPr>
            </w:pPr>
            <w:r>
              <w:rPr>
                <w:spacing w:val="-4"/>
                <w:sz w:val="24"/>
              </w:rPr>
              <w:t>6582</w:t>
            </w:r>
          </w:p>
        </w:tc>
        <w:tc>
          <w:tcPr>
            <w:tcW w:w="2701" w:type="dxa"/>
          </w:tcPr>
          <w:p>
            <w:pPr>
              <w:pStyle w:val="TableParagraph"/>
              <w:spacing w:before="77"/>
              <w:ind w:left="1190" w:right="1186"/>
              <w:rPr>
                <w:sz w:val="24"/>
              </w:rPr>
            </w:pPr>
            <w:r>
              <w:rPr>
                <w:spacing w:val="-5"/>
                <w:sz w:val="24"/>
              </w:rPr>
              <w:t>5.0</w:t>
            </w:r>
          </w:p>
        </w:tc>
        <w:tc>
          <w:tcPr>
            <w:tcW w:w="1984" w:type="dxa"/>
          </w:tcPr>
          <w:p>
            <w:pPr>
              <w:pStyle w:val="TableParagraph"/>
              <w:spacing w:before="77"/>
              <w:ind w:left="571"/>
              <w:jc w:val="left"/>
              <w:rPr>
                <w:sz w:val="24"/>
              </w:rPr>
            </w:pPr>
            <w:r>
              <w:rPr>
                <w:spacing w:val="-2"/>
                <w:sz w:val="24"/>
              </w:rPr>
              <w:t>32,910</w:t>
            </w:r>
          </w:p>
        </w:tc>
      </w:tr>
      <w:tr>
        <w:trPr>
          <w:trHeight w:val="432" w:hRule="atLeast"/>
        </w:trPr>
        <w:tc>
          <w:tcPr>
            <w:tcW w:w="778" w:type="dxa"/>
          </w:tcPr>
          <w:p>
            <w:pPr>
              <w:pStyle w:val="TableParagraph"/>
              <w:spacing w:before="77"/>
              <w:ind w:left="14"/>
              <w:rPr>
                <w:sz w:val="24"/>
              </w:rPr>
            </w:pPr>
            <w:r>
              <w:rPr>
                <w:sz w:val="24"/>
              </w:rPr>
              <w:t>8</w:t>
            </w:r>
          </w:p>
        </w:tc>
        <w:tc>
          <w:tcPr>
            <w:tcW w:w="1671" w:type="dxa"/>
          </w:tcPr>
          <w:p>
            <w:pPr>
              <w:pStyle w:val="TableParagraph"/>
              <w:spacing w:before="77"/>
              <w:ind w:left="98" w:right="314"/>
              <w:rPr>
                <w:sz w:val="24"/>
              </w:rPr>
            </w:pPr>
            <w:r>
              <w:rPr>
                <w:spacing w:val="-2"/>
                <w:sz w:val="24"/>
              </w:rPr>
              <w:t>Senchi</w:t>
            </w:r>
          </w:p>
        </w:tc>
        <w:tc>
          <w:tcPr>
            <w:tcW w:w="1797" w:type="dxa"/>
          </w:tcPr>
          <w:p>
            <w:pPr>
              <w:pStyle w:val="TableParagraph"/>
              <w:spacing w:before="77"/>
              <w:ind w:left="539" w:right="568"/>
              <w:rPr>
                <w:sz w:val="24"/>
              </w:rPr>
            </w:pPr>
            <w:r>
              <w:rPr>
                <w:spacing w:val="-4"/>
                <w:sz w:val="24"/>
              </w:rPr>
              <w:t>5301</w:t>
            </w:r>
          </w:p>
        </w:tc>
        <w:tc>
          <w:tcPr>
            <w:tcW w:w="2701" w:type="dxa"/>
          </w:tcPr>
          <w:p>
            <w:pPr>
              <w:pStyle w:val="TableParagraph"/>
              <w:spacing w:before="77"/>
              <w:ind w:left="1190" w:right="1186"/>
              <w:rPr>
                <w:sz w:val="24"/>
              </w:rPr>
            </w:pPr>
            <w:r>
              <w:rPr>
                <w:spacing w:val="-5"/>
                <w:sz w:val="24"/>
              </w:rPr>
              <w:t>5.0</w:t>
            </w:r>
          </w:p>
        </w:tc>
        <w:tc>
          <w:tcPr>
            <w:tcW w:w="1984" w:type="dxa"/>
          </w:tcPr>
          <w:p>
            <w:pPr>
              <w:pStyle w:val="TableParagraph"/>
              <w:spacing w:before="77"/>
              <w:ind w:left="571"/>
              <w:jc w:val="left"/>
              <w:rPr>
                <w:sz w:val="24"/>
              </w:rPr>
            </w:pPr>
            <w:r>
              <w:rPr>
                <w:spacing w:val="-2"/>
                <w:sz w:val="24"/>
              </w:rPr>
              <w:t>26,505</w:t>
            </w:r>
          </w:p>
        </w:tc>
      </w:tr>
      <w:tr>
        <w:trPr>
          <w:trHeight w:val="431" w:hRule="atLeast"/>
        </w:trPr>
        <w:tc>
          <w:tcPr>
            <w:tcW w:w="778" w:type="dxa"/>
          </w:tcPr>
          <w:p>
            <w:pPr>
              <w:pStyle w:val="TableParagraph"/>
              <w:spacing w:before="86"/>
              <w:ind w:left="14"/>
              <w:rPr>
                <w:sz w:val="24"/>
              </w:rPr>
            </w:pPr>
            <w:r>
              <w:rPr>
                <w:sz w:val="24"/>
              </w:rPr>
              <w:t>9</w:t>
            </w:r>
          </w:p>
        </w:tc>
        <w:tc>
          <w:tcPr>
            <w:tcW w:w="1671" w:type="dxa"/>
          </w:tcPr>
          <w:p>
            <w:pPr>
              <w:pStyle w:val="TableParagraph"/>
              <w:spacing w:before="86"/>
              <w:ind w:left="98" w:right="312"/>
              <w:rPr>
                <w:sz w:val="24"/>
              </w:rPr>
            </w:pPr>
            <w:r>
              <w:rPr>
                <w:spacing w:val="-2"/>
                <w:sz w:val="24"/>
              </w:rPr>
              <w:t>Tadurga</w:t>
            </w:r>
          </w:p>
        </w:tc>
        <w:tc>
          <w:tcPr>
            <w:tcW w:w="1797" w:type="dxa"/>
          </w:tcPr>
          <w:p>
            <w:pPr>
              <w:pStyle w:val="TableParagraph"/>
              <w:spacing w:before="86"/>
              <w:ind w:left="539" w:right="568"/>
              <w:rPr>
                <w:sz w:val="24"/>
              </w:rPr>
            </w:pPr>
            <w:r>
              <w:rPr>
                <w:spacing w:val="-4"/>
                <w:sz w:val="24"/>
              </w:rPr>
              <w:t>2762</w:t>
            </w:r>
          </w:p>
        </w:tc>
        <w:tc>
          <w:tcPr>
            <w:tcW w:w="2701" w:type="dxa"/>
          </w:tcPr>
          <w:p>
            <w:pPr>
              <w:pStyle w:val="TableParagraph"/>
              <w:spacing w:before="86"/>
              <w:ind w:left="1190" w:right="1186"/>
              <w:rPr>
                <w:sz w:val="24"/>
              </w:rPr>
            </w:pPr>
            <w:r>
              <w:rPr>
                <w:spacing w:val="-5"/>
                <w:sz w:val="24"/>
              </w:rPr>
              <w:t>5.0</w:t>
            </w:r>
          </w:p>
        </w:tc>
        <w:tc>
          <w:tcPr>
            <w:tcW w:w="1984" w:type="dxa"/>
          </w:tcPr>
          <w:p>
            <w:pPr>
              <w:pStyle w:val="TableParagraph"/>
              <w:spacing w:before="86"/>
              <w:ind w:left="571"/>
              <w:jc w:val="left"/>
              <w:rPr>
                <w:sz w:val="24"/>
              </w:rPr>
            </w:pPr>
            <w:r>
              <w:rPr>
                <w:spacing w:val="-2"/>
                <w:sz w:val="24"/>
              </w:rPr>
              <w:t>13,810</w:t>
            </w:r>
          </w:p>
        </w:tc>
      </w:tr>
      <w:tr>
        <w:trPr>
          <w:trHeight w:val="468" w:hRule="atLeast"/>
        </w:trPr>
        <w:tc>
          <w:tcPr>
            <w:tcW w:w="778" w:type="dxa"/>
          </w:tcPr>
          <w:p>
            <w:pPr>
              <w:pStyle w:val="TableParagraph"/>
              <w:spacing w:before="77"/>
              <w:ind w:left="107" w:right="93"/>
              <w:rPr>
                <w:sz w:val="24"/>
              </w:rPr>
            </w:pPr>
            <w:r>
              <w:rPr>
                <w:spacing w:val="-5"/>
                <w:sz w:val="24"/>
              </w:rPr>
              <w:t>10</w:t>
            </w:r>
          </w:p>
        </w:tc>
        <w:tc>
          <w:tcPr>
            <w:tcW w:w="1671" w:type="dxa"/>
          </w:tcPr>
          <w:p>
            <w:pPr>
              <w:pStyle w:val="TableParagraph"/>
              <w:spacing w:before="77"/>
              <w:ind w:left="98" w:right="314"/>
              <w:rPr>
                <w:sz w:val="24"/>
              </w:rPr>
            </w:pPr>
            <w:r>
              <w:rPr>
                <w:spacing w:val="-4"/>
                <w:sz w:val="24"/>
              </w:rPr>
              <w:t>Zodi</w:t>
            </w:r>
          </w:p>
        </w:tc>
        <w:tc>
          <w:tcPr>
            <w:tcW w:w="1797" w:type="dxa"/>
          </w:tcPr>
          <w:p>
            <w:pPr>
              <w:pStyle w:val="TableParagraph"/>
              <w:spacing w:before="77"/>
              <w:ind w:left="539" w:right="568"/>
              <w:rPr>
                <w:sz w:val="24"/>
              </w:rPr>
            </w:pPr>
            <w:r>
              <w:rPr>
                <w:spacing w:val="-4"/>
                <w:sz w:val="24"/>
              </w:rPr>
              <w:t>2446</w:t>
            </w:r>
          </w:p>
        </w:tc>
        <w:tc>
          <w:tcPr>
            <w:tcW w:w="2701" w:type="dxa"/>
          </w:tcPr>
          <w:p>
            <w:pPr>
              <w:pStyle w:val="TableParagraph"/>
              <w:spacing w:before="77"/>
              <w:ind w:left="1190" w:right="1186"/>
              <w:rPr>
                <w:sz w:val="24"/>
              </w:rPr>
            </w:pPr>
            <w:r>
              <w:rPr>
                <w:spacing w:val="-5"/>
                <w:sz w:val="24"/>
              </w:rPr>
              <w:t>5.0</w:t>
            </w:r>
          </w:p>
        </w:tc>
        <w:tc>
          <w:tcPr>
            <w:tcW w:w="1984" w:type="dxa"/>
          </w:tcPr>
          <w:p>
            <w:pPr>
              <w:pStyle w:val="TableParagraph"/>
              <w:spacing w:before="77"/>
              <w:ind w:left="571"/>
              <w:jc w:val="left"/>
              <w:rPr>
                <w:sz w:val="24"/>
              </w:rPr>
            </w:pPr>
            <w:r>
              <w:rPr>
                <w:spacing w:val="-2"/>
                <w:sz w:val="24"/>
              </w:rPr>
              <w:t>12,230</w:t>
            </w:r>
          </w:p>
        </w:tc>
      </w:tr>
      <w:tr>
        <w:trPr>
          <w:trHeight w:val="397" w:hRule="atLeast"/>
        </w:trPr>
        <w:tc>
          <w:tcPr>
            <w:tcW w:w="778" w:type="dxa"/>
            <w:tcBorders>
              <w:bottom w:val="single" w:sz="4" w:space="0" w:color="000000"/>
            </w:tcBorders>
          </w:tcPr>
          <w:p>
            <w:pPr>
              <w:pStyle w:val="TableParagraph"/>
              <w:spacing w:line="250" w:lineRule="exact" w:before="127"/>
              <w:ind w:left="107" w:right="94"/>
              <w:rPr>
                <w:b/>
                <w:sz w:val="24"/>
              </w:rPr>
            </w:pPr>
            <w:r>
              <w:rPr>
                <w:b/>
                <w:spacing w:val="-2"/>
                <w:sz w:val="24"/>
              </w:rPr>
              <w:t>Total</w:t>
            </w:r>
          </w:p>
        </w:tc>
        <w:tc>
          <w:tcPr>
            <w:tcW w:w="1671" w:type="dxa"/>
            <w:tcBorders>
              <w:bottom w:val="single" w:sz="4" w:space="0" w:color="000000"/>
            </w:tcBorders>
          </w:tcPr>
          <w:p>
            <w:pPr>
              <w:pStyle w:val="TableParagraph"/>
              <w:jc w:val="left"/>
              <w:rPr>
                <w:sz w:val="24"/>
              </w:rPr>
            </w:pPr>
          </w:p>
        </w:tc>
        <w:tc>
          <w:tcPr>
            <w:tcW w:w="1797" w:type="dxa"/>
            <w:tcBorders>
              <w:bottom w:val="single" w:sz="4" w:space="0" w:color="000000"/>
            </w:tcBorders>
          </w:tcPr>
          <w:p>
            <w:pPr>
              <w:pStyle w:val="TableParagraph"/>
              <w:spacing w:line="255" w:lineRule="exact" w:before="122"/>
              <w:ind w:left="541" w:right="568"/>
              <w:rPr>
                <w:sz w:val="24"/>
              </w:rPr>
            </w:pPr>
            <w:r>
              <w:rPr>
                <w:spacing w:val="-2"/>
                <w:sz w:val="24"/>
              </w:rPr>
              <w:t>43,677</w:t>
            </w:r>
          </w:p>
        </w:tc>
        <w:tc>
          <w:tcPr>
            <w:tcW w:w="2701" w:type="dxa"/>
            <w:tcBorders>
              <w:bottom w:val="single" w:sz="4" w:space="0" w:color="000000"/>
            </w:tcBorders>
          </w:tcPr>
          <w:p>
            <w:pPr>
              <w:pStyle w:val="TableParagraph"/>
              <w:jc w:val="left"/>
              <w:rPr>
                <w:sz w:val="24"/>
              </w:rPr>
            </w:pPr>
          </w:p>
        </w:tc>
        <w:tc>
          <w:tcPr>
            <w:tcW w:w="1984" w:type="dxa"/>
            <w:tcBorders>
              <w:bottom w:val="single" w:sz="4" w:space="0" w:color="000000"/>
            </w:tcBorders>
          </w:tcPr>
          <w:p>
            <w:pPr>
              <w:pStyle w:val="TableParagraph"/>
              <w:spacing w:line="255" w:lineRule="exact" w:before="122"/>
              <w:ind w:left="511"/>
              <w:jc w:val="left"/>
              <w:rPr>
                <w:sz w:val="24"/>
              </w:rPr>
            </w:pPr>
            <w:r>
              <w:rPr>
                <w:spacing w:val="-2"/>
                <w:sz w:val="24"/>
              </w:rPr>
              <w:t>218,385</w:t>
            </w:r>
          </w:p>
        </w:tc>
      </w:tr>
    </w:tbl>
    <w:p>
      <w:pPr>
        <w:pStyle w:val="BodyText"/>
        <w:spacing w:line="242" w:lineRule="auto" w:before="6"/>
        <w:ind w:left="240" w:right="874"/>
      </w:pPr>
      <w:r>
        <w:rPr/>
        <w:t>Source:</w:t>
      </w:r>
      <w:r>
        <w:rPr>
          <w:spacing w:val="-1"/>
        </w:rPr>
        <w:t> </w:t>
      </w:r>
      <w:r>
        <w:rPr/>
        <w:t>Zuru</w:t>
      </w:r>
      <w:r>
        <w:rPr>
          <w:spacing w:val="-3"/>
        </w:rPr>
        <w:t> </w:t>
      </w:r>
      <w:r>
        <w:rPr/>
        <w:t>LGA</w:t>
      </w:r>
      <w:r>
        <w:rPr>
          <w:spacing w:val="-5"/>
        </w:rPr>
        <w:t> </w:t>
      </w:r>
      <w:r>
        <w:rPr/>
        <w:t>Primary</w:t>
      </w:r>
      <w:r>
        <w:rPr>
          <w:spacing w:val="-7"/>
        </w:rPr>
        <w:t> </w:t>
      </w:r>
      <w:r>
        <w:rPr/>
        <w:t>Health</w:t>
      </w:r>
      <w:r>
        <w:rPr>
          <w:spacing w:val="-4"/>
        </w:rPr>
        <w:t> </w:t>
      </w:r>
      <w:r>
        <w:rPr/>
        <w:t>Centre</w:t>
      </w:r>
      <w:r>
        <w:rPr>
          <w:spacing w:val="-4"/>
        </w:rPr>
        <w:t> </w:t>
      </w:r>
      <w:r>
        <w:rPr/>
        <w:t>Head</w:t>
      </w:r>
      <w:r>
        <w:rPr>
          <w:spacing w:val="-2"/>
        </w:rPr>
        <w:t> </w:t>
      </w:r>
      <w:r>
        <w:rPr/>
        <w:t>Office</w:t>
      </w:r>
      <w:r>
        <w:rPr>
          <w:spacing w:val="-3"/>
        </w:rPr>
        <w:t> </w:t>
      </w:r>
      <w:r>
        <w:rPr/>
        <w:t>(2019),</w:t>
      </w:r>
      <w:r>
        <w:rPr>
          <w:spacing w:val="-4"/>
        </w:rPr>
        <w:t> </w:t>
      </w:r>
      <w:r>
        <w:rPr/>
        <w:t>and</w:t>
      </w:r>
      <w:r>
        <w:rPr>
          <w:spacing w:val="-4"/>
        </w:rPr>
        <w:t> </w:t>
      </w:r>
      <w:r>
        <w:rPr/>
        <w:t>Researcher’s Computation (2020)</w:t>
      </w:r>
    </w:p>
    <w:p>
      <w:pPr>
        <w:spacing w:after="0" w:line="242" w:lineRule="auto"/>
        <w:sectPr>
          <w:pgSz w:w="11910" w:h="16840"/>
          <w:pgMar w:header="0" w:footer="1003" w:top="1340" w:bottom="1200" w:left="1200" w:right="1160"/>
        </w:sectPr>
      </w:pPr>
    </w:p>
    <w:p>
      <w:pPr>
        <w:pStyle w:val="Heading1"/>
        <w:numPr>
          <w:ilvl w:val="2"/>
          <w:numId w:val="6"/>
        </w:numPr>
        <w:tabs>
          <w:tab w:pos="959" w:val="left" w:leader="none"/>
        </w:tabs>
        <w:spacing w:line="240" w:lineRule="auto" w:before="78" w:after="0"/>
        <w:ind w:left="959" w:right="0" w:hanging="719"/>
        <w:jc w:val="both"/>
      </w:pPr>
      <w:r>
        <w:rPr/>
        <w:t>Sampling</w:t>
      </w:r>
      <w:r>
        <w:rPr>
          <w:spacing w:val="-4"/>
        </w:rPr>
        <w:t> size</w:t>
      </w:r>
    </w:p>
    <w:p>
      <w:pPr>
        <w:pStyle w:val="BodyText"/>
        <w:spacing w:before="7"/>
        <w:rPr>
          <w:b/>
          <w:sz w:val="23"/>
        </w:rPr>
      </w:pPr>
    </w:p>
    <w:p>
      <w:pPr>
        <w:pStyle w:val="BodyText"/>
        <w:spacing w:line="480" w:lineRule="auto"/>
        <w:ind w:left="240" w:right="276"/>
        <w:jc w:val="both"/>
      </w:pPr>
      <w:r>
        <w:rPr/>
        <w:t>Efiong (2019) stated that, in spatial data analysis it is a general principle to treat the entire population as the sample, since the research is GIS based. Thus, it is imperative to examine the entire public primary schools and public primary health centres of the local government and the population of the respective wards. Thus, every facility within the study area was accounted for. As shown in Table 3.2, the estimated population of each respective ward was used in subsequent sub themes and chapter for analysis. Hence, the total facilities within the local government and the estimated ward population of each ward where these facilities were located were adopted as the sample size.</w:t>
      </w:r>
    </w:p>
    <w:p>
      <w:pPr>
        <w:pStyle w:val="Heading1"/>
        <w:numPr>
          <w:ilvl w:val="2"/>
          <w:numId w:val="6"/>
        </w:numPr>
        <w:tabs>
          <w:tab w:pos="959" w:val="left" w:leader="none"/>
        </w:tabs>
        <w:spacing w:line="240" w:lineRule="auto" w:before="205" w:after="0"/>
        <w:ind w:left="959" w:right="0" w:hanging="719"/>
        <w:jc w:val="both"/>
      </w:pPr>
      <w:r>
        <w:rPr/>
        <w:t>Sampling</w:t>
      </w:r>
      <w:r>
        <w:rPr>
          <w:spacing w:val="-6"/>
        </w:rPr>
        <w:t> </w:t>
      </w:r>
      <w:r>
        <w:rPr>
          <w:spacing w:val="-4"/>
        </w:rPr>
        <w:t>frame</w:t>
      </w:r>
    </w:p>
    <w:p>
      <w:pPr>
        <w:pStyle w:val="BodyText"/>
        <w:spacing w:before="7"/>
        <w:rPr>
          <w:b/>
          <w:sz w:val="23"/>
        </w:rPr>
      </w:pPr>
    </w:p>
    <w:p>
      <w:pPr>
        <w:pStyle w:val="BodyText"/>
        <w:spacing w:line="480" w:lineRule="auto"/>
        <w:ind w:left="240" w:right="276"/>
        <w:jc w:val="both"/>
      </w:pPr>
      <w:r>
        <w:rPr/>
        <w:t>This contains the list of members of the study population from which a sample can be obtained. In this study, Zuru local government area is regarded as the sampling</w:t>
      </w:r>
      <w:r>
        <w:rPr>
          <w:spacing w:val="-2"/>
        </w:rPr>
        <w:t> </w:t>
      </w:r>
      <w:r>
        <w:rPr/>
        <w:t>frame. This is because the local government area will contain both the wards spatial and non-spatial attributes of elements to be sampled.</w:t>
      </w:r>
    </w:p>
    <w:p>
      <w:pPr>
        <w:pStyle w:val="Heading1"/>
        <w:numPr>
          <w:ilvl w:val="2"/>
          <w:numId w:val="6"/>
        </w:numPr>
        <w:tabs>
          <w:tab w:pos="959" w:val="left" w:leader="none"/>
        </w:tabs>
        <w:spacing w:line="240" w:lineRule="auto" w:before="204" w:after="0"/>
        <w:ind w:left="959" w:right="0" w:hanging="719"/>
        <w:jc w:val="both"/>
      </w:pPr>
      <w:r>
        <w:rPr/>
        <w:t>Sampling</w:t>
      </w:r>
      <w:r>
        <w:rPr>
          <w:spacing w:val="-4"/>
        </w:rPr>
        <w:t> </w:t>
      </w:r>
      <w:r>
        <w:rPr>
          <w:spacing w:val="-2"/>
        </w:rPr>
        <w:t>units</w:t>
      </w:r>
    </w:p>
    <w:p>
      <w:pPr>
        <w:pStyle w:val="BodyText"/>
        <w:spacing w:before="7"/>
        <w:rPr>
          <w:b/>
          <w:sz w:val="23"/>
        </w:rPr>
      </w:pPr>
    </w:p>
    <w:p>
      <w:pPr>
        <w:pStyle w:val="BodyText"/>
        <w:spacing w:line="480" w:lineRule="auto"/>
        <w:ind w:left="240" w:right="279"/>
        <w:jc w:val="both"/>
      </w:pPr>
      <w:r>
        <w:rPr/>
        <w:t>This referred to the location or physical area where the target population can be found from which the sampling was performed. In the case of this study the wards are the sampling unit and each respective ward contains the sampled elements. The wards are, Bedi, Tadurga, Senchi, Dabai Seme, Dabai, Manga Ushe, Zodi, Rikoto, Rafin Zuru and Isgogo Dago.</w:t>
      </w:r>
    </w:p>
    <w:p>
      <w:pPr>
        <w:pStyle w:val="Heading1"/>
        <w:numPr>
          <w:ilvl w:val="2"/>
          <w:numId w:val="6"/>
        </w:numPr>
        <w:tabs>
          <w:tab w:pos="959" w:val="left" w:leader="none"/>
        </w:tabs>
        <w:spacing w:line="240" w:lineRule="auto" w:before="207" w:after="0"/>
        <w:ind w:left="959" w:right="0" w:hanging="719"/>
        <w:jc w:val="both"/>
      </w:pPr>
      <w:r>
        <w:rPr/>
        <w:t>Sampling</w:t>
      </w:r>
      <w:r>
        <w:rPr>
          <w:spacing w:val="-4"/>
        </w:rPr>
        <w:t> </w:t>
      </w:r>
      <w:r>
        <w:rPr>
          <w:spacing w:val="-2"/>
        </w:rPr>
        <w:t>elements</w:t>
      </w:r>
    </w:p>
    <w:p>
      <w:pPr>
        <w:pStyle w:val="BodyText"/>
        <w:spacing w:before="7"/>
        <w:rPr>
          <w:b/>
          <w:sz w:val="23"/>
        </w:rPr>
      </w:pPr>
    </w:p>
    <w:p>
      <w:pPr>
        <w:pStyle w:val="BodyText"/>
        <w:spacing w:line="480" w:lineRule="auto"/>
        <w:ind w:left="240" w:right="277"/>
        <w:jc w:val="both"/>
      </w:pPr>
      <w:r>
        <w:rPr/>
        <w:t>This is a more precise description of who will be eligible in the sampling exercise and from whom the required information will be obtained. The existing public primary schools and primary</w:t>
      </w:r>
      <w:r>
        <w:rPr>
          <w:spacing w:val="-1"/>
        </w:rPr>
        <w:t> </w:t>
      </w:r>
      <w:r>
        <w:rPr/>
        <w:t>health</w:t>
      </w:r>
      <w:r>
        <w:rPr>
          <w:spacing w:val="5"/>
        </w:rPr>
        <w:t> </w:t>
      </w:r>
      <w:r>
        <w:rPr/>
        <w:t>centres</w:t>
      </w:r>
      <w:r>
        <w:rPr>
          <w:spacing w:val="9"/>
        </w:rPr>
        <w:t> </w:t>
      </w:r>
      <w:r>
        <w:rPr/>
        <w:t>within</w:t>
      </w:r>
      <w:r>
        <w:rPr>
          <w:spacing w:val="6"/>
        </w:rPr>
        <w:t> </w:t>
      </w:r>
      <w:r>
        <w:rPr/>
        <w:t>the</w:t>
      </w:r>
      <w:r>
        <w:rPr>
          <w:spacing w:val="6"/>
        </w:rPr>
        <w:t> </w:t>
      </w:r>
      <w:r>
        <w:rPr/>
        <w:t>local</w:t>
      </w:r>
      <w:r>
        <w:rPr>
          <w:spacing w:val="8"/>
        </w:rPr>
        <w:t> </w:t>
      </w:r>
      <w:r>
        <w:rPr/>
        <w:t>government</w:t>
      </w:r>
      <w:r>
        <w:rPr>
          <w:spacing w:val="7"/>
        </w:rPr>
        <w:t> </w:t>
      </w:r>
      <w:r>
        <w:rPr/>
        <w:t>area</w:t>
      </w:r>
      <w:r>
        <w:rPr>
          <w:spacing w:val="8"/>
        </w:rPr>
        <w:t> </w:t>
      </w:r>
      <w:r>
        <w:rPr/>
        <w:t>are</w:t>
      </w:r>
      <w:r>
        <w:rPr>
          <w:spacing w:val="5"/>
        </w:rPr>
        <w:t> </w:t>
      </w:r>
      <w:r>
        <w:rPr/>
        <w:t>the</w:t>
      </w:r>
      <w:r>
        <w:rPr>
          <w:spacing w:val="7"/>
        </w:rPr>
        <w:t> </w:t>
      </w:r>
      <w:r>
        <w:rPr/>
        <w:t>sampling</w:t>
      </w:r>
      <w:r>
        <w:rPr>
          <w:spacing w:val="9"/>
        </w:rPr>
        <w:t> </w:t>
      </w:r>
      <w:r>
        <w:rPr/>
        <w:t>unit.</w:t>
      </w:r>
      <w:r>
        <w:rPr>
          <w:spacing w:val="5"/>
        </w:rPr>
        <w:t> </w:t>
      </w:r>
      <w:r>
        <w:rPr/>
        <w:t>Therefore,</w:t>
      </w:r>
      <w:r>
        <w:rPr>
          <w:spacing w:val="6"/>
        </w:rPr>
        <w:t> </w:t>
      </w:r>
      <w:r>
        <w:rPr>
          <w:spacing w:val="-5"/>
        </w:rPr>
        <w:t>the</w:t>
      </w:r>
    </w:p>
    <w:p>
      <w:pPr>
        <w:spacing w:after="0" w:line="480" w:lineRule="auto"/>
        <w:jc w:val="both"/>
        <w:sectPr>
          <w:pgSz w:w="11910" w:h="16840"/>
          <w:pgMar w:header="0" w:footer="1003" w:top="1340" w:bottom="1200" w:left="1200" w:right="1160"/>
        </w:sectPr>
      </w:pPr>
    </w:p>
    <w:p>
      <w:pPr>
        <w:pStyle w:val="BodyText"/>
        <w:spacing w:line="482" w:lineRule="auto" w:before="73"/>
        <w:ind w:left="240" w:right="281"/>
        <w:jc w:val="both"/>
      </w:pPr>
      <w:r>
        <w:rPr/>
        <w:t>coordinates for each of them were obtained along with relevant data required for this study. The estimated household population of the sample frame is also relevant to this study.</w:t>
      </w:r>
    </w:p>
    <w:p>
      <w:pPr>
        <w:pStyle w:val="Heading1"/>
        <w:numPr>
          <w:ilvl w:val="2"/>
          <w:numId w:val="6"/>
        </w:numPr>
        <w:tabs>
          <w:tab w:pos="959" w:val="left" w:leader="none"/>
        </w:tabs>
        <w:spacing w:line="240" w:lineRule="auto" w:before="199" w:after="0"/>
        <w:ind w:left="959" w:right="0" w:hanging="719"/>
        <w:jc w:val="both"/>
      </w:pPr>
      <w:r>
        <w:rPr/>
        <w:t>Sampling</w:t>
      </w:r>
      <w:r>
        <w:rPr>
          <w:spacing w:val="-4"/>
        </w:rPr>
        <w:t> </w:t>
      </w:r>
      <w:r>
        <w:rPr>
          <w:spacing w:val="-2"/>
        </w:rPr>
        <w:t>technique</w:t>
      </w:r>
    </w:p>
    <w:p>
      <w:pPr>
        <w:pStyle w:val="BodyText"/>
        <w:spacing w:before="7"/>
        <w:rPr>
          <w:b/>
          <w:sz w:val="23"/>
        </w:rPr>
      </w:pPr>
    </w:p>
    <w:p>
      <w:pPr>
        <w:pStyle w:val="BodyText"/>
        <w:spacing w:line="480" w:lineRule="auto"/>
        <w:ind w:left="240" w:right="274"/>
        <w:jc w:val="both"/>
      </w:pPr>
      <w:r>
        <w:rPr/>
        <w:t>Efiong (2019) has stressed the importance of treating the entire facilities as sample for spatial analysis. This is necessary to ensure accuracy in assessing spatial distribution patterns and examining the accessibilities of infrastructure. This means that it is of paramount importance that the study must account for one hundred per cent of the sample namely; the existing</w:t>
      </w:r>
      <w:r>
        <w:rPr>
          <w:spacing w:val="40"/>
        </w:rPr>
        <w:t> </w:t>
      </w:r>
      <w:r>
        <w:rPr/>
        <w:t>public primary schools, primary health centres within the local government area and the estimated population of each ward. Therefore, this study adopted a census technique that accounted for every</w:t>
      </w:r>
      <w:r>
        <w:rPr>
          <w:spacing w:val="-3"/>
        </w:rPr>
        <w:t> </w:t>
      </w:r>
      <w:r>
        <w:rPr/>
        <w:t>social infrastructure and population within the spatial extent or boundary of the local government.</w:t>
      </w:r>
    </w:p>
    <w:p>
      <w:pPr>
        <w:pStyle w:val="Heading1"/>
        <w:numPr>
          <w:ilvl w:val="1"/>
          <w:numId w:val="6"/>
        </w:numPr>
        <w:tabs>
          <w:tab w:pos="959" w:val="left" w:leader="none"/>
        </w:tabs>
        <w:spacing w:line="240" w:lineRule="auto" w:before="205" w:after="0"/>
        <w:ind w:left="959" w:right="0" w:hanging="719"/>
        <w:jc w:val="both"/>
      </w:pPr>
      <w:r>
        <w:rPr/>
        <w:t>Method</w:t>
      </w:r>
      <w:r>
        <w:rPr>
          <w:spacing w:val="-1"/>
        </w:rPr>
        <w:t> </w:t>
      </w:r>
      <w:r>
        <w:rPr/>
        <w:t>of Data</w:t>
      </w:r>
      <w:r>
        <w:rPr>
          <w:spacing w:val="-1"/>
        </w:rPr>
        <w:t> </w:t>
      </w:r>
      <w:r>
        <w:rPr/>
        <w:t>Analysis</w:t>
      </w:r>
      <w:r>
        <w:rPr>
          <w:spacing w:val="-1"/>
        </w:rPr>
        <w:t> </w:t>
      </w:r>
      <w:r>
        <w:rPr/>
        <w:t>and </w:t>
      </w:r>
      <w:r>
        <w:rPr>
          <w:spacing w:val="-2"/>
        </w:rPr>
        <w:t>Presentation</w:t>
      </w:r>
    </w:p>
    <w:p>
      <w:pPr>
        <w:pStyle w:val="BodyText"/>
        <w:spacing w:before="6"/>
        <w:rPr>
          <w:b/>
          <w:sz w:val="23"/>
        </w:rPr>
      </w:pPr>
    </w:p>
    <w:p>
      <w:pPr>
        <w:pStyle w:val="BodyText"/>
        <w:spacing w:line="480" w:lineRule="auto" w:before="1"/>
        <w:ind w:left="240" w:right="273"/>
        <w:jc w:val="both"/>
      </w:pPr>
      <w:r>
        <w:rPr/>
        <w:t>Both descriptive and inferential methods were used during data analysis and results were presented</w:t>
      </w:r>
      <w:r>
        <w:rPr>
          <w:spacing w:val="-1"/>
        </w:rPr>
        <w:t> </w:t>
      </w:r>
      <w:r>
        <w:rPr/>
        <w:t>in tables and figures. Since</w:t>
      </w:r>
      <w:r>
        <w:rPr>
          <w:spacing w:val="-2"/>
        </w:rPr>
        <w:t> </w:t>
      </w:r>
      <w:r>
        <w:rPr/>
        <w:t>this study</w:t>
      </w:r>
      <w:r>
        <w:rPr>
          <w:spacing w:val="-8"/>
        </w:rPr>
        <w:t> </w:t>
      </w:r>
      <w:r>
        <w:rPr/>
        <w:t>is based on spatial data</w:t>
      </w:r>
      <w:r>
        <w:rPr>
          <w:spacing w:val="-1"/>
        </w:rPr>
        <w:t> </w:t>
      </w:r>
      <w:r>
        <w:rPr/>
        <w:t>and do not require</w:t>
      </w:r>
      <w:r>
        <w:rPr>
          <w:spacing w:val="-2"/>
        </w:rPr>
        <w:t> </w:t>
      </w:r>
      <w:r>
        <w:rPr/>
        <w:t>the administration of questionnaire, it was analysed using</w:t>
      </w:r>
      <w:r>
        <w:rPr>
          <w:spacing w:val="-1"/>
        </w:rPr>
        <w:t> </w:t>
      </w:r>
      <w:r>
        <w:rPr/>
        <w:t>ArcGIS 10.1. A 5m resolution imagery of Google Earth imagery of the local government was digitized to produce necessary Shapefiles for analysis. Shapefiles and layers which includes; polygons and polylines were developed using Google Earth imagery which also functioned as a data used during this</w:t>
      </w:r>
      <w:r>
        <w:rPr>
          <w:spacing w:val="40"/>
        </w:rPr>
        <w:t> </w:t>
      </w:r>
      <w:r>
        <w:rPr/>
        <w:t>study. More importantly, the coordinates (longitude and latitude) was a key element for this study. Coordinates were used as a Geodatabase file. In the ArcGIS interface, the researcher utilized the system toolboxes in the analysis which included but not restricted to; data management tools, analysis tools, spatial statistics tool and conversion tools. The data was presented using figures. Point mapping was done by</w:t>
      </w:r>
      <w:r>
        <w:rPr>
          <w:spacing w:val="-2"/>
        </w:rPr>
        <w:t> </w:t>
      </w:r>
      <w:r>
        <w:rPr/>
        <w:t>processing X and Y data, where X is the Longitude and Y is the Latitude.</w:t>
      </w:r>
    </w:p>
    <w:p>
      <w:pPr>
        <w:spacing w:after="0" w:line="480" w:lineRule="auto"/>
        <w:jc w:val="both"/>
        <w:sectPr>
          <w:pgSz w:w="11910" w:h="16840"/>
          <w:pgMar w:header="0" w:footer="1003" w:top="1340" w:bottom="1200" w:left="1200" w:right="1160"/>
        </w:sectPr>
      </w:pPr>
    </w:p>
    <w:p>
      <w:pPr>
        <w:pStyle w:val="BodyText"/>
        <w:spacing w:line="480" w:lineRule="auto" w:before="73"/>
        <w:ind w:left="240" w:right="273"/>
        <w:jc w:val="both"/>
      </w:pPr>
      <w:r>
        <w:rPr/>
        <w:t>ArcGIS 10.1 was also integrated with some other application including OSM toolbox and QGIS for the network analyst. The procedure firstly required a download of the study area street</w:t>
      </w:r>
      <w:r>
        <w:rPr>
          <w:spacing w:val="4"/>
        </w:rPr>
        <w:t> </w:t>
      </w:r>
      <w:r>
        <w:rPr/>
        <w:t>map</w:t>
      </w:r>
      <w:r>
        <w:rPr>
          <w:spacing w:val="5"/>
        </w:rPr>
        <w:t> </w:t>
      </w:r>
      <w:r>
        <w:rPr/>
        <w:t>form</w:t>
      </w:r>
      <w:r>
        <w:rPr>
          <w:spacing w:val="7"/>
        </w:rPr>
        <w:t> </w:t>
      </w:r>
      <w:r>
        <w:rPr/>
        <w:t>the</w:t>
      </w:r>
      <w:r>
        <w:rPr>
          <w:spacing w:val="9"/>
        </w:rPr>
        <w:t> </w:t>
      </w:r>
      <w:r>
        <w:rPr/>
        <w:t>OSM</w:t>
      </w:r>
      <w:r>
        <w:rPr>
          <w:spacing w:val="6"/>
        </w:rPr>
        <w:t> </w:t>
      </w:r>
      <w:r>
        <w:rPr/>
        <w:t>(Open</w:t>
      </w:r>
      <w:r>
        <w:rPr>
          <w:spacing w:val="5"/>
        </w:rPr>
        <w:t> </w:t>
      </w:r>
      <w:r>
        <w:rPr/>
        <w:t>Street</w:t>
      </w:r>
      <w:r>
        <w:rPr>
          <w:spacing w:val="7"/>
        </w:rPr>
        <w:t> </w:t>
      </w:r>
      <w:r>
        <w:rPr/>
        <w:t>Map)</w:t>
      </w:r>
      <w:r>
        <w:rPr>
          <w:spacing w:val="6"/>
        </w:rPr>
        <w:t> </w:t>
      </w:r>
      <w:r>
        <w:rPr/>
        <w:t>server.</w:t>
      </w:r>
      <w:r>
        <w:rPr>
          <w:spacing w:val="5"/>
        </w:rPr>
        <w:t> </w:t>
      </w:r>
      <w:r>
        <w:rPr/>
        <w:t>This</w:t>
      </w:r>
      <w:r>
        <w:rPr>
          <w:spacing w:val="7"/>
        </w:rPr>
        <w:t> </w:t>
      </w:r>
      <w:r>
        <w:rPr/>
        <w:t>data</w:t>
      </w:r>
      <w:r>
        <w:rPr>
          <w:spacing w:val="7"/>
        </w:rPr>
        <w:t> </w:t>
      </w:r>
      <w:r>
        <w:rPr/>
        <w:t>was</w:t>
      </w:r>
      <w:r>
        <w:rPr>
          <w:spacing w:val="6"/>
        </w:rPr>
        <w:t> </w:t>
      </w:r>
      <w:r>
        <w:rPr/>
        <w:t>imported</w:t>
      </w:r>
      <w:r>
        <w:rPr>
          <w:spacing w:val="6"/>
        </w:rPr>
        <w:t> </w:t>
      </w:r>
      <w:r>
        <w:rPr/>
        <w:t>into</w:t>
      </w:r>
      <w:r>
        <w:rPr>
          <w:spacing w:val="5"/>
        </w:rPr>
        <w:t> </w:t>
      </w:r>
      <w:r>
        <w:rPr/>
        <w:t>the</w:t>
      </w:r>
      <w:r>
        <w:rPr>
          <w:spacing w:val="6"/>
        </w:rPr>
        <w:t> </w:t>
      </w:r>
      <w:r>
        <w:rPr>
          <w:spacing w:val="-2"/>
        </w:rPr>
        <w:t>ArcGIS</w:t>
      </w:r>
    </w:p>
    <w:p>
      <w:pPr>
        <w:pStyle w:val="BodyText"/>
        <w:spacing w:line="482" w:lineRule="auto" w:before="1"/>
        <w:ind w:left="240" w:right="284"/>
        <w:jc w:val="both"/>
      </w:pPr>
      <w:r>
        <w:rPr/>
        <w:t>10.1 environment and also edited using the OpenStreetMap tool box. The network analysis was carried out using both QGIS and ArcGIS 10.1.</w:t>
      </w:r>
    </w:p>
    <w:p>
      <w:pPr>
        <w:pStyle w:val="BodyText"/>
        <w:spacing w:line="480" w:lineRule="auto" w:before="194"/>
        <w:ind w:left="240" w:right="275"/>
        <w:jc w:val="both"/>
      </w:pPr>
      <w:r>
        <w:rPr/>
        <w:t>Notwithstanding, testing the research hypothesis required some form of analysis outside the ArcGIS 10.1 interface. The researcher ought to use the population of each respective ward as a variable in the analysis. The research hypothesis was tested using multiple regression</w:t>
      </w:r>
      <w:r>
        <w:rPr>
          <w:spacing w:val="40"/>
        </w:rPr>
        <w:t> </w:t>
      </w:r>
      <w:r>
        <w:rPr/>
        <w:t>model. According to Morenikeji (2006), the multiple regression model is a statistical model that enable two independent variables to predict the likely occurrence of a dependent</w:t>
      </w:r>
      <w:r>
        <w:rPr>
          <w:spacing w:val="40"/>
        </w:rPr>
        <w:t> </w:t>
      </w:r>
      <w:r>
        <w:rPr/>
        <w:t>variable. The research hypothesis was tested in JASP 0.10 software while spatial inequality was examined using the location quotient (LQ) and the results were presented in tables.</w:t>
      </w:r>
    </w:p>
    <w:p>
      <w:pPr>
        <w:spacing w:after="0" w:line="480" w:lineRule="auto"/>
        <w:jc w:val="both"/>
        <w:sectPr>
          <w:pgSz w:w="11910" w:h="16840"/>
          <w:pgMar w:header="0" w:footer="1003" w:top="1340" w:bottom="1200" w:left="1200" w:right="1160"/>
        </w:sectPr>
      </w:pPr>
    </w:p>
    <w:p>
      <w:pPr>
        <w:spacing w:before="78"/>
        <w:ind w:left="2479" w:right="2517" w:firstLine="0"/>
        <w:jc w:val="center"/>
        <w:rPr>
          <w:b/>
          <w:sz w:val="24"/>
        </w:rPr>
      </w:pPr>
      <w:r>
        <w:rPr>
          <w:b/>
          <w:sz w:val="24"/>
        </w:rPr>
        <w:t>CHAPTER</w:t>
      </w:r>
      <w:r>
        <w:rPr>
          <w:b/>
          <w:spacing w:val="-5"/>
          <w:sz w:val="24"/>
        </w:rPr>
        <w:t> </w:t>
      </w:r>
      <w:r>
        <w:rPr>
          <w:b/>
          <w:spacing w:val="-4"/>
          <w:sz w:val="24"/>
        </w:rPr>
        <w:t>FOUR</w:t>
      </w:r>
    </w:p>
    <w:p>
      <w:pPr>
        <w:pStyle w:val="BodyText"/>
        <w:rPr>
          <w:b/>
        </w:rPr>
      </w:pPr>
    </w:p>
    <w:p>
      <w:pPr>
        <w:pStyle w:val="ListParagraph"/>
        <w:numPr>
          <w:ilvl w:val="1"/>
          <w:numId w:val="7"/>
        </w:numPr>
        <w:tabs>
          <w:tab w:pos="3120" w:val="left" w:leader="none"/>
        </w:tabs>
        <w:spacing w:line="240" w:lineRule="auto" w:before="0" w:after="0"/>
        <w:ind w:left="3120" w:right="0" w:hanging="2880"/>
        <w:jc w:val="both"/>
        <w:rPr>
          <w:b/>
          <w:sz w:val="24"/>
        </w:rPr>
      </w:pPr>
      <w:r>
        <w:rPr>
          <w:b/>
          <w:sz w:val="24"/>
        </w:rPr>
        <w:t>RESULTS</w:t>
      </w:r>
      <w:r>
        <w:rPr>
          <w:b/>
          <w:spacing w:val="-1"/>
          <w:sz w:val="24"/>
        </w:rPr>
        <w:t> </w:t>
      </w:r>
      <w:r>
        <w:rPr>
          <w:b/>
          <w:sz w:val="24"/>
        </w:rPr>
        <w:t>AND </w:t>
      </w:r>
      <w:r>
        <w:rPr>
          <w:b/>
          <w:spacing w:val="-2"/>
          <w:sz w:val="24"/>
        </w:rPr>
        <w:t>DISCUSSION</w:t>
      </w:r>
    </w:p>
    <w:p>
      <w:pPr>
        <w:pStyle w:val="BodyText"/>
        <w:rPr>
          <w:b/>
        </w:rPr>
      </w:pPr>
    </w:p>
    <w:p>
      <w:pPr>
        <w:pStyle w:val="Heading1"/>
        <w:numPr>
          <w:ilvl w:val="1"/>
          <w:numId w:val="7"/>
        </w:numPr>
        <w:tabs>
          <w:tab w:pos="1019" w:val="left" w:leader="none"/>
        </w:tabs>
        <w:spacing w:line="240" w:lineRule="auto" w:before="1" w:after="0"/>
        <w:ind w:left="1019" w:right="0" w:hanging="779"/>
        <w:jc w:val="both"/>
      </w:pPr>
      <w:r>
        <w:rPr/>
        <w:t>Existing</w:t>
      </w:r>
      <w:r>
        <w:rPr>
          <w:spacing w:val="-2"/>
        </w:rPr>
        <w:t> </w:t>
      </w:r>
      <w:r>
        <w:rPr/>
        <w:t>Social</w:t>
      </w:r>
      <w:r>
        <w:rPr>
          <w:spacing w:val="-1"/>
        </w:rPr>
        <w:t> </w:t>
      </w:r>
      <w:r>
        <w:rPr/>
        <w:t>Infrastructure</w:t>
      </w:r>
      <w:r>
        <w:rPr>
          <w:spacing w:val="-2"/>
        </w:rPr>
        <w:t> </w:t>
      </w:r>
      <w:r>
        <w:rPr/>
        <w:t>within Zuru</w:t>
      </w:r>
      <w:r>
        <w:rPr>
          <w:spacing w:val="-1"/>
        </w:rPr>
        <w:t> </w:t>
      </w:r>
      <w:r>
        <w:rPr>
          <w:spacing w:val="-2"/>
        </w:rPr>
        <w:t>L.G.A</w:t>
      </w:r>
    </w:p>
    <w:p>
      <w:pPr>
        <w:pStyle w:val="BodyText"/>
        <w:spacing w:before="6"/>
        <w:rPr>
          <w:b/>
          <w:sz w:val="23"/>
        </w:rPr>
      </w:pPr>
    </w:p>
    <w:p>
      <w:pPr>
        <w:pStyle w:val="BodyText"/>
        <w:spacing w:line="480" w:lineRule="auto"/>
        <w:ind w:left="240" w:right="274"/>
        <w:jc w:val="both"/>
      </w:pPr>
      <w:r>
        <w:rPr/>
        <w:t>This section presents the result of analysed data which explains the nature and locationss of wards within Zuru local government and how they relate to one another. It also identified the existing social infrastructure within the local government area. The inventory and location of existing PPSs and PHCs, and also their spatial distribution pattern and accessibility analysis were all detailed in this chapter.</w:t>
      </w:r>
    </w:p>
    <w:p>
      <w:pPr>
        <w:pStyle w:val="Heading1"/>
        <w:numPr>
          <w:ilvl w:val="2"/>
          <w:numId w:val="7"/>
        </w:numPr>
        <w:tabs>
          <w:tab w:pos="959" w:val="left" w:leader="none"/>
        </w:tabs>
        <w:spacing w:line="240" w:lineRule="auto" w:before="205" w:after="0"/>
        <w:ind w:left="959" w:right="0" w:hanging="719"/>
        <w:jc w:val="both"/>
      </w:pPr>
      <w:r>
        <w:rPr/>
        <w:t>The</w:t>
      </w:r>
      <w:r>
        <w:rPr>
          <w:spacing w:val="-2"/>
        </w:rPr>
        <w:t> </w:t>
      </w:r>
      <w:r>
        <w:rPr/>
        <w:t>nature</w:t>
      </w:r>
      <w:r>
        <w:rPr>
          <w:spacing w:val="-3"/>
        </w:rPr>
        <w:t> </w:t>
      </w:r>
      <w:r>
        <w:rPr/>
        <w:t>and</w:t>
      </w:r>
      <w:r>
        <w:rPr>
          <w:spacing w:val="1"/>
        </w:rPr>
        <w:t> </w:t>
      </w:r>
      <w:r>
        <w:rPr/>
        <w:t>location</w:t>
      </w:r>
      <w:r>
        <w:rPr>
          <w:spacing w:val="-1"/>
        </w:rPr>
        <w:t> </w:t>
      </w:r>
      <w:r>
        <w:rPr/>
        <w:t>of</w:t>
      </w:r>
      <w:r>
        <w:rPr>
          <w:spacing w:val="-2"/>
        </w:rPr>
        <w:t> </w:t>
      </w:r>
      <w:r>
        <w:rPr/>
        <w:t>wards</w:t>
      </w:r>
      <w:r>
        <w:rPr>
          <w:spacing w:val="-3"/>
        </w:rPr>
        <w:t> </w:t>
      </w:r>
      <w:r>
        <w:rPr/>
        <w:t>within</w:t>
      </w:r>
      <w:r>
        <w:rPr>
          <w:spacing w:val="-1"/>
        </w:rPr>
        <w:t> </w:t>
      </w:r>
      <w:r>
        <w:rPr/>
        <w:t>Zuru </w:t>
      </w:r>
      <w:r>
        <w:rPr>
          <w:spacing w:val="-2"/>
        </w:rPr>
        <w:t>L.G.A</w:t>
      </w:r>
    </w:p>
    <w:p>
      <w:pPr>
        <w:pStyle w:val="BodyText"/>
        <w:spacing w:before="7"/>
        <w:rPr>
          <w:b/>
          <w:sz w:val="23"/>
        </w:rPr>
      </w:pPr>
    </w:p>
    <w:p>
      <w:pPr>
        <w:pStyle w:val="BodyText"/>
        <w:spacing w:line="480" w:lineRule="auto"/>
        <w:ind w:left="240" w:right="273"/>
        <w:jc w:val="both"/>
      </w:pPr>
      <w:r>
        <w:rPr/>
        <w:t>Zuru local government consist of ten electoral wards namely; Bedi, Tadurga, Senchi, Dabia Seme, Dabai, Manga Ushe, Zodi, Rikoto, Rafin Zuru and Isgogo Dago wards as illustrated in Figure 4.1. However, the spatial extent of some of these wards extends beyond the borders of the local government area. Typical examples are the Isogo Dago, Dabai Seme and Zodi wards. The locations of households in those wards as well as social infrastructure (PPSs and PHCs) were not found within the boundary of the Zuru local government area as shown in Figure 4.1. Despite being under the jurisdiction of the Zuru local government administration, including data collected from the aforementioned wards alters the defined nature and spatial scope</w:t>
      </w:r>
      <w:r>
        <w:rPr>
          <w:spacing w:val="-1"/>
        </w:rPr>
        <w:t> </w:t>
      </w:r>
      <w:r>
        <w:rPr/>
        <w:t>of</w:t>
      </w:r>
      <w:r>
        <w:rPr>
          <w:spacing w:val="-1"/>
        </w:rPr>
        <w:t> </w:t>
      </w:r>
      <w:r>
        <w:rPr/>
        <w:t>this study. Exempting</w:t>
      </w:r>
      <w:r>
        <w:rPr>
          <w:spacing w:val="-2"/>
        </w:rPr>
        <w:t> </w:t>
      </w:r>
      <w:r>
        <w:rPr/>
        <w:t>these</w:t>
      </w:r>
      <w:r>
        <w:rPr>
          <w:spacing w:val="-1"/>
        </w:rPr>
        <w:t> </w:t>
      </w:r>
      <w:r>
        <w:rPr/>
        <w:t>wards</w:t>
      </w:r>
      <w:r>
        <w:rPr>
          <w:spacing w:val="-1"/>
        </w:rPr>
        <w:t> </w:t>
      </w:r>
      <w:r>
        <w:rPr/>
        <w:t>(Isogo Dago, Dabai Seme, Senchi and Zodi)</w:t>
      </w:r>
      <w:r>
        <w:rPr>
          <w:spacing w:val="-1"/>
        </w:rPr>
        <w:t> </w:t>
      </w:r>
      <w:r>
        <w:rPr/>
        <w:t>from this study justifies the spatial nature, scope and boundary of this study.</w:t>
      </w:r>
    </w:p>
    <w:p>
      <w:pPr>
        <w:pStyle w:val="BodyText"/>
        <w:spacing w:line="480" w:lineRule="auto" w:before="201"/>
        <w:ind w:left="240" w:right="275"/>
        <w:jc w:val="both"/>
      </w:pPr>
      <w:r>
        <w:rPr/>
        <w:t>Rikoto and Rafin Zuru ward are regarded as the urban part of Zuru local government due to administrative</w:t>
      </w:r>
      <w:r>
        <w:rPr>
          <w:spacing w:val="-1"/>
        </w:rPr>
        <w:t> </w:t>
      </w:r>
      <w:r>
        <w:rPr/>
        <w:t>functions</w:t>
      </w:r>
      <w:r>
        <w:rPr>
          <w:spacing w:val="-1"/>
        </w:rPr>
        <w:t> </w:t>
      </w:r>
      <w:r>
        <w:rPr/>
        <w:t>of</w:t>
      </w:r>
      <w:r>
        <w:rPr>
          <w:spacing w:val="-1"/>
        </w:rPr>
        <w:t> </w:t>
      </w:r>
      <w:r>
        <w:rPr/>
        <w:t>the</w:t>
      </w:r>
      <w:r>
        <w:rPr>
          <w:spacing w:val="-1"/>
        </w:rPr>
        <w:t> </w:t>
      </w:r>
      <w:r>
        <w:rPr/>
        <w:t>wards.</w:t>
      </w:r>
      <w:r>
        <w:rPr>
          <w:spacing w:val="-1"/>
        </w:rPr>
        <w:t> </w:t>
      </w:r>
      <w:r>
        <w:rPr/>
        <w:t>Figure</w:t>
      </w:r>
      <w:r>
        <w:rPr>
          <w:spacing w:val="-2"/>
        </w:rPr>
        <w:t> </w:t>
      </w:r>
      <w:r>
        <w:rPr/>
        <w:t>4.1 also illustrates</w:t>
      </w:r>
      <w:r>
        <w:rPr>
          <w:spacing w:val="-1"/>
        </w:rPr>
        <w:t> </w:t>
      </w:r>
      <w:r>
        <w:rPr/>
        <w:t>how the</w:t>
      </w:r>
      <w:r>
        <w:rPr>
          <w:spacing w:val="-1"/>
        </w:rPr>
        <w:t> </w:t>
      </w:r>
      <w:r>
        <w:rPr/>
        <w:t>urban</w:t>
      </w:r>
      <w:r>
        <w:rPr>
          <w:spacing w:val="-1"/>
        </w:rPr>
        <w:t> </w:t>
      </w:r>
      <w:r>
        <w:rPr/>
        <w:t>area</w:t>
      </w:r>
      <w:r>
        <w:rPr>
          <w:spacing w:val="-1"/>
        </w:rPr>
        <w:t> </w:t>
      </w:r>
      <w:r>
        <w:rPr/>
        <w:t>is</w:t>
      </w:r>
      <w:r>
        <w:rPr>
          <w:spacing w:val="-1"/>
        </w:rPr>
        <w:t> </w:t>
      </w:r>
      <w:r>
        <w:rPr/>
        <w:t>distinct due to the nature of circulation (road network), because the road intersects at the central part of</w:t>
      </w:r>
      <w:r>
        <w:rPr>
          <w:spacing w:val="-1"/>
        </w:rPr>
        <w:t> </w:t>
      </w:r>
      <w:r>
        <w:rPr/>
        <w:t>the</w:t>
      </w:r>
      <w:r>
        <w:rPr>
          <w:spacing w:val="-1"/>
        </w:rPr>
        <w:t> </w:t>
      </w:r>
      <w:r>
        <w:rPr/>
        <w:t>local government area. More</w:t>
      </w:r>
      <w:r>
        <w:rPr>
          <w:spacing w:val="-1"/>
        </w:rPr>
        <w:t> </w:t>
      </w:r>
      <w:r>
        <w:rPr/>
        <w:t>so, the</w:t>
      </w:r>
      <w:r>
        <w:rPr>
          <w:spacing w:val="-1"/>
        </w:rPr>
        <w:t> </w:t>
      </w:r>
      <w:r>
        <w:rPr/>
        <w:t>rural areas as defined by</w:t>
      </w:r>
      <w:r>
        <w:rPr>
          <w:spacing w:val="-8"/>
        </w:rPr>
        <w:t> </w:t>
      </w:r>
      <w:r>
        <w:rPr/>
        <w:t>the circulation system are areas that are far away from the road and also from the urban centre as shown in Figure 4.1. These</w:t>
      </w:r>
      <w:r>
        <w:rPr>
          <w:spacing w:val="33"/>
        </w:rPr>
        <w:t> </w:t>
      </w:r>
      <w:r>
        <w:rPr/>
        <w:t>wards</w:t>
      </w:r>
      <w:r>
        <w:rPr>
          <w:spacing w:val="35"/>
        </w:rPr>
        <w:t> </w:t>
      </w:r>
      <w:r>
        <w:rPr/>
        <w:t>include,</w:t>
      </w:r>
      <w:r>
        <w:rPr>
          <w:spacing w:val="36"/>
        </w:rPr>
        <w:t> </w:t>
      </w:r>
      <w:r>
        <w:rPr/>
        <w:t>Tadurga,</w:t>
      </w:r>
      <w:r>
        <w:rPr>
          <w:spacing w:val="36"/>
        </w:rPr>
        <w:t> </w:t>
      </w:r>
      <w:r>
        <w:rPr/>
        <w:t>Dabai,</w:t>
      </w:r>
      <w:r>
        <w:rPr>
          <w:spacing w:val="36"/>
        </w:rPr>
        <w:t> </w:t>
      </w:r>
      <w:r>
        <w:rPr/>
        <w:t>Zodi,</w:t>
      </w:r>
      <w:r>
        <w:rPr>
          <w:spacing w:val="39"/>
        </w:rPr>
        <w:t> </w:t>
      </w:r>
      <w:r>
        <w:rPr/>
        <w:t>Isgogo</w:t>
      </w:r>
      <w:r>
        <w:rPr>
          <w:spacing w:val="36"/>
        </w:rPr>
        <w:t> </w:t>
      </w:r>
      <w:r>
        <w:rPr/>
        <w:t>Dago,</w:t>
      </w:r>
      <w:r>
        <w:rPr>
          <w:spacing w:val="36"/>
        </w:rPr>
        <w:t> </w:t>
      </w:r>
      <w:r>
        <w:rPr/>
        <w:t>Senchi,</w:t>
      </w:r>
      <w:r>
        <w:rPr>
          <w:spacing w:val="39"/>
        </w:rPr>
        <w:t> </w:t>
      </w:r>
      <w:r>
        <w:rPr/>
        <w:t>and</w:t>
      </w:r>
      <w:r>
        <w:rPr>
          <w:spacing w:val="37"/>
        </w:rPr>
        <w:t> </w:t>
      </w:r>
      <w:r>
        <w:rPr/>
        <w:t>Dabai</w:t>
      </w:r>
      <w:r>
        <w:rPr>
          <w:spacing w:val="36"/>
        </w:rPr>
        <w:t> </w:t>
      </w:r>
      <w:r>
        <w:rPr/>
        <w:t>Seme</w:t>
      </w:r>
      <w:r>
        <w:rPr>
          <w:spacing w:val="36"/>
        </w:rPr>
        <w:t> </w:t>
      </w:r>
      <w:r>
        <w:rPr>
          <w:spacing w:val="-2"/>
        </w:rPr>
        <w:t>ward.</w:t>
      </w:r>
    </w:p>
    <w:p>
      <w:pPr>
        <w:spacing w:after="0" w:line="480" w:lineRule="auto"/>
        <w:jc w:val="both"/>
        <w:sectPr>
          <w:pgSz w:w="11910" w:h="16840"/>
          <w:pgMar w:header="0" w:footer="1003" w:top="1340" w:bottom="1200" w:left="1200" w:right="1160"/>
        </w:sectPr>
      </w:pPr>
    </w:p>
    <w:p>
      <w:pPr>
        <w:pStyle w:val="BodyText"/>
        <w:spacing w:line="482" w:lineRule="auto" w:before="73"/>
        <w:ind w:left="240"/>
      </w:pPr>
      <w:r>
        <w:rPr/>
        <w:t>However,</w:t>
      </w:r>
      <w:r>
        <w:rPr>
          <w:spacing w:val="29"/>
        </w:rPr>
        <w:t> </w:t>
      </w:r>
      <w:r>
        <w:rPr/>
        <w:t>Bedi</w:t>
      </w:r>
      <w:r>
        <w:rPr>
          <w:spacing w:val="30"/>
        </w:rPr>
        <w:t> </w:t>
      </w:r>
      <w:r>
        <w:rPr/>
        <w:t>and</w:t>
      </w:r>
      <w:r>
        <w:rPr>
          <w:spacing w:val="30"/>
        </w:rPr>
        <w:t> </w:t>
      </w:r>
      <w:r>
        <w:rPr/>
        <w:t>Manga</w:t>
      </w:r>
      <w:r>
        <w:rPr>
          <w:spacing w:val="29"/>
        </w:rPr>
        <w:t> </w:t>
      </w:r>
      <w:r>
        <w:rPr/>
        <w:t>Ushe</w:t>
      </w:r>
      <w:r>
        <w:rPr>
          <w:spacing w:val="31"/>
        </w:rPr>
        <w:t> </w:t>
      </w:r>
      <w:r>
        <w:rPr/>
        <w:t>ward</w:t>
      </w:r>
      <w:r>
        <w:rPr>
          <w:spacing w:val="30"/>
        </w:rPr>
        <w:t> </w:t>
      </w:r>
      <w:r>
        <w:rPr/>
        <w:t>are</w:t>
      </w:r>
      <w:r>
        <w:rPr>
          <w:spacing w:val="29"/>
        </w:rPr>
        <w:t> </w:t>
      </w:r>
      <w:r>
        <w:rPr/>
        <w:t>the</w:t>
      </w:r>
      <w:r>
        <w:rPr>
          <w:spacing w:val="30"/>
        </w:rPr>
        <w:t> </w:t>
      </w:r>
      <w:r>
        <w:rPr/>
        <w:t>Suburban</w:t>
      </w:r>
      <w:r>
        <w:rPr>
          <w:spacing w:val="30"/>
        </w:rPr>
        <w:t> </w:t>
      </w:r>
      <w:r>
        <w:rPr/>
        <w:t>areas,</w:t>
      </w:r>
      <w:r>
        <w:rPr>
          <w:spacing w:val="31"/>
        </w:rPr>
        <w:t> </w:t>
      </w:r>
      <w:r>
        <w:rPr/>
        <w:t>which</w:t>
      </w:r>
      <w:r>
        <w:rPr>
          <w:spacing w:val="30"/>
        </w:rPr>
        <w:t> </w:t>
      </w:r>
      <w:r>
        <w:rPr/>
        <w:t>are</w:t>
      </w:r>
      <w:r>
        <w:rPr>
          <w:spacing w:val="28"/>
        </w:rPr>
        <w:t> </w:t>
      </w:r>
      <w:r>
        <w:rPr/>
        <w:t>characterised</w:t>
      </w:r>
      <w:r>
        <w:rPr>
          <w:spacing w:val="30"/>
        </w:rPr>
        <w:t> </w:t>
      </w:r>
      <w:r>
        <w:rPr/>
        <w:t>by new residential development and emerging neighbourhoods.</w:t>
      </w:r>
    </w:p>
    <w:p>
      <w:pPr>
        <w:pStyle w:val="BodyText"/>
        <w:spacing w:before="5"/>
        <w:rPr>
          <w:sz w:val="15"/>
        </w:rPr>
      </w:pPr>
      <w:r>
        <w:rPr/>
        <mc:AlternateContent>
          <mc:Choice Requires="wps">
            <w:drawing>
              <wp:anchor distT="0" distB="0" distL="0" distR="0" allowOverlap="1" layoutInCell="1" locked="0" behindDoc="1" simplePos="0" relativeHeight="487593472">
                <wp:simplePos x="0" y="0"/>
                <wp:positionH relativeFrom="page">
                  <wp:posOffset>1435608</wp:posOffset>
                </wp:positionH>
                <wp:positionV relativeFrom="paragraph">
                  <wp:posOffset>128507</wp:posOffset>
                </wp:positionV>
                <wp:extent cx="4686300" cy="6608445"/>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4686300" cy="6608445"/>
                          <a:chExt cx="4686300" cy="6608445"/>
                        </a:xfrm>
                      </wpg:grpSpPr>
                      <pic:pic>
                        <pic:nvPicPr>
                          <pic:cNvPr id="31" name="Image 31"/>
                          <pic:cNvPicPr/>
                        </pic:nvPicPr>
                        <pic:blipFill>
                          <a:blip r:embed="rId14" cstate="print"/>
                          <a:stretch>
                            <a:fillRect/>
                          </a:stretch>
                        </pic:blipFill>
                        <pic:spPr>
                          <a:xfrm>
                            <a:off x="19811" y="19811"/>
                            <a:ext cx="4646676" cy="6568440"/>
                          </a:xfrm>
                          <a:prstGeom prst="rect">
                            <a:avLst/>
                          </a:prstGeom>
                        </pic:spPr>
                      </pic:pic>
                      <wps:wsp>
                        <wps:cNvPr id="32" name="Graphic 32"/>
                        <wps:cNvSpPr/>
                        <wps:spPr>
                          <a:xfrm>
                            <a:off x="9905" y="9905"/>
                            <a:ext cx="4666615" cy="6588759"/>
                          </a:xfrm>
                          <a:custGeom>
                            <a:avLst/>
                            <a:gdLst/>
                            <a:ahLst/>
                            <a:cxnLst/>
                            <a:rect l="l" t="t" r="r" b="b"/>
                            <a:pathLst>
                              <a:path w="4666615" h="6588759">
                                <a:moveTo>
                                  <a:pt x="0" y="6588252"/>
                                </a:moveTo>
                                <a:lnTo>
                                  <a:pt x="4666488" y="6588252"/>
                                </a:lnTo>
                                <a:lnTo>
                                  <a:pt x="4666488" y="0"/>
                                </a:lnTo>
                                <a:lnTo>
                                  <a:pt x="0" y="0"/>
                                </a:lnTo>
                                <a:lnTo>
                                  <a:pt x="0" y="6588252"/>
                                </a:lnTo>
                                <a:close/>
                              </a:path>
                            </a:pathLst>
                          </a:custGeom>
                          <a:ln w="198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3.040001pt;margin-top:10.118711pt;width:369pt;height:520.35pt;mso-position-horizontal-relative:page;mso-position-vertical-relative:paragraph;z-index:-15723008;mso-wrap-distance-left:0;mso-wrap-distance-right:0" id="docshapegroup30" coordorigin="2261,202" coordsize="7380,10407">
                <v:shape style="position:absolute;left:2292;top:233;width:7318;height:10344" type="#_x0000_t75" id="docshape31" stroked="false">
                  <v:imagedata r:id="rId14" o:title=""/>
                </v:shape>
                <v:rect style="position:absolute;left:2276;top:217;width:7349;height:10376" id="docshape32" filled="false" stroked="true" strokeweight="1.56pt" strokecolor="#000000">
                  <v:stroke dashstyle="solid"/>
                </v:rect>
                <w10:wrap type="topAndBottom"/>
              </v:group>
            </w:pict>
          </mc:Fallback>
        </mc:AlternateContent>
      </w:r>
    </w:p>
    <w:p>
      <w:pPr>
        <w:pStyle w:val="BodyText"/>
        <w:ind w:left="3466" w:right="103" w:hanging="2739"/>
      </w:pPr>
      <w:r>
        <w:rPr/>
        <w:t>Figure</w:t>
      </w:r>
      <w:r>
        <w:rPr>
          <w:spacing w:val="-6"/>
        </w:rPr>
        <w:t> </w:t>
      </w:r>
      <w:r>
        <w:rPr/>
        <w:t>4.1:</w:t>
      </w:r>
      <w:r>
        <w:rPr>
          <w:spacing w:val="-4"/>
        </w:rPr>
        <w:t> </w:t>
      </w:r>
      <w:r>
        <w:rPr/>
        <w:t>Existing</w:t>
      </w:r>
      <w:r>
        <w:rPr>
          <w:spacing w:val="-6"/>
        </w:rPr>
        <w:t> </w:t>
      </w:r>
      <w:r>
        <w:rPr/>
        <w:t>Social</w:t>
      </w:r>
      <w:r>
        <w:rPr>
          <w:spacing w:val="-1"/>
        </w:rPr>
        <w:t> </w:t>
      </w:r>
      <w:r>
        <w:rPr/>
        <w:t>Infrastructure</w:t>
      </w:r>
      <w:r>
        <w:rPr>
          <w:spacing w:val="-5"/>
        </w:rPr>
        <w:t> </w:t>
      </w:r>
      <w:r>
        <w:rPr/>
        <w:t>of</w:t>
      </w:r>
      <w:r>
        <w:rPr>
          <w:spacing w:val="-4"/>
        </w:rPr>
        <w:t> </w:t>
      </w:r>
      <w:r>
        <w:rPr/>
        <w:t>Wards</w:t>
      </w:r>
      <w:r>
        <w:rPr>
          <w:spacing w:val="-4"/>
        </w:rPr>
        <w:t> </w:t>
      </w:r>
      <w:r>
        <w:rPr/>
        <w:t>in</w:t>
      </w:r>
      <w:r>
        <w:rPr>
          <w:spacing w:val="-4"/>
        </w:rPr>
        <w:t> </w:t>
      </w:r>
      <w:r>
        <w:rPr/>
        <w:t>Zuru</w:t>
      </w:r>
      <w:r>
        <w:rPr>
          <w:spacing w:val="-3"/>
        </w:rPr>
        <w:t> </w:t>
      </w:r>
      <w:r>
        <w:rPr/>
        <w:t>Local</w:t>
      </w:r>
      <w:r>
        <w:rPr>
          <w:spacing w:val="-4"/>
        </w:rPr>
        <w:t> </w:t>
      </w:r>
      <w:r>
        <w:rPr/>
        <w:t>Government</w:t>
      </w:r>
      <w:r>
        <w:rPr>
          <w:spacing w:val="-4"/>
        </w:rPr>
        <w:t> </w:t>
      </w:r>
      <w:r>
        <w:rPr/>
        <w:t>Area Source: Researcher’s 2020</w:t>
      </w:r>
    </w:p>
    <w:p>
      <w:pPr>
        <w:pStyle w:val="BodyText"/>
        <w:rPr>
          <w:sz w:val="26"/>
        </w:rPr>
      </w:pPr>
    </w:p>
    <w:p>
      <w:pPr>
        <w:pStyle w:val="BodyText"/>
        <w:spacing w:line="480" w:lineRule="auto" w:before="216"/>
        <w:ind w:left="240"/>
      </w:pPr>
      <w:r>
        <w:rPr/>
        <w:t>Since Figure 4.1 showed a graphical evidence of social infrastructure (PPSs and PHCs) sited outside</w:t>
      </w:r>
      <w:r>
        <w:rPr>
          <w:spacing w:val="17"/>
        </w:rPr>
        <w:t> </w:t>
      </w:r>
      <w:r>
        <w:rPr/>
        <w:t>the</w:t>
      </w:r>
      <w:r>
        <w:rPr>
          <w:spacing w:val="19"/>
        </w:rPr>
        <w:t> </w:t>
      </w:r>
      <w:r>
        <w:rPr/>
        <w:t>local</w:t>
      </w:r>
      <w:r>
        <w:rPr>
          <w:spacing w:val="25"/>
        </w:rPr>
        <w:t> </w:t>
      </w:r>
      <w:r>
        <w:rPr/>
        <w:t>government</w:t>
      </w:r>
      <w:r>
        <w:rPr>
          <w:spacing w:val="21"/>
        </w:rPr>
        <w:t> </w:t>
      </w:r>
      <w:r>
        <w:rPr/>
        <w:t>borders,</w:t>
      </w:r>
      <w:r>
        <w:rPr>
          <w:spacing w:val="24"/>
        </w:rPr>
        <w:t> </w:t>
      </w:r>
      <w:r>
        <w:rPr/>
        <w:t>it</w:t>
      </w:r>
      <w:r>
        <w:rPr>
          <w:spacing w:val="21"/>
        </w:rPr>
        <w:t> </w:t>
      </w:r>
      <w:r>
        <w:rPr/>
        <w:t>thus</w:t>
      </w:r>
      <w:r>
        <w:rPr>
          <w:spacing w:val="21"/>
        </w:rPr>
        <w:t> </w:t>
      </w:r>
      <w:r>
        <w:rPr/>
        <w:t>presented</w:t>
      </w:r>
      <w:r>
        <w:rPr>
          <w:spacing w:val="20"/>
        </w:rPr>
        <w:t> </w:t>
      </w:r>
      <w:r>
        <w:rPr/>
        <w:t>the</w:t>
      </w:r>
      <w:r>
        <w:rPr>
          <w:spacing w:val="19"/>
        </w:rPr>
        <w:t> </w:t>
      </w:r>
      <w:r>
        <w:rPr/>
        <w:t>need</w:t>
      </w:r>
      <w:r>
        <w:rPr>
          <w:spacing w:val="22"/>
        </w:rPr>
        <w:t> </w:t>
      </w:r>
      <w:r>
        <w:rPr/>
        <w:t>to</w:t>
      </w:r>
      <w:r>
        <w:rPr>
          <w:spacing w:val="21"/>
        </w:rPr>
        <w:t> </w:t>
      </w:r>
      <w:r>
        <w:rPr/>
        <w:t>select</w:t>
      </w:r>
      <w:r>
        <w:rPr>
          <w:spacing w:val="20"/>
        </w:rPr>
        <w:t> </w:t>
      </w:r>
      <w:r>
        <w:rPr/>
        <w:t>wards</w:t>
      </w:r>
      <w:r>
        <w:rPr>
          <w:spacing w:val="25"/>
        </w:rPr>
        <w:t> </w:t>
      </w:r>
      <w:r>
        <w:rPr/>
        <w:t>with</w:t>
      </w:r>
      <w:r>
        <w:rPr>
          <w:spacing w:val="21"/>
        </w:rPr>
        <w:t> </w:t>
      </w:r>
      <w:r>
        <w:rPr>
          <w:spacing w:val="-2"/>
        </w:rPr>
        <w:t>social</w:t>
      </w:r>
    </w:p>
    <w:p>
      <w:pPr>
        <w:spacing w:after="0" w:line="480" w:lineRule="auto"/>
        <w:sectPr>
          <w:pgSz w:w="11910" w:h="16840"/>
          <w:pgMar w:header="0" w:footer="1003" w:top="1340" w:bottom="1200" w:left="1200" w:right="1160"/>
        </w:sectPr>
      </w:pPr>
    </w:p>
    <w:p>
      <w:pPr>
        <w:pStyle w:val="BodyText"/>
        <w:spacing w:line="480" w:lineRule="auto" w:before="73"/>
        <w:ind w:left="240" w:right="271"/>
        <w:jc w:val="both"/>
      </w:pPr>
      <w:r>
        <w:rPr/>
        <w:t>infrastructure and households that falls within the</w:t>
      </w:r>
      <w:r>
        <w:rPr>
          <w:spacing w:val="-1"/>
        </w:rPr>
        <w:t> </w:t>
      </w:r>
      <w:r>
        <w:rPr/>
        <w:t>spatial scope of the study. Hence, using the findings in Figure 4.1, six wards were selected as sampling units for spatial analysis. They include; Rikoto, Rafin Zuru, Dabai, Bedi, Manga Ushe and Tadurga wards as shown in</w:t>
      </w:r>
      <w:r>
        <w:rPr>
          <w:spacing w:val="40"/>
        </w:rPr>
        <w:t> </w:t>
      </w:r>
      <w:r>
        <w:rPr/>
        <w:t>Figure 4.2. The wards used for analysis comprises of two urban, suburban and rural wards </w:t>
      </w:r>
      <w:r>
        <w:rPr>
          <w:spacing w:val="-2"/>
        </w:rPr>
        <w:t>respectively.</w:t>
      </w:r>
    </w:p>
    <w:p>
      <w:pPr>
        <w:pStyle w:val="BodyText"/>
        <w:spacing w:before="3"/>
        <w:rPr>
          <w:sz w:val="19"/>
        </w:rPr>
      </w:pPr>
      <w:r>
        <w:rPr/>
        <mc:AlternateContent>
          <mc:Choice Requires="wps">
            <w:drawing>
              <wp:anchor distT="0" distB="0" distL="0" distR="0" allowOverlap="1" layoutInCell="1" locked="0" behindDoc="1" simplePos="0" relativeHeight="487593984">
                <wp:simplePos x="0" y="0"/>
                <wp:positionH relativeFrom="page">
                  <wp:posOffset>1626107</wp:posOffset>
                </wp:positionH>
                <wp:positionV relativeFrom="paragraph">
                  <wp:posOffset>156134</wp:posOffset>
                </wp:positionV>
                <wp:extent cx="4308475" cy="6067425"/>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4308475" cy="6067425"/>
                          <a:chExt cx="4308475" cy="6067425"/>
                        </a:xfrm>
                      </wpg:grpSpPr>
                      <pic:pic>
                        <pic:nvPicPr>
                          <pic:cNvPr id="34" name="Image 34"/>
                          <pic:cNvPicPr/>
                        </pic:nvPicPr>
                        <pic:blipFill>
                          <a:blip r:embed="rId15" cstate="print"/>
                          <a:stretch>
                            <a:fillRect/>
                          </a:stretch>
                        </pic:blipFill>
                        <pic:spPr>
                          <a:xfrm>
                            <a:off x="1778" y="380"/>
                            <a:ext cx="4306189" cy="6058789"/>
                          </a:xfrm>
                          <a:prstGeom prst="rect">
                            <a:avLst/>
                          </a:prstGeom>
                        </pic:spPr>
                      </pic:pic>
                      <wps:wsp>
                        <wps:cNvPr id="35" name="Graphic 35"/>
                        <wps:cNvSpPr/>
                        <wps:spPr>
                          <a:xfrm>
                            <a:off x="9905" y="9905"/>
                            <a:ext cx="4284345" cy="6047740"/>
                          </a:xfrm>
                          <a:custGeom>
                            <a:avLst/>
                            <a:gdLst/>
                            <a:ahLst/>
                            <a:cxnLst/>
                            <a:rect l="l" t="t" r="r" b="b"/>
                            <a:pathLst>
                              <a:path w="4284345" h="6047740">
                                <a:moveTo>
                                  <a:pt x="0" y="6047232"/>
                                </a:moveTo>
                                <a:lnTo>
                                  <a:pt x="4283964" y="6047232"/>
                                </a:lnTo>
                                <a:lnTo>
                                  <a:pt x="4283964" y="0"/>
                                </a:lnTo>
                                <a:lnTo>
                                  <a:pt x="0" y="0"/>
                                </a:lnTo>
                                <a:lnTo>
                                  <a:pt x="0" y="6047232"/>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8.039993pt;margin-top:12.294072pt;width:339.25pt;height:477.75pt;mso-position-horizontal-relative:page;mso-position-vertical-relative:paragraph;z-index:-15722496;mso-wrap-distance-left:0;mso-wrap-distance-right:0" id="docshapegroup33" coordorigin="2561,246" coordsize="6785,9555">
                <v:shape style="position:absolute;left:2563;top:246;width:6782;height:9542" type="#_x0000_t75" id="docshape34" stroked="false">
                  <v:imagedata r:id="rId15" o:title=""/>
                </v:shape>
                <v:rect style="position:absolute;left:2576;top:261;width:6747;height:9524" id="docshape35" filled="false" stroked="true" strokeweight="1.56pt" strokecolor="#000000">
                  <v:stroke dashstyle="solid"/>
                </v:rect>
                <w10:wrap type="topAndBottom"/>
              </v:group>
            </w:pict>
          </mc:Fallback>
        </mc:AlternateContent>
      </w:r>
    </w:p>
    <w:p>
      <w:pPr>
        <w:pStyle w:val="BodyText"/>
        <w:spacing w:line="242" w:lineRule="auto"/>
        <w:ind w:left="3466" w:right="874" w:hanging="2480"/>
      </w:pPr>
      <w:r>
        <w:rPr/>
        <w:t>Figure</w:t>
      </w:r>
      <w:r>
        <w:rPr>
          <w:spacing w:val="-7"/>
        </w:rPr>
        <w:t> </w:t>
      </w:r>
      <w:r>
        <w:rPr/>
        <w:t>4.2:</w:t>
      </w:r>
      <w:r>
        <w:rPr>
          <w:spacing w:val="-4"/>
        </w:rPr>
        <w:t> </w:t>
      </w:r>
      <w:r>
        <w:rPr/>
        <w:t>Existing</w:t>
      </w:r>
      <w:r>
        <w:rPr>
          <w:spacing w:val="-7"/>
        </w:rPr>
        <w:t> </w:t>
      </w:r>
      <w:r>
        <w:rPr/>
        <w:t>Social</w:t>
      </w:r>
      <w:r>
        <w:rPr>
          <w:spacing w:val="-2"/>
        </w:rPr>
        <w:t> </w:t>
      </w:r>
      <w:r>
        <w:rPr/>
        <w:t>Infrastructure</w:t>
      </w:r>
      <w:r>
        <w:rPr>
          <w:spacing w:val="-3"/>
        </w:rPr>
        <w:t> </w:t>
      </w:r>
      <w:r>
        <w:rPr/>
        <w:t>within</w:t>
      </w:r>
      <w:r>
        <w:rPr>
          <w:spacing w:val="-5"/>
        </w:rPr>
        <w:t> </w:t>
      </w:r>
      <w:r>
        <w:rPr/>
        <w:t>Zuru</w:t>
      </w:r>
      <w:r>
        <w:rPr>
          <w:spacing w:val="-3"/>
        </w:rPr>
        <w:t> </w:t>
      </w:r>
      <w:r>
        <w:rPr/>
        <w:t>Local</w:t>
      </w:r>
      <w:r>
        <w:rPr>
          <w:spacing w:val="-5"/>
        </w:rPr>
        <w:t> </w:t>
      </w:r>
      <w:r>
        <w:rPr/>
        <w:t>Government</w:t>
      </w:r>
      <w:r>
        <w:rPr>
          <w:spacing w:val="-5"/>
        </w:rPr>
        <w:t> </w:t>
      </w:r>
      <w:r>
        <w:rPr/>
        <w:t>Area Source: Researcher’s 2020</w:t>
      </w:r>
    </w:p>
    <w:p>
      <w:pPr>
        <w:spacing w:after="0" w:line="242" w:lineRule="auto"/>
        <w:sectPr>
          <w:pgSz w:w="11910" w:h="16840"/>
          <w:pgMar w:header="0" w:footer="1003" w:top="1340" w:bottom="1200" w:left="1200" w:right="1160"/>
        </w:sectPr>
      </w:pPr>
    </w:p>
    <w:p>
      <w:pPr>
        <w:pStyle w:val="Heading1"/>
        <w:numPr>
          <w:ilvl w:val="2"/>
          <w:numId w:val="7"/>
        </w:numPr>
        <w:tabs>
          <w:tab w:pos="959" w:val="left" w:leader="none"/>
        </w:tabs>
        <w:spacing w:line="240" w:lineRule="auto" w:before="78" w:after="0"/>
        <w:ind w:left="959" w:right="0" w:hanging="719"/>
        <w:jc w:val="both"/>
      </w:pPr>
      <w:r>
        <w:rPr/>
        <w:t>Existing</w:t>
      </w:r>
      <w:r>
        <w:rPr>
          <w:spacing w:val="-4"/>
        </w:rPr>
        <w:t> </w:t>
      </w:r>
      <w:r>
        <w:rPr/>
        <w:t>primary</w:t>
      </w:r>
      <w:r>
        <w:rPr>
          <w:spacing w:val="-2"/>
        </w:rPr>
        <w:t> </w:t>
      </w:r>
      <w:r>
        <w:rPr/>
        <w:t>health</w:t>
      </w:r>
      <w:r>
        <w:rPr>
          <w:spacing w:val="-1"/>
        </w:rPr>
        <w:t> </w:t>
      </w:r>
      <w:r>
        <w:rPr/>
        <w:t>facilities</w:t>
      </w:r>
      <w:r>
        <w:rPr>
          <w:spacing w:val="-1"/>
        </w:rPr>
        <w:t> </w:t>
      </w:r>
      <w:r>
        <w:rPr/>
        <w:t>within</w:t>
      </w:r>
      <w:r>
        <w:rPr>
          <w:spacing w:val="-1"/>
        </w:rPr>
        <w:t> </w:t>
      </w:r>
      <w:r>
        <w:rPr/>
        <w:t>the</w:t>
      </w:r>
      <w:r>
        <w:rPr>
          <w:spacing w:val="-3"/>
        </w:rPr>
        <w:t> </w:t>
      </w:r>
      <w:r>
        <w:rPr/>
        <w:t>selected </w:t>
      </w:r>
      <w:r>
        <w:rPr>
          <w:spacing w:val="-2"/>
        </w:rPr>
        <w:t>wards</w:t>
      </w:r>
    </w:p>
    <w:p>
      <w:pPr>
        <w:pStyle w:val="BodyText"/>
        <w:spacing w:before="7"/>
        <w:rPr>
          <w:b/>
          <w:sz w:val="23"/>
        </w:rPr>
      </w:pPr>
    </w:p>
    <w:p>
      <w:pPr>
        <w:pStyle w:val="BodyText"/>
        <w:spacing w:line="480" w:lineRule="auto"/>
        <w:ind w:left="240" w:right="273"/>
        <w:jc w:val="both"/>
      </w:pPr>
      <w:r>
        <w:rPr/>
        <w:t>There are fourteen existing provisions made for public primary health care facilities within</w:t>
      </w:r>
      <w:r>
        <w:rPr>
          <w:spacing w:val="40"/>
        </w:rPr>
        <w:t> </w:t>
      </w:r>
      <w:r>
        <w:rPr/>
        <w:t>the selected wards. Dabai, and Manga Ushe wards have four PHCs each while, Tadurga, Rikoto and Rafin Zuru ward have only one PHC each and Bedi have three. Each PHC (Primary health centre) also have its own unique name as shown in Table 4.1. The names given to these PHCs were also the names of the settlement where they were found. For instance; the PHC in Kwendo is sited in Kwendo community and as such ‘Kwendo’ is use adjectively to identify and/or differentiate that particular PHC from others.</w:t>
      </w:r>
    </w:p>
    <w:p>
      <w:pPr>
        <w:pStyle w:val="Heading1"/>
        <w:spacing w:after="4"/>
        <w:ind w:left="240" w:firstLine="0"/>
      </w:pPr>
      <w:r>
        <w:rPr/>
        <w:t>Table</w:t>
      </w:r>
      <w:r>
        <w:rPr>
          <w:spacing w:val="-4"/>
        </w:rPr>
        <w:t> </w:t>
      </w:r>
      <w:r>
        <w:rPr/>
        <w:t>4.1:</w:t>
      </w:r>
      <w:r>
        <w:rPr>
          <w:spacing w:val="-3"/>
        </w:rPr>
        <w:t> </w:t>
      </w:r>
      <w:r>
        <w:rPr/>
        <w:t>Existing</w:t>
      </w:r>
      <w:r>
        <w:rPr>
          <w:spacing w:val="-2"/>
        </w:rPr>
        <w:t> </w:t>
      </w:r>
      <w:r>
        <w:rPr/>
        <w:t>Primary</w:t>
      </w:r>
      <w:r>
        <w:rPr>
          <w:spacing w:val="-2"/>
        </w:rPr>
        <w:t> </w:t>
      </w:r>
      <w:r>
        <w:rPr/>
        <w:t>Health Facilities</w:t>
      </w:r>
      <w:r>
        <w:rPr>
          <w:spacing w:val="3"/>
        </w:rPr>
        <w:t> </w:t>
      </w:r>
      <w:r>
        <w:rPr/>
        <w:t>within</w:t>
      </w:r>
      <w:r>
        <w:rPr>
          <w:spacing w:val="-2"/>
        </w:rPr>
        <w:t> </w:t>
      </w:r>
      <w:r>
        <w:rPr/>
        <w:t>Zuru</w:t>
      </w:r>
      <w:r>
        <w:rPr>
          <w:spacing w:val="-1"/>
        </w:rPr>
        <w:t> </w:t>
      </w:r>
      <w:r>
        <w:rPr>
          <w:spacing w:val="-2"/>
        </w:rPr>
        <w:t>L.G.A</w:t>
      </w: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8"/>
        <w:gridCol w:w="3199"/>
        <w:gridCol w:w="1723"/>
        <w:gridCol w:w="1727"/>
        <w:gridCol w:w="1570"/>
      </w:tblGrid>
      <w:tr>
        <w:trPr>
          <w:trHeight w:val="364" w:hRule="atLeast"/>
        </w:trPr>
        <w:tc>
          <w:tcPr>
            <w:tcW w:w="888" w:type="dxa"/>
            <w:tcBorders>
              <w:top w:val="single" w:sz="8" w:space="0" w:color="000000"/>
              <w:bottom w:val="single" w:sz="8" w:space="0" w:color="000000"/>
            </w:tcBorders>
          </w:tcPr>
          <w:p>
            <w:pPr>
              <w:pStyle w:val="TableParagraph"/>
              <w:spacing w:line="275" w:lineRule="exact"/>
              <w:ind w:left="109" w:right="162"/>
              <w:rPr>
                <w:b/>
                <w:sz w:val="24"/>
              </w:rPr>
            </w:pPr>
            <w:r>
              <w:rPr>
                <w:b/>
                <w:spacing w:val="-2"/>
                <w:sz w:val="24"/>
              </w:rPr>
              <w:t>Index</w:t>
            </w:r>
          </w:p>
        </w:tc>
        <w:tc>
          <w:tcPr>
            <w:tcW w:w="3199" w:type="dxa"/>
            <w:tcBorders>
              <w:top w:val="single" w:sz="8" w:space="0" w:color="000000"/>
              <w:bottom w:val="single" w:sz="8" w:space="0" w:color="000000"/>
            </w:tcBorders>
          </w:tcPr>
          <w:p>
            <w:pPr>
              <w:pStyle w:val="TableParagraph"/>
              <w:spacing w:line="275" w:lineRule="exact"/>
              <w:ind w:left="163" w:right="230"/>
              <w:rPr>
                <w:b/>
                <w:sz w:val="24"/>
              </w:rPr>
            </w:pPr>
            <w:r>
              <w:rPr>
                <w:b/>
                <w:sz w:val="24"/>
              </w:rPr>
              <w:t>Infrastructure</w:t>
            </w:r>
            <w:r>
              <w:rPr>
                <w:b/>
                <w:spacing w:val="-7"/>
                <w:sz w:val="24"/>
              </w:rPr>
              <w:t> </w:t>
            </w:r>
            <w:r>
              <w:rPr>
                <w:b/>
                <w:spacing w:val="-4"/>
                <w:sz w:val="24"/>
              </w:rPr>
              <w:t>Name</w:t>
            </w:r>
          </w:p>
        </w:tc>
        <w:tc>
          <w:tcPr>
            <w:tcW w:w="1723" w:type="dxa"/>
            <w:tcBorders>
              <w:top w:val="single" w:sz="8" w:space="0" w:color="000000"/>
              <w:bottom w:val="single" w:sz="8" w:space="0" w:color="000000"/>
            </w:tcBorders>
          </w:tcPr>
          <w:p>
            <w:pPr>
              <w:pStyle w:val="TableParagraph"/>
              <w:spacing w:line="275" w:lineRule="exact"/>
              <w:ind w:left="228" w:right="253"/>
              <w:rPr>
                <w:b/>
                <w:sz w:val="24"/>
              </w:rPr>
            </w:pPr>
            <w:r>
              <w:rPr>
                <w:b/>
                <w:spacing w:val="-4"/>
                <w:sz w:val="24"/>
              </w:rPr>
              <w:t>Ward</w:t>
            </w:r>
          </w:p>
        </w:tc>
        <w:tc>
          <w:tcPr>
            <w:tcW w:w="1727" w:type="dxa"/>
            <w:tcBorders>
              <w:top w:val="single" w:sz="8" w:space="0" w:color="000000"/>
              <w:bottom w:val="single" w:sz="8" w:space="0" w:color="000000"/>
            </w:tcBorders>
          </w:tcPr>
          <w:p>
            <w:pPr>
              <w:pStyle w:val="TableParagraph"/>
              <w:spacing w:line="275" w:lineRule="exact"/>
              <w:ind w:left="256" w:right="191"/>
              <w:rPr>
                <w:b/>
                <w:sz w:val="24"/>
              </w:rPr>
            </w:pPr>
            <w:r>
              <w:rPr>
                <w:b/>
                <w:spacing w:val="-2"/>
                <w:sz w:val="24"/>
              </w:rPr>
              <w:t>Latitude</w:t>
            </w:r>
          </w:p>
        </w:tc>
        <w:tc>
          <w:tcPr>
            <w:tcW w:w="1570" w:type="dxa"/>
            <w:tcBorders>
              <w:top w:val="single" w:sz="8" w:space="0" w:color="000000"/>
              <w:bottom w:val="single" w:sz="8" w:space="0" w:color="000000"/>
            </w:tcBorders>
          </w:tcPr>
          <w:p>
            <w:pPr>
              <w:pStyle w:val="TableParagraph"/>
              <w:spacing w:line="275" w:lineRule="exact"/>
              <w:ind w:left="190" w:right="99"/>
              <w:rPr>
                <w:b/>
                <w:sz w:val="24"/>
              </w:rPr>
            </w:pPr>
            <w:r>
              <w:rPr>
                <w:b/>
                <w:spacing w:val="-2"/>
                <w:sz w:val="24"/>
              </w:rPr>
              <w:t>Longitude</w:t>
            </w:r>
          </w:p>
        </w:tc>
      </w:tr>
      <w:tr>
        <w:trPr>
          <w:trHeight w:val="318" w:hRule="atLeast"/>
        </w:trPr>
        <w:tc>
          <w:tcPr>
            <w:tcW w:w="888" w:type="dxa"/>
            <w:tcBorders>
              <w:top w:val="single" w:sz="8" w:space="0" w:color="000000"/>
            </w:tcBorders>
          </w:tcPr>
          <w:p>
            <w:pPr>
              <w:pStyle w:val="TableParagraph"/>
              <w:spacing w:line="270" w:lineRule="exact"/>
              <w:ind w:right="55"/>
              <w:rPr>
                <w:sz w:val="24"/>
              </w:rPr>
            </w:pPr>
            <w:r>
              <w:rPr>
                <w:sz w:val="24"/>
              </w:rPr>
              <w:t>1</w:t>
            </w:r>
          </w:p>
        </w:tc>
        <w:tc>
          <w:tcPr>
            <w:tcW w:w="3199" w:type="dxa"/>
            <w:tcBorders>
              <w:top w:val="single" w:sz="8" w:space="0" w:color="000000"/>
            </w:tcBorders>
          </w:tcPr>
          <w:p>
            <w:pPr>
              <w:pStyle w:val="TableParagraph"/>
              <w:spacing w:line="270" w:lineRule="exact"/>
              <w:ind w:left="168" w:right="230"/>
              <w:rPr>
                <w:sz w:val="24"/>
              </w:rPr>
            </w:pPr>
            <w:r>
              <w:rPr>
                <w:sz w:val="24"/>
              </w:rPr>
              <w:t>Dabai</w:t>
            </w:r>
            <w:r>
              <w:rPr>
                <w:spacing w:val="-5"/>
                <w:sz w:val="24"/>
              </w:rPr>
              <w:t> PHC</w:t>
            </w:r>
          </w:p>
        </w:tc>
        <w:tc>
          <w:tcPr>
            <w:tcW w:w="1723" w:type="dxa"/>
            <w:tcBorders>
              <w:top w:val="single" w:sz="8" w:space="0" w:color="000000"/>
            </w:tcBorders>
          </w:tcPr>
          <w:p>
            <w:pPr>
              <w:pStyle w:val="TableParagraph"/>
              <w:spacing w:line="270" w:lineRule="exact"/>
              <w:ind w:left="228" w:right="252"/>
              <w:rPr>
                <w:sz w:val="24"/>
              </w:rPr>
            </w:pPr>
            <w:r>
              <w:rPr>
                <w:spacing w:val="-2"/>
                <w:sz w:val="24"/>
              </w:rPr>
              <w:t>Dabai</w:t>
            </w:r>
          </w:p>
        </w:tc>
        <w:tc>
          <w:tcPr>
            <w:tcW w:w="1727" w:type="dxa"/>
            <w:tcBorders>
              <w:top w:val="single" w:sz="8" w:space="0" w:color="000000"/>
            </w:tcBorders>
          </w:tcPr>
          <w:p>
            <w:pPr>
              <w:pStyle w:val="TableParagraph"/>
              <w:spacing w:line="270" w:lineRule="exact"/>
              <w:ind w:left="256" w:right="193"/>
              <w:rPr>
                <w:sz w:val="24"/>
              </w:rPr>
            </w:pPr>
            <w:r>
              <w:rPr>
                <w:spacing w:val="-2"/>
                <w:sz w:val="24"/>
              </w:rPr>
              <w:t>11.47892667</w:t>
            </w:r>
          </w:p>
        </w:tc>
        <w:tc>
          <w:tcPr>
            <w:tcW w:w="1570" w:type="dxa"/>
            <w:tcBorders>
              <w:top w:val="single" w:sz="8" w:space="0" w:color="000000"/>
            </w:tcBorders>
          </w:tcPr>
          <w:p>
            <w:pPr>
              <w:pStyle w:val="TableParagraph"/>
              <w:spacing w:line="270" w:lineRule="exact"/>
              <w:ind w:left="190" w:right="101"/>
              <w:rPr>
                <w:sz w:val="24"/>
              </w:rPr>
            </w:pPr>
            <w:r>
              <w:rPr>
                <w:spacing w:val="-2"/>
                <w:sz w:val="24"/>
              </w:rPr>
              <w:t>5.21746</w:t>
            </w:r>
          </w:p>
        </w:tc>
      </w:tr>
      <w:tr>
        <w:trPr>
          <w:trHeight w:val="363" w:hRule="atLeast"/>
        </w:trPr>
        <w:tc>
          <w:tcPr>
            <w:tcW w:w="888" w:type="dxa"/>
          </w:tcPr>
          <w:p>
            <w:pPr>
              <w:pStyle w:val="TableParagraph"/>
              <w:spacing w:before="38"/>
              <w:ind w:right="55"/>
              <w:rPr>
                <w:sz w:val="24"/>
              </w:rPr>
            </w:pPr>
            <w:r>
              <w:rPr>
                <w:sz w:val="24"/>
              </w:rPr>
              <w:t>2</w:t>
            </w:r>
          </w:p>
        </w:tc>
        <w:tc>
          <w:tcPr>
            <w:tcW w:w="3199" w:type="dxa"/>
          </w:tcPr>
          <w:p>
            <w:pPr>
              <w:pStyle w:val="TableParagraph"/>
              <w:spacing w:before="38"/>
              <w:ind w:left="165" w:right="230"/>
              <w:rPr>
                <w:sz w:val="24"/>
              </w:rPr>
            </w:pPr>
            <w:r>
              <w:rPr>
                <w:sz w:val="24"/>
              </w:rPr>
              <w:t>Kwesge</w:t>
            </w:r>
            <w:r>
              <w:rPr>
                <w:spacing w:val="-4"/>
                <w:sz w:val="24"/>
              </w:rPr>
              <w:t> </w:t>
            </w:r>
            <w:r>
              <w:rPr>
                <w:spacing w:val="-2"/>
                <w:sz w:val="24"/>
              </w:rPr>
              <w:t>Clinic</w:t>
            </w:r>
          </w:p>
        </w:tc>
        <w:tc>
          <w:tcPr>
            <w:tcW w:w="1723" w:type="dxa"/>
          </w:tcPr>
          <w:p>
            <w:pPr>
              <w:pStyle w:val="TableParagraph"/>
              <w:spacing w:before="38"/>
              <w:ind w:left="228" w:right="252"/>
              <w:rPr>
                <w:sz w:val="24"/>
              </w:rPr>
            </w:pPr>
            <w:r>
              <w:rPr>
                <w:spacing w:val="-2"/>
                <w:sz w:val="24"/>
              </w:rPr>
              <w:t>Dabai</w:t>
            </w:r>
          </w:p>
        </w:tc>
        <w:tc>
          <w:tcPr>
            <w:tcW w:w="1727" w:type="dxa"/>
          </w:tcPr>
          <w:p>
            <w:pPr>
              <w:pStyle w:val="TableParagraph"/>
              <w:spacing w:before="38"/>
              <w:ind w:left="256" w:right="193"/>
              <w:rPr>
                <w:sz w:val="24"/>
              </w:rPr>
            </w:pPr>
            <w:r>
              <w:rPr>
                <w:spacing w:val="-2"/>
                <w:sz w:val="24"/>
              </w:rPr>
              <w:t>11.48746667</w:t>
            </w:r>
          </w:p>
        </w:tc>
        <w:tc>
          <w:tcPr>
            <w:tcW w:w="1570" w:type="dxa"/>
          </w:tcPr>
          <w:p>
            <w:pPr>
              <w:pStyle w:val="TableParagraph"/>
              <w:spacing w:before="38"/>
              <w:ind w:left="190" w:right="101"/>
              <w:rPr>
                <w:sz w:val="24"/>
              </w:rPr>
            </w:pPr>
            <w:r>
              <w:rPr>
                <w:spacing w:val="-2"/>
                <w:sz w:val="24"/>
              </w:rPr>
              <w:t>5.258278333</w:t>
            </w:r>
          </w:p>
        </w:tc>
      </w:tr>
      <w:tr>
        <w:trPr>
          <w:trHeight w:val="363" w:hRule="atLeast"/>
        </w:trPr>
        <w:tc>
          <w:tcPr>
            <w:tcW w:w="888" w:type="dxa"/>
          </w:tcPr>
          <w:p>
            <w:pPr>
              <w:pStyle w:val="TableParagraph"/>
              <w:spacing w:before="39"/>
              <w:ind w:right="55"/>
              <w:rPr>
                <w:sz w:val="24"/>
              </w:rPr>
            </w:pPr>
            <w:r>
              <w:rPr>
                <w:sz w:val="24"/>
              </w:rPr>
              <w:t>3</w:t>
            </w:r>
          </w:p>
        </w:tc>
        <w:tc>
          <w:tcPr>
            <w:tcW w:w="3199" w:type="dxa"/>
          </w:tcPr>
          <w:p>
            <w:pPr>
              <w:pStyle w:val="TableParagraph"/>
              <w:spacing w:before="39"/>
              <w:ind w:left="167" w:right="230"/>
              <w:rPr>
                <w:sz w:val="24"/>
              </w:rPr>
            </w:pPr>
            <w:r>
              <w:rPr>
                <w:sz w:val="24"/>
              </w:rPr>
              <w:t>Kwendo</w:t>
            </w:r>
            <w:r>
              <w:rPr>
                <w:spacing w:val="-2"/>
                <w:sz w:val="24"/>
              </w:rPr>
              <w:t> </w:t>
            </w:r>
            <w:r>
              <w:rPr>
                <w:spacing w:val="-5"/>
                <w:sz w:val="24"/>
              </w:rPr>
              <w:t>PHC</w:t>
            </w:r>
          </w:p>
        </w:tc>
        <w:tc>
          <w:tcPr>
            <w:tcW w:w="1723" w:type="dxa"/>
          </w:tcPr>
          <w:p>
            <w:pPr>
              <w:pStyle w:val="TableParagraph"/>
              <w:spacing w:before="39"/>
              <w:ind w:left="228" w:right="252"/>
              <w:rPr>
                <w:sz w:val="24"/>
              </w:rPr>
            </w:pPr>
            <w:r>
              <w:rPr>
                <w:spacing w:val="-2"/>
                <w:sz w:val="24"/>
              </w:rPr>
              <w:t>Dabai</w:t>
            </w:r>
          </w:p>
        </w:tc>
        <w:tc>
          <w:tcPr>
            <w:tcW w:w="1727" w:type="dxa"/>
          </w:tcPr>
          <w:p>
            <w:pPr>
              <w:pStyle w:val="TableParagraph"/>
              <w:spacing w:before="39"/>
              <w:ind w:left="256" w:right="192"/>
              <w:rPr>
                <w:sz w:val="24"/>
              </w:rPr>
            </w:pPr>
            <w:r>
              <w:rPr>
                <w:spacing w:val="-2"/>
                <w:sz w:val="24"/>
              </w:rPr>
              <w:t>11.483875</w:t>
            </w:r>
          </w:p>
        </w:tc>
        <w:tc>
          <w:tcPr>
            <w:tcW w:w="1570" w:type="dxa"/>
          </w:tcPr>
          <w:p>
            <w:pPr>
              <w:pStyle w:val="TableParagraph"/>
              <w:spacing w:before="39"/>
              <w:ind w:left="190" w:right="101"/>
              <w:rPr>
                <w:sz w:val="24"/>
              </w:rPr>
            </w:pPr>
            <w:r>
              <w:rPr>
                <w:spacing w:val="-2"/>
                <w:sz w:val="24"/>
              </w:rPr>
              <w:t>5.315813333</w:t>
            </w:r>
          </w:p>
        </w:tc>
      </w:tr>
      <w:tr>
        <w:trPr>
          <w:trHeight w:val="363" w:hRule="atLeast"/>
        </w:trPr>
        <w:tc>
          <w:tcPr>
            <w:tcW w:w="888" w:type="dxa"/>
          </w:tcPr>
          <w:p>
            <w:pPr>
              <w:pStyle w:val="TableParagraph"/>
              <w:spacing w:before="38"/>
              <w:ind w:right="55"/>
              <w:rPr>
                <w:sz w:val="24"/>
              </w:rPr>
            </w:pPr>
            <w:r>
              <w:rPr>
                <w:sz w:val="24"/>
              </w:rPr>
              <w:t>4</w:t>
            </w:r>
          </w:p>
        </w:tc>
        <w:tc>
          <w:tcPr>
            <w:tcW w:w="3199" w:type="dxa"/>
          </w:tcPr>
          <w:p>
            <w:pPr>
              <w:pStyle w:val="TableParagraph"/>
              <w:spacing w:before="38"/>
              <w:ind w:left="167" w:right="230"/>
              <w:rPr>
                <w:sz w:val="24"/>
              </w:rPr>
            </w:pPr>
            <w:r>
              <w:rPr>
                <w:sz w:val="24"/>
              </w:rPr>
              <w:t>Sembelubelu</w:t>
            </w:r>
            <w:r>
              <w:rPr>
                <w:spacing w:val="-2"/>
                <w:sz w:val="24"/>
              </w:rPr>
              <w:t> </w:t>
            </w:r>
            <w:r>
              <w:rPr>
                <w:spacing w:val="-5"/>
                <w:sz w:val="24"/>
              </w:rPr>
              <w:t>PHC</w:t>
            </w:r>
          </w:p>
        </w:tc>
        <w:tc>
          <w:tcPr>
            <w:tcW w:w="1723" w:type="dxa"/>
          </w:tcPr>
          <w:p>
            <w:pPr>
              <w:pStyle w:val="TableParagraph"/>
              <w:spacing w:before="38"/>
              <w:ind w:left="228" w:right="252"/>
              <w:rPr>
                <w:sz w:val="24"/>
              </w:rPr>
            </w:pPr>
            <w:r>
              <w:rPr>
                <w:spacing w:val="-2"/>
                <w:sz w:val="24"/>
              </w:rPr>
              <w:t>Dabai</w:t>
            </w:r>
          </w:p>
        </w:tc>
        <w:tc>
          <w:tcPr>
            <w:tcW w:w="1727" w:type="dxa"/>
          </w:tcPr>
          <w:p>
            <w:pPr>
              <w:pStyle w:val="TableParagraph"/>
              <w:spacing w:before="38"/>
              <w:ind w:left="256" w:right="193"/>
              <w:rPr>
                <w:sz w:val="24"/>
              </w:rPr>
            </w:pPr>
            <w:r>
              <w:rPr>
                <w:spacing w:val="-2"/>
                <w:sz w:val="24"/>
              </w:rPr>
              <w:t>11.50534167</w:t>
            </w:r>
          </w:p>
        </w:tc>
        <w:tc>
          <w:tcPr>
            <w:tcW w:w="1570" w:type="dxa"/>
          </w:tcPr>
          <w:p>
            <w:pPr>
              <w:pStyle w:val="TableParagraph"/>
              <w:spacing w:before="38"/>
              <w:ind w:left="190" w:right="101"/>
              <w:rPr>
                <w:sz w:val="24"/>
              </w:rPr>
            </w:pPr>
            <w:r>
              <w:rPr>
                <w:spacing w:val="-2"/>
                <w:sz w:val="24"/>
              </w:rPr>
              <w:t>5.353406667</w:t>
            </w:r>
          </w:p>
        </w:tc>
      </w:tr>
      <w:tr>
        <w:trPr>
          <w:trHeight w:val="364" w:hRule="atLeast"/>
        </w:trPr>
        <w:tc>
          <w:tcPr>
            <w:tcW w:w="888" w:type="dxa"/>
          </w:tcPr>
          <w:p>
            <w:pPr>
              <w:pStyle w:val="TableParagraph"/>
              <w:spacing w:before="39"/>
              <w:ind w:right="55"/>
              <w:rPr>
                <w:sz w:val="24"/>
              </w:rPr>
            </w:pPr>
            <w:r>
              <w:rPr>
                <w:sz w:val="24"/>
              </w:rPr>
              <w:t>5</w:t>
            </w:r>
          </w:p>
        </w:tc>
        <w:tc>
          <w:tcPr>
            <w:tcW w:w="3199" w:type="dxa"/>
          </w:tcPr>
          <w:p>
            <w:pPr>
              <w:pStyle w:val="TableParagraph"/>
              <w:spacing w:before="39"/>
              <w:ind w:left="165" w:right="230"/>
              <w:rPr>
                <w:sz w:val="24"/>
              </w:rPr>
            </w:pPr>
            <w:r>
              <w:rPr>
                <w:sz w:val="24"/>
              </w:rPr>
              <w:t>Bedi</w:t>
            </w:r>
            <w:r>
              <w:rPr>
                <w:spacing w:val="-3"/>
                <w:sz w:val="24"/>
              </w:rPr>
              <w:t> </w:t>
            </w:r>
            <w:r>
              <w:rPr>
                <w:spacing w:val="-2"/>
                <w:sz w:val="24"/>
              </w:rPr>
              <w:t>MDG/PHC</w:t>
            </w:r>
          </w:p>
        </w:tc>
        <w:tc>
          <w:tcPr>
            <w:tcW w:w="1723" w:type="dxa"/>
          </w:tcPr>
          <w:p>
            <w:pPr>
              <w:pStyle w:val="TableParagraph"/>
              <w:spacing w:before="39"/>
              <w:ind w:left="228" w:right="252"/>
              <w:rPr>
                <w:sz w:val="24"/>
              </w:rPr>
            </w:pPr>
            <w:r>
              <w:rPr>
                <w:spacing w:val="-4"/>
                <w:sz w:val="24"/>
              </w:rPr>
              <w:t>Bedi</w:t>
            </w:r>
          </w:p>
        </w:tc>
        <w:tc>
          <w:tcPr>
            <w:tcW w:w="1727" w:type="dxa"/>
          </w:tcPr>
          <w:p>
            <w:pPr>
              <w:pStyle w:val="TableParagraph"/>
              <w:spacing w:before="39"/>
              <w:ind w:left="256" w:right="193"/>
              <w:rPr>
                <w:sz w:val="24"/>
              </w:rPr>
            </w:pPr>
            <w:r>
              <w:rPr>
                <w:spacing w:val="-2"/>
                <w:sz w:val="24"/>
              </w:rPr>
              <w:t>11.41650333</w:t>
            </w:r>
          </w:p>
        </w:tc>
        <w:tc>
          <w:tcPr>
            <w:tcW w:w="1570" w:type="dxa"/>
          </w:tcPr>
          <w:p>
            <w:pPr>
              <w:pStyle w:val="TableParagraph"/>
              <w:spacing w:before="39"/>
              <w:ind w:left="190" w:right="101"/>
              <w:rPr>
                <w:sz w:val="24"/>
              </w:rPr>
            </w:pPr>
            <w:r>
              <w:rPr>
                <w:spacing w:val="-2"/>
                <w:sz w:val="24"/>
              </w:rPr>
              <w:t>5.349665</w:t>
            </w:r>
          </w:p>
        </w:tc>
      </w:tr>
      <w:tr>
        <w:trPr>
          <w:trHeight w:val="363" w:hRule="atLeast"/>
        </w:trPr>
        <w:tc>
          <w:tcPr>
            <w:tcW w:w="888" w:type="dxa"/>
          </w:tcPr>
          <w:p>
            <w:pPr>
              <w:pStyle w:val="TableParagraph"/>
              <w:spacing w:before="39"/>
              <w:ind w:right="55"/>
              <w:rPr>
                <w:sz w:val="24"/>
              </w:rPr>
            </w:pPr>
            <w:r>
              <w:rPr>
                <w:sz w:val="24"/>
              </w:rPr>
              <w:t>6</w:t>
            </w:r>
          </w:p>
        </w:tc>
        <w:tc>
          <w:tcPr>
            <w:tcW w:w="3199" w:type="dxa"/>
          </w:tcPr>
          <w:p>
            <w:pPr>
              <w:pStyle w:val="TableParagraph"/>
              <w:spacing w:before="39"/>
              <w:ind w:left="166" w:right="230"/>
              <w:rPr>
                <w:sz w:val="24"/>
              </w:rPr>
            </w:pPr>
            <w:r>
              <w:rPr>
                <w:sz w:val="24"/>
              </w:rPr>
              <w:t>Domo B</w:t>
            </w:r>
            <w:r>
              <w:rPr>
                <w:spacing w:val="-2"/>
                <w:sz w:val="24"/>
              </w:rPr>
              <w:t> Clinic</w:t>
            </w:r>
          </w:p>
        </w:tc>
        <w:tc>
          <w:tcPr>
            <w:tcW w:w="1723" w:type="dxa"/>
          </w:tcPr>
          <w:p>
            <w:pPr>
              <w:pStyle w:val="TableParagraph"/>
              <w:spacing w:before="39"/>
              <w:ind w:left="228" w:right="252"/>
              <w:rPr>
                <w:sz w:val="24"/>
              </w:rPr>
            </w:pPr>
            <w:r>
              <w:rPr>
                <w:spacing w:val="-4"/>
                <w:sz w:val="24"/>
              </w:rPr>
              <w:t>Bedi</w:t>
            </w:r>
          </w:p>
        </w:tc>
        <w:tc>
          <w:tcPr>
            <w:tcW w:w="1727" w:type="dxa"/>
          </w:tcPr>
          <w:p>
            <w:pPr>
              <w:pStyle w:val="TableParagraph"/>
              <w:spacing w:before="39"/>
              <w:ind w:left="256" w:right="192"/>
              <w:rPr>
                <w:sz w:val="24"/>
              </w:rPr>
            </w:pPr>
            <w:r>
              <w:rPr>
                <w:spacing w:val="-2"/>
                <w:sz w:val="24"/>
              </w:rPr>
              <w:t>11.404185</w:t>
            </w:r>
          </w:p>
        </w:tc>
        <w:tc>
          <w:tcPr>
            <w:tcW w:w="1570" w:type="dxa"/>
          </w:tcPr>
          <w:p>
            <w:pPr>
              <w:pStyle w:val="TableParagraph"/>
              <w:spacing w:before="39"/>
              <w:ind w:left="190" w:right="101"/>
              <w:rPr>
                <w:sz w:val="24"/>
              </w:rPr>
            </w:pPr>
            <w:r>
              <w:rPr>
                <w:spacing w:val="-2"/>
                <w:sz w:val="24"/>
              </w:rPr>
              <w:t>5.353763333</w:t>
            </w:r>
          </w:p>
        </w:tc>
      </w:tr>
      <w:tr>
        <w:trPr>
          <w:trHeight w:val="363" w:hRule="atLeast"/>
        </w:trPr>
        <w:tc>
          <w:tcPr>
            <w:tcW w:w="888" w:type="dxa"/>
          </w:tcPr>
          <w:p>
            <w:pPr>
              <w:pStyle w:val="TableParagraph"/>
              <w:spacing w:before="38"/>
              <w:ind w:right="55"/>
              <w:rPr>
                <w:sz w:val="24"/>
              </w:rPr>
            </w:pPr>
            <w:r>
              <w:rPr>
                <w:sz w:val="24"/>
              </w:rPr>
              <w:t>7</w:t>
            </w:r>
          </w:p>
        </w:tc>
        <w:tc>
          <w:tcPr>
            <w:tcW w:w="3199" w:type="dxa"/>
          </w:tcPr>
          <w:p>
            <w:pPr>
              <w:pStyle w:val="TableParagraph"/>
              <w:spacing w:before="38"/>
              <w:ind w:left="169" w:right="230"/>
              <w:rPr>
                <w:sz w:val="24"/>
              </w:rPr>
            </w:pPr>
            <w:r>
              <w:rPr>
                <w:sz w:val="24"/>
              </w:rPr>
              <w:t>Bedi</w:t>
            </w:r>
            <w:r>
              <w:rPr>
                <w:spacing w:val="-3"/>
                <w:sz w:val="24"/>
              </w:rPr>
              <w:t> </w:t>
            </w:r>
            <w:r>
              <w:rPr>
                <w:spacing w:val="-2"/>
                <w:sz w:val="24"/>
              </w:rPr>
              <w:t>Clinic</w:t>
            </w:r>
          </w:p>
        </w:tc>
        <w:tc>
          <w:tcPr>
            <w:tcW w:w="1723" w:type="dxa"/>
          </w:tcPr>
          <w:p>
            <w:pPr>
              <w:pStyle w:val="TableParagraph"/>
              <w:spacing w:before="38"/>
              <w:ind w:left="228" w:right="252"/>
              <w:rPr>
                <w:sz w:val="24"/>
              </w:rPr>
            </w:pPr>
            <w:r>
              <w:rPr>
                <w:spacing w:val="-4"/>
                <w:sz w:val="24"/>
              </w:rPr>
              <w:t>Bedi</w:t>
            </w:r>
          </w:p>
        </w:tc>
        <w:tc>
          <w:tcPr>
            <w:tcW w:w="1727" w:type="dxa"/>
          </w:tcPr>
          <w:p>
            <w:pPr>
              <w:pStyle w:val="TableParagraph"/>
              <w:spacing w:before="38"/>
              <w:ind w:left="256" w:right="193"/>
              <w:rPr>
                <w:sz w:val="24"/>
              </w:rPr>
            </w:pPr>
            <w:r>
              <w:rPr>
                <w:spacing w:val="-2"/>
                <w:sz w:val="24"/>
              </w:rPr>
              <w:t>11.42178667</w:t>
            </w:r>
          </w:p>
        </w:tc>
        <w:tc>
          <w:tcPr>
            <w:tcW w:w="1570" w:type="dxa"/>
          </w:tcPr>
          <w:p>
            <w:pPr>
              <w:pStyle w:val="TableParagraph"/>
              <w:spacing w:before="38"/>
              <w:ind w:left="190" w:right="101"/>
              <w:rPr>
                <w:sz w:val="24"/>
              </w:rPr>
            </w:pPr>
            <w:r>
              <w:rPr>
                <w:spacing w:val="-2"/>
                <w:sz w:val="24"/>
              </w:rPr>
              <w:t>5.3555</w:t>
            </w:r>
          </w:p>
        </w:tc>
      </w:tr>
      <w:tr>
        <w:trPr>
          <w:trHeight w:val="364" w:hRule="atLeast"/>
        </w:trPr>
        <w:tc>
          <w:tcPr>
            <w:tcW w:w="888" w:type="dxa"/>
          </w:tcPr>
          <w:p>
            <w:pPr>
              <w:pStyle w:val="TableParagraph"/>
              <w:spacing w:before="39"/>
              <w:ind w:right="55"/>
              <w:rPr>
                <w:sz w:val="24"/>
              </w:rPr>
            </w:pPr>
            <w:r>
              <w:rPr>
                <w:sz w:val="24"/>
              </w:rPr>
              <w:t>8</w:t>
            </w:r>
          </w:p>
        </w:tc>
        <w:tc>
          <w:tcPr>
            <w:tcW w:w="3199" w:type="dxa"/>
          </w:tcPr>
          <w:p>
            <w:pPr>
              <w:pStyle w:val="TableParagraph"/>
              <w:spacing w:before="39"/>
              <w:ind w:left="165" w:right="230"/>
              <w:rPr>
                <w:sz w:val="24"/>
              </w:rPr>
            </w:pPr>
            <w:r>
              <w:rPr>
                <w:sz w:val="24"/>
              </w:rPr>
              <w:t>Manga</w:t>
            </w:r>
            <w:r>
              <w:rPr>
                <w:spacing w:val="-2"/>
                <w:sz w:val="24"/>
              </w:rPr>
              <w:t> </w:t>
            </w:r>
            <w:r>
              <w:rPr>
                <w:spacing w:val="-5"/>
                <w:sz w:val="24"/>
              </w:rPr>
              <w:t>PHC</w:t>
            </w:r>
          </w:p>
        </w:tc>
        <w:tc>
          <w:tcPr>
            <w:tcW w:w="1723" w:type="dxa"/>
          </w:tcPr>
          <w:p>
            <w:pPr>
              <w:pStyle w:val="TableParagraph"/>
              <w:spacing w:before="39"/>
              <w:ind w:left="228" w:right="253"/>
              <w:rPr>
                <w:sz w:val="24"/>
              </w:rPr>
            </w:pPr>
            <w:r>
              <w:rPr>
                <w:sz w:val="24"/>
              </w:rPr>
              <w:t>Manga</w:t>
            </w:r>
            <w:r>
              <w:rPr>
                <w:spacing w:val="-2"/>
                <w:sz w:val="24"/>
              </w:rPr>
              <w:t> </w:t>
            </w:r>
            <w:r>
              <w:rPr>
                <w:spacing w:val="-4"/>
                <w:sz w:val="24"/>
              </w:rPr>
              <w:t>Ushe</w:t>
            </w:r>
          </w:p>
        </w:tc>
        <w:tc>
          <w:tcPr>
            <w:tcW w:w="1727" w:type="dxa"/>
          </w:tcPr>
          <w:p>
            <w:pPr>
              <w:pStyle w:val="TableParagraph"/>
              <w:spacing w:before="39"/>
              <w:ind w:left="256" w:right="193"/>
              <w:rPr>
                <w:sz w:val="24"/>
              </w:rPr>
            </w:pPr>
            <w:r>
              <w:rPr>
                <w:spacing w:val="-2"/>
                <w:sz w:val="24"/>
              </w:rPr>
              <w:t>11.37817333</w:t>
            </w:r>
          </w:p>
        </w:tc>
        <w:tc>
          <w:tcPr>
            <w:tcW w:w="1570" w:type="dxa"/>
          </w:tcPr>
          <w:p>
            <w:pPr>
              <w:pStyle w:val="TableParagraph"/>
              <w:spacing w:before="39"/>
              <w:ind w:left="190" w:right="101"/>
              <w:rPr>
                <w:sz w:val="24"/>
              </w:rPr>
            </w:pPr>
            <w:r>
              <w:rPr>
                <w:spacing w:val="-2"/>
                <w:sz w:val="24"/>
              </w:rPr>
              <w:t>5.24878</w:t>
            </w:r>
          </w:p>
        </w:tc>
      </w:tr>
      <w:tr>
        <w:trPr>
          <w:trHeight w:val="363" w:hRule="atLeast"/>
        </w:trPr>
        <w:tc>
          <w:tcPr>
            <w:tcW w:w="888" w:type="dxa"/>
          </w:tcPr>
          <w:p>
            <w:pPr>
              <w:pStyle w:val="TableParagraph"/>
              <w:spacing w:before="39"/>
              <w:ind w:right="55"/>
              <w:rPr>
                <w:sz w:val="24"/>
              </w:rPr>
            </w:pPr>
            <w:r>
              <w:rPr>
                <w:sz w:val="24"/>
              </w:rPr>
              <w:t>9</w:t>
            </w:r>
          </w:p>
        </w:tc>
        <w:tc>
          <w:tcPr>
            <w:tcW w:w="3199" w:type="dxa"/>
          </w:tcPr>
          <w:p>
            <w:pPr>
              <w:pStyle w:val="TableParagraph"/>
              <w:spacing w:before="39"/>
              <w:ind w:left="163" w:right="230"/>
              <w:rPr>
                <w:sz w:val="24"/>
              </w:rPr>
            </w:pPr>
            <w:r>
              <w:rPr>
                <w:sz w:val="24"/>
              </w:rPr>
              <w:t>Godadi</w:t>
            </w:r>
            <w:r>
              <w:rPr>
                <w:spacing w:val="-4"/>
                <w:sz w:val="24"/>
              </w:rPr>
              <w:t> </w:t>
            </w:r>
            <w:r>
              <w:rPr>
                <w:sz w:val="24"/>
              </w:rPr>
              <w:t>Health</w:t>
            </w:r>
            <w:r>
              <w:rPr>
                <w:spacing w:val="-2"/>
                <w:sz w:val="24"/>
              </w:rPr>
              <w:t> clinic</w:t>
            </w:r>
          </w:p>
        </w:tc>
        <w:tc>
          <w:tcPr>
            <w:tcW w:w="1723" w:type="dxa"/>
          </w:tcPr>
          <w:p>
            <w:pPr>
              <w:pStyle w:val="TableParagraph"/>
              <w:spacing w:before="39"/>
              <w:ind w:left="228" w:right="253"/>
              <w:rPr>
                <w:sz w:val="24"/>
              </w:rPr>
            </w:pPr>
            <w:r>
              <w:rPr>
                <w:sz w:val="24"/>
              </w:rPr>
              <w:t>Manga</w:t>
            </w:r>
            <w:r>
              <w:rPr>
                <w:spacing w:val="-2"/>
                <w:sz w:val="24"/>
              </w:rPr>
              <w:t> </w:t>
            </w:r>
            <w:r>
              <w:rPr>
                <w:spacing w:val="-4"/>
                <w:sz w:val="24"/>
              </w:rPr>
              <w:t>Ushe</w:t>
            </w:r>
          </w:p>
        </w:tc>
        <w:tc>
          <w:tcPr>
            <w:tcW w:w="1727" w:type="dxa"/>
          </w:tcPr>
          <w:p>
            <w:pPr>
              <w:pStyle w:val="TableParagraph"/>
              <w:spacing w:before="39"/>
              <w:ind w:left="256" w:right="193"/>
              <w:rPr>
                <w:sz w:val="24"/>
              </w:rPr>
            </w:pPr>
            <w:r>
              <w:rPr>
                <w:spacing w:val="-2"/>
                <w:sz w:val="24"/>
              </w:rPr>
              <w:t>11.35025333</w:t>
            </w:r>
          </w:p>
        </w:tc>
        <w:tc>
          <w:tcPr>
            <w:tcW w:w="1570" w:type="dxa"/>
          </w:tcPr>
          <w:p>
            <w:pPr>
              <w:pStyle w:val="TableParagraph"/>
              <w:spacing w:before="39"/>
              <w:ind w:left="190" w:right="101"/>
              <w:rPr>
                <w:sz w:val="24"/>
              </w:rPr>
            </w:pPr>
            <w:r>
              <w:rPr>
                <w:spacing w:val="-2"/>
                <w:sz w:val="24"/>
              </w:rPr>
              <w:t>5.25998</w:t>
            </w:r>
          </w:p>
        </w:tc>
      </w:tr>
      <w:tr>
        <w:trPr>
          <w:trHeight w:val="363" w:hRule="atLeast"/>
        </w:trPr>
        <w:tc>
          <w:tcPr>
            <w:tcW w:w="888" w:type="dxa"/>
          </w:tcPr>
          <w:p>
            <w:pPr>
              <w:pStyle w:val="TableParagraph"/>
              <w:spacing w:before="38"/>
              <w:ind w:left="107" w:right="162"/>
              <w:rPr>
                <w:sz w:val="24"/>
              </w:rPr>
            </w:pPr>
            <w:r>
              <w:rPr>
                <w:spacing w:val="-5"/>
                <w:sz w:val="24"/>
              </w:rPr>
              <w:t>10</w:t>
            </w:r>
          </w:p>
        </w:tc>
        <w:tc>
          <w:tcPr>
            <w:tcW w:w="3199" w:type="dxa"/>
          </w:tcPr>
          <w:p>
            <w:pPr>
              <w:pStyle w:val="TableParagraph"/>
              <w:spacing w:before="38"/>
              <w:ind w:left="168" w:right="230"/>
              <w:rPr>
                <w:sz w:val="24"/>
              </w:rPr>
            </w:pPr>
            <w:r>
              <w:rPr>
                <w:sz w:val="24"/>
              </w:rPr>
              <w:t>Akumu </w:t>
            </w:r>
            <w:r>
              <w:rPr>
                <w:spacing w:val="-5"/>
                <w:sz w:val="24"/>
              </w:rPr>
              <w:t>PHC</w:t>
            </w:r>
          </w:p>
        </w:tc>
        <w:tc>
          <w:tcPr>
            <w:tcW w:w="1723" w:type="dxa"/>
          </w:tcPr>
          <w:p>
            <w:pPr>
              <w:pStyle w:val="TableParagraph"/>
              <w:spacing w:before="38"/>
              <w:ind w:left="228" w:right="253"/>
              <w:rPr>
                <w:sz w:val="24"/>
              </w:rPr>
            </w:pPr>
            <w:r>
              <w:rPr>
                <w:sz w:val="24"/>
              </w:rPr>
              <w:t>Manga</w:t>
            </w:r>
            <w:r>
              <w:rPr>
                <w:spacing w:val="-2"/>
                <w:sz w:val="24"/>
              </w:rPr>
              <w:t> </w:t>
            </w:r>
            <w:r>
              <w:rPr>
                <w:spacing w:val="-4"/>
                <w:sz w:val="24"/>
              </w:rPr>
              <w:t>Ushe</w:t>
            </w:r>
          </w:p>
        </w:tc>
        <w:tc>
          <w:tcPr>
            <w:tcW w:w="1727" w:type="dxa"/>
          </w:tcPr>
          <w:p>
            <w:pPr>
              <w:pStyle w:val="TableParagraph"/>
              <w:spacing w:before="38"/>
              <w:ind w:left="256" w:right="193"/>
              <w:rPr>
                <w:sz w:val="24"/>
              </w:rPr>
            </w:pPr>
            <w:r>
              <w:rPr>
                <w:spacing w:val="-2"/>
                <w:sz w:val="24"/>
              </w:rPr>
              <w:t>11.35029333</w:t>
            </w:r>
          </w:p>
        </w:tc>
        <w:tc>
          <w:tcPr>
            <w:tcW w:w="1570" w:type="dxa"/>
          </w:tcPr>
          <w:p>
            <w:pPr>
              <w:pStyle w:val="TableParagraph"/>
              <w:spacing w:before="38"/>
              <w:ind w:left="190" w:right="101"/>
              <w:rPr>
                <w:sz w:val="24"/>
              </w:rPr>
            </w:pPr>
            <w:r>
              <w:rPr>
                <w:spacing w:val="-2"/>
                <w:sz w:val="24"/>
              </w:rPr>
              <w:t>5.292303333</w:t>
            </w:r>
          </w:p>
        </w:tc>
      </w:tr>
      <w:tr>
        <w:trPr>
          <w:trHeight w:val="364" w:hRule="atLeast"/>
        </w:trPr>
        <w:tc>
          <w:tcPr>
            <w:tcW w:w="888" w:type="dxa"/>
          </w:tcPr>
          <w:p>
            <w:pPr>
              <w:pStyle w:val="TableParagraph"/>
              <w:spacing w:before="39"/>
              <w:ind w:left="107" w:right="162"/>
              <w:rPr>
                <w:sz w:val="24"/>
              </w:rPr>
            </w:pPr>
            <w:r>
              <w:rPr>
                <w:spacing w:val="-5"/>
                <w:sz w:val="24"/>
              </w:rPr>
              <w:t>11</w:t>
            </w:r>
          </w:p>
        </w:tc>
        <w:tc>
          <w:tcPr>
            <w:tcW w:w="3199" w:type="dxa"/>
          </w:tcPr>
          <w:p>
            <w:pPr>
              <w:pStyle w:val="TableParagraph"/>
              <w:spacing w:before="39"/>
              <w:ind w:left="165" w:right="230"/>
              <w:rPr>
                <w:sz w:val="24"/>
              </w:rPr>
            </w:pPr>
            <w:r>
              <w:rPr>
                <w:sz w:val="24"/>
              </w:rPr>
              <w:t>Domo A </w:t>
            </w:r>
            <w:r>
              <w:rPr>
                <w:spacing w:val="-5"/>
                <w:sz w:val="24"/>
              </w:rPr>
              <w:t>PHC</w:t>
            </w:r>
          </w:p>
        </w:tc>
        <w:tc>
          <w:tcPr>
            <w:tcW w:w="1723" w:type="dxa"/>
          </w:tcPr>
          <w:p>
            <w:pPr>
              <w:pStyle w:val="TableParagraph"/>
              <w:spacing w:before="39"/>
              <w:ind w:left="228" w:right="253"/>
              <w:rPr>
                <w:sz w:val="24"/>
              </w:rPr>
            </w:pPr>
            <w:r>
              <w:rPr>
                <w:sz w:val="24"/>
              </w:rPr>
              <w:t>Manga</w:t>
            </w:r>
            <w:r>
              <w:rPr>
                <w:spacing w:val="-2"/>
                <w:sz w:val="24"/>
              </w:rPr>
              <w:t> </w:t>
            </w:r>
            <w:r>
              <w:rPr>
                <w:spacing w:val="-4"/>
                <w:sz w:val="24"/>
              </w:rPr>
              <w:t>Ushe</w:t>
            </w:r>
          </w:p>
        </w:tc>
        <w:tc>
          <w:tcPr>
            <w:tcW w:w="1727" w:type="dxa"/>
          </w:tcPr>
          <w:p>
            <w:pPr>
              <w:pStyle w:val="TableParagraph"/>
              <w:spacing w:before="39"/>
              <w:ind w:left="256" w:right="192"/>
              <w:rPr>
                <w:sz w:val="24"/>
              </w:rPr>
            </w:pPr>
            <w:r>
              <w:rPr>
                <w:spacing w:val="-2"/>
                <w:sz w:val="24"/>
              </w:rPr>
              <w:t>11.37199</w:t>
            </w:r>
          </w:p>
        </w:tc>
        <w:tc>
          <w:tcPr>
            <w:tcW w:w="1570" w:type="dxa"/>
          </w:tcPr>
          <w:p>
            <w:pPr>
              <w:pStyle w:val="TableParagraph"/>
              <w:spacing w:before="39"/>
              <w:ind w:left="190" w:right="101"/>
              <w:rPr>
                <w:sz w:val="24"/>
              </w:rPr>
            </w:pPr>
            <w:r>
              <w:rPr>
                <w:spacing w:val="-2"/>
                <w:sz w:val="24"/>
              </w:rPr>
              <w:t>5.316958333</w:t>
            </w:r>
          </w:p>
        </w:tc>
      </w:tr>
      <w:tr>
        <w:trPr>
          <w:trHeight w:val="363" w:hRule="atLeast"/>
        </w:trPr>
        <w:tc>
          <w:tcPr>
            <w:tcW w:w="888" w:type="dxa"/>
          </w:tcPr>
          <w:p>
            <w:pPr>
              <w:pStyle w:val="TableParagraph"/>
              <w:spacing w:before="39"/>
              <w:ind w:left="107" w:right="162"/>
              <w:rPr>
                <w:sz w:val="24"/>
              </w:rPr>
            </w:pPr>
            <w:r>
              <w:rPr>
                <w:spacing w:val="-5"/>
                <w:sz w:val="24"/>
              </w:rPr>
              <w:t>12</w:t>
            </w:r>
          </w:p>
        </w:tc>
        <w:tc>
          <w:tcPr>
            <w:tcW w:w="3199" w:type="dxa"/>
          </w:tcPr>
          <w:p>
            <w:pPr>
              <w:pStyle w:val="TableParagraph"/>
              <w:spacing w:before="39"/>
              <w:ind w:left="166" w:right="230"/>
              <w:rPr>
                <w:sz w:val="24"/>
              </w:rPr>
            </w:pPr>
            <w:r>
              <w:rPr>
                <w:sz w:val="24"/>
              </w:rPr>
              <w:t>Zuru</w:t>
            </w:r>
            <w:r>
              <w:rPr>
                <w:spacing w:val="-4"/>
                <w:sz w:val="24"/>
              </w:rPr>
              <w:t> </w:t>
            </w:r>
            <w:r>
              <w:rPr>
                <w:spacing w:val="-5"/>
                <w:sz w:val="24"/>
              </w:rPr>
              <w:t>PHC</w:t>
            </w:r>
          </w:p>
        </w:tc>
        <w:tc>
          <w:tcPr>
            <w:tcW w:w="1723" w:type="dxa"/>
          </w:tcPr>
          <w:p>
            <w:pPr>
              <w:pStyle w:val="TableParagraph"/>
              <w:spacing w:before="39"/>
              <w:ind w:left="227" w:right="253"/>
              <w:rPr>
                <w:sz w:val="24"/>
              </w:rPr>
            </w:pPr>
            <w:r>
              <w:rPr>
                <w:sz w:val="24"/>
              </w:rPr>
              <w:t>Rafin</w:t>
            </w:r>
            <w:r>
              <w:rPr>
                <w:spacing w:val="-3"/>
                <w:sz w:val="24"/>
              </w:rPr>
              <w:t> </w:t>
            </w:r>
            <w:r>
              <w:rPr>
                <w:spacing w:val="-4"/>
                <w:sz w:val="24"/>
              </w:rPr>
              <w:t>Zuru</w:t>
            </w:r>
          </w:p>
        </w:tc>
        <w:tc>
          <w:tcPr>
            <w:tcW w:w="1727" w:type="dxa"/>
          </w:tcPr>
          <w:p>
            <w:pPr>
              <w:pStyle w:val="TableParagraph"/>
              <w:spacing w:before="39"/>
              <w:ind w:left="256" w:right="192"/>
              <w:rPr>
                <w:sz w:val="24"/>
              </w:rPr>
            </w:pPr>
            <w:r>
              <w:rPr>
                <w:spacing w:val="-2"/>
                <w:sz w:val="24"/>
              </w:rPr>
              <w:t>11.430855</w:t>
            </w:r>
          </w:p>
        </w:tc>
        <w:tc>
          <w:tcPr>
            <w:tcW w:w="1570" w:type="dxa"/>
          </w:tcPr>
          <w:p>
            <w:pPr>
              <w:pStyle w:val="TableParagraph"/>
              <w:spacing w:before="39"/>
              <w:ind w:left="190" w:right="101"/>
              <w:rPr>
                <w:sz w:val="24"/>
              </w:rPr>
            </w:pPr>
            <w:r>
              <w:rPr>
                <w:spacing w:val="-2"/>
                <w:sz w:val="24"/>
              </w:rPr>
              <w:t>5.235495</w:t>
            </w:r>
          </w:p>
        </w:tc>
      </w:tr>
      <w:tr>
        <w:trPr>
          <w:trHeight w:val="363" w:hRule="atLeast"/>
        </w:trPr>
        <w:tc>
          <w:tcPr>
            <w:tcW w:w="888" w:type="dxa"/>
          </w:tcPr>
          <w:p>
            <w:pPr>
              <w:pStyle w:val="TableParagraph"/>
              <w:spacing w:before="38"/>
              <w:ind w:left="107" w:right="162"/>
              <w:rPr>
                <w:sz w:val="24"/>
              </w:rPr>
            </w:pPr>
            <w:r>
              <w:rPr>
                <w:spacing w:val="-5"/>
                <w:sz w:val="24"/>
              </w:rPr>
              <w:t>13</w:t>
            </w:r>
          </w:p>
        </w:tc>
        <w:tc>
          <w:tcPr>
            <w:tcW w:w="3199" w:type="dxa"/>
          </w:tcPr>
          <w:p>
            <w:pPr>
              <w:pStyle w:val="TableParagraph"/>
              <w:spacing w:before="38"/>
              <w:ind w:left="169" w:right="230"/>
              <w:rPr>
                <w:sz w:val="24"/>
              </w:rPr>
            </w:pPr>
            <w:r>
              <w:rPr>
                <w:sz w:val="24"/>
              </w:rPr>
              <w:t>Rikoto </w:t>
            </w:r>
            <w:r>
              <w:rPr>
                <w:spacing w:val="-5"/>
                <w:sz w:val="24"/>
              </w:rPr>
              <w:t>PHC</w:t>
            </w:r>
          </w:p>
        </w:tc>
        <w:tc>
          <w:tcPr>
            <w:tcW w:w="1723" w:type="dxa"/>
          </w:tcPr>
          <w:p>
            <w:pPr>
              <w:pStyle w:val="TableParagraph"/>
              <w:spacing w:before="38"/>
              <w:ind w:left="228" w:right="250"/>
              <w:rPr>
                <w:sz w:val="24"/>
              </w:rPr>
            </w:pPr>
            <w:r>
              <w:rPr>
                <w:spacing w:val="-2"/>
                <w:sz w:val="24"/>
              </w:rPr>
              <w:t>Rikoto</w:t>
            </w:r>
          </w:p>
        </w:tc>
        <w:tc>
          <w:tcPr>
            <w:tcW w:w="1727" w:type="dxa"/>
          </w:tcPr>
          <w:p>
            <w:pPr>
              <w:pStyle w:val="TableParagraph"/>
              <w:spacing w:before="38"/>
              <w:ind w:left="256" w:right="192"/>
              <w:rPr>
                <w:sz w:val="24"/>
              </w:rPr>
            </w:pPr>
            <w:r>
              <w:rPr>
                <w:spacing w:val="-2"/>
                <w:sz w:val="24"/>
              </w:rPr>
              <w:t>11.448345</w:t>
            </w:r>
          </w:p>
        </w:tc>
        <w:tc>
          <w:tcPr>
            <w:tcW w:w="1570" w:type="dxa"/>
          </w:tcPr>
          <w:p>
            <w:pPr>
              <w:pStyle w:val="TableParagraph"/>
              <w:spacing w:before="38"/>
              <w:ind w:left="190" w:right="101"/>
              <w:rPr>
                <w:sz w:val="24"/>
              </w:rPr>
            </w:pPr>
            <w:r>
              <w:rPr>
                <w:spacing w:val="-2"/>
                <w:sz w:val="24"/>
              </w:rPr>
              <w:t>5.231681667</w:t>
            </w:r>
          </w:p>
        </w:tc>
      </w:tr>
      <w:tr>
        <w:trPr>
          <w:trHeight w:val="411" w:hRule="atLeast"/>
        </w:trPr>
        <w:tc>
          <w:tcPr>
            <w:tcW w:w="888" w:type="dxa"/>
            <w:tcBorders>
              <w:bottom w:val="single" w:sz="8" w:space="0" w:color="000000"/>
            </w:tcBorders>
          </w:tcPr>
          <w:p>
            <w:pPr>
              <w:pStyle w:val="TableParagraph"/>
              <w:spacing w:before="39"/>
              <w:ind w:left="107" w:right="162"/>
              <w:rPr>
                <w:sz w:val="24"/>
              </w:rPr>
            </w:pPr>
            <w:r>
              <w:rPr>
                <w:spacing w:val="-5"/>
                <w:sz w:val="24"/>
              </w:rPr>
              <w:t>14</w:t>
            </w:r>
          </w:p>
        </w:tc>
        <w:tc>
          <w:tcPr>
            <w:tcW w:w="3199" w:type="dxa"/>
            <w:tcBorders>
              <w:bottom w:val="single" w:sz="8" w:space="0" w:color="000000"/>
            </w:tcBorders>
          </w:tcPr>
          <w:p>
            <w:pPr>
              <w:pStyle w:val="TableParagraph"/>
              <w:spacing w:before="39"/>
              <w:ind w:left="171" w:right="230"/>
              <w:rPr>
                <w:sz w:val="24"/>
              </w:rPr>
            </w:pPr>
            <w:r>
              <w:rPr>
                <w:sz w:val="24"/>
              </w:rPr>
              <w:t>Primary</w:t>
            </w:r>
            <w:r>
              <w:rPr>
                <w:spacing w:val="-5"/>
                <w:sz w:val="24"/>
              </w:rPr>
              <w:t> </w:t>
            </w:r>
            <w:r>
              <w:rPr>
                <w:sz w:val="24"/>
              </w:rPr>
              <w:t>Health Care</w:t>
            </w:r>
            <w:r>
              <w:rPr>
                <w:spacing w:val="-1"/>
                <w:sz w:val="24"/>
              </w:rPr>
              <w:t> </w:t>
            </w:r>
            <w:r>
              <w:rPr>
                <w:spacing w:val="-2"/>
                <w:sz w:val="24"/>
              </w:rPr>
              <w:t>Facility</w:t>
            </w:r>
          </w:p>
        </w:tc>
        <w:tc>
          <w:tcPr>
            <w:tcW w:w="1723" w:type="dxa"/>
            <w:tcBorders>
              <w:bottom w:val="single" w:sz="8" w:space="0" w:color="000000"/>
            </w:tcBorders>
          </w:tcPr>
          <w:p>
            <w:pPr>
              <w:pStyle w:val="TableParagraph"/>
              <w:spacing w:before="39"/>
              <w:ind w:left="228" w:right="251"/>
              <w:rPr>
                <w:sz w:val="24"/>
              </w:rPr>
            </w:pPr>
            <w:r>
              <w:rPr>
                <w:spacing w:val="-2"/>
                <w:sz w:val="24"/>
              </w:rPr>
              <w:t>Tadurga</w:t>
            </w:r>
          </w:p>
        </w:tc>
        <w:tc>
          <w:tcPr>
            <w:tcW w:w="1727" w:type="dxa"/>
            <w:tcBorders>
              <w:bottom w:val="single" w:sz="8" w:space="0" w:color="000000"/>
            </w:tcBorders>
          </w:tcPr>
          <w:p>
            <w:pPr>
              <w:pStyle w:val="TableParagraph"/>
              <w:spacing w:before="39"/>
              <w:ind w:left="256" w:right="193"/>
              <w:rPr>
                <w:sz w:val="24"/>
              </w:rPr>
            </w:pPr>
            <w:r>
              <w:rPr>
                <w:spacing w:val="-2"/>
                <w:sz w:val="24"/>
              </w:rPr>
              <w:t>11.53640167</w:t>
            </w:r>
          </w:p>
        </w:tc>
        <w:tc>
          <w:tcPr>
            <w:tcW w:w="1570" w:type="dxa"/>
            <w:tcBorders>
              <w:bottom w:val="single" w:sz="8" w:space="0" w:color="000000"/>
            </w:tcBorders>
          </w:tcPr>
          <w:p>
            <w:pPr>
              <w:pStyle w:val="TableParagraph"/>
              <w:spacing w:before="39"/>
              <w:ind w:left="190" w:right="101"/>
              <w:rPr>
                <w:sz w:val="24"/>
              </w:rPr>
            </w:pPr>
            <w:r>
              <w:rPr>
                <w:spacing w:val="-2"/>
                <w:sz w:val="24"/>
              </w:rPr>
              <w:t>5.362778333</w:t>
            </w:r>
          </w:p>
        </w:tc>
      </w:tr>
    </w:tbl>
    <w:p>
      <w:pPr>
        <w:pStyle w:val="BodyText"/>
        <w:ind w:left="240"/>
        <w:jc w:val="both"/>
      </w:pPr>
      <w:r>
        <w:rPr/>
        <w:t>Source:</w:t>
      </w:r>
      <w:r>
        <w:rPr>
          <w:spacing w:val="-2"/>
        </w:rPr>
        <w:t> </w:t>
      </w:r>
      <w:r>
        <w:rPr/>
        <w:t>Researcher’s</w:t>
      </w:r>
      <w:r>
        <w:rPr>
          <w:spacing w:val="1"/>
        </w:rPr>
        <w:t> </w:t>
      </w:r>
      <w:r>
        <w:rPr/>
        <w:t>Field</w:t>
      </w:r>
      <w:r>
        <w:rPr>
          <w:spacing w:val="-2"/>
        </w:rPr>
        <w:t> </w:t>
      </w:r>
      <w:r>
        <w:rPr/>
        <w:t>Work,</w:t>
      </w:r>
      <w:r>
        <w:rPr>
          <w:spacing w:val="-2"/>
        </w:rPr>
        <w:t> </w:t>
      </w:r>
      <w:r>
        <w:rPr>
          <w:spacing w:val="-4"/>
        </w:rPr>
        <w:t>2020</w:t>
      </w:r>
    </w:p>
    <w:p>
      <w:pPr>
        <w:pStyle w:val="BodyText"/>
      </w:pPr>
    </w:p>
    <w:p>
      <w:pPr>
        <w:pStyle w:val="BodyText"/>
        <w:spacing w:line="480" w:lineRule="auto" w:before="1"/>
        <w:ind w:left="240" w:right="276"/>
        <w:jc w:val="both"/>
      </w:pPr>
      <w:r>
        <w:rPr/>
        <w:t>Figure 4.3 presented the existing PHCs in the study</w:t>
      </w:r>
      <w:r>
        <w:rPr>
          <w:spacing w:val="-2"/>
        </w:rPr>
        <w:t> </w:t>
      </w:r>
      <w:r>
        <w:rPr/>
        <w:t>area as listed in Table 4.1 on a map. This shows the actual position of each facility graphically on a map. The Figure 4.3 was plotted using the coordinates (longitude and latitudes) in Table 4.1. Each facility is labelled accordingly in Figure 4.3 to show the relative positions where they are located on the surface of the earth in their respective wards.</w:t>
      </w:r>
    </w:p>
    <w:p>
      <w:pPr>
        <w:spacing w:after="0" w:line="480" w:lineRule="auto"/>
        <w:jc w:val="both"/>
        <w:sectPr>
          <w:pgSz w:w="11910" w:h="16840"/>
          <w:pgMar w:header="0" w:footer="1003" w:top="1340" w:bottom="1200" w:left="1200" w:right="1160"/>
        </w:sectPr>
      </w:pPr>
    </w:p>
    <w:p>
      <w:pPr>
        <w:pStyle w:val="BodyText"/>
        <w:ind w:left="1046"/>
        <w:rPr>
          <w:sz w:val="20"/>
        </w:rPr>
      </w:pPr>
      <w:r>
        <w:rPr>
          <w:sz w:val="20"/>
        </w:rPr>
        <mc:AlternateContent>
          <mc:Choice Requires="wps">
            <w:drawing>
              <wp:inline distT="0" distB="0" distL="0" distR="0">
                <wp:extent cx="4707890" cy="6637020"/>
                <wp:effectExtent l="9525" t="0" r="0" b="1904"/>
                <wp:docPr id="36" name="Group 36"/>
                <wp:cNvGraphicFramePr>
                  <a:graphicFrameLocks/>
                </wp:cNvGraphicFramePr>
                <a:graphic>
                  <a:graphicData uri="http://schemas.microsoft.com/office/word/2010/wordprocessingGroup">
                    <wpg:wgp>
                      <wpg:cNvPr id="36" name="Group 36"/>
                      <wpg:cNvGrpSpPr/>
                      <wpg:grpSpPr>
                        <a:xfrm>
                          <a:off x="0" y="0"/>
                          <a:ext cx="4707890" cy="6637020"/>
                          <a:chExt cx="4707890" cy="6637020"/>
                        </a:xfrm>
                      </wpg:grpSpPr>
                      <pic:pic>
                        <pic:nvPicPr>
                          <pic:cNvPr id="37" name="Image 37"/>
                          <pic:cNvPicPr/>
                        </pic:nvPicPr>
                        <pic:blipFill>
                          <a:blip r:embed="rId16" cstate="print"/>
                          <a:stretch>
                            <a:fillRect/>
                          </a:stretch>
                        </pic:blipFill>
                        <pic:spPr>
                          <a:xfrm>
                            <a:off x="19811" y="19811"/>
                            <a:ext cx="4668012" cy="6597396"/>
                          </a:xfrm>
                          <a:prstGeom prst="rect">
                            <a:avLst/>
                          </a:prstGeom>
                        </pic:spPr>
                      </pic:pic>
                      <wps:wsp>
                        <wps:cNvPr id="38" name="Graphic 38"/>
                        <wps:cNvSpPr/>
                        <wps:spPr>
                          <a:xfrm>
                            <a:off x="9905" y="9905"/>
                            <a:ext cx="4688205" cy="6617334"/>
                          </a:xfrm>
                          <a:custGeom>
                            <a:avLst/>
                            <a:gdLst/>
                            <a:ahLst/>
                            <a:cxnLst/>
                            <a:rect l="l" t="t" r="r" b="b"/>
                            <a:pathLst>
                              <a:path w="4688205" h="6617334">
                                <a:moveTo>
                                  <a:pt x="0" y="6617208"/>
                                </a:moveTo>
                                <a:lnTo>
                                  <a:pt x="4687824" y="6617208"/>
                                </a:lnTo>
                                <a:lnTo>
                                  <a:pt x="4687824" y="0"/>
                                </a:lnTo>
                                <a:lnTo>
                                  <a:pt x="0" y="0"/>
                                </a:lnTo>
                                <a:lnTo>
                                  <a:pt x="0" y="6617208"/>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70.7pt;height:522.6pt;mso-position-horizontal-relative:char;mso-position-vertical-relative:line" id="docshapegroup36" coordorigin="0,0" coordsize="7414,10452">
                <v:shape style="position:absolute;left:31;top:31;width:7352;height:10390" type="#_x0000_t75" id="docshape37" stroked="false">
                  <v:imagedata r:id="rId16" o:title=""/>
                </v:shape>
                <v:rect style="position:absolute;left:15;top:15;width:7383;height:10421" id="docshape38" filled="false" stroked="true" strokeweight="1.56pt" strokecolor="#000000">
                  <v:stroke dashstyle="solid"/>
                </v:rect>
              </v:group>
            </w:pict>
          </mc:Fallback>
        </mc:AlternateContent>
      </w:r>
      <w:r>
        <w:rPr>
          <w:sz w:val="20"/>
        </w:rPr>
      </w:r>
    </w:p>
    <w:p>
      <w:pPr>
        <w:pStyle w:val="BodyText"/>
        <w:spacing w:line="240" w:lineRule="exact"/>
        <w:ind w:left="831" w:right="869"/>
        <w:jc w:val="center"/>
      </w:pPr>
      <w:r>
        <w:rPr/>
        <w:t>Figure</w:t>
      </w:r>
      <w:r>
        <w:rPr>
          <w:spacing w:val="-3"/>
        </w:rPr>
        <w:t> </w:t>
      </w:r>
      <w:r>
        <w:rPr/>
        <w:t>4.3:</w:t>
      </w:r>
      <w:r>
        <w:rPr>
          <w:spacing w:val="-1"/>
        </w:rPr>
        <w:t> </w:t>
      </w:r>
      <w:r>
        <w:rPr/>
        <w:t>Existing</w:t>
      </w:r>
      <w:r>
        <w:rPr>
          <w:spacing w:val="-2"/>
        </w:rPr>
        <w:t> </w:t>
      </w:r>
      <w:r>
        <w:rPr/>
        <w:t>Primary</w:t>
      </w:r>
      <w:r>
        <w:rPr>
          <w:spacing w:val="-6"/>
        </w:rPr>
        <w:t> </w:t>
      </w:r>
      <w:r>
        <w:rPr/>
        <w:t>Health Centres</w:t>
      </w:r>
      <w:r>
        <w:rPr>
          <w:spacing w:val="-1"/>
        </w:rPr>
        <w:t> </w:t>
      </w:r>
      <w:r>
        <w:rPr/>
        <w:t>within</w:t>
      </w:r>
      <w:r>
        <w:rPr>
          <w:spacing w:val="1"/>
        </w:rPr>
        <w:t> </w:t>
      </w:r>
      <w:r>
        <w:rPr/>
        <w:t>Zuru Local</w:t>
      </w:r>
      <w:r>
        <w:rPr>
          <w:spacing w:val="-1"/>
        </w:rPr>
        <w:t> </w:t>
      </w:r>
      <w:r>
        <w:rPr/>
        <w:t>Government </w:t>
      </w:r>
      <w:r>
        <w:rPr>
          <w:spacing w:val="-4"/>
        </w:rPr>
        <w:t>Area</w:t>
      </w:r>
    </w:p>
    <w:p>
      <w:pPr>
        <w:pStyle w:val="BodyText"/>
        <w:spacing w:before="2"/>
        <w:ind w:left="2482" w:right="2517"/>
        <w:jc w:val="center"/>
      </w:pPr>
      <w:r>
        <w:rPr/>
        <w:t>Source:</w:t>
      </w:r>
      <w:r>
        <w:rPr>
          <w:spacing w:val="-2"/>
        </w:rPr>
        <w:t> </w:t>
      </w:r>
      <w:r>
        <w:rPr/>
        <w:t>Researcher’s</w:t>
      </w:r>
      <w:r>
        <w:rPr>
          <w:spacing w:val="1"/>
        </w:rPr>
        <w:t> </w:t>
      </w:r>
      <w:r>
        <w:rPr/>
        <w:t>Field</w:t>
      </w:r>
      <w:r>
        <w:rPr>
          <w:spacing w:val="-2"/>
        </w:rPr>
        <w:t> </w:t>
      </w:r>
      <w:r>
        <w:rPr/>
        <w:t>Work,</w:t>
      </w:r>
      <w:r>
        <w:rPr>
          <w:spacing w:val="-2"/>
        </w:rPr>
        <w:t> </w:t>
      </w:r>
      <w:r>
        <w:rPr>
          <w:spacing w:val="-4"/>
        </w:rPr>
        <w:t>2020</w:t>
      </w:r>
    </w:p>
    <w:p>
      <w:pPr>
        <w:pStyle w:val="BodyText"/>
        <w:rPr>
          <w:sz w:val="26"/>
        </w:rPr>
      </w:pPr>
    </w:p>
    <w:p>
      <w:pPr>
        <w:pStyle w:val="BodyText"/>
        <w:spacing w:line="480" w:lineRule="auto" w:before="215"/>
        <w:ind w:left="240" w:right="273"/>
        <w:jc w:val="both"/>
      </w:pPr>
      <w:r>
        <w:rPr/>
        <w:t>This implies that, the identified existing primary health centres were provided at the precise location presented in Figure 4.3 and Table 4.1 respectively to serve the households around it. Figure 4.3 also shows how close the PHCs are to the arterial road and this describes the relative distance between a PHC, the arterial road and other PHCs.</w:t>
      </w:r>
    </w:p>
    <w:p>
      <w:pPr>
        <w:spacing w:after="0" w:line="480" w:lineRule="auto"/>
        <w:jc w:val="both"/>
        <w:sectPr>
          <w:pgSz w:w="11910" w:h="16840"/>
          <w:pgMar w:header="0" w:footer="1003" w:top="1420" w:bottom="1200" w:left="1200" w:right="1160"/>
        </w:sectPr>
      </w:pPr>
    </w:p>
    <w:p>
      <w:pPr>
        <w:pStyle w:val="Heading1"/>
        <w:numPr>
          <w:ilvl w:val="2"/>
          <w:numId w:val="7"/>
        </w:numPr>
        <w:tabs>
          <w:tab w:pos="959" w:val="left" w:leader="none"/>
        </w:tabs>
        <w:spacing w:line="240" w:lineRule="auto" w:before="60" w:after="0"/>
        <w:ind w:left="959" w:right="0" w:hanging="719"/>
        <w:jc w:val="both"/>
      </w:pPr>
      <w:r>
        <w:rPr/>
        <w:t>Existing</w:t>
      </w:r>
      <w:r>
        <w:rPr>
          <w:spacing w:val="-4"/>
        </w:rPr>
        <w:t> </w:t>
      </w:r>
      <w:r>
        <w:rPr/>
        <w:t>public</w:t>
      </w:r>
      <w:r>
        <w:rPr>
          <w:spacing w:val="-2"/>
        </w:rPr>
        <w:t> </w:t>
      </w:r>
      <w:r>
        <w:rPr/>
        <w:t>primary</w:t>
      </w:r>
      <w:r>
        <w:rPr>
          <w:spacing w:val="-2"/>
        </w:rPr>
        <w:t> </w:t>
      </w:r>
      <w:r>
        <w:rPr/>
        <w:t>schools</w:t>
      </w:r>
      <w:r>
        <w:rPr>
          <w:spacing w:val="-1"/>
        </w:rPr>
        <w:t> </w:t>
      </w:r>
      <w:r>
        <w:rPr/>
        <w:t>within</w:t>
      </w:r>
      <w:r>
        <w:rPr>
          <w:spacing w:val="-1"/>
        </w:rPr>
        <w:t> </w:t>
      </w:r>
      <w:r>
        <w:rPr/>
        <w:t>the</w:t>
      </w:r>
      <w:r>
        <w:rPr>
          <w:spacing w:val="-3"/>
        </w:rPr>
        <w:t> </w:t>
      </w:r>
      <w:r>
        <w:rPr/>
        <w:t>selected </w:t>
      </w:r>
      <w:r>
        <w:rPr>
          <w:spacing w:val="-2"/>
        </w:rPr>
        <w:t>wards</w:t>
      </w:r>
    </w:p>
    <w:p>
      <w:pPr>
        <w:pStyle w:val="BodyText"/>
        <w:spacing w:line="480" w:lineRule="auto" w:before="193"/>
        <w:ind w:left="240" w:right="274"/>
        <w:jc w:val="both"/>
      </w:pPr>
      <w:r>
        <w:rPr/>
        <w:t>There are 26 existing public primary schools (PPSs) identified within the selected wards as shown in Table 4.2. Each school has a unique name and coordinate that differentiated one from the other as stated in Table 4.2. Although some schools are regarded as Model Primary School (MPS) because they are larger in terms of space allocation and number of pupils than the regular public primary school (PPS). The National Youth Service Corps (NYSC) Primary School</w:t>
      </w:r>
      <w:r>
        <w:rPr>
          <w:spacing w:val="-2"/>
        </w:rPr>
        <w:t> </w:t>
      </w:r>
      <w:r>
        <w:rPr/>
        <w:t>is</w:t>
      </w:r>
      <w:r>
        <w:rPr>
          <w:spacing w:val="-2"/>
        </w:rPr>
        <w:t> </w:t>
      </w:r>
      <w:r>
        <w:rPr/>
        <w:t>also</w:t>
      </w:r>
      <w:r>
        <w:rPr>
          <w:spacing w:val="-2"/>
        </w:rPr>
        <w:t> </w:t>
      </w:r>
      <w:r>
        <w:rPr/>
        <w:t>a</w:t>
      </w:r>
      <w:r>
        <w:rPr>
          <w:spacing w:val="-2"/>
        </w:rPr>
        <w:t> </w:t>
      </w:r>
      <w:r>
        <w:rPr/>
        <w:t>public</w:t>
      </w:r>
      <w:r>
        <w:rPr>
          <w:spacing w:val="-3"/>
        </w:rPr>
        <w:t> </w:t>
      </w:r>
      <w:r>
        <w:rPr/>
        <w:t>primary</w:t>
      </w:r>
      <w:r>
        <w:rPr>
          <w:spacing w:val="-6"/>
        </w:rPr>
        <w:t> </w:t>
      </w:r>
      <w:r>
        <w:rPr/>
        <w:t>school sited</w:t>
      </w:r>
      <w:r>
        <w:rPr>
          <w:spacing w:val="-2"/>
        </w:rPr>
        <w:t> </w:t>
      </w:r>
      <w:r>
        <w:rPr/>
        <w:t>in</w:t>
      </w:r>
      <w:r>
        <w:rPr>
          <w:spacing w:val="-2"/>
        </w:rPr>
        <w:t> </w:t>
      </w:r>
      <w:r>
        <w:rPr/>
        <w:t>Rafin</w:t>
      </w:r>
      <w:r>
        <w:rPr>
          <w:spacing w:val="-2"/>
        </w:rPr>
        <w:t> </w:t>
      </w:r>
      <w:r>
        <w:rPr/>
        <w:t>Zuru</w:t>
      </w:r>
      <w:r>
        <w:rPr>
          <w:spacing w:val="-2"/>
        </w:rPr>
        <w:t> </w:t>
      </w:r>
      <w:r>
        <w:rPr/>
        <w:t>ward.</w:t>
      </w:r>
      <w:r>
        <w:rPr>
          <w:spacing w:val="40"/>
        </w:rPr>
        <w:t> </w:t>
      </w:r>
      <w:r>
        <w:rPr/>
        <w:t>Majority</w:t>
      </w:r>
      <w:r>
        <w:rPr>
          <w:spacing w:val="-6"/>
        </w:rPr>
        <w:t> </w:t>
      </w:r>
      <w:r>
        <w:rPr/>
        <w:t>of</w:t>
      </w:r>
      <w:r>
        <w:rPr>
          <w:spacing w:val="-2"/>
        </w:rPr>
        <w:t> </w:t>
      </w:r>
      <w:r>
        <w:rPr/>
        <w:t>the</w:t>
      </w:r>
      <w:r>
        <w:rPr>
          <w:spacing w:val="-4"/>
        </w:rPr>
        <w:t> </w:t>
      </w:r>
      <w:r>
        <w:rPr/>
        <w:t>schools</w:t>
      </w:r>
      <w:r>
        <w:rPr>
          <w:spacing w:val="-2"/>
        </w:rPr>
        <w:t> </w:t>
      </w:r>
      <w:r>
        <w:rPr/>
        <w:t>were given the name of the settlement they are servicing with the exception of Danga Gomo MPS, Sami Gomo MPS, Andi Gomo MPS, Dantudu Gomo MPS that were named after prominent Chieftains and Emirs and also the NYSC primary school.</w:t>
      </w:r>
    </w:p>
    <w:p>
      <w:pPr>
        <w:pStyle w:val="BodyText"/>
        <w:spacing w:line="480" w:lineRule="auto" w:before="200"/>
        <w:ind w:left="240" w:right="274"/>
        <w:jc w:val="both"/>
      </w:pPr>
      <w:r>
        <w:rPr/>
        <w:t>In Table 4.2, a clear observation and inventory can be deduced to account for the number of public primary</w:t>
      </w:r>
      <w:r>
        <w:rPr>
          <w:spacing w:val="-2"/>
        </w:rPr>
        <w:t> </w:t>
      </w:r>
      <w:r>
        <w:rPr/>
        <w:t>schools found within each ward. For instance, the Table 4.2 shows that, Rafin Zuru ward has six schools, Bedi has seven public primary schools within the local government borders, Dabai has five PPSs, Manga Ushe has four PPSs, Rikoto has three and Tadurga has one public school located within the boundaries of the local government.</w:t>
      </w:r>
    </w:p>
    <w:p>
      <w:pPr>
        <w:spacing w:after="0" w:line="480" w:lineRule="auto"/>
        <w:jc w:val="both"/>
        <w:sectPr>
          <w:pgSz w:w="11910" w:h="16840"/>
          <w:pgMar w:header="0" w:footer="1003" w:top="1360" w:bottom="1200" w:left="1200" w:right="1160"/>
        </w:sectPr>
      </w:pPr>
    </w:p>
    <w:p>
      <w:pPr>
        <w:pStyle w:val="Heading1"/>
        <w:spacing w:before="78" w:after="4"/>
        <w:ind w:left="240" w:firstLine="0"/>
        <w:jc w:val="left"/>
      </w:pPr>
      <w:r>
        <w:rPr/>
        <w:t>Table</w:t>
      </w:r>
      <w:r>
        <w:rPr>
          <w:spacing w:val="-4"/>
        </w:rPr>
        <w:t> </w:t>
      </w:r>
      <w:r>
        <w:rPr/>
        <w:t>4.2:</w:t>
      </w:r>
      <w:r>
        <w:rPr>
          <w:spacing w:val="-2"/>
        </w:rPr>
        <w:t> </w:t>
      </w:r>
      <w:r>
        <w:rPr/>
        <w:t>Existing Public</w:t>
      </w:r>
      <w:r>
        <w:rPr>
          <w:spacing w:val="-3"/>
        </w:rPr>
        <w:t> </w:t>
      </w:r>
      <w:r>
        <w:rPr/>
        <w:t>Primary</w:t>
      </w:r>
      <w:r>
        <w:rPr>
          <w:spacing w:val="-2"/>
        </w:rPr>
        <w:t> </w:t>
      </w:r>
      <w:r>
        <w:rPr/>
        <w:t>Schools</w:t>
      </w:r>
      <w:r>
        <w:rPr>
          <w:spacing w:val="1"/>
        </w:rPr>
        <w:t> </w:t>
      </w:r>
      <w:r>
        <w:rPr/>
        <w:t>within</w:t>
      </w:r>
      <w:r>
        <w:rPr>
          <w:spacing w:val="-1"/>
        </w:rPr>
        <w:t> </w:t>
      </w:r>
      <w:r>
        <w:rPr/>
        <w:t>Zuru</w:t>
      </w:r>
      <w:r>
        <w:rPr>
          <w:spacing w:val="-1"/>
        </w:rPr>
        <w:t> </w:t>
      </w:r>
      <w:r>
        <w:rPr>
          <w:spacing w:val="-2"/>
        </w:rPr>
        <w:t>L.G.AS</w:t>
      </w: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4"/>
        <w:gridCol w:w="3023"/>
        <w:gridCol w:w="1814"/>
        <w:gridCol w:w="1651"/>
        <w:gridCol w:w="1585"/>
      </w:tblGrid>
      <w:tr>
        <w:trPr>
          <w:trHeight w:val="299" w:hRule="atLeast"/>
        </w:trPr>
        <w:tc>
          <w:tcPr>
            <w:tcW w:w="954" w:type="dxa"/>
            <w:tcBorders>
              <w:top w:val="single" w:sz="8" w:space="0" w:color="000000"/>
              <w:bottom w:val="single" w:sz="8" w:space="0" w:color="000000"/>
            </w:tcBorders>
          </w:tcPr>
          <w:p>
            <w:pPr>
              <w:pStyle w:val="TableParagraph"/>
              <w:spacing w:line="273" w:lineRule="exact"/>
              <w:ind w:left="128" w:right="209"/>
              <w:rPr>
                <w:b/>
                <w:sz w:val="24"/>
              </w:rPr>
            </w:pPr>
            <w:r>
              <w:rPr>
                <w:b/>
                <w:spacing w:val="-2"/>
                <w:sz w:val="24"/>
              </w:rPr>
              <w:t>Index</w:t>
            </w:r>
          </w:p>
        </w:tc>
        <w:tc>
          <w:tcPr>
            <w:tcW w:w="3023" w:type="dxa"/>
            <w:tcBorders>
              <w:top w:val="single" w:sz="8" w:space="0" w:color="000000"/>
              <w:bottom w:val="single" w:sz="8" w:space="0" w:color="000000"/>
            </w:tcBorders>
          </w:tcPr>
          <w:p>
            <w:pPr>
              <w:pStyle w:val="TableParagraph"/>
              <w:spacing w:line="273" w:lineRule="exact"/>
              <w:ind w:left="214" w:right="338"/>
              <w:rPr>
                <w:b/>
                <w:sz w:val="24"/>
              </w:rPr>
            </w:pPr>
            <w:r>
              <w:rPr>
                <w:b/>
                <w:sz w:val="24"/>
              </w:rPr>
              <w:t>Infrastructure</w:t>
            </w:r>
            <w:r>
              <w:rPr>
                <w:b/>
                <w:spacing w:val="-7"/>
                <w:sz w:val="24"/>
              </w:rPr>
              <w:t> </w:t>
            </w:r>
            <w:r>
              <w:rPr>
                <w:b/>
                <w:spacing w:val="-4"/>
                <w:sz w:val="24"/>
              </w:rPr>
              <w:t>Name</w:t>
            </w:r>
          </w:p>
        </w:tc>
        <w:tc>
          <w:tcPr>
            <w:tcW w:w="1814" w:type="dxa"/>
            <w:tcBorders>
              <w:top w:val="single" w:sz="8" w:space="0" w:color="000000"/>
              <w:bottom w:val="single" w:sz="8" w:space="0" w:color="000000"/>
            </w:tcBorders>
          </w:tcPr>
          <w:p>
            <w:pPr>
              <w:pStyle w:val="TableParagraph"/>
              <w:spacing w:line="273" w:lineRule="exact"/>
              <w:ind w:left="336" w:right="235"/>
              <w:rPr>
                <w:b/>
                <w:sz w:val="24"/>
              </w:rPr>
            </w:pPr>
            <w:r>
              <w:rPr>
                <w:b/>
                <w:spacing w:val="-4"/>
                <w:sz w:val="24"/>
              </w:rPr>
              <w:t>Ward</w:t>
            </w:r>
          </w:p>
        </w:tc>
        <w:tc>
          <w:tcPr>
            <w:tcW w:w="1651" w:type="dxa"/>
            <w:tcBorders>
              <w:top w:val="single" w:sz="8" w:space="0" w:color="000000"/>
              <w:bottom w:val="single" w:sz="8" w:space="0" w:color="000000"/>
            </w:tcBorders>
          </w:tcPr>
          <w:p>
            <w:pPr>
              <w:pStyle w:val="TableParagraph"/>
              <w:spacing w:line="273" w:lineRule="exact"/>
              <w:ind w:left="236" w:right="134"/>
              <w:rPr>
                <w:b/>
                <w:sz w:val="24"/>
              </w:rPr>
            </w:pPr>
            <w:r>
              <w:rPr>
                <w:b/>
                <w:spacing w:val="-2"/>
                <w:sz w:val="24"/>
              </w:rPr>
              <w:t>Latitude</w:t>
            </w:r>
          </w:p>
        </w:tc>
        <w:tc>
          <w:tcPr>
            <w:tcW w:w="1585" w:type="dxa"/>
            <w:tcBorders>
              <w:top w:val="single" w:sz="8" w:space="0" w:color="000000"/>
              <w:bottom w:val="single" w:sz="8" w:space="0" w:color="000000"/>
            </w:tcBorders>
          </w:tcPr>
          <w:p>
            <w:pPr>
              <w:pStyle w:val="TableParagraph"/>
              <w:spacing w:line="273" w:lineRule="exact"/>
              <w:ind w:left="136" w:right="169"/>
              <w:rPr>
                <w:b/>
                <w:sz w:val="24"/>
              </w:rPr>
            </w:pPr>
            <w:r>
              <w:rPr>
                <w:b/>
                <w:spacing w:val="-2"/>
                <w:sz w:val="24"/>
              </w:rPr>
              <w:t>Longitude</w:t>
            </w:r>
          </w:p>
        </w:tc>
      </w:tr>
      <w:tr>
        <w:trPr>
          <w:trHeight w:val="287" w:hRule="atLeast"/>
        </w:trPr>
        <w:tc>
          <w:tcPr>
            <w:tcW w:w="954" w:type="dxa"/>
            <w:tcBorders>
              <w:top w:val="single" w:sz="8" w:space="0" w:color="000000"/>
            </w:tcBorders>
          </w:tcPr>
          <w:p>
            <w:pPr>
              <w:pStyle w:val="TableParagraph"/>
              <w:spacing w:line="267" w:lineRule="exact"/>
              <w:ind w:right="83"/>
              <w:rPr>
                <w:sz w:val="24"/>
              </w:rPr>
            </w:pPr>
            <w:r>
              <w:rPr>
                <w:sz w:val="24"/>
              </w:rPr>
              <w:t>1</w:t>
            </w:r>
          </w:p>
        </w:tc>
        <w:tc>
          <w:tcPr>
            <w:tcW w:w="3023" w:type="dxa"/>
            <w:tcBorders>
              <w:top w:val="single" w:sz="8" w:space="0" w:color="000000"/>
            </w:tcBorders>
          </w:tcPr>
          <w:p>
            <w:pPr>
              <w:pStyle w:val="TableParagraph"/>
              <w:spacing w:line="267" w:lineRule="exact"/>
              <w:ind w:left="215" w:right="335"/>
              <w:rPr>
                <w:sz w:val="24"/>
              </w:rPr>
            </w:pPr>
            <w:r>
              <w:rPr>
                <w:sz w:val="24"/>
              </w:rPr>
              <w:t>Sem</w:t>
            </w:r>
            <w:r>
              <w:rPr>
                <w:spacing w:val="-1"/>
                <w:sz w:val="24"/>
              </w:rPr>
              <w:t> </w:t>
            </w:r>
            <w:r>
              <w:rPr>
                <w:sz w:val="24"/>
              </w:rPr>
              <w:t>Saune</w:t>
            </w:r>
            <w:r>
              <w:rPr>
                <w:spacing w:val="-1"/>
                <w:sz w:val="24"/>
              </w:rPr>
              <w:t> </w:t>
            </w:r>
            <w:r>
              <w:rPr>
                <w:spacing w:val="-5"/>
                <w:sz w:val="24"/>
              </w:rPr>
              <w:t>PPS</w:t>
            </w:r>
          </w:p>
        </w:tc>
        <w:tc>
          <w:tcPr>
            <w:tcW w:w="1814" w:type="dxa"/>
            <w:tcBorders>
              <w:top w:val="single" w:sz="8" w:space="0" w:color="000000"/>
            </w:tcBorders>
          </w:tcPr>
          <w:p>
            <w:pPr>
              <w:pStyle w:val="TableParagraph"/>
              <w:spacing w:line="267" w:lineRule="exact"/>
              <w:ind w:left="336" w:right="234"/>
              <w:rPr>
                <w:sz w:val="24"/>
              </w:rPr>
            </w:pPr>
            <w:r>
              <w:rPr>
                <w:spacing w:val="-2"/>
                <w:sz w:val="24"/>
              </w:rPr>
              <w:t>Dabai</w:t>
            </w:r>
          </w:p>
        </w:tc>
        <w:tc>
          <w:tcPr>
            <w:tcW w:w="1651" w:type="dxa"/>
            <w:tcBorders>
              <w:top w:val="single" w:sz="8" w:space="0" w:color="000000"/>
            </w:tcBorders>
          </w:tcPr>
          <w:p>
            <w:pPr>
              <w:pStyle w:val="TableParagraph"/>
              <w:spacing w:line="267" w:lineRule="exact"/>
              <w:ind w:left="236" w:right="136"/>
              <w:rPr>
                <w:sz w:val="24"/>
              </w:rPr>
            </w:pPr>
            <w:r>
              <w:rPr>
                <w:spacing w:val="-2"/>
                <w:sz w:val="24"/>
              </w:rPr>
              <w:t>11.471345</w:t>
            </w:r>
          </w:p>
        </w:tc>
        <w:tc>
          <w:tcPr>
            <w:tcW w:w="1585" w:type="dxa"/>
            <w:tcBorders>
              <w:top w:val="single" w:sz="8" w:space="0" w:color="000000"/>
            </w:tcBorders>
          </w:tcPr>
          <w:p>
            <w:pPr>
              <w:pStyle w:val="TableParagraph"/>
              <w:spacing w:line="267" w:lineRule="exact"/>
              <w:ind w:left="136" w:right="171"/>
              <w:rPr>
                <w:sz w:val="24"/>
              </w:rPr>
            </w:pPr>
            <w:r>
              <w:rPr>
                <w:spacing w:val="-2"/>
                <w:sz w:val="24"/>
              </w:rPr>
              <w:t>5.23725</w:t>
            </w:r>
          </w:p>
        </w:tc>
      </w:tr>
      <w:tr>
        <w:trPr>
          <w:trHeight w:val="300" w:hRule="atLeast"/>
        </w:trPr>
        <w:tc>
          <w:tcPr>
            <w:tcW w:w="954" w:type="dxa"/>
          </w:tcPr>
          <w:p>
            <w:pPr>
              <w:pStyle w:val="TableParagraph"/>
              <w:spacing w:line="273" w:lineRule="exact" w:before="7"/>
              <w:ind w:right="83"/>
              <w:rPr>
                <w:sz w:val="24"/>
              </w:rPr>
            </w:pPr>
            <w:r>
              <w:rPr>
                <w:sz w:val="24"/>
              </w:rPr>
              <w:t>2</w:t>
            </w:r>
          </w:p>
        </w:tc>
        <w:tc>
          <w:tcPr>
            <w:tcW w:w="3023" w:type="dxa"/>
          </w:tcPr>
          <w:p>
            <w:pPr>
              <w:pStyle w:val="TableParagraph"/>
              <w:spacing w:line="273" w:lineRule="exact" w:before="7"/>
              <w:ind w:left="213" w:right="338"/>
              <w:rPr>
                <w:sz w:val="24"/>
              </w:rPr>
            </w:pPr>
            <w:r>
              <w:rPr>
                <w:sz w:val="24"/>
              </w:rPr>
              <w:t>Kesge</w:t>
            </w:r>
            <w:r>
              <w:rPr>
                <w:spacing w:val="-4"/>
                <w:sz w:val="24"/>
              </w:rPr>
              <w:t> </w:t>
            </w:r>
            <w:r>
              <w:rPr>
                <w:spacing w:val="-5"/>
                <w:sz w:val="24"/>
              </w:rPr>
              <w:t>PPS</w:t>
            </w:r>
          </w:p>
        </w:tc>
        <w:tc>
          <w:tcPr>
            <w:tcW w:w="1814" w:type="dxa"/>
          </w:tcPr>
          <w:p>
            <w:pPr>
              <w:pStyle w:val="TableParagraph"/>
              <w:spacing w:line="273" w:lineRule="exact" w:before="7"/>
              <w:ind w:left="336" w:right="234"/>
              <w:rPr>
                <w:sz w:val="24"/>
              </w:rPr>
            </w:pPr>
            <w:r>
              <w:rPr>
                <w:spacing w:val="-2"/>
                <w:sz w:val="24"/>
              </w:rPr>
              <w:t>Dabai</w:t>
            </w:r>
          </w:p>
        </w:tc>
        <w:tc>
          <w:tcPr>
            <w:tcW w:w="1651" w:type="dxa"/>
          </w:tcPr>
          <w:p>
            <w:pPr>
              <w:pStyle w:val="TableParagraph"/>
              <w:spacing w:line="273" w:lineRule="exact" w:before="7"/>
              <w:ind w:left="236" w:right="134"/>
              <w:rPr>
                <w:sz w:val="24"/>
              </w:rPr>
            </w:pPr>
            <w:r>
              <w:rPr>
                <w:spacing w:val="-2"/>
                <w:sz w:val="24"/>
              </w:rPr>
              <w:t>11.4874</w:t>
            </w:r>
          </w:p>
        </w:tc>
        <w:tc>
          <w:tcPr>
            <w:tcW w:w="1585" w:type="dxa"/>
          </w:tcPr>
          <w:p>
            <w:pPr>
              <w:pStyle w:val="TableParagraph"/>
              <w:spacing w:line="273" w:lineRule="exact" w:before="7"/>
              <w:ind w:left="136" w:right="171"/>
              <w:rPr>
                <w:sz w:val="24"/>
              </w:rPr>
            </w:pPr>
            <w:r>
              <w:rPr>
                <w:spacing w:val="-2"/>
                <w:sz w:val="24"/>
              </w:rPr>
              <w:t>5.258306667</w:t>
            </w:r>
          </w:p>
        </w:tc>
      </w:tr>
      <w:tr>
        <w:trPr>
          <w:trHeight w:val="300" w:hRule="atLeast"/>
        </w:trPr>
        <w:tc>
          <w:tcPr>
            <w:tcW w:w="954" w:type="dxa"/>
          </w:tcPr>
          <w:p>
            <w:pPr>
              <w:pStyle w:val="TableParagraph"/>
              <w:spacing w:line="273" w:lineRule="exact" w:before="7"/>
              <w:ind w:right="83"/>
              <w:rPr>
                <w:sz w:val="24"/>
              </w:rPr>
            </w:pPr>
            <w:r>
              <w:rPr>
                <w:sz w:val="24"/>
              </w:rPr>
              <w:t>3</w:t>
            </w:r>
          </w:p>
        </w:tc>
        <w:tc>
          <w:tcPr>
            <w:tcW w:w="3023" w:type="dxa"/>
          </w:tcPr>
          <w:p>
            <w:pPr>
              <w:pStyle w:val="TableParagraph"/>
              <w:spacing w:line="273" w:lineRule="exact" w:before="7"/>
              <w:ind w:left="215" w:right="338"/>
              <w:rPr>
                <w:sz w:val="24"/>
              </w:rPr>
            </w:pPr>
            <w:r>
              <w:rPr>
                <w:sz w:val="24"/>
              </w:rPr>
              <w:t>Umama</w:t>
            </w:r>
            <w:r>
              <w:rPr>
                <w:spacing w:val="-1"/>
                <w:sz w:val="24"/>
              </w:rPr>
              <w:t> </w:t>
            </w:r>
            <w:r>
              <w:rPr>
                <w:spacing w:val="-5"/>
                <w:sz w:val="24"/>
              </w:rPr>
              <w:t>PPS</w:t>
            </w:r>
          </w:p>
        </w:tc>
        <w:tc>
          <w:tcPr>
            <w:tcW w:w="1814" w:type="dxa"/>
          </w:tcPr>
          <w:p>
            <w:pPr>
              <w:pStyle w:val="TableParagraph"/>
              <w:spacing w:line="273" w:lineRule="exact" w:before="7"/>
              <w:ind w:left="336" w:right="234"/>
              <w:rPr>
                <w:sz w:val="24"/>
              </w:rPr>
            </w:pPr>
            <w:r>
              <w:rPr>
                <w:spacing w:val="-2"/>
                <w:sz w:val="24"/>
              </w:rPr>
              <w:t>Dabai</w:t>
            </w:r>
          </w:p>
        </w:tc>
        <w:tc>
          <w:tcPr>
            <w:tcW w:w="1651" w:type="dxa"/>
          </w:tcPr>
          <w:p>
            <w:pPr>
              <w:pStyle w:val="TableParagraph"/>
              <w:spacing w:line="273" w:lineRule="exact" w:before="7"/>
              <w:ind w:left="236" w:right="136"/>
              <w:rPr>
                <w:sz w:val="24"/>
              </w:rPr>
            </w:pPr>
            <w:r>
              <w:rPr>
                <w:spacing w:val="-2"/>
                <w:sz w:val="24"/>
              </w:rPr>
              <w:t>11.46796833</w:t>
            </w:r>
          </w:p>
        </w:tc>
        <w:tc>
          <w:tcPr>
            <w:tcW w:w="1585" w:type="dxa"/>
          </w:tcPr>
          <w:p>
            <w:pPr>
              <w:pStyle w:val="TableParagraph"/>
              <w:spacing w:line="273" w:lineRule="exact" w:before="7"/>
              <w:ind w:left="136" w:right="171"/>
              <w:rPr>
                <w:sz w:val="24"/>
              </w:rPr>
            </w:pPr>
            <w:r>
              <w:rPr>
                <w:spacing w:val="-2"/>
                <w:sz w:val="24"/>
              </w:rPr>
              <w:t>5.26743</w:t>
            </w:r>
          </w:p>
        </w:tc>
      </w:tr>
      <w:tr>
        <w:trPr>
          <w:trHeight w:val="300" w:hRule="atLeast"/>
        </w:trPr>
        <w:tc>
          <w:tcPr>
            <w:tcW w:w="954" w:type="dxa"/>
          </w:tcPr>
          <w:p>
            <w:pPr>
              <w:pStyle w:val="TableParagraph"/>
              <w:spacing w:line="273" w:lineRule="exact" w:before="7"/>
              <w:ind w:right="83"/>
              <w:rPr>
                <w:sz w:val="24"/>
              </w:rPr>
            </w:pPr>
            <w:r>
              <w:rPr>
                <w:sz w:val="24"/>
              </w:rPr>
              <w:t>4</w:t>
            </w:r>
          </w:p>
        </w:tc>
        <w:tc>
          <w:tcPr>
            <w:tcW w:w="3023" w:type="dxa"/>
          </w:tcPr>
          <w:p>
            <w:pPr>
              <w:pStyle w:val="TableParagraph"/>
              <w:spacing w:line="273" w:lineRule="exact" w:before="7"/>
              <w:ind w:left="215" w:right="338"/>
              <w:rPr>
                <w:sz w:val="24"/>
              </w:rPr>
            </w:pPr>
            <w:r>
              <w:rPr>
                <w:sz w:val="24"/>
              </w:rPr>
              <w:t>Kwendo</w:t>
            </w:r>
            <w:r>
              <w:rPr>
                <w:spacing w:val="-2"/>
                <w:sz w:val="24"/>
              </w:rPr>
              <w:t> </w:t>
            </w:r>
            <w:r>
              <w:rPr>
                <w:spacing w:val="-5"/>
                <w:sz w:val="24"/>
              </w:rPr>
              <w:t>PPS</w:t>
            </w:r>
          </w:p>
        </w:tc>
        <w:tc>
          <w:tcPr>
            <w:tcW w:w="1814" w:type="dxa"/>
          </w:tcPr>
          <w:p>
            <w:pPr>
              <w:pStyle w:val="TableParagraph"/>
              <w:spacing w:line="273" w:lineRule="exact" w:before="7"/>
              <w:ind w:left="336" w:right="234"/>
              <w:rPr>
                <w:sz w:val="24"/>
              </w:rPr>
            </w:pPr>
            <w:r>
              <w:rPr>
                <w:spacing w:val="-2"/>
                <w:sz w:val="24"/>
              </w:rPr>
              <w:t>Dabai</w:t>
            </w:r>
          </w:p>
        </w:tc>
        <w:tc>
          <w:tcPr>
            <w:tcW w:w="1651" w:type="dxa"/>
          </w:tcPr>
          <w:p>
            <w:pPr>
              <w:pStyle w:val="TableParagraph"/>
              <w:spacing w:line="273" w:lineRule="exact" w:before="7"/>
              <w:ind w:left="236" w:right="134"/>
              <w:rPr>
                <w:sz w:val="24"/>
              </w:rPr>
            </w:pPr>
            <w:r>
              <w:rPr>
                <w:spacing w:val="-2"/>
                <w:sz w:val="24"/>
              </w:rPr>
              <w:t>11.48097</w:t>
            </w:r>
          </w:p>
        </w:tc>
        <w:tc>
          <w:tcPr>
            <w:tcW w:w="1585" w:type="dxa"/>
          </w:tcPr>
          <w:p>
            <w:pPr>
              <w:pStyle w:val="TableParagraph"/>
              <w:spacing w:line="273" w:lineRule="exact" w:before="7"/>
              <w:ind w:left="136" w:right="171"/>
              <w:rPr>
                <w:sz w:val="24"/>
              </w:rPr>
            </w:pPr>
            <w:r>
              <w:rPr>
                <w:spacing w:val="-2"/>
                <w:sz w:val="24"/>
              </w:rPr>
              <w:t>5.31348</w:t>
            </w:r>
          </w:p>
        </w:tc>
      </w:tr>
      <w:tr>
        <w:trPr>
          <w:trHeight w:val="300" w:hRule="atLeast"/>
        </w:trPr>
        <w:tc>
          <w:tcPr>
            <w:tcW w:w="954" w:type="dxa"/>
          </w:tcPr>
          <w:p>
            <w:pPr>
              <w:pStyle w:val="TableParagraph"/>
              <w:spacing w:line="273" w:lineRule="exact" w:before="7"/>
              <w:ind w:right="83"/>
              <w:rPr>
                <w:sz w:val="24"/>
              </w:rPr>
            </w:pPr>
            <w:r>
              <w:rPr>
                <w:sz w:val="24"/>
              </w:rPr>
              <w:t>5</w:t>
            </w:r>
          </w:p>
        </w:tc>
        <w:tc>
          <w:tcPr>
            <w:tcW w:w="3023" w:type="dxa"/>
          </w:tcPr>
          <w:p>
            <w:pPr>
              <w:pStyle w:val="TableParagraph"/>
              <w:spacing w:line="273" w:lineRule="exact" w:before="7"/>
              <w:ind w:left="215" w:right="338"/>
              <w:rPr>
                <w:sz w:val="24"/>
              </w:rPr>
            </w:pPr>
            <w:r>
              <w:rPr>
                <w:sz w:val="24"/>
              </w:rPr>
              <w:t>Sembelubelu</w:t>
            </w:r>
            <w:r>
              <w:rPr>
                <w:spacing w:val="-2"/>
                <w:sz w:val="24"/>
              </w:rPr>
              <w:t> </w:t>
            </w:r>
            <w:r>
              <w:rPr>
                <w:spacing w:val="-5"/>
                <w:sz w:val="24"/>
              </w:rPr>
              <w:t>PPS</w:t>
            </w:r>
          </w:p>
        </w:tc>
        <w:tc>
          <w:tcPr>
            <w:tcW w:w="1814" w:type="dxa"/>
          </w:tcPr>
          <w:p>
            <w:pPr>
              <w:pStyle w:val="TableParagraph"/>
              <w:spacing w:line="273" w:lineRule="exact" w:before="7"/>
              <w:ind w:left="336" w:right="234"/>
              <w:rPr>
                <w:sz w:val="24"/>
              </w:rPr>
            </w:pPr>
            <w:r>
              <w:rPr>
                <w:spacing w:val="-2"/>
                <w:sz w:val="24"/>
              </w:rPr>
              <w:t>Dabai</w:t>
            </w:r>
          </w:p>
        </w:tc>
        <w:tc>
          <w:tcPr>
            <w:tcW w:w="1651" w:type="dxa"/>
          </w:tcPr>
          <w:p>
            <w:pPr>
              <w:pStyle w:val="TableParagraph"/>
              <w:spacing w:line="273" w:lineRule="exact" w:before="7"/>
              <w:ind w:left="236" w:right="136"/>
              <w:rPr>
                <w:sz w:val="24"/>
              </w:rPr>
            </w:pPr>
            <w:r>
              <w:rPr>
                <w:spacing w:val="-2"/>
                <w:sz w:val="24"/>
              </w:rPr>
              <w:t>11.50534167</w:t>
            </w:r>
          </w:p>
        </w:tc>
        <w:tc>
          <w:tcPr>
            <w:tcW w:w="1585" w:type="dxa"/>
          </w:tcPr>
          <w:p>
            <w:pPr>
              <w:pStyle w:val="TableParagraph"/>
              <w:spacing w:line="273" w:lineRule="exact" w:before="7"/>
              <w:ind w:left="136" w:right="171"/>
              <w:rPr>
                <w:sz w:val="24"/>
              </w:rPr>
            </w:pPr>
            <w:r>
              <w:rPr>
                <w:spacing w:val="-2"/>
                <w:sz w:val="24"/>
              </w:rPr>
              <w:t>5.353406667</w:t>
            </w:r>
          </w:p>
        </w:tc>
      </w:tr>
      <w:tr>
        <w:trPr>
          <w:trHeight w:val="300" w:hRule="atLeast"/>
        </w:trPr>
        <w:tc>
          <w:tcPr>
            <w:tcW w:w="954" w:type="dxa"/>
          </w:tcPr>
          <w:p>
            <w:pPr>
              <w:pStyle w:val="TableParagraph"/>
              <w:spacing w:line="273" w:lineRule="exact" w:before="7"/>
              <w:ind w:right="83"/>
              <w:rPr>
                <w:sz w:val="24"/>
              </w:rPr>
            </w:pPr>
            <w:r>
              <w:rPr>
                <w:sz w:val="24"/>
              </w:rPr>
              <w:t>6</w:t>
            </w:r>
          </w:p>
        </w:tc>
        <w:tc>
          <w:tcPr>
            <w:tcW w:w="3023" w:type="dxa"/>
          </w:tcPr>
          <w:p>
            <w:pPr>
              <w:pStyle w:val="TableParagraph"/>
              <w:spacing w:line="273" w:lineRule="exact" w:before="7"/>
              <w:ind w:left="215" w:right="337"/>
              <w:rPr>
                <w:sz w:val="24"/>
              </w:rPr>
            </w:pPr>
            <w:r>
              <w:rPr>
                <w:sz w:val="24"/>
              </w:rPr>
              <w:t>Domo B</w:t>
            </w:r>
            <w:r>
              <w:rPr>
                <w:spacing w:val="-2"/>
                <w:sz w:val="24"/>
              </w:rPr>
              <w:t> </w:t>
            </w:r>
            <w:r>
              <w:rPr>
                <w:spacing w:val="-5"/>
                <w:sz w:val="24"/>
              </w:rPr>
              <w:t>MPS</w:t>
            </w:r>
          </w:p>
        </w:tc>
        <w:tc>
          <w:tcPr>
            <w:tcW w:w="1814" w:type="dxa"/>
          </w:tcPr>
          <w:p>
            <w:pPr>
              <w:pStyle w:val="TableParagraph"/>
              <w:spacing w:line="273" w:lineRule="exact" w:before="7"/>
              <w:ind w:left="336" w:right="234"/>
              <w:rPr>
                <w:sz w:val="24"/>
              </w:rPr>
            </w:pPr>
            <w:r>
              <w:rPr>
                <w:spacing w:val="-4"/>
                <w:sz w:val="24"/>
              </w:rPr>
              <w:t>Bedi</w:t>
            </w:r>
          </w:p>
        </w:tc>
        <w:tc>
          <w:tcPr>
            <w:tcW w:w="1651" w:type="dxa"/>
          </w:tcPr>
          <w:p>
            <w:pPr>
              <w:pStyle w:val="TableParagraph"/>
              <w:spacing w:line="273" w:lineRule="exact" w:before="7"/>
              <w:ind w:left="236" w:right="136"/>
              <w:rPr>
                <w:sz w:val="24"/>
              </w:rPr>
            </w:pPr>
            <w:r>
              <w:rPr>
                <w:spacing w:val="-2"/>
                <w:sz w:val="24"/>
              </w:rPr>
              <w:t>11.40006667</w:t>
            </w:r>
          </w:p>
        </w:tc>
        <w:tc>
          <w:tcPr>
            <w:tcW w:w="1585" w:type="dxa"/>
          </w:tcPr>
          <w:p>
            <w:pPr>
              <w:pStyle w:val="TableParagraph"/>
              <w:spacing w:line="273" w:lineRule="exact" w:before="7"/>
              <w:ind w:left="136" w:right="171"/>
              <w:rPr>
                <w:sz w:val="24"/>
              </w:rPr>
            </w:pPr>
            <w:r>
              <w:rPr>
                <w:spacing w:val="-2"/>
                <w:sz w:val="24"/>
              </w:rPr>
              <w:t>5.346415</w:t>
            </w:r>
          </w:p>
        </w:tc>
      </w:tr>
      <w:tr>
        <w:trPr>
          <w:trHeight w:val="300" w:hRule="atLeast"/>
        </w:trPr>
        <w:tc>
          <w:tcPr>
            <w:tcW w:w="954" w:type="dxa"/>
          </w:tcPr>
          <w:p>
            <w:pPr>
              <w:pStyle w:val="TableParagraph"/>
              <w:spacing w:line="273" w:lineRule="exact" w:before="7"/>
              <w:ind w:right="83"/>
              <w:rPr>
                <w:sz w:val="24"/>
              </w:rPr>
            </w:pPr>
            <w:r>
              <w:rPr>
                <w:sz w:val="24"/>
              </w:rPr>
              <w:t>7</w:t>
            </w:r>
          </w:p>
        </w:tc>
        <w:tc>
          <w:tcPr>
            <w:tcW w:w="3023" w:type="dxa"/>
          </w:tcPr>
          <w:p>
            <w:pPr>
              <w:pStyle w:val="TableParagraph"/>
              <w:spacing w:line="273" w:lineRule="exact" w:before="7"/>
              <w:ind w:left="215" w:right="337"/>
              <w:rPr>
                <w:sz w:val="24"/>
              </w:rPr>
            </w:pPr>
            <w:r>
              <w:rPr>
                <w:sz w:val="24"/>
              </w:rPr>
              <w:t>Bedi</w:t>
            </w:r>
            <w:r>
              <w:rPr>
                <w:spacing w:val="-3"/>
                <w:sz w:val="24"/>
              </w:rPr>
              <w:t> </w:t>
            </w:r>
            <w:r>
              <w:rPr>
                <w:spacing w:val="-5"/>
                <w:sz w:val="24"/>
              </w:rPr>
              <w:t>PPS</w:t>
            </w:r>
          </w:p>
        </w:tc>
        <w:tc>
          <w:tcPr>
            <w:tcW w:w="1814" w:type="dxa"/>
          </w:tcPr>
          <w:p>
            <w:pPr>
              <w:pStyle w:val="TableParagraph"/>
              <w:spacing w:line="273" w:lineRule="exact" w:before="7"/>
              <w:ind w:left="336" w:right="234"/>
              <w:rPr>
                <w:sz w:val="24"/>
              </w:rPr>
            </w:pPr>
            <w:r>
              <w:rPr>
                <w:spacing w:val="-4"/>
                <w:sz w:val="24"/>
              </w:rPr>
              <w:t>Bedi</w:t>
            </w:r>
          </w:p>
        </w:tc>
        <w:tc>
          <w:tcPr>
            <w:tcW w:w="1651" w:type="dxa"/>
          </w:tcPr>
          <w:p>
            <w:pPr>
              <w:pStyle w:val="TableParagraph"/>
              <w:spacing w:line="273" w:lineRule="exact" w:before="7"/>
              <w:ind w:left="236" w:right="136"/>
              <w:rPr>
                <w:sz w:val="24"/>
              </w:rPr>
            </w:pPr>
            <w:r>
              <w:rPr>
                <w:spacing w:val="-2"/>
                <w:sz w:val="24"/>
              </w:rPr>
              <w:t>11.42125667</w:t>
            </w:r>
          </w:p>
        </w:tc>
        <w:tc>
          <w:tcPr>
            <w:tcW w:w="1585" w:type="dxa"/>
          </w:tcPr>
          <w:p>
            <w:pPr>
              <w:pStyle w:val="TableParagraph"/>
              <w:spacing w:line="273" w:lineRule="exact" w:before="7"/>
              <w:ind w:left="136" w:right="171"/>
              <w:rPr>
                <w:sz w:val="24"/>
              </w:rPr>
            </w:pPr>
            <w:r>
              <w:rPr>
                <w:spacing w:val="-2"/>
                <w:sz w:val="24"/>
              </w:rPr>
              <w:t>5.355133333</w:t>
            </w:r>
          </w:p>
        </w:tc>
      </w:tr>
      <w:tr>
        <w:trPr>
          <w:trHeight w:val="300" w:hRule="atLeast"/>
        </w:trPr>
        <w:tc>
          <w:tcPr>
            <w:tcW w:w="954" w:type="dxa"/>
          </w:tcPr>
          <w:p>
            <w:pPr>
              <w:pStyle w:val="TableParagraph"/>
              <w:spacing w:line="273" w:lineRule="exact" w:before="7"/>
              <w:ind w:right="83"/>
              <w:rPr>
                <w:sz w:val="24"/>
              </w:rPr>
            </w:pPr>
            <w:r>
              <w:rPr>
                <w:sz w:val="24"/>
              </w:rPr>
              <w:t>8</w:t>
            </w:r>
          </w:p>
        </w:tc>
        <w:tc>
          <w:tcPr>
            <w:tcW w:w="3023" w:type="dxa"/>
          </w:tcPr>
          <w:p>
            <w:pPr>
              <w:pStyle w:val="TableParagraph"/>
              <w:spacing w:line="273" w:lineRule="exact" w:before="7"/>
              <w:ind w:left="215" w:right="338"/>
              <w:rPr>
                <w:sz w:val="24"/>
              </w:rPr>
            </w:pPr>
            <w:r>
              <w:rPr>
                <w:sz w:val="24"/>
              </w:rPr>
              <w:t>Kobol </w:t>
            </w:r>
            <w:r>
              <w:rPr>
                <w:spacing w:val="-5"/>
                <w:sz w:val="24"/>
              </w:rPr>
              <w:t>PPS</w:t>
            </w:r>
          </w:p>
        </w:tc>
        <w:tc>
          <w:tcPr>
            <w:tcW w:w="1814" w:type="dxa"/>
          </w:tcPr>
          <w:p>
            <w:pPr>
              <w:pStyle w:val="TableParagraph"/>
              <w:spacing w:line="273" w:lineRule="exact" w:before="7"/>
              <w:ind w:left="336" w:right="234"/>
              <w:rPr>
                <w:sz w:val="24"/>
              </w:rPr>
            </w:pPr>
            <w:r>
              <w:rPr>
                <w:spacing w:val="-4"/>
                <w:sz w:val="24"/>
              </w:rPr>
              <w:t>Bedi</w:t>
            </w:r>
          </w:p>
        </w:tc>
        <w:tc>
          <w:tcPr>
            <w:tcW w:w="1651" w:type="dxa"/>
          </w:tcPr>
          <w:p>
            <w:pPr>
              <w:pStyle w:val="TableParagraph"/>
              <w:spacing w:line="273" w:lineRule="exact" w:before="7"/>
              <w:ind w:left="236" w:right="136"/>
              <w:rPr>
                <w:sz w:val="24"/>
              </w:rPr>
            </w:pPr>
            <w:r>
              <w:rPr>
                <w:spacing w:val="-2"/>
                <w:sz w:val="24"/>
              </w:rPr>
              <w:t>11.40534667</w:t>
            </w:r>
          </w:p>
        </w:tc>
        <w:tc>
          <w:tcPr>
            <w:tcW w:w="1585" w:type="dxa"/>
          </w:tcPr>
          <w:p>
            <w:pPr>
              <w:pStyle w:val="TableParagraph"/>
              <w:spacing w:line="273" w:lineRule="exact" w:before="7"/>
              <w:ind w:left="136" w:right="171"/>
              <w:rPr>
                <w:sz w:val="24"/>
              </w:rPr>
            </w:pPr>
            <w:r>
              <w:rPr>
                <w:spacing w:val="-2"/>
                <w:sz w:val="24"/>
              </w:rPr>
              <w:t>5.3272</w:t>
            </w:r>
          </w:p>
        </w:tc>
      </w:tr>
      <w:tr>
        <w:trPr>
          <w:trHeight w:val="300" w:hRule="atLeast"/>
        </w:trPr>
        <w:tc>
          <w:tcPr>
            <w:tcW w:w="954" w:type="dxa"/>
          </w:tcPr>
          <w:p>
            <w:pPr>
              <w:pStyle w:val="TableParagraph"/>
              <w:spacing w:line="273" w:lineRule="exact" w:before="7"/>
              <w:ind w:right="83"/>
              <w:rPr>
                <w:sz w:val="24"/>
              </w:rPr>
            </w:pPr>
            <w:r>
              <w:rPr>
                <w:sz w:val="24"/>
              </w:rPr>
              <w:t>9</w:t>
            </w:r>
          </w:p>
        </w:tc>
        <w:tc>
          <w:tcPr>
            <w:tcW w:w="3023" w:type="dxa"/>
          </w:tcPr>
          <w:p>
            <w:pPr>
              <w:pStyle w:val="TableParagraph"/>
              <w:spacing w:line="273" w:lineRule="exact" w:before="7"/>
              <w:ind w:left="215" w:right="337"/>
              <w:rPr>
                <w:sz w:val="24"/>
              </w:rPr>
            </w:pPr>
            <w:r>
              <w:rPr>
                <w:sz w:val="24"/>
              </w:rPr>
              <w:t>Zutu</w:t>
            </w:r>
            <w:r>
              <w:rPr>
                <w:spacing w:val="-3"/>
                <w:sz w:val="24"/>
              </w:rPr>
              <w:t> </w:t>
            </w:r>
            <w:r>
              <w:rPr>
                <w:spacing w:val="-5"/>
                <w:sz w:val="24"/>
              </w:rPr>
              <w:t>PPS</w:t>
            </w:r>
          </w:p>
        </w:tc>
        <w:tc>
          <w:tcPr>
            <w:tcW w:w="1814" w:type="dxa"/>
          </w:tcPr>
          <w:p>
            <w:pPr>
              <w:pStyle w:val="TableParagraph"/>
              <w:spacing w:line="273" w:lineRule="exact" w:before="7"/>
              <w:ind w:left="336" w:right="234"/>
              <w:rPr>
                <w:sz w:val="24"/>
              </w:rPr>
            </w:pPr>
            <w:r>
              <w:rPr>
                <w:spacing w:val="-4"/>
                <w:sz w:val="24"/>
              </w:rPr>
              <w:t>Bedi</w:t>
            </w:r>
          </w:p>
        </w:tc>
        <w:tc>
          <w:tcPr>
            <w:tcW w:w="1651" w:type="dxa"/>
          </w:tcPr>
          <w:p>
            <w:pPr>
              <w:pStyle w:val="TableParagraph"/>
              <w:spacing w:line="273" w:lineRule="exact" w:before="7"/>
              <w:ind w:left="236" w:right="136"/>
              <w:rPr>
                <w:sz w:val="24"/>
              </w:rPr>
            </w:pPr>
            <w:r>
              <w:rPr>
                <w:spacing w:val="-2"/>
                <w:sz w:val="24"/>
              </w:rPr>
              <w:t>11.428395</w:t>
            </w:r>
          </w:p>
        </w:tc>
        <w:tc>
          <w:tcPr>
            <w:tcW w:w="1585" w:type="dxa"/>
          </w:tcPr>
          <w:p>
            <w:pPr>
              <w:pStyle w:val="TableParagraph"/>
              <w:spacing w:line="273" w:lineRule="exact" w:before="7"/>
              <w:ind w:left="136" w:right="171"/>
              <w:rPr>
                <w:sz w:val="24"/>
              </w:rPr>
            </w:pPr>
            <w:r>
              <w:rPr>
                <w:spacing w:val="-2"/>
                <w:sz w:val="24"/>
              </w:rPr>
              <w:t>5.322811667</w:t>
            </w:r>
          </w:p>
        </w:tc>
      </w:tr>
      <w:tr>
        <w:trPr>
          <w:trHeight w:val="300" w:hRule="atLeast"/>
        </w:trPr>
        <w:tc>
          <w:tcPr>
            <w:tcW w:w="954" w:type="dxa"/>
          </w:tcPr>
          <w:p>
            <w:pPr>
              <w:pStyle w:val="TableParagraph"/>
              <w:spacing w:line="273" w:lineRule="exact" w:before="7"/>
              <w:ind w:left="126" w:right="209"/>
              <w:rPr>
                <w:sz w:val="24"/>
              </w:rPr>
            </w:pPr>
            <w:r>
              <w:rPr>
                <w:spacing w:val="-5"/>
                <w:sz w:val="24"/>
              </w:rPr>
              <w:t>10</w:t>
            </w:r>
          </w:p>
        </w:tc>
        <w:tc>
          <w:tcPr>
            <w:tcW w:w="3023" w:type="dxa"/>
          </w:tcPr>
          <w:p>
            <w:pPr>
              <w:pStyle w:val="TableParagraph"/>
              <w:spacing w:line="273" w:lineRule="exact" w:before="7"/>
              <w:ind w:left="215" w:right="335"/>
              <w:rPr>
                <w:sz w:val="24"/>
              </w:rPr>
            </w:pPr>
            <w:r>
              <w:rPr>
                <w:sz w:val="24"/>
              </w:rPr>
              <w:t>Koga</w:t>
            </w:r>
            <w:r>
              <w:rPr>
                <w:spacing w:val="-2"/>
                <w:sz w:val="24"/>
              </w:rPr>
              <w:t> </w:t>
            </w:r>
            <w:r>
              <w:rPr>
                <w:spacing w:val="-5"/>
                <w:sz w:val="24"/>
              </w:rPr>
              <w:t>PPS</w:t>
            </w:r>
          </w:p>
        </w:tc>
        <w:tc>
          <w:tcPr>
            <w:tcW w:w="1814" w:type="dxa"/>
          </w:tcPr>
          <w:p>
            <w:pPr>
              <w:pStyle w:val="TableParagraph"/>
              <w:spacing w:line="273" w:lineRule="exact" w:before="7"/>
              <w:ind w:left="336" w:right="234"/>
              <w:rPr>
                <w:sz w:val="24"/>
              </w:rPr>
            </w:pPr>
            <w:r>
              <w:rPr>
                <w:spacing w:val="-4"/>
                <w:sz w:val="24"/>
              </w:rPr>
              <w:t>Bedi</w:t>
            </w:r>
          </w:p>
        </w:tc>
        <w:tc>
          <w:tcPr>
            <w:tcW w:w="1651" w:type="dxa"/>
          </w:tcPr>
          <w:p>
            <w:pPr>
              <w:pStyle w:val="TableParagraph"/>
              <w:spacing w:line="273" w:lineRule="exact" w:before="7"/>
              <w:ind w:left="236" w:right="134"/>
              <w:rPr>
                <w:sz w:val="24"/>
              </w:rPr>
            </w:pPr>
            <w:r>
              <w:rPr>
                <w:spacing w:val="-2"/>
                <w:sz w:val="24"/>
              </w:rPr>
              <w:t>11.41765</w:t>
            </w:r>
          </w:p>
        </w:tc>
        <w:tc>
          <w:tcPr>
            <w:tcW w:w="1585" w:type="dxa"/>
          </w:tcPr>
          <w:p>
            <w:pPr>
              <w:pStyle w:val="TableParagraph"/>
              <w:spacing w:line="273" w:lineRule="exact" w:before="7"/>
              <w:ind w:left="136" w:right="171"/>
              <w:rPr>
                <w:sz w:val="24"/>
              </w:rPr>
            </w:pPr>
            <w:r>
              <w:rPr>
                <w:spacing w:val="-2"/>
                <w:sz w:val="24"/>
              </w:rPr>
              <w:t>5.29248</w:t>
            </w:r>
          </w:p>
        </w:tc>
      </w:tr>
      <w:tr>
        <w:trPr>
          <w:trHeight w:val="300" w:hRule="atLeast"/>
        </w:trPr>
        <w:tc>
          <w:tcPr>
            <w:tcW w:w="954" w:type="dxa"/>
          </w:tcPr>
          <w:p>
            <w:pPr>
              <w:pStyle w:val="TableParagraph"/>
              <w:spacing w:line="273" w:lineRule="exact" w:before="7"/>
              <w:ind w:left="126" w:right="209"/>
              <w:rPr>
                <w:sz w:val="24"/>
              </w:rPr>
            </w:pPr>
            <w:r>
              <w:rPr>
                <w:spacing w:val="-5"/>
                <w:sz w:val="24"/>
              </w:rPr>
              <w:t>11</w:t>
            </w:r>
          </w:p>
        </w:tc>
        <w:tc>
          <w:tcPr>
            <w:tcW w:w="3023" w:type="dxa"/>
          </w:tcPr>
          <w:p>
            <w:pPr>
              <w:pStyle w:val="TableParagraph"/>
              <w:spacing w:line="273" w:lineRule="exact" w:before="7"/>
              <w:ind w:left="215" w:right="336"/>
              <w:rPr>
                <w:sz w:val="24"/>
              </w:rPr>
            </w:pPr>
            <w:r>
              <w:rPr>
                <w:sz w:val="24"/>
              </w:rPr>
              <w:t>Germace</w:t>
            </w:r>
            <w:r>
              <w:rPr>
                <w:spacing w:val="-3"/>
                <w:sz w:val="24"/>
              </w:rPr>
              <w:t> </w:t>
            </w:r>
            <w:r>
              <w:rPr>
                <w:spacing w:val="-5"/>
                <w:sz w:val="24"/>
              </w:rPr>
              <w:t>PPS</w:t>
            </w:r>
          </w:p>
        </w:tc>
        <w:tc>
          <w:tcPr>
            <w:tcW w:w="1814" w:type="dxa"/>
          </w:tcPr>
          <w:p>
            <w:pPr>
              <w:pStyle w:val="TableParagraph"/>
              <w:spacing w:line="273" w:lineRule="exact" w:before="7"/>
              <w:ind w:left="336" w:right="234"/>
              <w:rPr>
                <w:sz w:val="24"/>
              </w:rPr>
            </w:pPr>
            <w:r>
              <w:rPr>
                <w:spacing w:val="-4"/>
                <w:sz w:val="24"/>
              </w:rPr>
              <w:t>Bedi</w:t>
            </w:r>
          </w:p>
        </w:tc>
        <w:tc>
          <w:tcPr>
            <w:tcW w:w="1651" w:type="dxa"/>
          </w:tcPr>
          <w:p>
            <w:pPr>
              <w:pStyle w:val="TableParagraph"/>
              <w:spacing w:line="273" w:lineRule="exact" w:before="7"/>
              <w:ind w:left="236" w:right="136"/>
              <w:rPr>
                <w:sz w:val="24"/>
              </w:rPr>
            </w:pPr>
            <w:r>
              <w:rPr>
                <w:spacing w:val="-2"/>
                <w:sz w:val="24"/>
              </w:rPr>
              <w:t>11.40619667</w:t>
            </w:r>
          </w:p>
        </w:tc>
        <w:tc>
          <w:tcPr>
            <w:tcW w:w="1585" w:type="dxa"/>
          </w:tcPr>
          <w:p>
            <w:pPr>
              <w:pStyle w:val="TableParagraph"/>
              <w:spacing w:line="273" w:lineRule="exact" w:before="7"/>
              <w:ind w:left="136" w:right="171"/>
              <w:rPr>
                <w:sz w:val="24"/>
              </w:rPr>
            </w:pPr>
            <w:r>
              <w:rPr>
                <w:spacing w:val="-2"/>
                <w:sz w:val="24"/>
              </w:rPr>
              <w:t>5.275615</w:t>
            </w:r>
          </w:p>
        </w:tc>
      </w:tr>
      <w:tr>
        <w:trPr>
          <w:trHeight w:val="300" w:hRule="atLeast"/>
        </w:trPr>
        <w:tc>
          <w:tcPr>
            <w:tcW w:w="954" w:type="dxa"/>
          </w:tcPr>
          <w:p>
            <w:pPr>
              <w:pStyle w:val="TableParagraph"/>
              <w:spacing w:line="273" w:lineRule="exact" w:before="7"/>
              <w:ind w:left="126" w:right="209"/>
              <w:rPr>
                <w:sz w:val="24"/>
              </w:rPr>
            </w:pPr>
            <w:r>
              <w:rPr>
                <w:spacing w:val="-5"/>
                <w:sz w:val="24"/>
              </w:rPr>
              <w:t>12</w:t>
            </w:r>
          </w:p>
        </w:tc>
        <w:tc>
          <w:tcPr>
            <w:tcW w:w="3023" w:type="dxa"/>
          </w:tcPr>
          <w:p>
            <w:pPr>
              <w:pStyle w:val="TableParagraph"/>
              <w:spacing w:line="273" w:lineRule="exact" w:before="7"/>
              <w:ind w:left="215" w:right="338"/>
              <w:rPr>
                <w:sz w:val="24"/>
              </w:rPr>
            </w:pPr>
            <w:r>
              <w:rPr>
                <w:sz w:val="24"/>
              </w:rPr>
              <w:t>Dongo</w:t>
            </w:r>
            <w:r>
              <w:rPr>
                <w:spacing w:val="-3"/>
                <w:sz w:val="24"/>
              </w:rPr>
              <w:t> </w:t>
            </w:r>
            <w:r>
              <w:rPr>
                <w:spacing w:val="-5"/>
                <w:sz w:val="24"/>
              </w:rPr>
              <w:t>MPS</w:t>
            </w:r>
          </w:p>
        </w:tc>
        <w:tc>
          <w:tcPr>
            <w:tcW w:w="1814" w:type="dxa"/>
          </w:tcPr>
          <w:p>
            <w:pPr>
              <w:pStyle w:val="TableParagraph"/>
              <w:spacing w:line="273" w:lineRule="exact" w:before="7"/>
              <w:ind w:left="336" w:right="234"/>
              <w:rPr>
                <w:sz w:val="24"/>
              </w:rPr>
            </w:pPr>
            <w:r>
              <w:rPr>
                <w:spacing w:val="-4"/>
                <w:sz w:val="24"/>
              </w:rPr>
              <w:t>Bedi</w:t>
            </w:r>
          </w:p>
        </w:tc>
        <w:tc>
          <w:tcPr>
            <w:tcW w:w="1651" w:type="dxa"/>
          </w:tcPr>
          <w:p>
            <w:pPr>
              <w:pStyle w:val="TableParagraph"/>
              <w:spacing w:line="273" w:lineRule="exact" w:before="7"/>
              <w:ind w:left="236" w:right="134"/>
              <w:rPr>
                <w:sz w:val="24"/>
              </w:rPr>
            </w:pPr>
            <w:r>
              <w:rPr>
                <w:spacing w:val="-2"/>
                <w:sz w:val="24"/>
              </w:rPr>
              <w:t>11.42661</w:t>
            </w:r>
          </w:p>
        </w:tc>
        <w:tc>
          <w:tcPr>
            <w:tcW w:w="1585" w:type="dxa"/>
          </w:tcPr>
          <w:p>
            <w:pPr>
              <w:pStyle w:val="TableParagraph"/>
              <w:spacing w:line="273" w:lineRule="exact" w:before="7"/>
              <w:ind w:left="136" w:right="171"/>
              <w:rPr>
                <w:sz w:val="24"/>
              </w:rPr>
            </w:pPr>
            <w:r>
              <w:rPr>
                <w:spacing w:val="-2"/>
                <w:sz w:val="24"/>
              </w:rPr>
              <w:t>5.259638333</w:t>
            </w:r>
          </w:p>
        </w:tc>
      </w:tr>
      <w:tr>
        <w:trPr>
          <w:trHeight w:val="300" w:hRule="atLeast"/>
        </w:trPr>
        <w:tc>
          <w:tcPr>
            <w:tcW w:w="954" w:type="dxa"/>
          </w:tcPr>
          <w:p>
            <w:pPr>
              <w:pStyle w:val="TableParagraph"/>
              <w:spacing w:line="273" w:lineRule="exact" w:before="7"/>
              <w:ind w:left="126" w:right="209"/>
              <w:rPr>
                <w:sz w:val="24"/>
              </w:rPr>
            </w:pPr>
            <w:r>
              <w:rPr>
                <w:spacing w:val="-5"/>
                <w:sz w:val="24"/>
              </w:rPr>
              <w:t>13</w:t>
            </w:r>
          </w:p>
        </w:tc>
        <w:tc>
          <w:tcPr>
            <w:tcW w:w="3023" w:type="dxa"/>
          </w:tcPr>
          <w:p>
            <w:pPr>
              <w:pStyle w:val="TableParagraph"/>
              <w:spacing w:line="273" w:lineRule="exact" w:before="7"/>
              <w:ind w:left="215" w:right="335"/>
              <w:rPr>
                <w:sz w:val="24"/>
              </w:rPr>
            </w:pPr>
            <w:r>
              <w:rPr>
                <w:sz w:val="24"/>
              </w:rPr>
              <w:t>Domo A </w:t>
            </w:r>
            <w:r>
              <w:rPr>
                <w:spacing w:val="-5"/>
                <w:sz w:val="24"/>
              </w:rPr>
              <w:t>PPS</w:t>
            </w:r>
          </w:p>
        </w:tc>
        <w:tc>
          <w:tcPr>
            <w:tcW w:w="1814" w:type="dxa"/>
          </w:tcPr>
          <w:p>
            <w:pPr>
              <w:pStyle w:val="TableParagraph"/>
              <w:spacing w:line="273" w:lineRule="exact" w:before="7"/>
              <w:ind w:left="336" w:right="235"/>
              <w:rPr>
                <w:sz w:val="24"/>
              </w:rPr>
            </w:pPr>
            <w:r>
              <w:rPr>
                <w:sz w:val="24"/>
              </w:rPr>
              <w:t>Manga</w:t>
            </w:r>
            <w:r>
              <w:rPr>
                <w:spacing w:val="-2"/>
                <w:sz w:val="24"/>
              </w:rPr>
              <w:t> </w:t>
            </w:r>
            <w:r>
              <w:rPr>
                <w:spacing w:val="-4"/>
                <w:sz w:val="24"/>
              </w:rPr>
              <w:t>Ushe</w:t>
            </w:r>
          </w:p>
        </w:tc>
        <w:tc>
          <w:tcPr>
            <w:tcW w:w="1651" w:type="dxa"/>
          </w:tcPr>
          <w:p>
            <w:pPr>
              <w:pStyle w:val="TableParagraph"/>
              <w:spacing w:line="273" w:lineRule="exact" w:before="7"/>
              <w:ind w:left="236" w:right="134"/>
              <w:rPr>
                <w:sz w:val="24"/>
              </w:rPr>
            </w:pPr>
            <w:r>
              <w:rPr>
                <w:spacing w:val="-2"/>
                <w:sz w:val="24"/>
              </w:rPr>
              <w:t>11.37193</w:t>
            </w:r>
          </w:p>
        </w:tc>
        <w:tc>
          <w:tcPr>
            <w:tcW w:w="1585" w:type="dxa"/>
          </w:tcPr>
          <w:p>
            <w:pPr>
              <w:pStyle w:val="TableParagraph"/>
              <w:spacing w:line="273" w:lineRule="exact" w:before="7"/>
              <w:ind w:left="136" w:right="171"/>
              <w:rPr>
                <w:sz w:val="24"/>
              </w:rPr>
            </w:pPr>
            <w:r>
              <w:rPr>
                <w:spacing w:val="-2"/>
                <w:sz w:val="24"/>
              </w:rPr>
              <w:t>5.32128</w:t>
            </w:r>
          </w:p>
        </w:tc>
      </w:tr>
      <w:tr>
        <w:trPr>
          <w:trHeight w:val="300" w:hRule="atLeast"/>
        </w:trPr>
        <w:tc>
          <w:tcPr>
            <w:tcW w:w="954" w:type="dxa"/>
          </w:tcPr>
          <w:p>
            <w:pPr>
              <w:pStyle w:val="TableParagraph"/>
              <w:spacing w:line="273" w:lineRule="exact" w:before="7"/>
              <w:ind w:left="126" w:right="209"/>
              <w:rPr>
                <w:sz w:val="24"/>
              </w:rPr>
            </w:pPr>
            <w:r>
              <w:rPr>
                <w:spacing w:val="-5"/>
                <w:sz w:val="24"/>
              </w:rPr>
              <w:t>14</w:t>
            </w:r>
          </w:p>
        </w:tc>
        <w:tc>
          <w:tcPr>
            <w:tcW w:w="3023" w:type="dxa"/>
          </w:tcPr>
          <w:p>
            <w:pPr>
              <w:pStyle w:val="TableParagraph"/>
              <w:spacing w:line="273" w:lineRule="exact" w:before="7"/>
              <w:ind w:left="215" w:right="336"/>
              <w:rPr>
                <w:sz w:val="24"/>
              </w:rPr>
            </w:pPr>
            <w:r>
              <w:rPr>
                <w:sz w:val="24"/>
              </w:rPr>
              <w:t>Manga</w:t>
            </w:r>
            <w:r>
              <w:rPr>
                <w:spacing w:val="-2"/>
                <w:sz w:val="24"/>
              </w:rPr>
              <w:t> </w:t>
            </w:r>
            <w:r>
              <w:rPr>
                <w:spacing w:val="-5"/>
                <w:sz w:val="24"/>
              </w:rPr>
              <w:t>MPS</w:t>
            </w:r>
          </w:p>
        </w:tc>
        <w:tc>
          <w:tcPr>
            <w:tcW w:w="1814" w:type="dxa"/>
          </w:tcPr>
          <w:p>
            <w:pPr>
              <w:pStyle w:val="TableParagraph"/>
              <w:spacing w:line="273" w:lineRule="exact" w:before="7"/>
              <w:ind w:left="336" w:right="235"/>
              <w:rPr>
                <w:sz w:val="24"/>
              </w:rPr>
            </w:pPr>
            <w:r>
              <w:rPr>
                <w:sz w:val="24"/>
              </w:rPr>
              <w:t>Manga</w:t>
            </w:r>
            <w:r>
              <w:rPr>
                <w:spacing w:val="-2"/>
                <w:sz w:val="24"/>
              </w:rPr>
              <w:t> </w:t>
            </w:r>
            <w:r>
              <w:rPr>
                <w:spacing w:val="-4"/>
                <w:sz w:val="24"/>
              </w:rPr>
              <w:t>Ushe</w:t>
            </w:r>
          </w:p>
        </w:tc>
        <w:tc>
          <w:tcPr>
            <w:tcW w:w="1651" w:type="dxa"/>
          </w:tcPr>
          <w:p>
            <w:pPr>
              <w:pStyle w:val="TableParagraph"/>
              <w:spacing w:line="273" w:lineRule="exact" w:before="7"/>
              <w:ind w:left="236" w:right="136"/>
              <w:rPr>
                <w:sz w:val="24"/>
              </w:rPr>
            </w:pPr>
            <w:r>
              <w:rPr>
                <w:spacing w:val="-2"/>
                <w:sz w:val="24"/>
              </w:rPr>
              <w:t>11.37654167</w:t>
            </w:r>
          </w:p>
        </w:tc>
        <w:tc>
          <w:tcPr>
            <w:tcW w:w="1585" w:type="dxa"/>
          </w:tcPr>
          <w:p>
            <w:pPr>
              <w:pStyle w:val="TableParagraph"/>
              <w:spacing w:line="273" w:lineRule="exact" w:before="7"/>
              <w:ind w:left="136" w:right="171"/>
              <w:rPr>
                <w:sz w:val="24"/>
              </w:rPr>
            </w:pPr>
            <w:r>
              <w:rPr>
                <w:spacing w:val="-2"/>
                <w:sz w:val="24"/>
              </w:rPr>
              <w:t>5.254181667</w:t>
            </w:r>
          </w:p>
        </w:tc>
      </w:tr>
      <w:tr>
        <w:trPr>
          <w:trHeight w:val="300" w:hRule="atLeast"/>
        </w:trPr>
        <w:tc>
          <w:tcPr>
            <w:tcW w:w="954" w:type="dxa"/>
          </w:tcPr>
          <w:p>
            <w:pPr>
              <w:pStyle w:val="TableParagraph"/>
              <w:spacing w:line="273" w:lineRule="exact" w:before="7"/>
              <w:ind w:left="126" w:right="209"/>
              <w:rPr>
                <w:sz w:val="24"/>
              </w:rPr>
            </w:pPr>
            <w:r>
              <w:rPr>
                <w:spacing w:val="-5"/>
                <w:sz w:val="24"/>
              </w:rPr>
              <w:t>15</w:t>
            </w:r>
          </w:p>
        </w:tc>
        <w:tc>
          <w:tcPr>
            <w:tcW w:w="3023" w:type="dxa"/>
          </w:tcPr>
          <w:p>
            <w:pPr>
              <w:pStyle w:val="TableParagraph"/>
              <w:spacing w:line="273" w:lineRule="exact" w:before="7"/>
              <w:ind w:left="215" w:right="338"/>
              <w:rPr>
                <w:sz w:val="24"/>
              </w:rPr>
            </w:pPr>
            <w:r>
              <w:rPr>
                <w:sz w:val="24"/>
              </w:rPr>
              <w:t>Manga</w:t>
            </w:r>
            <w:r>
              <w:rPr>
                <w:spacing w:val="-2"/>
                <w:sz w:val="24"/>
              </w:rPr>
              <w:t> </w:t>
            </w:r>
            <w:r>
              <w:rPr>
                <w:sz w:val="24"/>
              </w:rPr>
              <w:t>Ushe</w:t>
            </w:r>
            <w:r>
              <w:rPr>
                <w:spacing w:val="-2"/>
                <w:sz w:val="24"/>
              </w:rPr>
              <w:t> </w:t>
            </w:r>
            <w:r>
              <w:rPr>
                <w:sz w:val="24"/>
              </w:rPr>
              <w:t>Gogadi</w:t>
            </w:r>
            <w:r>
              <w:rPr>
                <w:spacing w:val="1"/>
                <w:sz w:val="24"/>
              </w:rPr>
              <w:t> </w:t>
            </w:r>
            <w:r>
              <w:rPr>
                <w:spacing w:val="-5"/>
                <w:sz w:val="24"/>
              </w:rPr>
              <w:t>PPS</w:t>
            </w:r>
          </w:p>
        </w:tc>
        <w:tc>
          <w:tcPr>
            <w:tcW w:w="1814" w:type="dxa"/>
          </w:tcPr>
          <w:p>
            <w:pPr>
              <w:pStyle w:val="TableParagraph"/>
              <w:spacing w:line="273" w:lineRule="exact" w:before="7"/>
              <w:ind w:left="336" w:right="235"/>
              <w:rPr>
                <w:sz w:val="24"/>
              </w:rPr>
            </w:pPr>
            <w:r>
              <w:rPr>
                <w:sz w:val="24"/>
              </w:rPr>
              <w:t>Manga</w:t>
            </w:r>
            <w:r>
              <w:rPr>
                <w:spacing w:val="-2"/>
                <w:sz w:val="24"/>
              </w:rPr>
              <w:t> </w:t>
            </w:r>
            <w:r>
              <w:rPr>
                <w:spacing w:val="-4"/>
                <w:sz w:val="24"/>
              </w:rPr>
              <w:t>Ushe</w:t>
            </w:r>
          </w:p>
        </w:tc>
        <w:tc>
          <w:tcPr>
            <w:tcW w:w="1651" w:type="dxa"/>
          </w:tcPr>
          <w:p>
            <w:pPr>
              <w:pStyle w:val="TableParagraph"/>
              <w:spacing w:line="273" w:lineRule="exact" w:before="7"/>
              <w:ind w:left="236" w:right="136"/>
              <w:rPr>
                <w:sz w:val="24"/>
              </w:rPr>
            </w:pPr>
            <w:r>
              <w:rPr>
                <w:spacing w:val="-2"/>
                <w:sz w:val="24"/>
              </w:rPr>
              <w:t>11.34867333</w:t>
            </w:r>
          </w:p>
        </w:tc>
        <w:tc>
          <w:tcPr>
            <w:tcW w:w="1585" w:type="dxa"/>
          </w:tcPr>
          <w:p>
            <w:pPr>
              <w:pStyle w:val="TableParagraph"/>
              <w:spacing w:line="273" w:lineRule="exact" w:before="7"/>
              <w:ind w:left="136" w:right="171"/>
              <w:rPr>
                <w:sz w:val="24"/>
              </w:rPr>
            </w:pPr>
            <w:r>
              <w:rPr>
                <w:spacing w:val="-2"/>
                <w:sz w:val="24"/>
              </w:rPr>
              <w:t>5.26149</w:t>
            </w:r>
          </w:p>
        </w:tc>
      </w:tr>
      <w:tr>
        <w:trPr>
          <w:trHeight w:val="300" w:hRule="atLeast"/>
        </w:trPr>
        <w:tc>
          <w:tcPr>
            <w:tcW w:w="954" w:type="dxa"/>
          </w:tcPr>
          <w:p>
            <w:pPr>
              <w:pStyle w:val="TableParagraph"/>
              <w:spacing w:line="273" w:lineRule="exact" w:before="7"/>
              <w:ind w:left="126" w:right="209"/>
              <w:rPr>
                <w:sz w:val="24"/>
              </w:rPr>
            </w:pPr>
            <w:r>
              <w:rPr>
                <w:spacing w:val="-5"/>
                <w:sz w:val="24"/>
              </w:rPr>
              <w:t>16</w:t>
            </w:r>
          </w:p>
        </w:tc>
        <w:tc>
          <w:tcPr>
            <w:tcW w:w="3023" w:type="dxa"/>
          </w:tcPr>
          <w:p>
            <w:pPr>
              <w:pStyle w:val="TableParagraph"/>
              <w:spacing w:line="273" w:lineRule="exact" w:before="7"/>
              <w:ind w:left="215" w:right="336"/>
              <w:rPr>
                <w:sz w:val="24"/>
              </w:rPr>
            </w:pPr>
            <w:r>
              <w:rPr>
                <w:sz w:val="24"/>
              </w:rPr>
              <w:t>Semkene</w:t>
            </w:r>
            <w:r>
              <w:rPr>
                <w:spacing w:val="-2"/>
                <w:sz w:val="24"/>
              </w:rPr>
              <w:t> </w:t>
            </w:r>
            <w:r>
              <w:rPr>
                <w:spacing w:val="-5"/>
                <w:sz w:val="24"/>
              </w:rPr>
              <w:t>PPS</w:t>
            </w:r>
          </w:p>
        </w:tc>
        <w:tc>
          <w:tcPr>
            <w:tcW w:w="1814" w:type="dxa"/>
          </w:tcPr>
          <w:p>
            <w:pPr>
              <w:pStyle w:val="TableParagraph"/>
              <w:spacing w:line="273" w:lineRule="exact" w:before="7"/>
              <w:ind w:left="336" w:right="235"/>
              <w:rPr>
                <w:sz w:val="24"/>
              </w:rPr>
            </w:pPr>
            <w:r>
              <w:rPr>
                <w:sz w:val="24"/>
              </w:rPr>
              <w:t>Manga</w:t>
            </w:r>
            <w:r>
              <w:rPr>
                <w:spacing w:val="-2"/>
                <w:sz w:val="24"/>
              </w:rPr>
              <w:t> </w:t>
            </w:r>
            <w:r>
              <w:rPr>
                <w:spacing w:val="-4"/>
                <w:sz w:val="24"/>
              </w:rPr>
              <w:t>Ushe</w:t>
            </w:r>
          </w:p>
        </w:tc>
        <w:tc>
          <w:tcPr>
            <w:tcW w:w="1651" w:type="dxa"/>
          </w:tcPr>
          <w:p>
            <w:pPr>
              <w:pStyle w:val="TableParagraph"/>
              <w:spacing w:line="273" w:lineRule="exact" w:before="7"/>
              <w:ind w:left="236" w:right="134"/>
              <w:rPr>
                <w:sz w:val="24"/>
              </w:rPr>
            </w:pPr>
            <w:r>
              <w:rPr>
                <w:spacing w:val="-2"/>
                <w:sz w:val="24"/>
              </w:rPr>
              <w:t>11.36788</w:t>
            </w:r>
          </w:p>
        </w:tc>
        <w:tc>
          <w:tcPr>
            <w:tcW w:w="1585" w:type="dxa"/>
          </w:tcPr>
          <w:p>
            <w:pPr>
              <w:pStyle w:val="TableParagraph"/>
              <w:spacing w:line="273" w:lineRule="exact" w:before="7"/>
              <w:ind w:left="136" w:right="171"/>
              <w:rPr>
                <w:sz w:val="24"/>
              </w:rPr>
            </w:pPr>
            <w:r>
              <w:rPr>
                <w:spacing w:val="-2"/>
                <w:sz w:val="24"/>
              </w:rPr>
              <w:t>5.262158333</w:t>
            </w:r>
          </w:p>
        </w:tc>
      </w:tr>
      <w:tr>
        <w:trPr>
          <w:trHeight w:val="300" w:hRule="atLeast"/>
        </w:trPr>
        <w:tc>
          <w:tcPr>
            <w:tcW w:w="954" w:type="dxa"/>
          </w:tcPr>
          <w:p>
            <w:pPr>
              <w:pStyle w:val="TableParagraph"/>
              <w:spacing w:line="273" w:lineRule="exact" w:before="7"/>
              <w:ind w:left="126" w:right="209"/>
              <w:rPr>
                <w:sz w:val="24"/>
              </w:rPr>
            </w:pPr>
            <w:r>
              <w:rPr>
                <w:spacing w:val="-5"/>
                <w:sz w:val="24"/>
              </w:rPr>
              <w:t>17</w:t>
            </w:r>
          </w:p>
        </w:tc>
        <w:tc>
          <w:tcPr>
            <w:tcW w:w="3023" w:type="dxa"/>
          </w:tcPr>
          <w:p>
            <w:pPr>
              <w:pStyle w:val="TableParagraph"/>
              <w:spacing w:line="273" w:lineRule="exact" w:before="7"/>
              <w:ind w:left="215" w:right="337"/>
              <w:rPr>
                <w:sz w:val="24"/>
              </w:rPr>
            </w:pPr>
            <w:r>
              <w:rPr>
                <w:sz w:val="24"/>
              </w:rPr>
              <w:t>NYSC</w:t>
            </w:r>
            <w:r>
              <w:rPr>
                <w:spacing w:val="-3"/>
                <w:sz w:val="24"/>
              </w:rPr>
              <w:t> </w:t>
            </w:r>
            <w:r>
              <w:rPr>
                <w:sz w:val="24"/>
              </w:rPr>
              <w:t>Pri. </w:t>
            </w:r>
            <w:r>
              <w:rPr>
                <w:spacing w:val="-4"/>
                <w:sz w:val="24"/>
              </w:rPr>
              <w:t>Schl</w:t>
            </w:r>
          </w:p>
        </w:tc>
        <w:tc>
          <w:tcPr>
            <w:tcW w:w="1814" w:type="dxa"/>
          </w:tcPr>
          <w:p>
            <w:pPr>
              <w:pStyle w:val="TableParagraph"/>
              <w:spacing w:line="273" w:lineRule="exact" w:before="7"/>
              <w:ind w:left="335" w:right="235"/>
              <w:rPr>
                <w:sz w:val="24"/>
              </w:rPr>
            </w:pPr>
            <w:r>
              <w:rPr>
                <w:sz w:val="24"/>
              </w:rPr>
              <w:t>Rafin</w:t>
            </w:r>
            <w:r>
              <w:rPr>
                <w:spacing w:val="-3"/>
                <w:sz w:val="24"/>
              </w:rPr>
              <w:t> </w:t>
            </w:r>
            <w:r>
              <w:rPr>
                <w:spacing w:val="-4"/>
                <w:sz w:val="24"/>
              </w:rPr>
              <w:t>Zuru</w:t>
            </w:r>
          </w:p>
        </w:tc>
        <w:tc>
          <w:tcPr>
            <w:tcW w:w="1651" w:type="dxa"/>
          </w:tcPr>
          <w:p>
            <w:pPr>
              <w:pStyle w:val="TableParagraph"/>
              <w:spacing w:line="273" w:lineRule="exact" w:before="7"/>
              <w:ind w:left="236" w:right="136"/>
              <w:rPr>
                <w:sz w:val="24"/>
              </w:rPr>
            </w:pPr>
            <w:r>
              <w:rPr>
                <w:spacing w:val="-2"/>
                <w:sz w:val="24"/>
              </w:rPr>
              <w:t>11.42408333</w:t>
            </w:r>
          </w:p>
        </w:tc>
        <w:tc>
          <w:tcPr>
            <w:tcW w:w="1585" w:type="dxa"/>
          </w:tcPr>
          <w:p>
            <w:pPr>
              <w:pStyle w:val="TableParagraph"/>
              <w:spacing w:line="273" w:lineRule="exact" w:before="7"/>
              <w:ind w:left="136" w:right="171"/>
              <w:rPr>
                <w:sz w:val="24"/>
              </w:rPr>
            </w:pPr>
            <w:r>
              <w:rPr>
                <w:spacing w:val="-2"/>
                <w:sz w:val="24"/>
              </w:rPr>
              <w:t>5.236433333</w:t>
            </w:r>
          </w:p>
        </w:tc>
      </w:tr>
      <w:tr>
        <w:trPr>
          <w:trHeight w:val="300" w:hRule="atLeast"/>
        </w:trPr>
        <w:tc>
          <w:tcPr>
            <w:tcW w:w="954" w:type="dxa"/>
          </w:tcPr>
          <w:p>
            <w:pPr>
              <w:pStyle w:val="TableParagraph"/>
              <w:spacing w:line="273" w:lineRule="exact" w:before="7"/>
              <w:ind w:left="126" w:right="209"/>
              <w:rPr>
                <w:sz w:val="24"/>
              </w:rPr>
            </w:pPr>
            <w:r>
              <w:rPr>
                <w:spacing w:val="-5"/>
                <w:sz w:val="24"/>
              </w:rPr>
              <w:t>18</w:t>
            </w:r>
          </w:p>
        </w:tc>
        <w:tc>
          <w:tcPr>
            <w:tcW w:w="3023" w:type="dxa"/>
          </w:tcPr>
          <w:p>
            <w:pPr>
              <w:pStyle w:val="TableParagraph"/>
              <w:spacing w:line="273" w:lineRule="exact" w:before="7"/>
              <w:ind w:left="215" w:right="338"/>
              <w:rPr>
                <w:sz w:val="24"/>
              </w:rPr>
            </w:pPr>
            <w:r>
              <w:rPr>
                <w:sz w:val="24"/>
              </w:rPr>
              <w:t>Danga</w:t>
            </w:r>
            <w:r>
              <w:rPr>
                <w:spacing w:val="-3"/>
                <w:sz w:val="24"/>
              </w:rPr>
              <w:t> </w:t>
            </w:r>
            <w:r>
              <w:rPr>
                <w:sz w:val="24"/>
              </w:rPr>
              <w:t>Gomo</w:t>
            </w:r>
            <w:r>
              <w:rPr>
                <w:spacing w:val="-1"/>
                <w:sz w:val="24"/>
              </w:rPr>
              <w:t> </w:t>
            </w:r>
            <w:r>
              <w:rPr>
                <w:spacing w:val="-5"/>
                <w:sz w:val="24"/>
              </w:rPr>
              <w:t>MPS</w:t>
            </w:r>
          </w:p>
        </w:tc>
        <w:tc>
          <w:tcPr>
            <w:tcW w:w="1814" w:type="dxa"/>
          </w:tcPr>
          <w:p>
            <w:pPr>
              <w:pStyle w:val="TableParagraph"/>
              <w:spacing w:line="273" w:lineRule="exact" w:before="7"/>
              <w:ind w:left="335" w:right="235"/>
              <w:rPr>
                <w:sz w:val="24"/>
              </w:rPr>
            </w:pPr>
            <w:r>
              <w:rPr>
                <w:sz w:val="24"/>
              </w:rPr>
              <w:t>Rafin</w:t>
            </w:r>
            <w:r>
              <w:rPr>
                <w:spacing w:val="-3"/>
                <w:sz w:val="24"/>
              </w:rPr>
              <w:t> </w:t>
            </w:r>
            <w:r>
              <w:rPr>
                <w:spacing w:val="-4"/>
                <w:sz w:val="24"/>
              </w:rPr>
              <w:t>Zuru</w:t>
            </w:r>
          </w:p>
        </w:tc>
        <w:tc>
          <w:tcPr>
            <w:tcW w:w="1651" w:type="dxa"/>
          </w:tcPr>
          <w:p>
            <w:pPr>
              <w:pStyle w:val="TableParagraph"/>
              <w:spacing w:line="273" w:lineRule="exact" w:before="7"/>
              <w:ind w:left="236" w:right="136"/>
              <w:rPr>
                <w:sz w:val="24"/>
              </w:rPr>
            </w:pPr>
            <w:r>
              <w:rPr>
                <w:spacing w:val="-2"/>
                <w:sz w:val="24"/>
              </w:rPr>
              <w:t>11.42643167</w:t>
            </w:r>
          </w:p>
        </w:tc>
        <w:tc>
          <w:tcPr>
            <w:tcW w:w="1585" w:type="dxa"/>
          </w:tcPr>
          <w:p>
            <w:pPr>
              <w:pStyle w:val="TableParagraph"/>
              <w:spacing w:line="273" w:lineRule="exact" w:before="7"/>
              <w:ind w:left="136" w:right="171"/>
              <w:rPr>
                <w:sz w:val="24"/>
              </w:rPr>
            </w:pPr>
            <w:r>
              <w:rPr>
                <w:spacing w:val="-2"/>
                <w:sz w:val="24"/>
              </w:rPr>
              <w:t>5.2377</w:t>
            </w:r>
          </w:p>
        </w:tc>
      </w:tr>
      <w:tr>
        <w:trPr>
          <w:trHeight w:val="300" w:hRule="atLeast"/>
        </w:trPr>
        <w:tc>
          <w:tcPr>
            <w:tcW w:w="954" w:type="dxa"/>
          </w:tcPr>
          <w:p>
            <w:pPr>
              <w:pStyle w:val="TableParagraph"/>
              <w:spacing w:line="273" w:lineRule="exact" w:before="7"/>
              <w:ind w:left="126" w:right="209"/>
              <w:rPr>
                <w:sz w:val="24"/>
              </w:rPr>
            </w:pPr>
            <w:r>
              <w:rPr>
                <w:spacing w:val="-5"/>
                <w:sz w:val="24"/>
              </w:rPr>
              <w:t>19</w:t>
            </w:r>
          </w:p>
        </w:tc>
        <w:tc>
          <w:tcPr>
            <w:tcW w:w="3023" w:type="dxa"/>
          </w:tcPr>
          <w:p>
            <w:pPr>
              <w:pStyle w:val="TableParagraph"/>
              <w:spacing w:line="273" w:lineRule="exact" w:before="7"/>
              <w:ind w:left="215" w:right="338"/>
              <w:rPr>
                <w:sz w:val="24"/>
              </w:rPr>
            </w:pPr>
            <w:r>
              <w:rPr>
                <w:sz w:val="24"/>
              </w:rPr>
              <w:t>Sami</w:t>
            </w:r>
            <w:r>
              <w:rPr>
                <w:spacing w:val="-1"/>
                <w:sz w:val="24"/>
              </w:rPr>
              <w:t> </w:t>
            </w:r>
            <w:r>
              <w:rPr>
                <w:sz w:val="24"/>
              </w:rPr>
              <w:t>Gomo </w:t>
            </w:r>
            <w:r>
              <w:rPr>
                <w:spacing w:val="-5"/>
                <w:sz w:val="24"/>
              </w:rPr>
              <w:t>MPS</w:t>
            </w:r>
          </w:p>
        </w:tc>
        <w:tc>
          <w:tcPr>
            <w:tcW w:w="1814" w:type="dxa"/>
          </w:tcPr>
          <w:p>
            <w:pPr>
              <w:pStyle w:val="TableParagraph"/>
              <w:spacing w:line="273" w:lineRule="exact" w:before="7"/>
              <w:ind w:left="335" w:right="235"/>
              <w:rPr>
                <w:sz w:val="24"/>
              </w:rPr>
            </w:pPr>
            <w:r>
              <w:rPr>
                <w:sz w:val="24"/>
              </w:rPr>
              <w:t>Rafin</w:t>
            </w:r>
            <w:r>
              <w:rPr>
                <w:spacing w:val="-3"/>
                <w:sz w:val="24"/>
              </w:rPr>
              <w:t> </w:t>
            </w:r>
            <w:r>
              <w:rPr>
                <w:spacing w:val="-4"/>
                <w:sz w:val="24"/>
              </w:rPr>
              <w:t>Zuru</w:t>
            </w:r>
          </w:p>
        </w:tc>
        <w:tc>
          <w:tcPr>
            <w:tcW w:w="1651" w:type="dxa"/>
          </w:tcPr>
          <w:p>
            <w:pPr>
              <w:pStyle w:val="TableParagraph"/>
              <w:spacing w:line="273" w:lineRule="exact" w:before="7"/>
              <w:ind w:left="236" w:right="134"/>
              <w:rPr>
                <w:sz w:val="24"/>
              </w:rPr>
            </w:pPr>
            <w:r>
              <w:rPr>
                <w:spacing w:val="-2"/>
                <w:sz w:val="24"/>
              </w:rPr>
              <w:t>11.4349</w:t>
            </w:r>
          </w:p>
        </w:tc>
        <w:tc>
          <w:tcPr>
            <w:tcW w:w="1585" w:type="dxa"/>
          </w:tcPr>
          <w:p>
            <w:pPr>
              <w:pStyle w:val="TableParagraph"/>
              <w:spacing w:line="273" w:lineRule="exact" w:before="7"/>
              <w:ind w:left="136" w:right="171"/>
              <w:rPr>
                <w:sz w:val="24"/>
              </w:rPr>
            </w:pPr>
            <w:r>
              <w:rPr>
                <w:spacing w:val="-2"/>
                <w:sz w:val="24"/>
              </w:rPr>
              <w:t>5.234336667</w:t>
            </w:r>
          </w:p>
        </w:tc>
      </w:tr>
      <w:tr>
        <w:trPr>
          <w:trHeight w:val="300" w:hRule="atLeast"/>
        </w:trPr>
        <w:tc>
          <w:tcPr>
            <w:tcW w:w="954" w:type="dxa"/>
          </w:tcPr>
          <w:p>
            <w:pPr>
              <w:pStyle w:val="TableParagraph"/>
              <w:spacing w:line="273" w:lineRule="exact" w:before="7"/>
              <w:ind w:left="126" w:right="209"/>
              <w:rPr>
                <w:sz w:val="24"/>
              </w:rPr>
            </w:pPr>
            <w:r>
              <w:rPr>
                <w:spacing w:val="-5"/>
                <w:sz w:val="24"/>
              </w:rPr>
              <w:t>20</w:t>
            </w:r>
          </w:p>
        </w:tc>
        <w:tc>
          <w:tcPr>
            <w:tcW w:w="3023" w:type="dxa"/>
          </w:tcPr>
          <w:p>
            <w:pPr>
              <w:pStyle w:val="TableParagraph"/>
              <w:spacing w:line="273" w:lineRule="exact" w:before="7"/>
              <w:ind w:left="215" w:right="338"/>
              <w:rPr>
                <w:sz w:val="24"/>
              </w:rPr>
            </w:pPr>
            <w:r>
              <w:rPr>
                <w:sz w:val="24"/>
              </w:rPr>
              <w:t>Andi Gomo </w:t>
            </w:r>
            <w:r>
              <w:rPr>
                <w:spacing w:val="-5"/>
                <w:sz w:val="24"/>
              </w:rPr>
              <w:t>MPS</w:t>
            </w:r>
          </w:p>
        </w:tc>
        <w:tc>
          <w:tcPr>
            <w:tcW w:w="1814" w:type="dxa"/>
          </w:tcPr>
          <w:p>
            <w:pPr>
              <w:pStyle w:val="TableParagraph"/>
              <w:spacing w:line="273" w:lineRule="exact" w:before="7"/>
              <w:ind w:left="335" w:right="235"/>
              <w:rPr>
                <w:sz w:val="24"/>
              </w:rPr>
            </w:pPr>
            <w:r>
              <w:rPr>
                <w:sz w:val="24"/>
              </w:rPr>
              <w:t>Rafin</w:t>
            </w:r>
            <w:r>
              <w:rPr>
                <w:spacing w:val="-3"/>
                <w:sz w:val="24"/>
              </w:rPr>
              <w:t> </w:t>
            </w:r>
            <w:r>
              <w:rPr>
                <w:spacing w:val="-4"/>
                <w:sz w:val="24"/>
              </w:rPr>
              <w:t>Zuru</w:t>
            </w:r>
          </w:p>
        </w:tc>
        <w:tc>
          <w:tcPr>
            <w:tcW w:w="1651" w:type="dxa"/>
          </w:tcPr>
          <w:p>
            <w:pPr>
              <w:pStyle w:val="TableParagraph"/>
              <w:spacing w:line="273" w:lineRule="exact" w:before="7"/>
              <w:ind w:left="236" w:right="136"/>
              <w:rPr>
                <w:sz w:val="24"/>
              </w:rPr>
            </w:pPr>
            <w:r>
              <w:rPr>
                <w:spacing w:val="-2"/>
                <w:sz w:val="24"/>
              </w:rPr>
              <w:t>11.43703333</w:t>
            </w:r>
          </w:p>
        </w:tc>
        <w:tc>
          <w:tcPr>
            <w:tcW w:w="1585" w:type="dxa"/>
          </w:tcPr>
          <w:p>
            <w:pPr>
              <w:pStyle w:val="TableParagraph"/>
              <w:spacing w:line="273" w:lineRule="exact" w:before="7"/>
              <w:ind w:left="136" w:right="171"/>
              <w:rPr>
                <w:sz w:val="24"/>
              </w:rPr>
            </w:pPr>
            <w:r>
              <w:rPr>
                <w:spacing w:val="-2"/>
                <w:sz w:val="24"/>
              </w:rPr>
              <w:t>5.233318333</w:t>
            </w:r>
          </w:p>
        </w:tc>
      </w:tr>
      <w:tr>
        <w:trPr>
          <w:trHeight w:val="300" w:hRule="atLeast"/>
        </w:trPr>
        <w:tc>
          <w:tcPr>
            <w:tcW w:w="954" w:type="dxa"/>
          </w:tcPr>
          <w:p>
            <w:pPr>
              <w:pStyle w:val="TableParagraph"/>
              <w:spacing w:line="273" w:lineRule="exact" w:before="7"/>
              <w:ind w:left="126" w:right="209"/>
              <w:rPr>
                <w:sz w:val="24"/>
              </w:rPr>
            </w:pPr>
            <w:r>
              <w:rPr>
                <w:spacing w:val="-5"/>
                <w:sz w:val="24"/>
              </w:rPr>
              <w:t>21</w:t>
            </w:r>
          </w:p>
        </w:tc>
        <w:tc>
          <w:tcPr>
            <w:tcW w:w="3023" w:type="dxa"/>
          </w:tcPr>
          <w:p>
            <w:pPr>
              <w:pStyle w:val="TableParagraph"/>
              <w:spacing w:line="273" w:lineRule="exact" w:before="7"/>
              <w:ind w:left="215" w:right="335"/>
              <w:rPr>
                <w:sz w:val="24"/>
              </w:rPr>
            </w:pPr>
            <w:r>
              <w:rPr>
                <w:sz w:val="24"/>
              </w:rPr>
              <w:t>Dantudu</w:t>
            </w:r>
            <w:r>
              <w:rPr>
                <w:spacing w:val="-1"/>
                <w:sz w:val="24"/>
              </w:rPr>
              <w:t> </w:t>
            </w:r>
            <w:r>
              <w:rPr>
                <w:sz w:val="24"/>
              </w:rPr>
              <w:t>Gomo</w:t>
            </w:r>
            <w:r>
              <w:rPr>
                <w:spacing w:val="-1"/>
                <w:sz w:val="24"/>
              </w:rPr>
              <w:t> </w:t>
            </w:r>
            <w:r>
              <w:rPr>
                <w:spacing w:val="-5"/>
                <w:sz w:val="24"/>
              </w:rPr>
              <w:t>PPS</w:t>
            </w:r>
          </w:p>
        </w:tc>
        <w:tc>
          <w:tcPr>
            <w:tcW w:w="1814" w:type="dxa"/>
          </w:tcPr>
          <w:p>
            <w:pPr>
              <w:pStyle w:val="TableParagraph"/>
              <w:spacing w:line="273" w:lineRule="exact" w:before="7"/>
              <w:ind w:left="335" w:right="235"/>
              <w:rPr>
                <w:sz w:val="24"/>
              </w:rPr>
            </w:pPr>
            <w:r>
              <w:rPr>
                <w:sz w:val="24"/>
              </w:rPr>
              <w:t>Rafin</w:t>
            </w:r>
            <w:r>
              <w:rPr>
                <w:spacing w:val="-3"/>
                <w:sz w:val="24"/>
              </w:rPr>
              <w:t> </w:t>
            </w:r>
            <w:r>
              <w:rPr>
                <w:spacing w:val="-4"/>
                <w:sz w:val="24"/>
              </w:rPr>
              <w:t>Zuru</w:t>
            </w:r>
          </w:p>
        </w:tc>
        <w:tc>
          <w:tcPr>
            <w:tcW w:w="1651" w:type="dxa"/>
          </w:tcPr>
          <w:p>
            <w:pPr>
              <w:pStyle w:val="TableParagraph"/>
              <w:spacing w:line="273" w:lineRule="exact" w:before="7"/>
              <w:ind w:left="236" w:right="136"/>
              <w:rPr>
                <w:sz w:val="24"/>
              </w:rPr>
            </w:pPr>
            <w:r>
              <w:rPr>
                <w:spacing w:val="-2"/>
                <w:sz w:val="24"/>
              </w:rPr>
              <w:t>11.426425</w:t>
            </w:r>
          </w:p>
        </w:tc>
        <w:tc>
          <w:tcPr>
            <w:tcW w:w="1585" w:type="dxa"/>
          </w:tcPr>
          <w:p>
            <w:pPr>
              <w:pStyle w:val="TableParagraph"/>
              <w:spacing w:line="273" w:lineRule="exact" w:before="7"/>
              <w:ind w:left="136" w:right="171"/>
              <w:rPr>
                <w:sz w:val="24"/>
              </w:rPr>
            </w:pPr>
            <w:r>
              <w:rPr>
                <w:spacing w:val="-2"/>
                <w:sz w:val="24"/>
              </w:rPr>
              <w:t>5.241083333</w:t>
            </w:r>
          </w:p>
        </w:tc>
      </w:tr>
      <w:tr>
        <w:trPr>
          <w:trHeight w:val="300" w:hRule="atLeast"/>
        </w:trPr>
        <w:tc>
          <w:tcPr>
            <w:tcW w:w="954" w:type="dxa"/>
          </w:tcPr>
          <w:p>
            <w:pPr>
              <w:pStyle w:val="TableParagraph"/>
              <w:spacing w:line="273" w:lineRule="exact" w:before="7"/>
              <w:ind w:left="126" w:right="209"/>
              <w:rPr>
                <w:sz w:val="24"/>
              </w:rPr>
            </w:pPr>
            <w:r>
              <w:rPr>
                <w:spacing w:val="-5"/>
                <w:sz w:val="24"/>
              </w:rPr>
              <w:t>22</w:t>
            </w:r>
          </w:p>
        </w:tc>
        <w:tc>
          <w:tcPr>
            <w:tcW w:w="3023" w:type="dxa"/>
          </w:tcPr>
          <w:p>
            <w:pPr>
              <w:pStyle w:val="TableParagraph"/>
              <w:spacing w:line="273" w:lineRule="exact" w:before="7"/>
              <w:ind w:left="215" w:right="338"/>
              <w:rPr>
                <w:sz w:val="24"/>
              </w:rPr>
            </w:pPr>
            <w:r>
              <w:rPr>
                <w:sz w:val="24"/>
              </w:rPr>
              <w:t>Hidangen</w:t>
            </w:r>
            <w:r>
              <w:rPr>
                <w:spacing w:val="-2"/>
                <w:sz w:val="24"/>
              </w:rPr>
              <w:t> </w:t>
            </w:r>
            <w:r>
              <w:rPr>
                <w:spacing w:val="-5"/>
                <w:sz w:val="24"/>
              </w:rPr>
              <w:t>PPS</w:t>
            </w:r>
          </w:p>
        </w:tc>
        <w:tc>
          <w:tcPr>
            <w:tcW w:w="1814" w:type="dxa"/>
          </w:tcPr>
          <w:p>
            <w:pPr>
              <w:pStyle w:val="TableParagraph"/>
              <w:spacing w:line="273" w:lineRule="exact" w:before="7"/>
              <w:ind w:left="335" w:right="235"/>
              <w:rPr>
                <w:sz w:val="24"/>
              </w:rPr>
            </w:pPr>
            <w:r>
              <w:rPr>
                <w:sz w:val="24"/>
              </w:rPr>
              <w:t>Rafin</w:t>
            </w:r>
            <w:r>
              <w:rPr>
                <w:spacing w:val="-3"/>
                <w:sz w:val="24"/>
              </w:rPr>
              <w:t> </w:t>
            </w:r>
            <w:r>
              <w:rPr>
                <w:spacing w:val="-4"/>
                <w:sz w:val="24"/>
              </w:rPr>
              <w:t>Zuru</w:t>
            </w:r>
          </w:p>
        </w:tc>
        <w:tc>
          <w:tcPr>
            <w:tcW w:w="1651" w:type="dxa"/>
          </w:tcPr>
          <w:p>
            <w:pPr>
              <w:pStyle w:val="TableParagraph"/>
              <w:spacing w:line="273" w:lineRule="exact" w:before="7"/>
              <w:ind w:left="236" w:right="136"/>
              <w:rPr>
                <w:sz w:val="24"/>
              </w:rPr>
            </w:pPr>
            <w:r>
              <w:rPr>
                <w:spacing w:val="-2"/>
                <w:sz w:val="24"/>
              </w:rPr>
              <w:t>11.42809667</w:t>
            </w:r>
          </w:p>
        </w:tc>
        <w:tc>
          <w:tcPr>
            <w:tcW w:w="1585" w:type="dxa"/>
          </w:tcPr>
          <w:p>
            <w:pPr>
              <w:pStyle w:val="TableParagraph"/>
              <w:spacing w:line="273" w:lineRule="exact" w:before="7"/>
              <w:ind w:left="136" w:right="171"/>
              <w:rPr>
                <w:sz w:val="24"/>
              </w:rPr>
            </w:pPr>
            <w:r>
              <w:rPr>
                <w:spacing w:val="-2"/>
                <w:sz w:val="24"/>
              </w:rPr>
              <w:t>5.220158333</w:t>
            </w:r>
          </w:p>
        </w:tc>
      </w:tr>
      <w:tr>
        <w:trPr>
          <w:trHeight w:val="300" w:hRule="atLeast"/>
        </w:trPr>
        <w:tc>
          <w:tcPr>
            <w:tcW w:w="954" w:type="dxa"/>
          </w:tcPr>
          <w:p>
            <w:pPr>
              <w:pStyle w:val="TableParagraph"/>
              <w:spacing w:line="273" w:lineRule="exact" w:before="7"/>
              <w:ind w:left="126" w:right="209"/>
              <w:rPr>
                <w:sz w:val="24"/>
              </w:rPr>
            </w:pPr>
            <w:r>
              <w:rPr>
                <w:spacing w:val="-5"/>
                <w:sz w:val="24"/>
              </w:rPr>
              <w:t>23</w:t>
            </w:r>
          </w:p>
        </w:tc>
        <w:tc>
          <w:tcPr>
            <w:tcW w:w="3023" w:type="dxa"/>
          </w:tcPr>
          <w:p>
            <w:pPr>
              <w:pStyle w:val="TableParagraph"/>
              <w:spacing w:line="273" w:lineRule="exact" w:before="7"/>
              <w:ind w:left="213" w:right="338"/>
              <w:rPr>
                <w:sz w:val="24"/>
              </w:rPr>
            </w:pPr>
            <w:r>
              <w:rPr>
                <w:sz w:val="24"/>
              </w:rPr>
              <w:t>Tundun</w:t>
            </w:r>
            <w:r>
              <w:rPr>
                <w:spacing w:val="-1"/>
                <w:sz w:val="24"/>
              </w:rPr>
              <w:t> </w:t>
            </w:r>
            <w:r>
              <w:rPr>
                <w:sz w:val="24"/>
              </w:rPr>
              <w:t>wada</w:t>
            </w:r>
            <w:r>
              <w:rPr>
                <w:spacing w:val="-2"/>
                <w:sz w:val="24"/>
              </w:rPr>
              <w:t> </w:t>
            </w:r>
            <w:r>
              <w:rPr>
                <w:spacing w:val="-5"/>
                <w:sz w:val="24"/>
              </w:rPr>
              <w:t>MPS</w:t>
            </w:r>
          </w:p>
        </w:tc>
        <w:tc>
          <w:tcPr>
            <w:tcW w:w="1814" w:type="dxa"/>
          </w:tcPr>
          <w:p>
            <w:pPr>
              <w:pStyle w:val="TableParagraph"/>
              <w:spacing w:line="273" w:lineRule="exact" w:before="7"/>
              <w:ind w:left="336" w:right="232"/>
              <w:rPr>
                <w:sz w:val="24"/>
              </w:rPr>
            </w:pPr>
            <w:r>
              <w:rPr>
                <w:spacing w:val="-2"/>
                <w:sz w:val="24"/>
              </w:rPr>
              <w:t>Rikoto</w:t>
            </w:r>
          </w:p>
        </w:tc>
        <w:tc>
          <w:tcPr>
            <w:tcW w:w="1651" w:type="dxa"/>
          </w:tcPr>
          <w:p>
            <w:pPr>
              <w:pStyle w:val="TableParagraph"/>
              <w:spacing w:line="273" w:lineRule="exact" w:before="7"/>
              <w:ind w:left="236" w:right="136"/>
              <w:rPr>
                <w:sz w:val="24"/>
              </w:rPr>
            </w:pPr>
            <w:r>
              <w:rPr>
                <w:spacing w:val="-2"/>
                <w:sz w:val="24"/>
              </w:rPr>
              <w:t>11.44772667</w:t>
            </w:r>
          </w:p>
        </w:tc>
        <w:tc>
          <w:tcPr>
            <w:tcW w:w="1585" w:type="dxa"/>
          </w:tcPr>
          <w:p>
            <w:pPr>
              <w:pStyle w:val="TableParagraph"/>
              <w:spacing w:line="273" w:lineRule="exact" w:before="7"/>
              <w:ind w:left="136" w:right="171"/>
              <w:rPr>
                <w:sz w:val="24"/>
              </w:rPr>
            </w:pPr>
            <w:r>
              <w:rPr>
                <w:spacing w:val="-2"/>
                <w:sz w:val="24"/>
              </w:rPr>
              <w:t>5.239943333</w:t>
            </w:r>
          </w:p>
        </w:tc>
      </w:tr>
      <w:tr>
        <w:trPr>
          <w:trHeight w:val="300" w:hRule="atLeast"/>
        </w:trPr>
        <w:tc>
          <w:tcPr>
            <w:tcW w:w="954" w:type="dxa"/>
          </w:tcPr>
          <w:p>
            <w:pPr>
              <w:pStyle w:val="TableParagraph"/>
              <w:spacing w:line="273" w:lineRule="exact" w:before="7"/>
              <w:ind w:left="126" w:right="209"/>
              <w:rPr>
                <w:sz w:val="24"/>
              </w:rPr>
            </w:pPr>
            <w:r>
              <w:rPr>
                <w:spacing w:val="-5"/>
                <w:sz w:val="24"/>
              </w:rPr>
              <w:t>24</w:t>
            </w:r>
          </w:p>
        </w:tc>
        <w:tc>
          <w:tcPr>
            <w:tcW w:w="3023" w:type="dxa"/>
          </w:tcPr>
          <w:p>
            <w:pPr>
              <w:pStyle w:val="TableParagraph"/>
              <w:spacing w:line="273" w:lineRule="exact" w:before="7"/>
              <w:ind w:left="215" w:right="335"/>
              <w:rPr>
                <w:sz w:val="24"/>
              </w:rPr>
            </w:pPr>
            <w:r>
              <w:rPr>
                <w:sz w:val="24"/>
              </w:rPr>
              <w:t>Rikoto </w:t>
            </w:r>
            <w:r>
              <w:rPr>
                <w:spacing w:val="-5"/>
                <w:sz w:val="24"/>
              </w:rPr>
              <w:t>MPS</w:t>
            </w:r>
          </w:p>
        </w:tc>
        <w:tc>
          <w:tcPr>
            <w:tcW w:w="1814" w:type="dxa"/>
          </w:tcPr>
          <w:p>
            <w:pPr>
              <w:pStyle w:val="TableParagraph"/>
              <w:spacing w:line="273" w:lineRule="exact" w:before="7"/>
              <w:ind w:left="336" w:right="232"/>
              <w:rPr>
                <w:sz w:val="24"/>
              </w:rPr>
            </w:pPr>
            <w:r>
              <w:rPr>
                <w:spacing w:val="-2"/>
                <w:sz w:val="24"/>
              </w:rPr>
              <w:t>Rikoto</w:t>
            </w:r>
          </w:p>
        </w:tc>
        <w:tc>
          <w:tcPr>
            <w:tcW w:w="1651" w:type="dxa"/>
          </w:tcPr>
          <w:p>
            <w:pPr>
              <w:pStyle w:val="TableParagraph"/>
              <w:spacing w:line="273" w:lineRule="exact" w:before="7"/>
              <w:ind w:left="236" w:right="136"/>
              <w:rPr>
                <w:sz w:val="24"/>
              </w:rPr>
            </w:pPr>
            <w:r>
              <w:rPr>
                <w:spacing w:val="-2"/>
                <w:sz w:val="24"/>
              </w:rPr>
              <w:t>11.451675</w:t>
            </w:r>
          </w:p>
        </w:tc>
        <w:tc>
          <w:tcPr>
            <w:tcW w:w="1585" w:type="dxa"/>
          </w:tcPr>
          <w:p>
            <w:pPr>
              <w:pStyle w:val="TableParagraph"/>
              <w:spacing w:line="273" w:lineRule="exact" w:before="7"/>
              <w:ind w:left="136" w:right="171"/>
              <w:rPr>
                <w:sz w:val="24"/>
              </w:rPr>
            </w:pPr>
            <w:r>
              <w:rPr>
                <w:spacing w:val="-2"/>
                <w:sz w:val="24"/>
              </w:rPr>
              <w:t>5.229286667</w:t>
            </w:r>
          </w:p>
        </w:tc>
      </w:tr>
      <w:tr>
        <w:trPr>
          <w:trHeight w:val="300" w:hRule="atLeast"/>
        </w:trPr>
        <w:tc>
          <w:tcPr>
            <w:tcW w:w="954" w:type="dxa"/>
          </w:tcPr>
          <w:p>
            <w:pPr>
              <w:pStyle w:val="TableParagraph"/>
              <w:spacing w:line="273" w:lineRule="exact" w:before="7"/>
              <w:ind w:left="126" w:right="209"/>
              <w:rPr>
                <w:sz w:val="24"/>
              </w:rPr>
            </w:pPr>
            <w:r>
              <w:rPr>
                <w:spacing w:val="-5"/>
                <w:sz w:val="24"/>
              </w:rPr>
              <w:t>25</w:t>
            </w:r>
          </w:p>
        </w:tc>
        <w:tc>
          <w:tcPr>
            <w:tcW w:w="3023" w:type="dxa"/>
          </w:tcPr>
          <w:p>
            <w:pPr>
              <w:pStyle w:val="TableParagraph"/>
              <w:spacing w:line="273" w:lineRule="exact" w:before="7"/>
              <w:ind w:left="213" w:right="338"/>
              <w:rPr>
                <w:sz w:val="24"/>
              </w:rPr>
            </w:pPr>
            <w:r>
              <w:rPr>
                <w:sz w:val="24"/>
              </w:rPr>
              <w:t>Tunga</w:t>
            </w:r>
            <w:r>
              <w:rPr>
                <w:spacing w:val="-2"/>
                <w:sz w:val="24"/>
              </w:rPr>
              <w:t> </w:t>
            </w:r>
            <w:r>
              <w:rPr>
                <w:sz w:val="24"/>
              </w:rPr>
              <w:t>Doro</w:t>
            </w:r>
            <w:r>
              <w:rPr>
                <w:spacing w:val="-2"/>
                <w:sz w:val="24"/>
              </w:rPr>
              <w:t> </w:t>
            </w:r>
            <w:r>
              <w:rPr>
                <w:spacing w:val="-5"/>
                <w:sz w:val="24"/>
              </w:rPr>
              <w:t>PPS</w:t>
            </w:r>
          </w:p>
        </w:tc>
        <w:tc>
          <w:tcPr>
            <w:tcW w:w="1814" w:type="dxa"/>
          </w:tcPr>
          <w:p>
            <w:pPr>
              <w:pStyle w:val="TableParagraph"/>
              <w:spacing w:line="273" w:lineRule="exact" w:before="7"/>
              <w:ind w:left="336" w:right="232"/>
              <w:rPr>
                <w:sz w:val="24"/>
              </w:rPr>
            </w:pPr>
            <w:r>
              <w:rPr>
                <w:spacing w:val="-2"/>
                <w:sz w:val="24"/>
              </w:rPr>
              <w:t>Rikoto</w:t>
            </w:r>
          </w:p>
        </w:tc>
        <w:tc>
          <w:tcPr>
            <w:tcW w:w="1651" w:type="dxa"/>
          </w:tcPr>
          <w:p>
            <w:pPr>
              <w:pStyle w:val="TableParagraph"/>
              <w:spacing w:line="273" w:lineRule="exact" w:before="7"/>
              <w:ind w:left="236" w:right="136"/>
              <w:rPr>
                <w:sz w:val="24"/>
              </w:rPr>
            </w:pPr>
            <w:r>
              <w:rPr>
                <w:spacing w:val="-2"/>
                <w:sz w:val="24"/>
              </w:rPr>
              <w:t>11.448205</w:t>
            </w:r>
          </w:p>
        </w:tc>
        <w:tc>
          <w:tcPr>
            <w:tcW w:w="1585" w:type="dxa"/>
          </w:tcPr>
          <w:p>
            <w:pPr>
              <w:pStyle w:val="TableParagraph"/>
              <w:spacing w:line="273" w:lineRule="exact" w:before="7"/>
              <w:ind w:left="136" w:right="171"/>
              <w:rPr>
                <w:sz w:val="24"/>
              </w:rPr>
            </w:pPr>
            <w:r>
              <w:rPr>
                <w:spacing w:val="-2"/>
                <w:sz w:val="24"/>
              </w:rPr>
              <w:t>5.306871667</w:t>
            </w:r>
          </w:p>
        </w:tc>
      </w:tr>
      <w:tr>
        <w:trPr>
          <w:trHeight w:val="314" w:hRule="atLeast"/>
        </w:trPr>
        <w:tc>
          <w:tcPr>
            <w:tcW w:w="954" w:type="dxa"/>
            <w:tcBorders>
              <w:bottom w:val="single" w:sz="8" w:space="0" w:color="000000"/>
            </w:tcBorders>
          </w:tcPr>
          <w:p>
            <w:pPr>
              <w:pStyle w:val="TableParagraph"/>
              <w:spacing w:before="7"/>
              <w:ind w:left="126" w:right="209"/>
              <w:rPr>
                <w:sz w:val="24"/>
              </w:rPr>
            </w:pPr>
            <w:r>
              <w:rPr>
                <w:spacing w:val="-5"/>
                <w:sz w:val="24"/>
              </w:rPr>
              <w:t>26</w:t>
            </w:r>
          </w:p>
        </w:tc>
        <w:tc>
          <w:tcPr>
            <w:tcW w:w="3023" w:type="dxa"/>
            <w:tcBorders>
              <w:bottom w:val="single" w:sz="8" w:space="0" w:color="000000"/>
            </w:tcBorders>
          </w:tcPr>
          <w:p>
            <w:pPr>
              <w:pStyle w:val="TableParagraph"/>
              <w:spacing w:before="7"/>
              <w:ind w:left="214" w:right="338"/>
              <w:rPr>
                <w:sz w:val="24"/>
              </w:rPr>
            </w:pPr>
            <w:r>
              <w:rPr>
                <w:sz w:val="24"/>
              </w:rPr>
              <w:t>Tadurga</w:t>
            </w:r>
            <w:r>
              <w:rPr>
                <w:spacing w:val="-5"/>
                <w:sz w:val="24"/>
              </w:rPr>
              <w:t> MPS</w:t>
            </w:r>
          </w:p>
        </w:tc>
        <w:tc>
          <w:tcPr>
            <w:tcW w:w="1814" w:type="dxa"/>
            <w:tcBorders>
              <w:bottom w:val="single" w:sz="8" w:space="0" w:color="000000"/>
            </w:tcBorders>
          </w:tcPr>
          <w:p>
            <w:pPr>
              <w:pStyle w:val="TableParagraph"/>
              <w:spacing w:before="7"/>
              <w:ind w:left="336" w:right="233"/>
              <w:rPr>
                <w:sz w:val="24"/>
              </w:rPr>
            </w:pPr>
            <w:r>
              <w:rPr>
                <w:spacing w:val="-2"/>
                <w:sz w:val="24"/>
              </w:rPr>
              <w:t>Tadurga</w:t>
            </w:r>
          </w:p>
        </w:tc>
        <w:tc>
          <w:tcPr>
            <w:tcW w:w="1651" w:type="dxa"/>
            <w:tcBorders>
              <w:bottom w:val="single" w:sz="8" w:space="0" w:color="000000"/>
            </w:tcBorders>
          </w:tcPr>
          <w:p>
            <w:pPr>
              <w:pStyle w:val="TableParagraph"/>
              <w:spacing w:before="7"/>
              <w:ind w:left="236" w:right="136"/>
              <w:rPr>
                <w:sz w:val="24"/>
              </w:rPr>
            </w:pPr>
            <w:r>
              <w:rPr>
                <w:spacing w:val="-2"/>
                <w:sz w:val="24"/>
              </w:rPr>
              <w:t>11.53845167</w:t>
            </w:r>
          </w:p>
        </w:tc>
        <w:tc>
          <w:tcPr>
            <w:tcW w:w="1585" w:type="dxa"/>
            <w:tcBorders>
              <w:bottom w:val="single" w:sz="8" w:space="0" w:color="000000"/>
            </w:tcBorders>
          </w:tcPr>
          <w:p>
            <w:pPr>
              <w:pStyle w:val="TableParagraph"/>
              <w:spacing w:before="7"/>
              <w:ind w:left="136" w:right="171"/>
              <w:rPr>
                <w:sz w:val="24"/>
              </w:rPr>
            </w:pPr>
            <w:r>
              <w:rPr>
                <w:spacing w:val="-2"/>
                <w:sz w:val="24"/>
              </w:rPr>
              <w:t>5.362746667</w:t>
            </w:r>
          </w:p>
        </w:tc>
      </w:tr>
    </w:tbl>
    <w:p>
      <w:pPr>
        <w:pStyle w:val="BodyText"/>
        <w:ind w:left="240"/>
      </w:pPr>
      <w:r>
        <w:rPr/>
        <w:t>Source:</w:t>
      </w:r>
      <w:r>
        <w:rPr>
          <w:spacing w:val="-2"/>
        </w:rPr>
        <w:t> </w:t>
      </w:r>
      <w:r>
        <w:rPr/>
        <w:t>Researcher’s</w:t>
      </w:r>
      <w:r>
        <w:rPr>
          <w:spacing w:val="1"/>
        </w:rPr>
        <w:t> </w:t>
      </w:r>
      <w:r>
        <w:rPr/>
        <w:t>Field</w:t>
      </w:r>
      <w:r>
        <w:rPr>
          <w:spacing w:val="-2"/>
        </w:rPr>
        <w:t> </w:t>
      </w:r>
      <w:r>
        <w:rPr/>
        <w:t>Work,</w:t>
      </w:r>
      <w:r>
        <w:rPr>
          <w:spacing w:val="-2"/>
        </w:rPr>
        <w:t> </w:t>
      </w:r>
      <w:r>
        <w:rPr>
          <w:spacing w:val="-4"/>
        </w:rPr>
        <w:t>2020</w:t>
      </w:r>
    </w:p>
    <w:p>
      <w:pPr>
        <w:pStyle w:val="BodyText"/>
        <w:rPr>
          <w:sz w:val="26"/>
        </w:rPr>
      </w:pPr>
    </w:p>
    <w:p>
      <w:pPr>
        <w:pStyle w:val="BodyText"/>
        <w:spacing w:line="480" w:lineRule="auto" w:before="169"/>
        <w:ind w:left="240" w:right="272"/>
        <w:jc w:val="both"/>
      </w:pPr>
      <w:r>
        <w:rPr/>
        <w:t>Figure 4.4 showed a map of the public primary schools listed in Table 4.2 by using their respective longitude and latitude to determine their actual location on the local government map using ArcGIS 10.1. This also presented the geographical reality in terms of how the identified features relate to one another. For instance, a graphical deduction can be made in Figure 4.3 that Manga MPS is along Zuru-Rijau road, the relative distance from Koga PPS to Germace PPS is nearer compared Koga PPS to to Kobol PPS.</w:t>
      </w:r>
    </w:p>
    <w:p>
      <w:pPr>
        <w:spacing w:after="0" w:line="480" w:lineRule="auto"/>
        <w:jc w:val="both"/>
        <w:sectPr>
          <w:pgSz w:w="11910" w:h="16840"/>
          <w:pgMar w:header="0" w:footer="1003" w:top="1340" w:bottom="1200" w:left="1200" w:right="1160"/>
        </w:sectPr>
      </w:pPr>
    </w:p>
    <w:p>
      <w:pPr>
        <w:pStyle w:val="BodyText"/>
        <w:ind w:left="1331"/>
        <w:rPr>
          <w:sz w:val="20"/>
        </w:rPr>
      </w:pPr>
      <w:r>
        <w:rPr>
          <w:sz w:val="20"/>
        </w:rPr>
        <mc:AlternateContent>
          <mc:Choice Requires="wps">
            <w:drawing>
              <wp:inline distT="0" distB="0" distL="0" distR="0">
                <wp:extent cx="4345305" cy="6126480"/>
                <wp:effectExtent l="9525" t="0" r="0" b="7620"/>
                <wp:docPr id="39" name="Group 39"/>
                <wp:cNvGraphicFramePr>
                  <a:graphicFrameLocks/>
                </wp:cNvGraphicFramePr>
                <a:graphic>
                  <a:graphicData uri="http://schemas.microsoft.com/office/word/2010/wordprocessingGroup">
                    <wpg:wgp>
                      <wpg:cNvPr id="39" name="Group 39"/>
                      <wpg:cNvGrpSpPr/>
                      <wpg:grpSpPr>
                        <a:xfrm>
                          <a:off x="0" y="0"/>
                          <a:ext cx="4345305" cy="6126480"/>
                          <a:chExt cx="4345305" cy="6126480"/>
                        </a:xfrm>
                      </wpg:grpSpPr>
                      <pic:pic>
                        <pic:nvPicPr>
                          <pic:cNvPr id="40" name="Image 40"/>
                          <pic:cNvPicPr/>
                        </pic:nvPicPr>
                        <pic:blipFill>
                          <a:blip r:embed="rId17" cstate="print"/>
                          <a:stretch>
                            <a:fillRect/>
                          </a:stretch>
                        </pic:blipFill>
                        <pic:spPr>
                          <a:xfrm>
                            <a:off x="19811" y="19811"/>
                            <a:ext cx="4305300" cy="6086855"/>
                          </a:xfrm>
                          <a:prstGeom prst="rect">
                            <a:avLst/>
                          </a:prstGeom>
                        </pic:spPr>
                      </pic:pic>
                      <wps:wsp>
                        <wps:cNvPr id="41" name="Graphic 41"/>
                        <wps:cNvSpPr/>
                        <wps:spPr>
                          <a:xfrm>
                            <a:off x="9905" y="9905"/>
                            <a:ext cx="4325620" cy="6106795"/>
                          </a:xfrm>
                          <a:custGeom>
                            <a:avLst/>
                            <a:gdLst/>
                            <a:ahLst/>
                            <a:cxnLst/>
                            <a:rect l="l" t="t" r="r" b="b"/>
                            <a:pathLst>
                              <a:path w="4325620" h="6106795">
                                <a:moveTo>
                                  <a:pt x="0" y="6106668"/>
                                </a:moveTo>
                                <a:lnTo>
                                  <a:pt x="4325112" y="6106668"/>
                                </a:lnTo>
                                <a:lnTo>
                                  <a:pt x="4325112" y="0"/>
                                </a:lnTo>
                                <a:lnTo>
                                  <a:pt x="0" y="0"/>
                                </a:lnTo>
                                <a:lnTo>
                                  <a:pt x="0" y="6106668"/>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42.15pt;height:482.4pt;mso-position-horizontal-relative:char;mso-position-vertical-relative:line" id="docshapegroup39" coordorigin="0,0" coordsize="6843,9648">
                <v:shape style="position:absolute;left:31;top:31;width:6780;height:9586" type="#_x0000_t75" id="docshape40" stroked="false">
                  <v:imagedata r:id="rId17" o:title=""/>
                </v:shape>
                <v:rect style="position:absolute;left:15;top:15;width:6812;height:9617" id="docshape41" filled="false" stroked="true" strokeweight="1.56pt" strokecolor="#000000">
                  <v:stroke dashstyle="solid"/>
                </v:rect>
              </v:group>
            </w:pict>
          </mc:Fallback>
        </mc:AlternateContent>
      </w:r>
      <w:r>
        <w:rPr>
          <w:sz w:val="20"/>
        </w:rPr>
      </w:r>
    </w:p>
    <w:p>
      <w:pPr>
        <w:pStyle w:val="BodyText"/>
        <w:spacing w:line="257" w:lineRule="exact"/>
        <w:ind w:left="831" w:right="872"/>
        <w:jc w:val="center"/>
      </w:pPr>
      <w:r>
        <w:rPr/>
        <w:t>Figure</w:t>
      </w:r>
      <w:r>
        <w:rPr>
          <w:spacing w:val="-3"/>
        </w:rPr>
        <w:t> </w:t>
      </w:r>
      <w:r>
        <w:rPr/>
        <w:t>4.4: Existing</w:t>
      </w:r>
      <w:r>
        <w:rPr>
          <w:spacing w:val="-2"/>
        </w:rPr>
        <w:t> </w:t>
      </w:r>
      <w:r>
        <w:rPr/>
        <w:t>Public</w:t>
      </w:r>
      <w:r>
        <w:rPr>
          <w:spacing w:val="-1"/>
        </w:rPr>
        <w:t> </w:t>
      </w:r>
      <w:r>
        <w:rPr/>
        <w:t>Primary</w:t>
      </w:r>
      <w:r>
        <w:rPr>
          <w:spacing w:val="-5"/>
        </w:rPr>
        <w:t> </w:t>
      </w:r>
      <w:r>
        <w:rPr/>
        <w:t>Schools</w:t>
      </w:r>
      <w:r>
        <w:rPr>
          <w:spacing w:val="1"/>
        </w:rPr>
        <w:t> </w:t>
      </w:r>
      <w:r>
        <w:rPr/>
        <w:t>within Zuru Local Government </w:t>
      </w:r>
      <w:r>
        <w:rPr>
          <w:spacing w:val="-4"/>
        </w:rPr>
        <w:t>Area</w:t>
      </w:r>
    </w:p>
    <w:p>
      <w:pPr>
        <w:pStyle w:val="BodyText"/>
        <w:spacing w:before="41"/>
        <w:ind w:left="2482" w:right="2517"/>
        <w:jc w:val="center"/>
      </w:pPr>
      <w:r>
        <w:rPr/>
        <w:t>Source:</w:t>
      </w:r>
      <w:r>
        <w:rPr>
          <w:spacing w:val="-2"/>
        </w:rPr>
        <w:t> </w:t>
      </w:r>
      <w:r>
        <w:rPr/>
        <w:t>Researcher’s</w:t>
      </w:r>
      <w:r>
        <w:rPr>
          <w:spacing w:val="1"/>
        </w:rPr>
        <w:t> </w:t>
      </w:r>
      <w:r>
        <w:rPr/>
        <w:t>Field</w:t>
      </w:r>
      <w:r>
        <w:rPr>
          <w:spacing w:val="-2"/>
        </w:rPr>
        <w:t> </w:t>
      </w:r>
      <w:r>
        <w:rPr/>
        <w:t>Work,</w:t>
      </w:r>
      <w:r>
        <w:rPr>
          <w:spacing w:val="-2"/>
        </w:rPr>
        <w:t> </w:t>
      </w:r>
      <w:r>
        <w:rPr>
          <w:spacing w:val="-4"/>
        </w:rPr>
        <w:t>2020</w:t>
      </w:r>
    </w:p>
    <w:p>
      <w:pPr>
        <w:pStyle w:val="BodyText"/>
        <w:rPr>
          <w:sz w:val="26"/>
        </w:rPr>
      </w:pPr>
    </w:p>
    <w:p>
      <w:pPr>
        <w:pStyle w:val="Heading1"/>
        <w:numPr>
          <w:ilvl w:val="1"/>
          <w:numId w:val="7"/>
        </w:numPr>
        <w:tabs>
          <w:tab w:pos="959" w:val="left" w:leader="none"/>
        </w:tabs>
        <w:spacing w:line="240" w:lineRule="auto" w:before="181" w:after="0"/>
        <w:ind w:left="959" w:right="0" w:hanging="719"/>
        <w:jc w:val="both"/>
      </w:pPr>
      <w:r>
        <w:rPr/>
        <w:t>Spatial</w:t>
      </w:r>
      <w:r>
        <w:rPr>
          <w:spacing w:val="-3"/>
        </w:rPr>
        <w:t> </w:t>
      </w:r>
      <w:r>
        <w:rPr/>
        <w:t>Distribution Pattern</w:t>
      </w:r>
      <w:r>
        <w:rPr>
          <w:spacing w:val="-2"/>
        </w:rPr>
        <w:t> </w:t>
      </w:r>
      <w:r>
        <w:rPr/>
        <w:t>of</w:t>
      </w:r>
      <w:r>
        <w:rPr>
          <w:spacing w:val="-1"/>
        </w:rPr>
        <w:t> </w:t>
      </w:r>
      <w:r>
        <w:rPr/>
        <w:t>Social</w:t>
      </w:r>
      <w:r>
        <w:rPr>
          <w:spacing w:val="-1"/>
        </w:rPr>
        <w:t> </w:t>
      </w:r>
      <w:r>
        <w:rPr/>
        <w:t>Infrastructure</w:t>
      </w:r>
      <w:r>
        <w:rPr>
          <w:spacing w:val="-2"/>
        </w:rPr>
        <w:t> </w:t>
      </w:r>
      <w:r>
        <w:rPr/>
        <w:t>within</w:t>
      </w:r>
      <w:r>
        <w:rPr>
          <w:spacing w:val="-1"/>
        </w:rPr>
        <w:t> </w:t>
      </w:r>
      <w:r>
        <w:rPr/>
        <w:t>Zuru</w:t>
      </w:r>
      <w:r>
        <w:rPr>
          <w:spacing w:val="-2"/>
        </w:rPr>
        <w:t> L.G.A</w:t>
      </w:r>
    </w:p>
    <w:p>
      <w:pPr>
        <w:pStyle w:val="BodyText"/>
        <w:spacing w:before="7"/>
        <w:rPr>
          <w:b/>
          <w:sz w:val="23"/>
        </w:rPr>
      </w:pPr>
    </w:p>
    <w:p>
      <w:pPr>
        <w:pStyle w:val="BodyText"/>
        <w:spacing w:line="480" w:lineRule="auto"/>
        <w:ind w:left="240" w:right="275"/>
        <w:jc w:val="both"/>
      </w:pPr>
      <w:r>
        <w:rPr/>
        <w:t>This</w:t>
      </w:r>
      <w:r>
        <w:rPr>
          <w:spacing w:val="-1"/>
        </w:rPr>
        <w:t> </w:t>
      </w:r>
      <w:r>
        <w:rPr/>
        <w:t>section</w:t>
      </w:r>
      <w:r>
        <w:rPr>
          <w:spacing w:val="-1"/>
        </w:rPr>
        <w:t> </w:t>
      </w:r>
      <w:r>
        <w:rPr/>
        <w:t>presents</w:t>
      </w:r>
      <w:r>
        <w:rPr>
          <w:spacing w:val="-1"/>
        </w:rPr>
        <w:t> </w:t>
      </w:r>
      <w:r>
        <w:rPr/>
        <w:t>an</w:t>
      </w:r>
      <w:r>
        <w:rPr>
          <w:spacing w:val="-1"/>
        </w:rPr>
        <w:t> </w:t>
      </w:r>
      <w:r>
        <w:rPr/>
        <w:t>analysis</w:t>
      </w:r>
      <w:r>
        <w:rPr>
          <w:spacing w:val="-1"/>
        </w:rPr>
        <w:t> </w:t>
      </w:r>
      <w:r>
        <w:rPr/>
        <w:t>of</w:t>
      </w:r>
      <w:r>
        <w:rPr>
          <w:spacing w:val="-2"/>
        </w:rPr>
        <w:t> </w:t>
      </w:r>
      <w:r>
        <w:rPr/>
        <w:t>spatial</w:t>
      </w:r>
      <w:r>
        <w:rPr>
          <w:spacing w:val="-1"/>
        </w:rPr>
        <w:t> </w:t>
      </w:r>
      <w:r>
        <w:rPr/>
        <w:t>distribution</w:t>
      </w:r>
      <w:r>
        <w:rPr>
          <w:spacing w:val="-1"/>
        </w:rPr>
        <w:t> </w:t>
      </w:r>
      <w:r>
        <w:rPr/>
        <w:t>patterns</w:t>
      </w:r>
      <w:r>
        <w:rPr>
          <w:spacing w:val="-2"/>
        </w:rPr>
        <w:t> </w:t>
      </w:r>
      <w:r>
        <w:rPr/>
        <w:t>using</w:t>
      </w:r>
      <w:r>
        <w:rPr>
          <w:spacing w:val="-3"/>
        </w:rPr>
        <w:t> </w:t>
      </w:r>
      <w:r>
        <w:rPr/>
        <w:t>the</w:t>
      </w:r>
      <w:r>
        <w:rPr>
          <w:spacing w:val="-2"/>
        </w:rPr>
        <w:t> </w:t>
      </w:r>
      <w:r>
        <w:rPr/>
        <w:t>spatial</w:t>
      </w:r>
      <w:r>
        <w:rPr>
          <w:spacing w:val="-1"/>
        </w:rPr>
        <w:t> </w:t>
      </w:r>
      <w:r>
        <w:rPr/>
        <w:t>statistics</w:t>
      </w:r>
      <w:r>
        <w:rPr>
          <w:spacing w:val="-1"/>
        </w:rPr>
        <w:t> </w:t>
      </w:r>
      <w:r>
        <w:rPr/>
        <w:t>tool in ArcMap 10.1.</w:t>
      </w:r>
      <w:r>
        <w:rPr>
          <w:spacing w:val="40"/>
        </w:rPr>
        <w:t> </w:t>
      </w:r>
      <w:r>
        <w:rPr/>
        <w:t>The results presented were generated using the Average Nearest Neighbour tool. This showed the type of spatial pattern each facility (either PPSs or PHCs) exhibits</w:t>
      </w:r>
      <w:r>
        <w:rPr>
          <w:spacing w:val="40"/>
        </w:rPr>
        <w:t> </w:t>
      </w:r>
      <w:r>
        <w:rPr/>
        <w:t>using the locations and average distances between them. The data used for this analysis are point data (coordinates) of social infrastructure as shown in Table 4.1 and 4.2 respectively.</w:t>
      </w:r>
    </w:p>
    <w:p>
      <w:pPr>
        <w:spacing w:after="0" w:line="480" w:lineRule="auto"/>
        <w:jc w:val="both"/>
        <w:sectPr>
          <w:pgSz w:w="11910" w:h="16840"/>
          <w:pgMar w:header="0" w:footer="1003" w:top="1420" w:bottom="1200" w:left="1200" w:right="1160"/>
        </w:sectPr>
      </w:pPr>
    </w:p>
    <w:p>
      <w:pPr>
        <w:pStyle w:val="Heading1"/>
        <w:numPr>
          <w:ilvl w:val="2"/>
          <w:numId w:val="7"/>
        </w:numPr>
        <w:tabs>
          <w:tab w:pos="959" w:val="left" w:leader="none"/>
        </w:tabs>
        <w:spacing w:line="240" w:lineRule="auto" w:before="78" w:after="0"/>
        <w:ind w:left="959" w:right="0" w:hanging="659"/>
        <w:jc w:val="both"/>
      </w:pPr>
      <w:r>
        <w:rPr/>
        <w:t>Spatial</w:t>
      </w:r>
      <w:r>
        <w:rPr>
          <w:spacing w:val="-2"/>
        </w:rPr>
        <w:t> </w:t>
      </w:r>
      <w:r>
        <w:rPr/>
        <w:t>distribution</w:t>
      </w:r>
      <w:r>
        <w:rPr>
          <w:spacing w:val="-3"/>
        </w:rPr>
        <w:t> </w:t>
      </w:r>
      <w:r>
        <w:rPr/>
        <w:t>pattern</w:t>
      </w:r>
      <w:r>
        <w:rPr>
          <w:spacing w:val="-1"/>
        </w:rPr>
        <w:t> </w:t>
      </w:r>
      <w:r>
        <w:rPr/>
        <w:t>of</w:t>
      </w:r>
      <w:r>
        <w:rPr>
          <w:spacing w:val="-1"/>
        </w:rPr>
        <w:t> </w:t>
      </w:r>
      <w:r>
        <w:rPr/>
        <w:t>primary</w:t>
      </w:r>
      <w:r>
        <w:rPr>
          <w:spacing w:val="-2"/>
        </w:rPr>
        <w:t> </w:t>
      </w:r>
      <w:r>
        <w:rPr/>
        <w:t>health</w:t>
      </w:r>
      <w:r>
        <w:rPr>
          <w:spacing w:val="-1"/>
        </w:rPr>
        <w:t> </w:t>
      </w:r>
      <w:r>
        <w:rPr>
          <w:spacing w:val="-2"/>
        </w:rPr>
        <w:t>centres</w:t>
      </w:r>
    </w:p>
    <w:p>
      <w:pPr>
        <w:pStyle w:val="BodyText"/>
        <w:spacing w:before="7"/>
        <w:rPr>
          <w:b/>
          <w:sz w:val="23"/>
        </w:rPr>
      </w:pPr>
    </w:p>
    <w:p>
      <w:pPr>
        <w:pStyle w:val="BodyText"/>
        <w:spacing w:line="480" w:lineRule="auto"/>
        <w:ind w:left="240" w:right="274"/>
        <w:jc w:val="both"/>
      </w:pPr>
      <w:r>
        <w:rPr/>
        <w:t>The Average Nearest Neighbour of PHCs indicates a p-value of 0.041876, z-score of 2.034746 and a Nearest Neighbour Ratio of 1.284260. The observed mean distance is 0.026676 degrees while the expected mean distance is 0.020771 degrees.</w:t>
      </w:r>
      <w:r>
        <w:rPr>
          <w:spacing w:val="40"/>
        </w:rPr>
        <w:t> </w:t>
      </w:r>
      <w:r>
        <w:rPr/>
        <w:t>The breakdown of the result illustrated that, the distribution of existing PHCs in the sampled area exhibited a dispersed spatial pattern as shown in Figure 4.5.</w:t>
      </w:r>
    </w:p>
    <w:p>
      <w:pPr>
        <w:pStyle w:val="BodyText"/>
        <w:spacing w:before="10"/>
        <w:rPr>
          <w:sz w:val="15"/>
        </w:rPr>
      </w:pPr>
      <w:r>
        <w:rPr/>
        <mc:AlternateContent>
          <mc:Choice Requires="wps">
            <w:drawing>
              <wp:anchor distT="0" distB="0" distL="0" distR="0" allowOverlap="1" layoutInCell="1" locked="0" behindDoc="1" simplePos="0" relativeHeight="487595520">
                <wp:simplePos x="0" y="0"/>
                <wp:positionH relativeFrom="page">
                  <wp:posOffset>1511808</wp:posOffset>
                </wp:positionH>
                <wp:positionV relativeFrom="paragraph">
                  <wp:posOffset>131372</wp:posOffset>
                </wp:positionV>
                <wp:extent cx="4544695" cy="4419600"/>
                <wp:effectExtent l="0" t="0" r="0" b="0"/>
                <wp:wrapTopAndBottom/>
                <wp:docPr id="42" name="Group 42" descr="C:\Users\User\3rd semester\submissions\Internal Presentations\Analysis\PHCs Average Nearest Neighbor .JPG"/>
                <wp:cNvGraphicFramePr>
                  <a:graphicFrameLocks/>
                </wp:cNvGraphicFramePr>
                <a:graphic>
                  <a:graphicData uri="http://schemas.microsoft.com/office/word/2010/wordprocessingGroup">
                    <wpg:wgp>
                      <wpg:cNvPr id="42" name="Group 42" descr="C:\Users\User\3rd semester\submissions\Internal Presentations\Analysis\PHCs Average Nearest Neighbor .JPG"/>
                      <wpg:cNvGrpSpPr/>
                      <wpg:grpSpPr>
                        <a:xfrm>
                          <a:off x="0" y="0"/>
                          <a:ext cx="4544695" cy="4419600"/>
                          <a:chExt cx="4544695" cy="4419600"/>
                        </a:xfrm>
                      </wpg:grpSpPr>
                      <pic:pic>
                        <pic:nvPicPr>
                          <pic:cNvPr id="43" name="Image 43" descr="C:\Users\User\3rd semester\submissions\Internal Presentations\Analysis\PHCs Average Nearest Neighbor .JPG"/>
                          <pic:cNvPicPr/>
                        </pic:nvPicPr>
                        <pic:blipFill>
                          <a:blip r:embed="rId18" cstate="print"/>
                          <a:stretch>
                            <a:fillRect/>
                          </a:stretch>
                        </pic:blipFill>
                        <pic:spPr>
                          <a:xfrm>
                            <a:off x="19811" y="19811"/>
                            <a:ext cx="4495879" cy="4379976"/>
                          </a:xfrm>
                          <a:prstGeom prst="rect">
                            <a:avLst/>
                          </a:prstGeom>
                        </pic:spPr>
                      </pic:pic>
                      <wps:wsp>
                        <wps:cNvPr id="44" name="Graphic 44"/>
                        <wps:cNvSpPr/>
                        <wps:spPr>
                          <a:xfrm>
                            <a:off x="9905" y="9905"/>
                            <a:ext cx="4525010" cy="4399915"/>
                          </a:xfrm>
                          <a:custGeom>
                            <a:avLst/>
                            <a:gdLst/>
                            <a:ahLst/>
                            <a:cxnLst/>
                            <a:rect l="l" t="t" r="r" b="b"/>
                            <a:pathLst>
                              <a:path w="4525010" h="4399915">
                                <a:moveTo>
                                  <a:pt x="0" y="4399787"/>
                                </a:moveTo>
                                <a:lnTo>
                                  <a:pt x="4524756" y="4399787"/>
                                </a:lnTo>
                                <a:lnTo>
                                  <a:pt x="4524756" y="0"/>
                                </a:lnTo>
                                <a:lnTo>
                                  <a:pt x="0" y="0"/>
                                </a:lnTo>
                                <a:lnTo>
                                  <a:pt x="0" y="4399787"/>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9.040001pt;margin-top:10.344268pt;width:357.85pt;height:348pt;mso-position-horizontal-relative:page;mso-position-vertical-relative:paragraph;z-index:-15720960;mso-wrap-distance-left:0;mso-wrap-distance-right:0" id="docshapegroup42" coordorigin="2381,207" coordsize="7157,6960" alt="C:\Users\User\3rd semester\submissions\Internal Presentations\Analysis\PHCs Average Nearest Neighbor .JPG">
                <v:shape style="position:absolute;left:2412;top:238;width:7081;height:6898" type="#_x0000_t75" id="docshape43" alt="C:\Users\User\3rd semester\submissions\Internal Presentations\Analysis\PHCs Average Nearest Neighbor .JPG" stroked="false">
                  <v:imagedata r:id="rId18" o:title=""/>
                </v:shape>
                <v:rect style="position:absolute;left:2396;top:222;width:7126;height:6929" id="docshape44" filled="false" stroked="true" strokeweight="1.56pt" strokecolor="#000000">
                  <v:stroke dashstyle="solid"/>
                </v:rect>
                <w10:wrap type="topAndBottom"/>
              </v:group>
            </w:pict>
          </mc:Fallback>
        </mc:AlternateContent>
      </w:r>
    </w:p>
    <w:p>
      <w:pPr>
        <w:pStyle w:val="BodyText"/>
        <w:spacing w:line="242" w:lineRule="auto"/>
        <w:ind w:left="2857" w:right="874" w:hanging="1352"/>
      </w:pPr>
      <w:r>
        <w:rPr/>
        <w:t>Figure</w:t>
      </w:r>
      <w:r>
        <w:rPr>
          <w:spacing w:val="-6"/>
        </w:rPr>
        <w:t> </w:t>
      </w:r>
      <w:r>
        <w:rPr/>
        <w:t>4.5:</w:t>
      </w:r>
      <w:r>
        <w:rPr>
          <w:spacing w:val="-4"/>
        </w:rPr>
        <w:t> </w:t>
      </w:r>
      <w:r>
        <w:rPr/>
        <w:t>Spatial</w:t>
      </w:r>
      <w:r>
        <w:rPr>
          <w:spacing w:val="-4"/>
        </w:rPr>
        <w:t> </w:t>
      </w:r>
      <w:r>
        <w:rPr/>
        <w:t>Distribution</w:t>
      </w:r>
      <w:r>
        <w:rPr>
          <w:spacing w:val="-4"/>
        </w:rPr>
        <w:t> </w:t>
      </w:r>
      <w:r>
        <w:rPr/>
        <w:t>Pattern</w:t>
      </w:r>
      <w:r>
        <w:rPr>
          <w:spacing w:val="-4"/>
        </w:rPr>
        <w:t> </w:t>
      </w:r>
      <w:r>
        <w:rPr/>
        <w:t>of</w:t>
      </w:r>
      <w:r>
        <w:rPr>
          <w:spacing w:val="-6"/>
        </w:rPr>
        <w:t> </w:t>
      </w:r>
      <w:r>
        <w:rPr/>
        <w:t>PHCs</w:t>
      </w:r>
      <w:r>
        <w:rPr>
          <w:spacing w:val="-4"/>
        </w:rPr>
        <w:t> </w:t>
      </w:r>
      <w:r>
        <w:rPr/>
        <w:t>within</w:t>
      </w:r>
      <w:r>
        <w:rPr>
          <w:spacing w:val="-4"/>
        </w:rPr>
        <w:t> </w:t>
      </w:r>
      <w:r>
        <w:rPr/>
        <w:t>Zuru L.G.A Source: Researcher’s Field Work, 2020</w:t>
      </w:r>
    </w:p>
    <w:p>
      <w:pPr>
        <w:pStyle w:val="BodyText"/>
        <w:rPr>
          <w:sz w:val="26"/>
        </w:rPr>
      </w:pPr>
    </w:p>
    <w:p>
      <w:pPr>
        <w:pStyle w:val="BodyText"/>
        <w:spacing w:line="480" w:lineRule="auto" w:before="167"/>
        <w:ind w:left="240" w:right="278"/>
        <w:jc w:val="both"/>
      </w:pPr>
      <w:r>
        <w:rPr/>
        <w:t>A dispersed pattern means that, the locations of Primary Health Centres do not form consistent clusters nor were they scattered randomly. This also meant that, the location and spatial relationship between PHCs are not characterised by equal distances between them but by a pattern that tends to place them away from each other.</w:t>
      </w:r>
    </w:p>
    <w:p>
      <w:pPr>
        <w:spacing w:after="0" w:line="480" w:lineRule="auto"/>
        <w:jc w:val="both"/>
        <w:sectPr>
          <w:pgSz w:w="11910" w:h="16840"/>
          <w:pgMar w:header="0" w:footer="1003" w:top="1340" w:bottom="1200" w:left="1200" w:right="1160"/>
        </w:sectPr>
      </w:pPr>
    </w:p>
    <w:p>
      <w:pPr>
        <w:pStyle w:val="Heading1"/>
        <w:numPr>
          <w:ilvl w:val="2"/>
          <w:numId w:val="7"/>
        </w:numPr>
        <w:tabs>
          <w:tab w:pos="959" w:val="left" w:leader="none"/>
        </w:tabs>
        <w:spacing w:line="240" w:lineRule="auto" w:before="78" w:after="0"/>
        <w:ind w:left="959" w:right="0" w:hanging="719"/>
        <w:jc w:val="both"/>
      </w:pPr>
      <w:r>
        <w:rPr/>
        <w:t>Spatial</w:t>
      </w:r>
      <w:r>
        <w:rPr>
          <w:spacing w:val="-3"/>
        </w:rPr>
        <w:t> </w:t>
      </w:r>
      <w:r>
        <w:rPr/>
        <w:t>distribution</w:t>
      </w:r>
      <w:r>
        <w:rPr>
          <w:spacing w:val="-3"/>
        </w:rPr>
        <w:t> </w:t>
      </w:r>
      <w:r>
        <w:rPr/>
        <w:t>pattern</w:t>
      </w:r>
      <w:r>
        <w:rPr>
          <w:spacing w:val="-2"/>
        </w:rPr>
        <w:t> </w:t>
      </w:r>
      <w:r>
        <w:rPr/>
        <w:t>of</w:t>
      </w:r>
      <w:r>
        <w:rPr>
          <w:spacing w:val="-1"/>
        </w:rPr>
        <w:t> </w:t>
      </w:r>
      <w:r>
        <w:rPr/>
        <w:t>public</w:t>
      </w:r>
      <w:r>
        <w:rPr>
          <w:spacing w:val="-2"/>
        </w:rPr>
        <w:t> </w:t>
      </w:r>
      <w:r>
        <w:rPr/>
        <w:t>primary</w:t>
      </w:r>
      <w:r>
        <w:rPr>
          <w:spacing w:val="-2"/>
        </w:rPr>
        <w:t> schools</w:t>
      </w:r>
    </w:p>
    <w:p>
      <w:pPr>
        <w:pStyle w:val="BodyText"/>
        <w:spacing w:before="7"/>
        <w:rPr>
          <w:b/>
          <w:sz w:val="23"/>
        </w:rPr>
      </w:pPr>
    </w:p>
    <w:p>
      <w:pPr>
        <w:pStyle w:val="BodyText"/>
        <w:spacing w:line="480" w:lineRule="auto"/>
        <w:ind w:left="240" w:right="274"/>
        <w:jc w:val="both"/>
      </w:pPr>
      <w:r>
        <w:rPr/>
        <w:t>The spatial distribution of PPSs as indicated in Figure 4.6 showed that, the Average Nearest Neighbour p-value is 0.047666, z-score is 1.980331 and the Nearest Neighbour Ratio is 1.199216. Furthermore, the observed mean distance is 0.018846 degrees while the expected mean</w:t>
      </w:r>
      <w:r>
        <w:rPr>
          <w:spacing w:val="-2"/>
        </w:rPr>
        <w:t> </w:t>
      </w:r>
      <w:r>
        <w:rPr/>
        <w:t>distance</w:t>
      </w:r>
      <w:r>
        <w:rPr>
          <w:spacing w:val="-3"/>
        </w:rPr>
        <w:t> </w:t>
      </w:r>
      <w:r>
        <w:rPr/>
        <w:t>is</w:t>
      </w:r>
      <w:r>
        <w:rPr>
          <w:spacing w:val="-2"/>
        </w:rPr>
        <w:t> </w:t>
      </w:r>
      <w:r>
        <w:rPr/>
        <w:t>0.015716</w:t>
      </w:r>
      <w:r>
        <w:rPr>
          <w:spacing w:val="-2"/>
        </w:rPr>
        <w:t> </w:t>
      </w:r>
      <w:r>
        <w:rPr/>
        <w:t>degrees.</w:t>
      </w:r>
      <w:r>
        <w:rPr>
          <w:spacing w:val="40"/>
        </w:rPr>
        <w:t> </w:t>
      </w:r>
      <w:r>
        <w:rPr/>
        <w:t>This</w:t>
      </w:r>
      <w:r>
        <w:rPr>
          <w:spacing w:val="-2"/>
        </w:rPr>
        <w:t> </w:t>
      </w:r>
      <w:r>
        <w:rPr/>
        <w:t>breakdown</w:t>
      </w:r>
      <w:r>
        <w:rPr>
          <w:spacing w:val="-2"/>
        </w:rPr>
        <w:t> </w:t>
      </w:r>
      <w:r>
        <w:rPr/>
        <w:t>explains</w:t>
      </w:r>
      <w:r>
        <w:rPr>
          <w:spacing w:val="-2"/>
        </w:rPr>
        <w:t> </w:t>
      </w:r>
      <w:r>
        <w:rPr/>
        <w:t>that,</w:t>
      </w:r>
      <w:r>
        <w:rPr>
          <w:spacing w:val="-2"/>
        </w:rPr>
        <w:t> </w:t>
      </w:r>
      <w:r>
        <w:rPr/>
        <w:t>the</w:t>
      </w:r>
      <w:r>
        <w:rPr>
          <w:spacing w:val="-1"/>
        </w:rPr>
        <w:t> </w:t>
      </w:r>
      <w:r>
        <w:rPr/>
        <w:t>distribution</w:t>
      </w:r>
      <w:r>
        <w:rPr>
          <w:spacing w:val="-2"/>
        </w:rPr>
        <w:t> </w:t>
      </w:r>
      <w:r>
        <w:rPr/>
        <w:t>of</w:t>
      </w:r>
      <w:r>
        <w:rPr>
          <w:spacing w:val="-3"/>
        </w:rPr>
        <w:t> </w:t>
      </w:r>
      <w:r>
        <w:rPr/>
        <w:t>existing PPSs in the sample area exhibits a dispersed spatial pattern as shown in Figure 4.6.</w:t>
      </w:r>
    </w:p>
    <w:p>
      <w:pPr>
        <w:pStyle w:val="BodyText"/>
        <w:spacing w:before="10"/>
        <w:rPr>
          <w:sz w:val="15"/>
        </w:rPr>
      </w:pPr>
      <w:r>
        <w:rPr/>
        <mc:AlternateContent>
          <mc:Choice Requires="wps">
            <w:drawing>
              <wp:anchor distT="0" distB="0" distL="0" distR="0" allowOverlap="1" layoutInCell="1" locked="0" behindDoc="1" simplePos="0" relativeHeight="487596032">
                <wp:simplePos x="0" y="0"/>
                <wp:positionH relativeFrom="page">
                  <wp:posOffset>1740407</wp:posOffset>
                </wp:positionH>
                <wp:positionV relativeFrom="paragraph">
                  <wp:posOffset>131372</wp:posOffset>
                </wp:positionV>
                <wp:extent cx="4079875" cy="4043679"/>
                <wp:effectExtent l="0" t="0" r="0" b="0"/>
                <wp:wrapTopAndBottom/>
                <wp:docPr id="45" name="Group 45" descr="C:\Users\User\3rd semester\submissions\Internal Presentations\Analysis\PPSs Average Nearest Neighbor .JPG"/>
                <wp:cNvGraphicFramePr>
                  <a:graphicFrameLocks/>
                </wp:cNvGraphicFramePr>
                <a:graphic>
                  <a:graphicData uri="http://schemas.microsoft.com/office/word/2010/wordprocessingGroup">
                    <wpg:wgp>
                      <wpg:cNvPr id="45" name="Group 45" descr="C:\Users\User\3rd semester\submissions\Internal Presentations\Analysis\PPSs Average Nearest Neighbor .JPG"/>
                      <wpg:cNvGrpSpPr/>
                      <wpg:grpSpPr>
                        <a:xfrm>
                          <a:off x="0" y="0"/>
                          <a:ext cx="4079875" cy="4043679"/>
                          <a:chExt cx="4079875" cy="4043679"/>
                        </a:xfrm>
                      </wpg:grpSpPr>
                      <pic:pic>
                        <pic:nvPicPr>
                          <pic:cNvPr id="46" name="Image 46" descr="C:\Users\User\3rd semester\submissions\Internal Presentations\Analysis\PPSs Average Nearest Neighbor .JPG"/>
                          <pic:cNvPicPr/>
                        </pic:nvPicPr>
                        <pic:blipFill>
                          <a:blip r:embed="rId19" cstate="print"/>
                          <a:stretch>
                            <a:fillRect/>
                          </a:stretch>
                        </pic:blipFill>
                        <pic:spPr>
                          <a:xfrm>
                            <a:off x="19811" y="19811"/>
                            <a:ext cx="4040124" cy="4003547"/>
                          </a:xfrm>
                          <a:prstGeom prst="rect">
                            <a:avLst/>
                          </a:prstGeom>
                        </pic:spPr>
                      </pic:pic>
                      <wps:wsp>
                        <wps:cNvPr id="47" name="Graphic 47"/>
                        <wps:cNvSpPr/>
                        <wps:spPr>
                          <a:xfrm>
                            <a:off x="9905" y="9905"/>
                            <a:ext cx="4060190" cy="4023360"/>
                          </a:xfrm>
                          <a:custGeom>
                            <a:avLst/>
                            <a:gdLst/>
                            <a:ahLst/>
                            <a:cxnLst/>
                            <a:rect l="l" t="t" r="r" b="b"/>
                            <a:pathLst>
                              <a:path w="4060190" h="4023360">
                                <a:moveTo>
                                  <a:pt x="0" y="4023359"/>
                                </a:moveTo>
                                <a:lnTo>
                                  <a:pt x="4059936" y="4023359"/>
                                </a:lnTo>
                                <a:lnTo>
                                  <a:pt x="4059936" y="0"/>
                                </a:lnTo>
                                <a:lnTo>
                                  <a:pt x="0" y="0"/>
                                </a:lnTo>
                                <a:lnTo>
                                  <a:pt x="0" y="4023359"/>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7.039993pt;margin-top:10.344268pt;width:321.25pt;height:318.4pt;mso-position-horizontal-relative:page;mso-position-vertical-relative:paragraph;z-index:-15720448;mso-wrap-distance-left:0;mso-wrap-distance-right:0" id="docshapegroup45" coordorigin="2741,207" coordsize="6425,6368" alt="C:\Users\User\3rd semester\submissions\Internal Presentations\Analysis\PPSs Average Nearest Neighbor .JPG">
                <v:shape style="position:absolute;left:2772;top:238;width:6363;height:6305" type="#_x0000_t75" id="docshape46" alt="C:\Users\User\3rd semester\submissions\Internal Presentations\Analysis\PPSs Average Nearest Neighbor .JPG" stroked="false">
                  <v:imagedata r:id="rId19" o:title=""/>
                </v:shape>
                <v:rect style="position:absolute;left:2756;top:222;width:6394;height:6336" id="docshape47" filled="false" stroked="true" strokeweight="1.56pt" strokecolor="#000000">
                  <v:stroke dashstyle="solid"/>
                </v:rect>
                <w10:wrap type="topAndBottom"/>
              </v:group>
            </w:pict>
          </mc:Fallback>
        </mc:AlternateContent>
      </w:r>
    </w:p>
    <w:p>
      <w:pPr>
        <w:pStyle w:val="BodyText"/>
        <w:ind w:left="2857" w:right="69" w:hanging="2159"/>
      </w:pPr>
      <w:r>
        <w:rPr/>
        <w:t>Figure</w:t>
      </w:r>
      <w:r>
        <w:rPr>
          <w:spacing w:val="-5"/>
        </w:rPr>
        <w:t> </w:t>
      </w:r>
      <w:r>
        <w:rPr/>
        <w:t>4.6:</w:t>
      </w:r>
      <w:r>
        <w:rPr>
          <w:spacing w:val="-3"/>
        </w:rPr>
        <w:t> </w:t>
      </w:r>
      <w:r>
        <w:rPr/>
        <w:t>Spatial</w:t>
      </w:r>
      <w:r>
        <w:rPr>
          <w:spacing w:val="-3"/>
        </w:rPr>
        <w:t> </w:t>
      </w:r>
      <w:r>
        <w:rPr/>
        <w:t>Distribution</w:t>
      </w:r>
      <w:r>
        <w:rPr>
          <w:spacing w:val="-3"/>
        </w:rPr>
        <w:t> </w:t>
      </w:r>
      <w:r>
        <w:rPr/>
        <w:t>Pattern</w:t>
      </w:r>
      <w:r>
        <w:rPr>
          <w:spacing w:val="-3"/>
        </w:rPr>
        <w:t> </w:t>
      </w:r>
      <w:r>
        <w:rPr/>
        <w:t>of</w:t>
      </w:r>
      <w:r>
        <w:rPr>
          <w:spacing w:val="-5"/>
        </w:rPr>
        <w:t> </w:t>
      </w:r>
      <w:r>
        <w:rPr/>
        <w:t>Public</w:t>
      </w:r>
      <w:r>
        <w:rPr>
          <w:spacing w:val="-4"/>
        </w:rPr>
        <w:t> </w:t>
      </w:r>
      <w:r>
        <w:rPr/>
        <w:t>Primary</w:t>
      </w:r>
      <w:r>
        <w:rPr>
          <w:spacing w:val="-8"/>
        </w:rPr>
        <w:t> </w:t>
      </w:r>
      <w:r>
        <w:rPr/>
        <w:t>School</w:t>
      </w:r>
      <w:r>
        <w:rPr>
          <w:spacing w:val="-1"/>
        </w:rPr>
        <w:t> </w:t>
      </w:r>
      <w:r>
        <w:rPr/>
        <w:t>within</w:t>
      </w:r>
      <w:r>
        <w:rPr>
          <w:spacing w:val="-1"/>
        </w:rPr>
        <w:t> </w:t>
      </w:r>
      <w:r>
        <w:rPr/>
        <w:t>Zuru</w:t>
      </w:r>
      <w:r>
        <w:rPr>
          <w:spacing w:val="-1"/>
        </w:rPr>
        <w:t> </w:t>
      </w:r>
      <w:r>
        <w:rPr/>
        <w:t>L.G.A Source: Researcher’s Field Work, 2020</w:t>
      </w:r>
    </w:p>
    <w:p>
      <w:pPr>
        <w:pStyle w:val="BodyText"/>
        <w:spacing w:before="9"/>
        <w:rPr>
          <w:sz w:val="22"/>
        </w:rPr>
      </w:pPr>
    </w:p>
    <w:p>
      <w:pPr>
        <w:pStyle w:val="BodyText"/>
        <w:spacing w:line="480" w:lineRule="auto" w:before="1"/>
        <w:ind w:left="240" w:right="277"/>
        <w:jc w:val="both"/>
      </w:pPr>
      <w:r>
        <w:rPr/>
        <w:t>A dispersed pattern as shown in Figure 4.6 implied that, public primary</w:t>
      </w:r>
      <w:r>
        <w:rPr>
          <w:spacing w:val="-1"/>
        </w:rPr>
        <w:t> </w:t>
      </w:r>
      <w:r>
        <w:rPr/>
        <w:t>schools spread out as much as they can from each other and neither form clusters nor are random distribution pattern. Both PHCs and PPSs exhibit similar spatial distribution characteristics or patterns. It is thus clear, to say that social infrastructure within Zuru local government were neither allocated to maintain a specific uniform distance between them, nor were they provided randomly without having locational influence on one another.</w:t>
      </w:r>
    </w:p>
    <w:p>
      <w:pPr>
        <w:spacing w:after="0" w:line="480" w:lineRule="auto"/>
        <w:jc w:val="both"/>
        <w:sectPr>
          <w:pgSz w:w="11910" w:h="16840"/>
          <w:pgMar w:header="0" w:footer="1003" w:top="1340" w:bottom="1200" w:left="1200" w:right="1160"/>
        </w:sectPr>
      </w:pPr>
    </w:p>
    <w:p>
      <w:pPr>
        <w:pStyle w:val="Heading1"/>
        <w:numPr>
          <w:ilvl w:val="1"/>
          <w:numId w:val="7"/>
        </w:numPr>
        <w:tabs>
          <w:tab w:pos="959" w:val="left" w:leader="none"/>
        </w:tabs>
        <w:spacing w:line="240" w:lineRule="auto" w:before="78" w:after="0"/>
        <w:ind w:left="959" w:right="0" w:hanging="719"/>
        <w:jc w:val="both"/>
      </w:pPr>
      <w:r>
        <w:rPr/>
        <w:t>Accessibility</w:t>
      </w:r>
      <w:r>
        <w:rPr>
          <w:spacing w:val="-3"/>
        </w:rPr>
        <w:t> </w:t>
      </w:r>
      <w:r>
        <w:rPr/>
        <w:t>to</w:t>
      </w:r>
      <w:r>
        <w:rPr>
          <w:spacing w:val="-2"/>
        </w:rPr>
        <w:t> </w:t>
      </w:r>
      <w:r>
        <w:rPr/>
        <w:t>Social</w:t>
      </w:r>
      <w:r>
        <w:rPr>
          <w:spacing w:val="-1"/>
        </w:rPr>
        <w:t> </w:t>
      </w:r>
      <w:r>
        <w:rPr/>
        <w:t>Infrastructure</w:t>
      </w:r>
      <w:r>
        <w:rPr>
          <w:spacing w:val="-2"/>
        </w:rPr>
        <w:t> </w:t>
      </w:r>
      <w:r>
        <w:rPr/>
        <w:t>within</w:t>
      </w:r>
      <w:r>
        <w:rPr>
          <w:spacing w:val="-1"/>
        </w:rPr>
        <w:t> </w:t>
      </w:r>
      <w:r>
        <w:rPr/>
        <w:t>Zuru</w:t>
      </w:r>
      <w:r>
        <w:rPr>
          <w:spacing w:val="-2"/>
        </w:rPr>
        <w:t> L.G.A</w:t>
      </w:r>
    </w:p>
    <w:p>
      <w:pPr>
        <w:pStyle w:val="BodyText"/>
        <w:spacing w:before="7"/>
        <w:rPr>
          <w:b/>
          <w:sz w:val="23"/>
        </w:rPr>
      </w:pPr>
    </w:p>
    <w:p>
      <w:pPr>
        <w:pStyle w:val="BodyText"/>
        <w:spacing w:line="480" w:lineRule="auto"/>
        <w:ind w:left="240" w:right="275"/>
        <w:jc w:val="both"/>
      </w:pPr>
      <w:r>
        <w:rPr/>
        <w:t>This section presents an analysis of spatial accessibility to social infrastructure within the study</w:t>
      </w:r>
      <w:r>
        <w:rPr>
          <w:spacing w:val="-2"/>
        </w:rPr>
        <w:t> </w:t>
      </w:r>
      <w:r>
        <w:rPr/>
        <w:t>area. Distance was used as a parameter to measure the accessibility</w:t>
      </w:r>
      <w:r>
        <w:rPr>
          <w:spacing w:val="-2"/>
        </w:rPr>
        <w:t> </w:t>
      </w:r>
      <w:r>
        <w:rPr/>
        <w:t>of both the primary health centres (PHCs) and public primary schools (PPSs). This section also presented results using both Euclidean (linear) distances and network (actual road) distance.</w:t>
      </w:r>
    </w:p>
    <w:p>
      <w:pPr>
        <w:pStyle w:val="Heading1"/>
        <w:numPr>
          <w:ilvl w:val="2"/>
          <w:numId w:val="7"/>
        </w:numPr>
        <w:tabs>
          <w:tab w:pos="959" w:val="left" w:leader="none"/>
        </w:tabs>
        <w:spacing w:line="240" w:lineRule="auto" w:before="204" w:after="0"/>
        <w:ind w:left="959" w:right="0" w:hanging="719"/>
        <w:jc w:val="both"/>
      </w:pPr>
      <w:r>
        <w:rPr/>
        <w:t>Accessibility</w:t>
      </w:r>
      <w:r>
        <w:rPr>
          <w:spacing w:val="-3"/>
        </w:rPr>
        <w:t> </w:t>
      </w:r>
      <w:r>
        <w:rPr/>
        <w:t>to</w:t>
      </w:r>
      <w:r>
        <w:rPr>
          <w:spacing w:val="-1"/>
        </w:rPr>
        <w:t> </w:t>
      </w:r>
      <w:r>
        <w:rPr/>
        <w:t>primary</w:t>
      </w:r>
      <w:r>
        <w:rPr>
          <w:spacing w:val="-1"/>
        </w:rPr>
        <w:t> </w:t>
      </w:r>
      <w:r>
        <w:rPr/>
        <w:t>health</w:t>
      </w:r>
      <w:r>
        <w:rPr>
          <w:spacing w:val="-1"/>
        </w:rPr>
        <w:t> </w:t>
      </w:r>
      <w:r>
        <w:rPr/>
        <w:t>centres</w:t>
      </w:r>
      <w:r>
        <w:rPr>
          <w:spacing w:val="-3"/>
        </w:rPr>
        <w:t> </w:t>
      </w:r>
      <w:r>
        <w:rPr/>
        <w:t>within</w:t>
      </w:r>
      <w:r>
        <w:rPr>
          <w:spacing w:val="-1"/>
        </w:rPr>
        <w:t> </w:t>
      </w:r>
      <w:r>
        <w:rPr/>
        <w:t>Zuru</w:t>
      </w:r>
      <w:r>
        <w:rPr>
          <w:spacing w:val="-2"/>
        </w:rPr>
        <w:t> L.G.A</w:t>
      </w:r>
    </w:p>
    <w:p>
      <w:pPr>
        <w:pStyle w:val="BodyText"/>
        <w:spacing w:before="7"/>
        <w:rPr>
          <w:b/>
          <w:sz w:val="23"/>
        </w:rPr>
      </w:pPr>
    </w:p>
    <w:p>
      <w:pPr>
        <w:pStyle w:val="BodyText"/>
        <w:spacing w:line="480" w:lineRule="auto"/>
        <w:ind w:left="240" w:right="273"/>
        <w:jc w:val="both"/>
      </w:pPr>
      <w:r>
        <w:rPr/>
        <w:t>Figure 4.7 showed a result of the Euclidean (straight line) distance analysis of PHCs. Rings like service area known as ‘buffer’ were established to show the catchment areas around the PHCs. The analysis adopted the World Health Organisation standard time of one-hour travel time which is estimated as 5km walking distance, where 12 minutes is equal to 1km (Phiri</w:t>
      </w:r>
      <w:r>
        <w:rPr>
          <w:spacing w:val="40"/>
        </w:rPr>
        <w:t> </w:t>
      </w:r>
      <w:r>
        <w:rPr/>
        <w:t>and Munthali, 2019). 5 buffers</w:t>
      </w:r>
      <w:r>
        <w:rPr>
          <w:spacing w:val="-1"/>
        </w:rPr>
        <w:t> </w:t>
      </w:r>
      <w:r>
        <w:rPr/>
        <w:t>were</w:t>
      </w:r>
      <w:r>
        <w:rPr>
          <w:spacing w:val="-1"/>
        </w:rPr>
        <w:t> </w:t>
      </w:r>
      <w:r>
        <w:rPr/>
        <w:t>established at 1km interval to show</w:t>
      </w:r>
      <w:r>
        <w:rPr>
          <w:spacing w:val="-1"/>
        </w:rPr>
        <w:t> </w:t>
      </w:r>
      <w:r>
        <w:rPr/>
        <w:t>the</w:t>
      </w:r>
      <w:r>
        <w:rPr>
          <w:spacing w:val="-1"/>
        </w:rPr>
        <w:t> </w:t>
      </w:r>
      <w:r>
        <w:rPr/>
        <w:t>effect of</w:t>
      </w:r>
      <w:r>
        <w:rPr>
          <w:spacing w:val="-1"/>
        </w:rPr>
        <w:t> </w:t>
      </w:r>
      <w:r>
        <w:rPr/>
        <w:t>distance decay</w:t>
      </w:r>
      <w:r>
        <w:rPr>
          <w:spacing w:val="-3"/>
        </w:rPr>
        <w:t> </w:t>
      </w:r>
      <w:r>
        <w:rPr/>
        <w:t>and how the</w:t>
      </w:r>
      <w:r>
        <w:rPr>
          <w:spacing w:val="-1"/>
        </w:rPr>
        <w:t> </w:t>
      </w:r>
      <w:r>
        <w:rPr/>
        <w:t>PHCs relate to each other in Figure</w:t>
      </w:r>
      <w:r>
        <w:rPr>
          <w:spacing w:val="-1"/>
        </w:rPr>
        <w:t> </w:t>
      </w:r>
      <w:r>
        <w:rPr/>
        <w:t>4.7. The service</w:t>
      </w:r>
      <w:r>
        <w:rPr>
          <w:spacing w:val="-1"/>
        </w:rPr>
        <w:t> </w:t>
      </w:r>
      <w:r>
        <w:rPr/>
        <w:t>radii were</w:t>
      </w:r>
      <w:r>
        <w:rPr>
          <w:spacing w:val="-2"/>
        </w:rPr>
        <w:t> </w:t>
      </w:r>
      <w:r>
        <w:rPr/>
        <w:t>established within the six sampled wards which are, Bedi, Manga Ushe, Dabai, Rafin Zuru, Rikoto and Tadurga. Each distance is represented by a colour in Figure 4.7 for instance; darker red</w:t>
      </w:r>
      <w:r>
        <w:rPr>
          <w:spacing w:val="40"/>
        </w:rPr>
        <w:t> </w:t>
      </w:r>
      <w:r>
        <w:rPr/>
        <w:t>circles showed areas that are within 1km radius away from the facility and a lighter red showed areas that are within 2km away from each other.</w:t>
      </w:r>
    </w:p>
    <w:p>
      <w:pPr>
        <w:spacing w:after="0" w:line="480" w:lineRule="auto"/>
        <w:jc w:val="both"/>
        <w:sectPr>
          <w:pgSz w:w="11910" w:h="16840"/>
          <w:pgMar w:header="0" w:footer="1003" w:top="1340" w:bottom="1200" w:left="1200" w:right="1160"/>
        </w:sectPr>
      </w:pPr>
    </w:p>
    <w:p>
      <w:pPr>
        <w:pStyle w:val="BodyText"/>
        <w:ind w:left="1540"/>
        <w:rPr>
          <w:sz w:val="20"/>
        </w:rPr>
      </w:pPr>
      <w:r>
        <w:rPr>
          <w:sz w:val="20"/>
        </w:rPr>
        <mc:AlternateContent>
          <mc:Choice Requires="wps">
            <w:drawing>
              <wp:inline distT="0" distB="0" distL="0" distR="0">
                <wp:extent cx="4086225" cy="5759450"/>
                <wp:effectExtent l="9525" t="0" r="0" b="3175"/>
                <wp:docPr id="48" name="Group 48"/>
                <wp:cNvGraphicFramePr>
                  <a:graphicFrameLocks/>
                </wp:cNvGraphicFramePr>
                <a:graphic>
                  <a:graphicData uri="http://schemas.microsoft.com/office/word/2010/wordprocessingGroup">
                    <wpg:wgp>
                      <wpg:cNvPr id="48" name="Group 48"/>
                      <wpg:cNvGrpSpPr/>
                      <wpg:grpSpPr>
                        <a:xfrm>
                          <a:off x="0" y="0"/>
                          <a:ext cx="4086225" cy="5759450"/>
                          <a:chExt cx="4086225" cy="5759450"/>
                        </a:xfrm>
                      </wpg:grpSpPr>
                      <pic:pic>
                        <pic:nvPicPr>
                          <pic:cNvPr id="49" name="Image 49"/>
                          <pic:cNvPicPr/>
                        </pic:nvPicPr>
                        <pic:blipFill>
                          <a:blip r:embed="rId20" cstate="print"/>
                          <a:stretch>
                            <a:fillRect/>
                          </a:stretch>
                        </pic:blipFill>
                        <pic:spPr>
                          <a:xfrm>
                            <a:off x="19811" y="19811"/>
                            <a:ext cx="4046220" cy="5714683"/>
                          </a:xfrm>
                          <a:prstGeom prst="rect">
                            <a:avLst/>
                          </a:prstGeom>
                        </pic:spPr>
                      </pic:pic>
                      <wps:wsp>
                        <wps:cNvPr id="50" name="Graphic 50"/>
                        <wps:cNvSpPr/>
                        <wps:spPr>
                          <a:xfrm>
                            <a:off x="9905" y="9905"/>
                            <a:ext cx="4066540" cy="5739765"/>
                          </a:xfrm>
                          <a:custGeom>
                            <a:avLst/>
                            <a:gdLst/>
                            <a:ahLst/>
                            <a:cxnLst/>
                            <a:rect l="l" t="t" r="r" b="b"/>
                            <a:pathLst>
                              <a:path w="4066540" h="5739765">
                                <a:moveTo>
                                  <a:pt x="0" y="5739384"/>
                                </a:moveTo>
                                <a:lnTo>
                                  <a:pt x="4066032" y="5739384"/>
                                </a:lnTo>
                                <a:lnTo>
                                  <a:pt x="4066032" y="0"/>
                                </a:lnTo>
                                <a:lnTo>
                                  <a:pt x="0" y="0"/>
                                </a:lnTo>
                                <a:lnTo>
                                  <a:pt x="0" y="5739384"/>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21.75pt;height:453.5pt;mso-position-horizontal-relative:char;mso-position-vertical-relative:line" id="docshapegroup48" coordorigin="0,0" coordsize="6435,9070">
                <v:shape style="position:absolute;left:31;top:31;width:6372;height:9000" type="#_x0000_t75" id="docshape49" stroked="false">
                  <v:imagedata r:id="rId20" o:title=""/>
                </v:shape>
                <v:rect style="position:absolute;left:15;top:15;width:6404;height:9039" id="docshape50" filled="false" stroked="true" strokeweight="1.56pt" strokecolor="#000000">
                  <v:stroke dashstyle="solid"/>
                </v:rect>
              </v:group>
            </w:pict>
          </mc:Fallback>
        </mc:AlternateContent>
      </w:r>
      <w:r>
        <w:rPr>
          <w:sz w:val="20"/>
        </w:rPr>
      </w:r>
    </w:p>
    <w:p>
      <w:pPr>
        <w:pStyle w:val="BodyText"/>
        <w:spacing w:line="242" w:lineRule="exact"/>
        <w:ind w:left="831" w:right="871"/>
        <w:jc w:val="center"/>
      </w:pPr>
      <w:r>
        <w:rPr/>
        <w:t>Figure</w:t>
      </w:r>
      <w:r>
        <w:rPr>
          <w:spacing w:val="-3"/>
        </w:rPr>
        <w:t> </w:t>
      </w:r>
      <w:r>
        <w:rPr/>
        <w:t>4.7: 5km</w:t>
      </w:r>
      <w:r>
        <w:rPr>
          <w:spacing w:val="-1"/>
        </w:rPr>
        <w:t> </w:t>
      </w:r>
      <w:r>
        <w:rPr/>
        <w:t>service</w:t>
      </w:r>
      <w:r>
        <w:rPr>
          <w:spacing w:val="-1"/>
        </w:rPr>
        <w:t> </w:t>
      </w:r>
      <w:r>
        <w:rPr/>
        <w:t>radius</w:t>
      </w:r>
      <w:r>
        <w:rPr>
          <w:spacing w:val="-1"/>
        </w:rPr>
        <w:t> </w:t>
      </w:r>
      <w:r>
        <w:rPr/>
        <w:t>of PHCs</w:t>
      </w:r>
      <w:r>
        <w:rPr>
          <w:spacing w:val="-1"/>
        </w:rPr>
        <w:t> </w:t>
      </w:r>
      <w:r>
        <w:rPr/>
        <w:t>within Zuru</w:t>
      </w:r>
      <w:r>
        <w:rPr>
          <w:spacing w:val="1"/>
        </w:rPr>
        <w:t> </w:t>
      </w:r>
      <w:r>
        <w:rPr>
          <w:spacing w:val="-2"/>
        </w:rPr>
        <w:t>L.G.A</w:t>
      </w:r>
    </w:p>
    <w:p>
      <w:pPr>
        <w:pStyle w:val="BodyText"/>
        <w:spacing w:before="41"/>
        <w:ind w:left="2482" w:right="2517"/>
        <w:jc w:val="center"/>
      </w:pPr>
      <w:r>
        <w:rPr/>
        <w:t>Source:</w:t>
      </w:r>
      <w:r>
        <w:rPr>
          <w:spacing w:val="-2"/>
        </w:rPr>
        <w:t> </w:t>
      </w:r>
      <w:r>
        <w:rPr/>
        <w:t>Researcher’s</w:t>
      </w:r>
      <w:r>
        <w:rPr>
          <w:spacing w:val="1"/>
        </w:rPr>
        <w:t> </w:t>
      </w:r>
      <w:r>
        <w:rPr/>
        <w:t>Field</w:t>
      </w:r>
      <w:r>
        <w:rPr>
          <w:spacing w:val="-2"/>
        </w:rPr>
        <w:t> </w:t>
      </w:r>
      <w:r>
        <w:rPr/>
        <w:t>Work,</w:t>
      </w:r>
      <w:r>
        <w:rPr>
          <w:spacing w:val="-2"/>
        </w:rPr>
        <w:t> </w:t>
      </w:r>
      <w:r>
        <w:rPr>
          <w:spacing w:val="-4"/>
        </w:rPr>
        <w:t>2020</w:t>
      </w:r>
    </w:p>
    <w:p>
      <w:pPr>
        <w:pStyle w:val="BodyText"/>
        <w:rPr>
          <w:sz w:val="26"/>
        </w:rPr>
      </w:pPr>
    </w:p>
    <w:p>
      <w:pPr>
        <w:pStyle w:val="BodyText"/>
        <w:spacing w:line="480" w:lineRule="auto" w:before="176"/>
        <w:ind w:left="240" w:right="271"/>
        <w:jc w:val="both"/>
      </w:pPr>
      <w:r>
        <w:rPr/>
        <w:t>From the Figure 4.7 it can be deduced that some PHCs tend to cluster within 1km radius.</w:t>
      </w:r>
      <w:r>
        <w:rPr>
          <w:spacing w:val="80"/>
        </w:rPr>
        <w:t> </w:t>
      </w:r>
      <w:r>
        <w:rPr/>
        <w:t>This showed PHCs that are located very close to one another. Example includes Bedi clinic, Domo B clinic and Bedi MDG/PHC. The Figure 4.7 also revealed households that were outside the catchment area, which were also outside the accessibility range defined by the World Health Organisation. They include households close to the dam and other areas in Tadurga ward as shown in Figure 4.7 as households outside the buffer. This implied that, any household</w:t>
      </w:r>
      <w:r>
        <w:rPr>
          <w:spacing w:val="11"/>
        </w:rPr>
        <w:t> </w:t>
      </w:r>
      <w:r>
        <w:rPr/>
        <w:t>outside</w:t>
      </w:r>
      <w:r>
        <w:rPr>
          <w:spacing w:val="11"/>
        </w:rPr>
        <w:t> </w:t>
      </w:r>
      <w:r>
        <w:rPr/>
        <w:t>the</w:t>
      </w:r>
      <w:r>
        <w:rPr>
          <w:spacing w:val="11"/>
        </w:rPr>
        <w:t> </w:t>
      </w:r>
      <w:r>
        <w:rPr/>
        <w:t>catchment</w:t>
      </w:r>
      <w:r>
        <w:rPr>
          <w:spacing w:val="11"/>
        </w:rPr>
        <w:t> </w:t>
      </w:r>
      <w:r>
        <w:rPr/>
        <w:t>area</w:t>
      </w:r>
      <w:r>
        <w:rPr>
          <w:spacing w:val="12"/>
        </w:rPr>
        <w:t> </w:t>
      </w:r>
      <w:r>
        <w:rPr/>
        <w:t>must</w:t>
      </w:r>
      <w:r>
        <w:rPr>
          <w:spacing w:val="13"/>
        </w:rPr>
        <w:t> </w:t>
      </w:r>
      <w:r>
        <w:rPr/>
        <w:t>walk</w:t>
      </w:r>
      <w:r>
        <w:rPr>
          <w:spacing w:val="11"/>
        </w:rPr>
        <w:t> </w:t>
      </w:r>
      <w:r>
        <w:rPr/>
        <w:t>more</w:t>
      </w:r>
      <w:r>
        <w:rPr>
          <w:spacing w:val="10"/>
        </w:rPr>
        <w:t> </w:t>
      </w:r>
      <w:r>
        <w:rPr/>
        <w:t>than</w:t>
      </w:r>
      <w:r>
        <w:rPr>
          <w:spacing w:val="11"/>
        </w:rPr>
        <w:t> </w:t>
      </w:r>
      <w:r>
        <w:rPr/>
        <w:t>5km</w:t>
      </w:r>
      <w:r>
        <w:rPr>
          <w:spacing w:val="11"/>
        </w:rPr>
        <w:t> </w:t>
      </w:r>
      <w:r>
        <w:rPr/>
        <w:t>or</w:t>
      </w:r>
      <w:r>
        <w:rPr>
          <w:spacing w:val="13"/>
        </w:rPr>
        <w:t> </w:t>
      </w:r>
      <w:r>
        <w:rPr/>
        <w:t>more</w:t>
      </w:r>
      <w:r>
        <w:rPr>
          <w:spacing w:val="10"/>
        </w:rPr>
        <w:t> </w:t>
      </w:r>
      <w:r>
        <w:rPr/>
        <w:t>than</w:t>
      </w:r>
      <w:r>
        <w:rPr>
          <w:spacing w:val="10"/>
        </w:rPr>
        <w:t> </w:t>
      </w:r>
      <w:r>
        <w:rPr/>
        <w:t>an</w:t>
      </w:r>
      <w:r>
        <w:rPr>
          <w:spacing w:val="12"/>
        </w:rPr>
        <w:t> </w:t>
      </w:r>
      <w:r>
        <w:rPr/>
        <w:t>hour</w:t>
      </w:r>
      <w:r>
        <w:rPr>
          <w:spacing w:val="11"/>
        </w:rPr>
        <w:t> </w:t>
      </w:r>
      <w:r>
        <w:rPr/>
        <w:t>to</w:t>
      </w:r>
      <w:r>
        <w:rPr>
          <w:spacing w:val="15"/>
        </w:rPr>
        <w:t> </w:t>
      </w:r>
      <w:r>
        <w:rPr>
          <w:spacing w:val="-5"/>
        </w:rPr>
        <w:t>get</w:t>
      </w:r>
    </w:p>
    <w:p>
      <w:pPr>
        <w:spacing w:after="0" w:line="480" w:lineRule="auto"/>
        <w:jc w:val="both"/>
        <w:sectPr>
          <w:pgSz w:w="11910" w:h="16840"/>
          <w:pgMar w:header="0" w:footer="1003" w:top="1420" w:bottom="1200" w:left="1200" w:right="1160"/>
        </w:sectPr>
      </w:pPr>
    </w:p>
    <w:p>
      <w:pPr>
        <w:pStyle w:val="BodyText"/>
        <w:spacing w:line="482" w:lineRule="auto" w:before="73"/>
        <w:ind w:left="240" w:right="278"/>
        <w:jc w:val="both"/>
      </w:pPr>
      <w:r>
        <w:rPr/>
        <w:t>to the nearest primary health centre. The underserved households were located within</w:t>
      </w:r>
      <w:r>
        <w:rPr>
          <w:spacing w:val="40"/>
        </w:rPr>
        <w:t> </w:t>
      </w:r>
      <w:r>
        <w:rPr/>
        <w:t>Tadurga ward and also area close to the dam in Bedi ward.</w:t>
      </w:r>
    </w:p>
    <w:p>
      <w:pPr>
        <w:pStyle w:val="BodyText"/>
        <w:spacing w:line="480" w:lineRule="auto" w:before="194"/>
        <w:ind w:left="240" w:right="275"/>
        <w:jc w:val="both"/>
      </w:pPr>
      <w:r>
        <w:rPr/>
        <w:t>However, due to the identified inadequacies of using linear network or Euclidean distance as</w:t>
      </w:r>
      <w:r>
        <w:rPr>
          <w:spacing w:val="40"/>
        </w:rPr>
        <w:t> </w:t>
      </w:r>
      <w:r>
        <w:rPr/>
        <w:t>a method to analyse accessibility by dos Anjos - Luis and Cabral (2016), the researcher also used network distances to analyse accessibility. The premise for this analysis was based on the assumption that physical barriers may influence the route used to reach social infrastructure (dos Anjos - Luis and Cabral, 2016). It does become more pragmatic to predict the catchment area of PHCs using the existing transport route within the study area. The road network</w:t>
      </w:r>
      <w:r>
        <w:rPr>
          <w:spacing w:val="-1"/>
        </w:rPr>
        <w:t> </w:t>
      </w:r>
      <w:r>
        <w:rPr/>
        <w:t>data was sourced from Open Street Map (OSM)</w:t>
      </w:r>
      <w:r>
        <w:rPr>
          <w:spacing w:val="-1"/>
        </w:rPr>
        <w:t> </w:t>
      </w:r>
      <w:r>
        <w:rPr/>
        <w:t>database</w:t>
      </w:r>
      <w:r>
        <w:rPr>
          <w:spacing w:val="-1"/>
        </w:rPr>
        <w:t> </w:t>
      </w:r>
      <w:r>
        <w:rPr/>
        <w:t>as shown in Figure</w:t>
      </w:r>
      <w:r>
        <w:rPr>
          <w:spacing w:val="-1"/>
        </w:rPr>
        <w:t> </w:t>
      </w:r>
      <w:r>
        <w:rPr/>
        <w:t>4.8 and validated by ground trothing. This served as a base map or dataset for network analysis in </w:t>
      </w:r>
      <w:r>
        <w:rPr>
          <w:spacing w:val="-2"/>
        </w:rPr>
        <w:t>Qgis.</w:t>
      </w:r>
    </w:p>
    <w:p>
      <w:pPr>
        <w:pStyle w:val="BodyText"/>
        <w:spacing w:line="480" w:lineRule="auto" w:before="201"/>
        <w:ind w:left="240" w:right="277"/>
        <w:jc w:val="both"/>
      </w:pPr>
      <w:r>
        <w:rPr/>
        <w:t>Using</w:t>
      </w:r>
      <w:r>
        <w:rPr>
          <w:spacing w:val="-3"/>
        </w:rPr>
        <w:t> </w:t>
      </w:r>
      <w:r>
        <w:rPr/>
        <w:t>the</w:t>
      </w:r>
      <w:r>
        <w:rPr>
          <w:spacing w:val="-2"/>
        </w:rPr>
        <w:t> </w:t>
      </w:r>
      <w:r>
        <w:rPr/>
        <w:t>data</w:t>
      </w:r>
      <w:r>
        <w:rPr>
          <w:spacing w:val="-2"/>
        </w:rPr>
        <w:t> </w:t>
      </w:r>
      <w:r>
        <w:rPr/>
        <w:t>in Figure 4.8</w:t>
      </w:r>
      <w:r>
        <w:rPr>
          <w:spacing w:val="-1"/>
        </w:rPr>
        <w:t> </w:t>
      </w:r>
      <w:r>
        <w:rPr/>
        <w:t>and</w:t>
      </w:r>
      <w:r>
        <w:rPr>
          <w:spacing w:val="-1"/>
        </w:rPr>
        <w:t> </w:t>
      </w:r>
      <w:r>
        <w:rPr/>
        <w:t>the</w:t>
      </w:r>
      <w:r>
        <w:rPr>
          <w:spacing w:val="-2"/>
        </w:rPr>
        <w:t> </w:t>
      </w:r>
      <w:r>
        <w:rPr/>
        <w:t>location</w:t>
      </w:r>
      <w:r>
        <w:rPr>
          <w:spacing w:val="-1"/>
        </w:rPr>
        <w:t> </w:t>
      </w:r>
      <w:r>
        <w:rPr/>
        <w:t>of</w:t>
      </w:r>
      <w:r>
        <w:rPr>
          <w:spacing w:val="-2"/>
        </w:rPr>
        <w:t> </w:t>
      </w:r>
      <w:r>
        <w:rPr/>
        <w:t>PHCs</w:t>
      </w:r>
      <w:r>
        <w:rPr>
          <w:spacing w:val="-1"/>
        </w:rPr>
        <w:t> </w:t>
      </w:r>
      <w:r>
        <w:rPr/>
        <w:t>(coordinates)</w:t>
      </w:r>
      <w:r>
        <w:rPr>
          <w:spacing w:val="-2"/>
        </w:rPr>
        <w:t> </w:t>
      </w:r>
      <w:r>
        <w:rPr/>
        <w:t>the</w:t>
      </w:r>
      <w:r>
        <w:rPr>
          <w:spacing w:val="-2"/>
        </w:rPr>
        <w:t> </w:t>
      </w:r>
      <w:r>
        <w:rPr/>
        <w:t>researcher</w:t>
      </w:r>
      <w:r>
        <w:rPr>
          <w:spacing w:val="-2"/>
        </w:rPr>
        <w:t> </w:t>
      </w:r>
      <w:r>
        <w:rPr/>
        <w:t>established catchment areas along the road network lines. The service areas were predicted using a one- hour travel time (3600 seconds) for the fastest route as a parameter to determine the travelled distance. The road network analysis in Figure 4.9 showed households that are having access to health care facilities and the ones that do not. It also showed the geographic features (such as the drainage) limiting linear distances and also suggests possible fastest routes to access</w:t>
      </w:r>
      <w:r>
        <w:rPr>
          <w:spacing w:val="40"/>
        </w:rPr>
        <w:t> </w:t>
      </w:r>
      <w:r>
        <w:rPr/>
        <w:t>the nearest service provider.</w:t>
      </w:r>
    </w:p>
    <w:p>
      <w:pPr>
        <w:spacing w:after="0" w:line="480" w:lineRule="auto"/>
        <w:jc w:val="both"/>
        <w:sectPr>
          <w:pgSz w:w="11910" w:h="16840"/>
          <w:pgMar w:header="0" w:footer="1003" w:top="1340" w:bottom="1200" w:left="1200" w:right="1160"/>
        </w:sectPr>
      </w:pPr>
    </w:p>
    <w:p>
      <w:pPr>
        <w:pStyle w:val="BodyText"/>
        <w:ind w:left="1826"/>
        <w:rPr>
          <w:sz w:val="20"/>
        </w:rPr>
      </w:pPr>
      <w:r>
        <w:rPr>
          <w:sz w:val="20"/>
        </w:rPr>
        <mc:AlternateContent>
          <mc:Choice Requires="wps">
            <w:drawing>
              <wp:inline distT="0" distB="0" distL="0" distR="0">
                <wp:extent cx="3717290" cy="5238115"/>
                <wp:effectExtent l="9525" t="0" r="0" b="635"/>
                <wp:docPr id="51" name="Group 51"/>
                <wp:cNvGraphicFramePr>
                  <a:graphicFrameLocks/>
                </wp:cNvGraphicFramePr>
                <a:graphic>
                  <a:graphicData uri="http://schemas.microsoft.com/office/word/2010/wordprocessingGroup">
                    <wpg:wgp>
                      <wpg:cNvPr id="51" name="Group 51"/>
                      <wpg:cNvGrpSpPr/>
                      <wpg:grpSpPr>
                        <a:xfrm>
                          <a:off x="0" y="0"/>
                          <a:ext cx="3717290" cy="5238115"/>
                          <a:chExt cx="3717290" cy="5238115"/>
                        </a:xfrm>
                      </wpg:grpSpPr>
                      <pic:pic>
                        <pic:nvPicPr>
                          <pic:cNvPr id="52" name="Image 52"/>
                          <pic:cNvPicPr/>
                        </pic:nvPicPr>
                        <pic:blipFill>
                          <a:blip r:embed="rId21" cstate="print"/>
                          <a:stretch>
                            <a:fillRect/>
                          </a:stretch>
                        </pic:blipFill>
                        <pic:spPr>
                          <a:xfrm>
                            <a:off x="19811" y="19811"/>
                            <a:ext cx="3677412" cy="5198364"/>
                          </a:xfrm>
                          <a:prstGeom prst="rect">
                            <a:avLst/>
                          </a:prstGeom>
                        </pic:spPr>
                      </pic:pic>
                      <wps:wsp>
                        <wps:cNvPr id="53" name="Graphic 53"/>
                        <wps:cNvSpPr/>
                        <wps:spPr>
                          <a:xfrm>
                            <a:off x="9905" y="9905"/>
                            <a:ext cx="3697604" cy="5218430"/>
                          </a:xfrm>
                          <a:custGeom>
                            <a:avLst/>
                            <a:gdLst/>
                            <a:ahLst/>
                            <a:cxnLst/>
                            <a:rect l="l" t="t" r="r" b="b"/>
                            <a:pathLst>
                              <a:path w="3697604" h="5218430">
                                <a:moveTo>
                                  <a:pt x="0" y="5218176"/>
                                </a:moveTo>
                                <a:lnTo>
                                  <a:pt x="3697224" y="5218176"/>
                                </a:lnTo>
                                <a:lnTo>
                                  <a:pt x="3697224" y="0"/>
                                </a:lnTo>
                                <a:lnTo>
                                  <a:pt x="0" y="0"/>
                                </a:lnTo>
                                <a:lnTo>
                                  <a:pt x="0" y="5218176"/>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92.7pt;height:412.45pt;mso-position-horizontal-relative:char;mso-position-vertical-relative:line" id="docshapegroup51" coordorigin="0,0" coordsize="5854,8249">
                <v:shape style="position:absolute;left:31;top:31;width:5792;height:8187" type="#_x0000_t75" id="docshape52" stroked="false">
                  <v:imagedata r:id="rId21" o:title=""/>
                </v:shape>
                <v:rect style="position:absolute;left:15;top:15;width:5823;height:8218" id="docshape53" filled="false" stroked="true" strokeweight="1.56pt" strokecolor="#000000">
                  <v:stroke dashstyle="solid"/>
                </v:rect>
              </v:group>
            </w:pict>
          </mc:Fallback>
        </mc:AlternateContent>
      </w:r>
      <w:r>
        <w:rPr>
          <w:sz w:val="20"/>
        </w:rPr>
      </w:r>
    </w:p>
    <w:p>
      <w:pPr>
        <w:pStyle w:val="BodyText"/>
        <w:spacing w:line="258" w:lineRule="exact"/>
        <w:ind w:left="829" w:right="872"/>
        <w:jc w:val="center"/>
      </w:pPr>
      <w:r>
        <w:rPr/>
        <w:t>Figure</w:t>
      </w:r>
      <w:r>
        <w:rPr>
          <w:spacing w:val="-3"/>
        </w:rPr>
        <w:t> </w:t>
      </w:r>
      <w:r>
        <w:rPr/>
        <w:t>4.8:</w:t>
      </w:r>
      <w:r>
        <w:rPr>
          <w:spacing w:val="-1"/>
        </w:rPr>
        <w:t> </w:t>
      </w:r>
      <w:r>
        <w:rPr/>
        <w:t>Open Street</w:t>
      </w:r>
      <w:r>
        <w:rPr>
          <w:spacing w:val="1"/>
        </w:rPr>
        <w:t> </w:t>
      </w:r>
      <w:r>
        <w:rPr/>
        <w:t>Map (OSM)</w:t>
      </w:r>
      <w:r>
        <w:rPr>
          <w:spacing w:val="-1"/>
        </w:rPr>
        <w:t> </w:t>
      </w:r>
      <w:r>
        <w:rPr/>
        <w:t>of</w:t>
      </w:r>
      <w:r>
        <w:rPr>
          <w:spacing w:val="-3"/>
        </w:rPr>
        <w:t> </w:t>
      </w:r>
      <w:r>
        <w:rPr/>
        <w:t>road network</w:t>
      </w:r>
      <w:r>
        <w:rPr>
          <w:spacing w:val="-1"/>
        </w:rPr>
        <w:t> </w:t>
      </w:r>
      <w:r>
        <w:rPr/>
        <w:t>within the</w:t>
      </w:r>
      <w:r>
        <w:rPr>
          <w:spacing w:val="-2"/>
        </w:rPr>
        <w:t> </w:t>
      </w:r>
      <w:r>
        <w:rPr/>
        <w:t>study</w:t>
      </w:r>
      <w:r>
        <w:rPr>
          <w:spacing w:val="-5"/>
        </w:rPr>
        <w:t> </w:t>
      </w:r>
      <w:r>
        <w:rPr>
          <w:spacing w:val="-4"/>
        </w:rPr>
        <w:t>area</w:t>
      </w:r>
    </w:p>
    <w:p>
      <w:pPr>
        <w:pStyle w:val="BodyText"/>
        <w:spacing w:before="41"/>
        <w:ind w:left="831" w:right="866"/>
        <w:jc w:val="center"/>
      </w:pPr>
      <w:r>
        <w:rPr/>
        <w:t>Source:</w:t>
      </w:r>
      <w:r>
        <w:rPr>
          <w:spacing w:val="-2"/>
        </w:rPr>
        <w:t> </w:t>
      </w:r>
      <w:r>
        <w:rPr/>
        <w:t>OSM</w:t>
      </w:r>
      <w:r>
        <w:rPr>
          <w:spacing w:val="-1"/>
        </w:rPr>
        <w:t> </w:t>
      </w:r>
      <w:r>
        <w:rPr/>
        <w:t>(2020)</w:t>
      </w:r>
      <w:r>
        <w:rPr>
          <w:spacing w:val="-3"/>
        </w:rPr>
        <w:t> </w:t>
      </w:r>
      <w:r>
        <w:rPr/>
        <w:t>and</w:t>
      </w:r>
      <w:r>
        <w:rPr>
          <w:spacing w:val="1"/>
        </w:rPr>
        <w:t> </w:t>
      </w:r>
      <w:r>
        <w:rPr/>
        <w:t>Researcher’s Field</w:t>
      </w:r>
      <w:r>
        <w:rPr>
          <w:spacing w:val="-1"/>
        </w:rPr>
        <w:t> </w:t>
      </w:r>
      <w:r>
        <w:rPr/>
        <w:t>Work, </w:t>
      </w:r>
      <w:r>
        <w:rPr>
          <w:spacing w:val="-4"/>
        </w:rPr>
        <w:t>2020</w:t>
      </w:r>
    </w:p>
    <w:p>
      <w:pPr>
        <w:pStyle w:val="BodyText"/>
        <w:rPr>
          <w:sz w:val="26"/>
        </w:rPr>
      </w:pPr>
    </w:p>
    <w:p>
      <w:pPr>
        <w:pStyle w:val="BodyText"/>
        <w:spacing w:line="480" w:lineRule="auto" w:before="173"/>
        <w:ind w:left="240" w:right="274"/>
        <w:jc w:val="both"/>
      </w:pPr>
      <w:r>
        <w:rPr/>
        <w:t>A typical network analysis is Qgis will erase any transport route that does not fall within</w:t>
      </w:r>
      <w:r>
        <w:rPr>
          <w:spacing w:val="40"/>
        </w:rPr>
        <w:t> </w:t>
      </w:r>
      <w:r>
        <w:rPr/>
        <w:t>(5km or 3600 seconds) the specified travelled distance or time. Hence, the network analysis results illustrated</w:t>
      </w:r>
      <w:r>
        <w:rPr>
          <w:spacing w:val="-1"/>
        </w:rPr>
        <w:t> </w:t>
      </w:r>
      <w:r>
        <w:rPr/>
        <w:t>the</w:t>
      </w:r>
      <w:r>
        <w:rPr>
          <w:spacing w:val="-1"/>
        </w:rPr>
        <w:t> </w:t>
      </w:r>
      <w:r>
        <w:rPr/>
        <w:t>extent to which the</w:t>
      </w:r>
      <w:r>
        <w:rPr>
          <w:spacing w:val="-1"/>
        </w:rPr>
        <w:t> </w:t>
      </w:r>
      <w:r>
        <w:rPr/>
        <w:t>acceptable</w:t>
      </w:r>
      <w:r>
        <w:rPr>
          <w:spacing w:val="-1"/>
        </w:rPr>
        <w:t> </w:t>
      </w:r>
      <w:r>
        <w:rPr/>
        <w:t>standard</w:t>
      </w:r>
      <w:r>
        <w:rPr>
          <w:spacing w:val="-1"/>
        </w:rPr>
        <w:t> </w:t>
      </w:r>
      <w:r>
        <w:rPr/>
        <w:t>of</w:t>
      </w:r>
      <w:r>
        <w:rPr>
          <w:spacing w:val="-1"/>
        </w:rPr>
        <w:t> </w:t>
      </w:r>
      <w:r>
        <w:rPr/>
        <w:t>accessibility</w:t>
      </w:r>
      <w:r>
        <w:rPr>
          <w:spacing w:val="-3"/>
        </w:rPr>
        <w:t> </w:t>
      </w:r>
      <w:r>
        <w:rPr/>
        <w:t>could be</w:t>
      </w:r>
      <w:r>
        <w:rPr>
          <w:spacing w:val="-1"/>
        </w:rPr>
        <w:t> </w:t>
      </w:r>
      <w:r>
        <w:rPr/>
        <w:t>defined in the study area. Thus identifying and classifying households without linkages to the road network as underserved or inaccessible households as shown in Figure 4.9. The areas that are outside the catchment areas were marked with a brown polygon as shown in Figure 4.9.</w:t>
      </w:r>
      <w:r>
        <w:rPr>
          <w:spacing w:val="40"/>
        </w:rPr>
        <w:t> </w:t>
      </w:r>
      <w:r>
        <w:rPr/>
        <w:t>These underserved and inaccessible areas or households were located within Tadurga and Bedi ward.</w:t>
      </w:r>
    </w:p>
    <w:p>
      <w:pPr>
        <w:spacing w:after="0" w:line="480" w:lineRule="auto"/>
        <w:jc w:val="both"/>
        <w:sectPr>
          <w:pgSz w:w="11910" w:h="16840"/>
          <w:pgMar w:header="0" w:footer="1003" w:top="1420" w:bottom="1200" w:left="1200" w:right="1160"/>
        </w:sectPr>
      </w:pPr>
    </w:p>
    <w:p>
      <w:pPr>
        <w:pStyle w:val="BodyText"/>
        <w:spacing w:line="480" w:lineRule="auto" w:before="73"/>
        <w:ind w:left="240" w:right="278"/>
        <w:jc w:val="both"/>
      </w:pPr>
      <w:r>
        <w:rPr/>
        <w:t>The inadequacies of the linear method of measuring accessibility are spot on by the road network analysis. Figure 4.9 illustrates that, while Domo A PHC and Domo B clinic have overlapping buffers at 5km in Figure 4.7, it is not so in actual road distance in Figure 4.9 because of the drainage serving as a barrier between the settlements. Hence it takes a longer road distance to reach the next settlement.</w:t>
      </w:r>
    </w:p>
    <w:p>
      <w:pPr>
        <w:pStyle w:val="BodyText"/>
        <w:spacing w:before="11"/>
        <w:rPr>
          <w:sz w:val="15"/>
        </w:rPr>
      </w:pPr>
      <w:r>
        <w:rPr/>
        <mc:AlternateContent>
          <mc:Choice Requires="wps">
            <w:drawing>
              <wp:anchor distT="0" distB="0" distL="0" distR="0" allowOverlap="1" layoutInCell="1" locked="0" behindDoc="1" simplePos="0" relativeHeight="487597568">
                <wp:simplePos x="0" y="0"/>
                <wp:positionH relativeFrom="page">
                  <wp:posOffset>1950720</wp:posOffset>
                </wp:positionH>
                <wp:positionV relativeFrom="paragraph">
                  <wp:posOffset>132101</wp:posOffset>
                </wp:positionV>
                <wp:extent cx="3659504" cy="5154295"/>
                <wp:effectExtent l="0" t="0" r="0" b="0"/>
                <wp:wrapTopAndBottom/>
                <wp:docPr id="54" name="Group 54" descr="C:\Users\User\3rd semester\submissions\Internal Presentations\Analysis\Journal\New folder\phc road net.jpg"/>
                <wp:cNvGraphicFramePr>
                  <a:graphicFrameLocks/>
                </wp:cNvGraphicFramePr>
                <a:graphic>
                  <a:graphicData uri="http://schemas.microsoft.com/office/word/2010/wordprocessingGroup">
                    <wpg:wgp>
                      <wpg:cNvPr id="54" name="Group 54" descr="C:\Users\User\3rd semester\submissions\Internal Presentations\Analysis\Journal\New folder\phc road net.jpg"/>
                      <wpg:cNvGrpSpPr/>
                      <wpg:grpSpPr>
                        <a:xfrm>
                          <a:off x="0" y="0"/>
                          <a:ext cx="3659504" cy="5154295"/>
                          <a:chExt cx="3659504" cy="5154295"/>
                        </a:xfrm>
                      </wpg:grpSpPr>
                      <pic:pic>
                        <pic:nvPicPr>
                          <pic:cNvPr id="55" name="Image 55" descr="C:\Users\User\3rd semester\submissions\Internal Presentations\Analysis\Journal\New folder\phc road net.jpg"/>
                          <pic:cNvPicPr/>
                        </pic:nvPicPr>
                        <pic:blipFill>
                          <a:blip r:embed="rId22" cstate="print"/>
                          <a:stretch>
                            <a:fillRect/>
                          </a:stretch>
                        </pic:blipFill>
                        <pic:spPr>
                          <a:xfrm>
                            <a:off x="19811" y="19811"/>
                            <a:ext cx="3619500" cy="5114544"/>
                          </a:xfrm>
                          <a:prstGeom prst="rect">
                            <a:avLst/>
                          </a:prstGeom>
                        </pic:spPr>
                      </pic:pic>
                      <wps:wsp>
                        <wps:cNvPr id="56" name="Graphic 56"/>
                        <wps:cNvSpPr/>
                        <wps:spPr>
                          <a:xfrm>
                            <a:off x="9905" y="9905"/>
                            <a:ext cx="3639820" cy="5134610"/>
                          </a:xfrm>
                          <a:custGeom>
                            <a:avLst/>
                            <a:gdLst/>
                            <a:ahLst/>
                            <a:cxnLst/>
                            <a:rect l="l" t="t" r="r" b="b"/>
                            <a:pathLst>
                              <a:path w="3639820" h="5134610">
                                <a:moveTo>
                                  <a:pt x="0" y="5134356"/>
                                </a:moveTo>
                                <a:lnTo>
                                  <a:pt x="3639312" y="5134356"/>
                                </a:lnTo>
                                <a:lnTo>
                                  <a:pt x="3639312" y="0"/>
                                </a:lnTo>
                                <a:lnTo>
                                  <a:pt x="0" y="0"/>
                                </a:lnTo>
                                <a:lnTo>
                                  <a:pt x="0" y="5134356"/>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3.600006pt;margin-top:10.401719pt;width:288.150pt;height:405.85pt;mso-position-horizontal-relative:page;mso-position-vertical-relative:paragraph;z-index:-15718912;mso-wrap-distance-left:0;mso-wrap-distance-right:0" id="docshapegroup54" coordorigin="3072,208" coordsize="5763,8117" alt="C:\Users\User\3rd semester\submissions\Internal Presentations\Analysis\Journal\New folder\phc road net.jpg">
                <v:shape style="position:absolute;left:3103;top:239;width:5700;height:8055" type="#_x0000_t75" id="docshape55" alt="C:\Users\User\3rd semester\submissions\Internal Presentations\Analysis\Journal\New folder\phc road net.jpg" stroked="false">
                  <v:imagedata r:id="rId22" o:title=""/>
                </v:shape>
                <v:rect style="position:absolute;left:3087;top:223;width:5732;height:8086" id="docshape56" filled="false" stroked="true" strokeweight="1.56pt" strokecolor="#000000">
                  <v:stroke dashstyle="solid"/>
                </v:rect>
                <w10:wrap type="topAndBottom"/>
              </v:group>
            </w:pict>
          </mc:Fallback>
        </mc:AlternateContent>
      </w:r>
    </w:p>
    <w:p>
      <w:pPr>
        <w:pStyle w:val="BodyText"/>
        <w:spacing w:line="242" w:lineRule="auto" w:before="8"/>
        <w:ind w:left="2857" w:right="874" w:hanging="1635"/>
      </w:pPr>
      <w:r>
        <w:rPr/>
        <w:t>Figure</w:t>
      </w:r>
      <w:r>
        <w:rPr>
          <w:spacing w:val="-6"/>
        </w:rPr>
        <w:t> </w:t>
      </w:r>
      <w:r>
        <w:rPr/>
        <w:t>4.9:</w:t>
      </w:r>
      <w:r>
        <w:rPr>
          <w:spacing w:val="-4"/>
        </w:rPr>
        <w:t> </w:t>
      </w:r>
      <w:r>
        <w:rPr/>
        <w:t>5km</w:t>
      </w:r>
      <w:r>
        <w:rPr>
          <w:spacing w:val="-4"/>
        </w:rPr>
        <w:t> </w:t>
      </w:r>
      <w:r>
        <w:rPr/>
        <w:t>Road</w:t>
      </w:r>
      <w:r>
        <w:rPr>
          <w:spacing w:val="-4"/>
        </w:rPr>
        <w:t> </w:t>
      </w:r>
      <w:r>
        <w:rPr/>
        <w:t>Network</w:t>
      </w:r>
      <w:r>
        <w:rPr>
          <w:spacing w:val="-5"/>
        </w:rPr>
        <w:t> </w:t>
      </w:r>
      <w:r>
        <w:rPr/>
        <w:t>Service</w:t>
      </w:r>
      <w:r>
        <w:rPr>
          <w:spacing w:val="-5"/>
        </w:rPr>
        <w:t> </w:t>
      </w:r>
      <w:r>
        <w:rPr/>
        <w:t>Area</w:t>
      </w:r>
      <w:r>
        <w:rPr>
          <w:spacing w:val="-5"/>
        </w:rPr>
        <w:t> </w:t>
      </w:r>
      <w:r>
        <w:rPr/>
        <w:t>of</w:t>
      </w:r>
      <w:r>
        <w:rPr>
          <w:spacing w:val="-4"/>
        </w:rPr>
        <w:t> </w:t>
      </w:r>
      <w:r>
        <w:rPr/>
        <w:t>PHCs</w:t>
      </w:r>
      <w:r>
        <w:rPr>
          <w:spacing w:val="-4"/>
        </w:rPr>
        <w:t> </w:t>
      </w:r>
      <w:r>
        <w:rPr/>
        <w:t>within</w:t>
      </w:r>
      <w:r>
        <w:rPr>
          <w:spacing w:val="-4"/>
        </w:rPr>
        <w:t> </w:t>
      </w:r>
      <w:r>
        <w:rPr/>
        <w:t>Zuru</w:t>
      </w:r>
      <w:r>
        <w:rPr>
          <w:spacing w:val="-3"/>
        </w:rPr>
        <w:t> </w:t>
      </w:r>
      <w:r>
        <w:rPr/>
        <w:t>L.G.A Source: Researcher’s Field Work, 2020</w:t>
      </w:r>
    </w:p>
    <w:p>
      <w:pPr>
        <w:pStyle w:val="BodyText"/>
        <w:rPr>
          <w:sz w:val="26"/>
        </w:rPr>
      </w:pPr>
    </w:p>
    <w:p>
      <w:pPr>
        <w:pStyle w:val="BodyText"/>
        <w:spacing w:line="480" w:lineRule="auto" w:before="171"/>
        <w:ind w:left="240" w:right="278"/>
        <w:jc w:val="both"/>
      </w:pPr>
      <w:r>
        <w:rPr/>
        <w:t>The expanse of the area delineated as the underserved or inaccessible households, areas, settlements or region are basically</w:t>
      </w:r>
      <w:r>
        <w:rPr>
          <w:spacing w:val="-1"/>
        </w:rPr>
        <w:t> </w:t>
      </w:r>
      <w:r>
        <w:rPr/>
        <w:t>what differentiate the Euclidean method from the Network method</w:t>
      </w:r>
      <w:r>
        <w:rPr>
          <w:spacing w:val="23"/>
        </w:rPr>
        <w:t> </w:t>
      </w:r>
      <w:r>
        <w:rPr/>
        <w:t>of</w:t>
      </w:r>
      <w:r>
        <w:rPr>
          <w:spacing w:val="25"/>
        </w:rPr>
        <w:t> </w:t>
      </w:r>
      <w:r>
        <w:rPr/>
        <w:t>measuring</w:t>
      </w:r>
      <w:r>
        <w:rPr>
          <w:spacing w:val="23"/>
        </w:rPr>
        <w:t> </w:t>
      </w:r>
      <w:r>
        <w:rPr/>
        <w:t>accessibility.</w:t>
      </w:r>
      <w:r>
        <w:rPr>
          <w:spacing w:val="25"/>
        </w:rPr>
        <w:t> </w:t>
      </w:r>
      <w:r>
        <w:rPr/>
        <w:t>Figure</w:t>
      </w:r>
      <w:r>
        <w:rPr>
          <w:spacing w:val="24"/>
        </w:rPr>
        <w:t> </w:t>
      </w:r>
      <w:r>
        <w:rPr/>
        <w:t>4.7</w:t>
      </w:r>
      <w:r>
        <w:rPr>
          <w:spacing w:val="26"/>
        </w:rPr>
        <w:t> </w:t>
      </w:r>
      <w:r>
        <w:rPr/>
        <w:t>and</w:t>
      </w:r>
      <w:r>
        <w:rPr>
          <w:spacing w:val="26"/>
        </w:rPr>
        <w:t> </w:t>
      </w:r>
      <w:r>
        <w:rPr/>
        <w:t>4.9</w:t>
      </w:r>
      <w:r>
        <w:rPr>
          <w:spacing w:val="25"/>
        </w:rPr>
        <w:t> </w:t>
      </w:r>
      <w:r>
        <w:rPr/>
        <w:t>respectively</w:t>
      </w:r>
      <w:r>
        <w:rPr>
          <w:spacing w:val="18"/>
        </w:rPr>
        <w:t> </w:t>
      </w:r>
      <w:r>
        <w:rPr/>
        <w:t>identified</w:t>
      </w:r>
      <w:r>
        <w:rPr>
          <w:spacing w:val="26"/>
        </w:rPr>
        <w:t> </w:t>
      </w:r>
      <w:r>
        <w:rPr/>
        <w:t>the</w:t>
      </w:r>
      <w:r>
        <w:rPr>
          <w:spacing w:val="25"/>
        </w:rPr>
        <w:t> </w:t>
      </w:r>
      <w:r>
        <w:rPr>
          <w:spacing w:val="-2"/>
        </w:rPr>
        <w:t>accessible</w:t>
      </w:r>
    </w:p>
    <w:p>
      <w:pPr>
        <w:spacing w:after="0" w:line="480" w:lineRule="auto"/>
        <w:jc w:val="both"/>
        <w:sectPr>
          <w:pgSz w:w="11910" w:h="16840"/>
          <w:pgMar w:header="0" w:footer="1003" w:top="1340" w:bottom="1200" w:left="1200" w:right="1160"/>
        </w:sectPr>
      </w:pPr>
    </w:p>
    <w:p>
      <w:pPr>
        <w:pStyle w:val="BodyText"/>
        <w:spacing w:line="482" w:lineRule="auto" w:before="73"/>
        <w:ind w:left="240" w:right="271"/>
        <w:jc w:val="both"/>
      </w:pPr>
      <w:r>
        <w:rPr/>
        <w:t>and inaccessible areas to the nearest PHCs in varying amount. Figure 4.10 drew a distinction to</w:t>
      </w:r>
      <w:r>
        <w:rPr>
          <w:spacing w:val="-1"/>
        </w:rPr>
        <w:t> </w:t>
      </w:r>
      <w:r>
        <w:rPr/>
        <w:t>ascertain</w:t>
      </w:r>
      <w:r>
        <w:rPr>
          <w:spacing w:val="-1"/>
        </w:rPr>
        <w:t> </w:t>
      </w:r>
      <w:r>
        <w:rPr/>
        <w:t>the</w:t>
      </w:r>
      <w:r>
        <w:rPr>
          <w:spacing w:val="-2"/>
        </w:rPr>
        <w:t> </w:t>
      </w:r>
      <w:r>
        <w:rPr/>
        <w:t>level</w:t>
      </w:r>
      <w:r>
        <w:rPr>
          <w:spacing w:val="-1"/>
        </w:rPr>
        <w:t> </w:t>
      </w:r>
      <w:r>
        <w:rPr/>
        <w:t>of</w:t>
      </w:r>
      <w:r>
        <w:rPr>
          <w:spacing w:val="-2"/>
        </w:rPr>
        <w:t> </w:t>
      </w:r>
      <w:r>
        <w:rPr/>
        <w:t>difference in</w:t>
      </w:r>
      <w:r>
        <w:rPr>
          <w:spacing w:val="-1"/>
        </w:rPr>
        <w:t> </w:t>
      </w:r>
      <w:r>
        <w:rPr/>
        <w:t>the</w:t>
      </w:r>
      <w:r>
        <w:rPr>
          <w:spacing w:val="-1"/>
        </w:rPr>
        <w:t> </w:t>
      </w:r>
      <w:r>
        <w:rPr/>
        <w:t>results</w:t>
      </w:r>
      <w:r>
        <w:rPr>
          <w:spacing w:val="-1"/>
        </w:rPr>
        <w:t> </w:t>
      </w:r>
      <w:r>
        <w:rPr/>
        <w:t>of</w:t>
      </w:r>
      <w:r>
        <w:rPr>
          <w:spacing w:val="-2"/>
        </w:rPr>
        <w:t> </w:t>
      </w:r>
      <w:r>
        <w:rPr/>
        <w:t>both the</w:t>
      </w:r>
      <w:r>
        <w:rPr>
          <w:spacing w:val="-3"/>
        </w:rPr>
        <w:t> </w:t>
      </w:r>
      <w:r>
        <w:rPr/>
        <w:t>linear</w:t>
      </w:r>
      <w:r>
        <w:rPr>
          <w:spacing w:val="-2"/>
        </w:rPr>
        <w:t> </w:t>
      </w:r>
      <w:r>
        <w:rPr/>
        <w:t>and</w:t>
      </w:r>
      <w:r>
        <w:rPr>
          <w:spacing w:val="-1"/>
        </w:rPr>
        <w:t> </w:t>
      </w:r>
      <w:r>
        <w:rPr/>
        <w:t>the</w:t>
      </w:r>
      <w:r>
        <w:rPr>
          <w:spacing w:val="-2"/>
        </w:rPr>
        <w:t> </w:t>
      </w:r>
      <w:r>
        <w:rPr/>
        <w:t>network</w:t>
      </w:r>
      <w:r>
        <w:rPr>
          <w:spacing w:val="-2"/>
        </w:rPr>
        <w:t> </w:t>
      </w:r>
      <w:r>
        <w:rPr/>
        <w:t>analysis by measuring the identified underserved areas in both methods.</w:t>
      </w:r>
    </w:p>
    <w:p>
      <w:pPr>
        <w:pStyle w:val="BodyText"/>
        <w:spacing w:before="2"/>
        <w:rPr>
          <w:sz w:val="15"/>
        </w:rPr>
      </w:pPr>
      <w:r>
        <w:rPr/>
        <mc:AlternateContent>
          <mc:Choice Requires="wps">
            <w:drawing>
              <wp:anchor distT="0" distB="0" distL="0" distR="0" allowOverlap="1" layoutInCell="1" locked="0" behindDoc="1" simplePos="0" relativeHeight="487598080">
                <wp:simplePos x="0" y="0"/>
                <wp:positionH relativeFrom="page">
                  <wp:posOffset>1816607</wp:posOffset>
                </wp:positionH>
                <wp:positionV relativeFrom="paragraph">
                  <wp:posOffset>126292</wp:posOffset>
                </wp:positionV>
                <wp:extent cx="3921760" cy="5524500"/>
                <wp:effectExtent l="0" t="0" r="0" b="0"/>
                <wp:wrapTopAndBottom/>
                <wp:docPr id="57" name="Group 57" descr="C:\Users\User\3rd semester\submissions\Internal Presentations\Analysis\Journal\New folder\phc comparison.jpg"/>
                <wp:cNvGraphicFramePr>
                  <a:graphicFrameLocks/>
                </wp:cNvGraphicFramePr>
                <a:graphic>
                  <a:graphicData uri="http://schemas.microsoft.com/office/word/2010/wordprocessingGroup">
                    <wpg:wgp>
                      <wpg:cNvPr id="57" name="Group 57" descr="C:\Users\User\3rd semester\submissions\Internal Presentations\Analysis\Journal\New folder\phc comparison.jpg"/>
                      <wpg:cNvGrpSpPr/>
                      <wpg:grpSpPr>
                        <a:xfrm>
                          <a:off x="0" y="0"/>
                          <a:ext cx="3921760" cy="5524500"/>
                          <a:chExt cx="3921760" cy="5524500"/>
                        </a:xfrm>
                      </wpg:grpSpPr>
                      <pic:pic>
                        <pic:nvPicPr>
                          <pic:cNvPr id="58" name="Image 58" descr="C:\Users\User\3rd semester\submissions\Internal Presentations\Analysis\Journal\New folder\phc comparison.jpg"/>
                          <pic:cNvPicPr/>
                        </pic:nvPicPr>
                        <pic:blipFill>
                          <a:blip r:embed="rId23" cstate="print"/>
                          <a:stretch>
                            <a:fillRect/>
                          </a:stretch>
                        </pic:blipFill>
                        <pic:spPr>
                          <a:xfrm>
                            <a:off x="19811" y="19811"/>
                            <a:ext cx="3881628" cy="5484876"/>
                          </a:xfrm>
                          <a:prstGeom prst="rect">
                            <a:avLst/>
                          </a:prstGeom>
                        </pic:spPr>
                      </pic:pic>
                      <wps:wsp>
                        <wps:cNvPr id="59" name="Graphic 59"/>
                        <wps:cNvSpPr/>
                        <wps:spPr>
                          <a:xfrm>
                            <a:off x="9905" y="9905"/>
                            <a:ext cx="3901440" cy="5504815"/>
                          </a:xfrm>
                          <a:custGeom>
                            <a:avLst/>
                            <a:gdLst/>
                            <a:ahLst/>
                            <a:cxnLst/>
                            <a:rect l="l" t="t" r="r" b="b"/>
                            <a:pathLst>
                              <a:path w="3901440" h="5504815">
                                <a:moveTo>
                                  <a:pt x="0" y="5504688"/>
                                </a:moveTo>
                                <a:lnTo>
                                  <a:pt x="3901440" y="5504688"/>
                                </a:lnTo>
                                <a:lnTo>
                                  <a:pt x="3901440" y="0"/>
                                </a:lnTo>
                                <a:lnTo>
                                  <a:pt x="0" y="0"/>
                                </a:lnTo>
                                <a:lnTo>
                                  <a:pt x="0" y="5504688"/>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3.039993pt;margin-top:9.944267pt;width:308.8pt;height:435pt;mso-position-horizontal-relative:page;mso-position-vertical-relative:paragraph;z-index:-15718400;mso-wrap-distance-left:0;mso-wrap-distance-right:0" id="docshapegroup57" coordorigin="2861,199" coordsize="6176,8700" alt="C:\Users\User\3rd semester\submissions\Internal Presentations\Analysis\Journal\New folder\phc comparison.jpg">
                <v:shape style="position:absolute;left:2892;top:230;width:6113;height:8638" type="#_x0000_t75" id="docshape58" alt="C:\Users\User\3rd semester\submissions\Internal Presentations\Analysis\Journal\New folder\phc comparison.jpg" stroked="false">
                  <v:imagedata r:id="rId23" o:title=""/>
                </v:shape>
                <v:rect style="position:absolute;left:2876;top:214;width:6144;height:8669" id="docshape59" filled="false" stroked="true" strokeweight="1.56pt" strokecolor="#000000">
                  <v:stroke dashstyle="solid"/>
                </v:rect>
                <w10:wrap type="topAndBottom"/>
              </v:group>
            </w:pict>
          </mc:Fallback>
        </mc:AlternateContent>
      </w:r>
    </w:p>
    <w:p>
      <w:pPr>
        <w:pStyle w:val="BodyText"/>
        <w:ind w:left="240" w:right="874"/>
      </w:pPr>
      <w:r>
        <w:rPr/>
        <w:t>Figure</w:t>
      </w:r>
      <w:r>
        <w:rPr>
          <w:spacing w:val="-6"/>
        </w:rPr>
        <w:t> </w:t>
      </w:r>
      <w:r>
        <w:rPr/>
        <w:t>4.10:</w:t>
      </w:r>
      <w:r>
        <w:rPr>
          <w:spacing w:val="-4"/>
        </w:rPr>
        <w:t> </w:t>
      </w:r>
      <w:r>
        <w:rPr/>
        <w:t>Comparison</w:t>
      </w:r>
      <w:r>
        <w:rPr>
          <w:spacing w:val="-2"/>
        </w:rPr>
        <w:t> </w:t>
      </w:r>
      <w:r>
        <w:rPr/>
        <w:t>between</w:t>
      </w:r>
      <w:r>
        <w:rPr>
          <w:spacing w:val="-4"/>
        </w:rPr>
        <w:t> </w:t>
      </w:r>
      <w:r>
        <w:rPr/>
        <w:t>the</w:t>
      </w:r>
      <w:r>
        <w:rPr>
          <w:spacing w:val="-4"/>
        </w:rPr>
        <w:t> </w:t>
      </w:r>
      <w:r>
        <w:rPr/>
        <w:t>Euclidean</w:t>
      </w:r>
      <w:r>
        <w:rPr>
          <w:spacing w:val="-2"/>
        </w:rPr>
        <w:t> </w:t>
      </w:r>
      <w:r>
        <w:rPr/>
        <w:t>and</w:t>
      </w:r>
      <w:r>
        <w:rPr>
          <w:spacing w:val="-4"/>
        </w:rPr>
        <w:t> </w:t>
      </w:r>
      <w:r>
        <w:rPr/>
        <w:t>Road</w:t>
      </w:r>
      <w:r>
        <w:rPr>
          <w:spacing w:val="-4"/>
        </w:rPr>
        <w:t> </w:t>
      </w:r>
      <w:r>
        <w:rPr/>
        <w:t>Network</w:t>
      </w:r>
      <w:r>
        <w:rPr>
          <w:spacing w:val="-1"/>
        </w:rPr>
        <w:t> </w:t>
      </w:r>
      <w:r>
        <w:rPr/>
        <w:t>Analysis</w:t>
      </w:r>
      <w:r>
        <w:rPr>
          <w:spacing w:val="-3"/>
        </w:rPr>
        <w:t> </w:t>
      </w:r>
      <w:r>
        <w:rPr/>
        <w:t>for</w:t>
      </w:r>
      <w:r>
        <w:rPr>
          <w:spacing w:val="-6"/>
        </w:rPr>
        <w:t> </w:t>
      </w:r>
      <w:r>
        <w:rPr/>
        <w:t>the Accessibility of PHCs within Zuru L.G.A</w:t>
      </w:r>
    </w:p>
    <w:p>
      <w:pPr>
        <w:pStyle w:val="BodyText"/>
        <w:ind w:left="240"/>
      </w:pPr>
      <w:r>
        <w:rPr/>
        <w:t>Source:</w:t>
      </w:r>
      <w:r>
        <w:rPr>
          <w:spacing w:val="-2"/>
        </w:rPr>
        <w:t> </w:t>
      </w:r>
      <w:r>
        <w:rPr/>
        <w:t>Researcher’s</w:t>
      </w:r>
      <w:r>
        <w:rPr>
          <w:spacing w:val="1"/>
        </w:rPr>
        <w:t> </w:t>
      </w:r>
      <w:r>
        <w:rPr/>
        <w:t>Field</w:t>
      </w:r>
      <w:r>
        <w:rPr>
          <w:spacing w:val="-2"/>
        </w:rPr>
        <w:t> </w:t>
      </w:r>
      <w:r>
        <w:rPr/>
        <w:t>Work,</w:t>
      </w:r>
      <w:r>
        <w:rPr>
          <w:spacing w:val="-2"/>
        </w:rPr>
        <w:t> </w:t>
      </w:r>
      <w:r>
        <w:rPr>
          <w:spacing w:val="-4"/>
        </w:rPr>
        <w:t>2020</w:t>
      </w:r>
    </w:p>
    <w:p>
      <w:pPr>
        <w:pStyle w:val="BodyText"/>
        <w:rPr>
          <w:sz w:val="26"/>
        </w:rPr>
      </w:pPr>
    </w:p>
    <w:p>
      <w:pPr>
        <w:pStyle w:val="BodyText"/>
        <w:spacing w:line="480" w:lineRule="auto" w:before="173"/>
        <w:ind w:left="240" w:right="273"/>
        <w:jc w:val="both"/>
      </w:pPr>
      <w:r>
        <w:rPr/>
        <w:t>Figure 4.10 has verified that both methods have identified underserved households or areas within Tadurga and Bedi ward. The linear (Euclidean) method revealed 10.64km</w:t>
      </w:r>
      <w:r>
        <w:rPr>
          <w:vertAlign w:val="superscript"/>
        </w:rPr>
        <w:t>2</w:t>
      </w:r>
      <w:r>
        <w:rPr>
          <w:vertAlign w:val="baseline"/>
        </w:rPr>
        <w:t> within</w:t>
      </w:r>
      <w:r>
        <w:rPr>
          <w:spacing w:val="40"/>
          <w:vertAlign w:val="baseline"/>
        </w:rPr>
        <w:t> </w:t>
      </w:r>
      <w:r>
        <w:rPr>
          <w:vertAlign w:val="baseline"/>
        </w:rPr>
        <w:t>Bedi ward and 42.228km</w:t>
      </w:r>
      <w:r>
        <w:rPr>
          <w:vertAlign w:val="superscript"/>
        </w:rPr>
        <w:t>2</w:t>
      </w:r>
      <w:r>
        <w:rPr>
          <w:vertAlign w:val="baseline"/>
        </w:rPr>
        <w:t> within Tardurga ward. On the contrary, the Network analysis revealed</w:t>
      </w:r>
      <w:r>
        <w:rPr>
          <w:spacing w:val="36"/>
          <w:vertAlign w:val="baseline"/>
        </w:rPr>
        <w:t> </w:t>
      </w:r>
      <w:r>
        <w:rPr>
          <w:vertAlign w:val="baseline"/>
        </w:rPr>
        <w:t>that</w:t>
      </w:r>
      <w:r>
        <w:rPr>
          <w:spacing w:val="37"/>
          <w:vertAlign w:val="baseline"/>
        </w:rPr>
        <w:t> </w:t>
      </w:r>
      <w:r>
        <w:rPr>
          <w:vertAlign w:val="baseline"/>
        </w:rPr>
        <w:t>the</w:t>
      </w:r>
      <w:r>
        <w:rPr>
          <w:spacing w:val="36"/>
          <w:vertAlign w:val="baseline"/>
        </w:rPr>
        <w:t> </w:t>
      </w:r>
      <w:r>
        <w:rPr>
          <w:vertAlign w:val="baseline"/>
        </w:rPr>
        <w:t>land</w:t>
      </w:r>
      <w:r>
        <w:rPr>
          <w:spacing w:val="35"/>
          <w:vertAlign w:val="baseline"/>
        </w:rPr>
        <w:t> </w:t>
      </w:r>
      <w:r>
        <w:rPr>
          <w:vertAlign w:val="baseline"/>
        </w:rPr>
        <w:t>area</w:t>
      </w:r>
      <w:r>
        <w:rPr>
          <w:spacing w:val="36"/>
          <w:vertAlign w:val="baseline"/>
        </w:rPr>
        <w:t> </w:t>
      </w:r>
      <w:r>
        <w:rPr>
          <w:vertAlign w:val="baseline"/>
        </w:rPr>
        <w:t>of</w:t>
      </w:r>
      <w:r>
        <w:rPr>
          <w:spacing w:val="36"/>
          <w:vertAlign w:val="baseline"/>
        </w:rPr>
        <w:t> </w:t>
      </w:r>
      <w:r>
        <w:rPr>
          <w:vertAlign w:val="baseline"/>
        </w:rPr>
        <w:t>the</w:t>
      </w:r>
      <w:r>
        <w:rPr>
          <w:spacing w:val="35"/>
          <w:vertAlign w:val="baseline"/>
        </w:rPr>
        <w:t> </w:t>
      </w:r>
      <w:r>
        <w:rPr>
          <w:vertAlign w:val="baseline"/>
        </w:rPr>
        <w:t>underserved</w:t>
      </w:r>
      <w:r>
        <w:rPr>
          <w:spacing w:val="39"/>
          <w:vertAlign w:val="baseline"/>
        </w:rPr>
        <w:t> </w:t>
      </w:r>
      <w:r>
        <w:rPr>
          <w:vertAlign w:val="baseline"/>
        </w:rPr>
        <w:t>region</w:t>
      </w:r>
      <w:r>
        <w:rPr>
          <w:spacing w:val="37"/>
          <w:vertAlign w:val="baseline"/>
        </w:rPr>
        <w:t> </w:t>
      </w:r>
      <w:r>
        <w:rPr>
          <w:vertAlign w:val="baseline"/>
        </w:rPr>
        <w:t>is</w:t>
      </w:r>
      <w:r>
        <w:rPr>
          <w:spacing w:val="42"/>
          <w:vertAlign w:val="baseline"/>
        </w:rPr>
        <w:t> </w:t>
      </w:r>
      <w:r>
        <w:rPr>
          <w:vertAlign w:val="baseline"/>
        </w:rPr>
        <w:t>71.632km</w:t>
      </w:r>
      <w:r>
        <w:rPr>
          <w:vertAlign w:val="superscript"/>
        </w:rPr>
        <w:t>2</w:t>
      </w:r>
      <w:r>
        <w:rPr>
          <w:spacing w:val="37"/>
          <w:vertAlign w:val="baseline"/>
        </w:rPr>
        <w:t> </w:t>
      </w:r>
      <w:r>
        <w:rPr>
          <w:vertAlign w:val="baseline"/>
        </w:rPr>
        <w:t>within</w:t>
      </w:r>
      <w:r>
        <w:rPr>
          <w:spacing w:val="37"/>
          <w:vertAlign w:val="baseline"/>
        </w:rPr>
        <w:t> </w:t>
      </w:r>
      <w:r>
        <w:rPr>
          <w:vertAlign w:val="baseline"/>
        </w:rPr>
        <w:t>Bedi</w:t>
      </w:r>
      <w:r>
        <w:rPr>
          <w:spacing w:val="37"/>
          <w:vertAlign w:val="baseline"/>
        </w:rPr>
        <w:t> </w:t>
      </w:r>
      <w:r>
        <w:rPr>
          <w:vertAlign w:val="baseline"/>
        </w:rPr>
        <w:t>ward</w:t>
      </w:r>
      <w:r>
        <w:rPr>
          <w:spacing w:val="35"/>
          <w:vertAlign w:val="baseline"/>
        </w:rPr>
        <w:t> </w:t>
      </w:r>
      <w:r>
        <w:rPr>
          <w:spacing w:val="-5"/>
          <w:vertAlign w:val="baseline"/>
        </w:rPr>
        <w:t>and</w:t>
      </w:r>
    </w:p>
    <w:p>
      <w:pPr>
        <w:spacing w:after="0" w:line="480" w:lineRule="auto"/>
        <w:jc w:val="both"/>
        <w:sectPr>
          <w:pgSz w:w="11910" w:h="16840"/>
          <w:pgMar w:header="0" w:footer="1003" w:top="1340" w:bottom="1200" w:left="1200" w:right="1160"/>
        </w:sectPr>
      </w:pPr>
    </w:p>
    <w:p>
      <w:pPr>
        <w:pStyle w:val="BodyText"/>
        <w:spacing w:line="480" w:lineRule="auto" w:before="93"/>
        <w:ind w:left="240" w:right="273"/>
        <w:jc w:val="both"/>
      </w:pPr>
      <w:r>
        <w:rPr/>
        <w:t>78.466km</w:t>
      </w:r>
      <w:r>
        <w:rPr>
          <w:vertAlign w:val="superscript"/>
        </w:rPr>
        <w:t>2</w:t>
      </w:r>
      <w:r>
        <w:rPr>
          <w:vertAlign w:val="baseline"/>
        </w:rPr>
        <w:t> within Tardurga ward. The resulting difference is 60.992km</w:t>
      </w:r>
      <w:r>
        <w:rPr>
          <w:vertAlign w:val="superscript"/>
        </w:rPr>
        <w:t>2</w:t>
      </w:r>
      <w:r>
        <w:rPr>
          <w:vertAlign w:val="baseline"/>
        </w:rPr>
        <w:t> and 36.238km</w:t>
      </w:r>
      <w:r>
        <w:rPr>
          <w:vertAlign w:val="superscript"/>
        </w:rPr>
        <w:t>2</w:t>
      </w:r>
      <w:r>
        <w:rPr>
          <w:vertAlign w:val="baseline"/>
        </w:rPr>
        <w:t> in Bedi and Tardurga ward respectively. This implied that, even though the service radius of a PHC is 5km, some household within that radius actually travelled more than 5km to the nearest PHC.</w:t>
      </w:r>
    </w:p>
    <w:p>
      <w:pPr>
        <w:pStyle w:val="Heading1"/>
        <w:numPr>
          <w:ilvl w:val="2"/>
          <w:numId w:val="7"/>
        </w:numPr>
        <w:tabs>
          <w:tab w:pos="959" w:val="left" w:leader="none"/>
        </w:tabs>
        <w:spacing w:line="240" w:lineRule="auto" w:before="205" w:after="0"/>
        <w:ind w:left="959" w:right="0" w:hanging="719"/>
        <w:jc w:val="both"/>
      </w:pPr>
      <w:r>
        <w:rPr/>
        <w:t>Accessibility</w:t>
      </w:r>
      <w:r>
        <w:rPr>
          <w:spacing w:val="-2"/>
        </w:rPr>
        <w:t> </w:t>
      </w:r>
      <w:r>
        <w:rPr/>
        <w:t>to</w:t>
      </w:r>
      <w:r>
        <w:rPr>
          <w:spacing w:val="-1"/>
        </w:rPr>
        <w:t> </w:t>
      </w:r>
      <w:r>
        <w:rPr/>
        <w:t>public</w:t>
      </w:r>
      <w:r>
        <w:rPr>
          <w:spacing w:val="-3"/>
        </w:rPr>
        <w:t> </w:t>
      </w:r>
      <w:r>
        <w:rPr/>
        <w:t>primary</w:t>
      </w:r>
      <w:r>
        <w:rPr>
          <w:spacing w:val="-2"/>
        </w:rPr>
        <w:t> </w:t>
      </w:r>
      <w:r>
        <w:rPr/>
        <w:t>schools</w:t>
      </w:r>
      <w:r>
        <w:rPr>
          <w:spacing w:val="-2"/>
        </w:rPr>
        <w:t> </w:t>
      </w:r>
      <w:r>
        <w:rPr/>
        <w:t>within</w:t>
      </w:r>
      <w:r>
        <w:rPr>
          <w:spacing w:val="-1"/>
        </w:rPr>
        <w:t> </w:t>
      </w:r>
      <w:r>
        <w:rPr/>
        <w:t>Zuru</w:t>
      </w:r>
      <w:r>
        <w:rPr>
          <w:spacing w:val="-1"/>
        </w:rPr>
        <w:t> </w:t>
      </w:r>
      <w:r>
        <w:rPr>
          <w:spacing w:val="-2"/>
        </w:rPr>
        <w:t>L.G.A</w:t>
      </w:r>
    </w:p>
    <w:p>
      <w:pPr>
        <w:pStyle w:val="BodyText"/>
        <w:spacing w:before="6"/>
        <w:rPr>
          <w:b/>
          <w:sz w:val="23"/>
        </w:rPr>
      </w:pPr>
    </w:p>
    <w:p>
      <w:pPr>
        <w:pStyle w:val="BodyText"/>
        <w:spacing w:line="480" w:lineRule="auto" w:before="1"/>
        <w:ind w:left="240" w:right="273"/>
        <w:jc w:val="both"/>
      </w:pPr>
      <w:r>
        <w:rPr/>
        <w:t>The Euclidean method determines the households that are adequately serviced by the public primary schools (PPSs) by establishing service radii around the PPSs. The examined service radius measured in kilometres (km) as shown in Figure 4.11 represents straight line distances to each PPSs. These distances include, 0.8km (800 metres) by Clearance Perry, 1.5km by Strayer and Engelhard (Noreen, 2010) and the 3km to 4km by the UBE standard action plan (Opoh </w:t>
      </w:r>
      <w:r>
        <w:rPr>
          <w:i/>
        </w:rPr>
        <w:t>et al</w:t>
      </w:r>
      <w:r>
        <w:rPr/>
        <w:t>. 2014; and Egbosi and Offor. 2016). Figure 4.11 showed the result of the Euclidean Analysis using different colours to represent various distances measured in kilometres for the aforementioned accessibility or space standards. These colours delineated catchment areas and the effect of distance decay for each public primary school. This also meant that, households within 0.8km radius are closest to the PPSs compared to households within the 1.5km radius. Also the households within 1.5km radius are closer to PPSs than the households within 3km or 4km radius. It suffices to say that the Figure 4.11 showed which settlement or household gets to a particular public primary school faster in terms of linear </w:t>
      </w:r>
      <w:r>
        <w:rPr>
          <w:spacing w:val="-2"/>
        </w:rPr>
        <w:t>distance.</w:t>
      </w:r>
    </w:p>
    <w:p>
      <w:pPr>
        <w:pStyle w:val="BodyText"/>
        <w:spacing w:line="480" w:lineRule="auto" w:before="201"/>
        <w:ind w:left="240" w:right="274"/>
        <w:jc w:val="both"/>
      </w:pPr>
      <w:r>
        <w:rPr/>
        <w:t>Figure 4.11 showed how PPSs are spatially related to one another. Some PPSs have overlapping buffers within the 0.8km service radius. For instance, the NYSC primary school and Dantudu Gomo MPS, Manga MPS and Semkene PPS have overlapping service radius of 0.8km respectively. Others are having overlapping service radius or catchment area at 1.5km they include; Kobol PPS, Domo B MPS, Bedi PPS and Zutu PPS. Sembelubelu PPS and Kwendo PPS also have overlapping catchment areas at 3km as shown in Figure 4.11.</w:t>
      </w:r>
    </w:p>
    <w:p>
      <w:pPr>
        <w:spacing w:after="0" w:line="480" w:lineRule="auto"/>
        <w:jc w:val="both"/>
        <w:sectPr>
          <w:pgSz w:w="11910" w:h="16840"/>
          <w:pgMar w:header="0" w:footer="1003" w:top="1320" w:bottom="1200" w:left="1200" w:right="1160"/>
        </w:sectPr>
      </w:pPr>
    </w:p>
    <w:p>
      <w:pPr>
        <w:pStyle w:val="BodyText"/>
        <w:ind w:left="1660"/>
        <w:rPr>
          <w:sz w:val="20"/>
        </w:rPr>
      </w:pPr>
      <w:r>
        <w:rPr>
          <w:sz w:val="20"/>
        </w:rPr>
        <mc:AlternateContent>
          <mc:Choice Requires="wps">
            <w:drawing>
              <wp:inline distT="0" distB="0" distL="0" distR="0">
                <wp:extent cx="3931920" cy="5539740"/>
                <wp:effectExtent l="9525" t="0" r="0" b="3810"/>
                <wp:docPr id="60" name="Group 60"/>
                <wp:cNvGraphicFramePr>
                  <a:graphicFrameLocks/>
                </wp:cNvGraphicFramePr>
                <a:graphic>
                  <a:graphicData uri="http://schemas.microsoft.com/office/word/2010/wordprocessingGroup">
                    <wpg:wgp>
                      <wpg:cNvPr id="60" name="Group 60"/>
                      <wpg:cNvGrpSpPr/>
                      <wpg:grpSpPr>
                        <a:xfrm>
                          <a:off x="0" y="0"/>
                          <a:ext cx="3931920" cy="5539740"/>
                          <a:chExt cx="3931920" cy="5539740"/>
                        </a:xfrm>
                      </wpg:grpSpPr>
                      <pic:pic>
                        <pic:nvPicPr>
                          <pic:cNvPr id="61" name="Image 61"/>
                          <pic:cNvPicPr/>
                        </pic:nvPicPr>
                        <pic:blipFill>
                          <a:blip r:embed="rId24" cstate="print"/>
                          <a:stretch>
                            <a:fillRect/>
                          </a:stretch>
                        </pic:blipFill>
                        <pic:spPr>
                          <a:xfrm>
                            <a:off x="19811" y="19811"/>
                            <a:ext cx="3892296" cy="5473481"/>
                          </a:xfrm>
                          <a:prstGeom prst="rect">
                            <a:avLst/>
                          </a:prstGeom>
                        </pic:spPr>
                      </pic:pic>
                      <wps:wsp>
                        <wps:cNvPr id="62" name="Graphic 62"/>
                        <wps:cNvSpPr/>
                        <wps:spPr>
                          <a:xfrm>
                            <a:off x="9905" y="9905"/>
                            <a:ext cx="3912235" cy="5520055"/>
                          </a:xfrm>
                          <a:custGeom>
                            <a:avLst/>
                            <a:gdLst/>
                            <a:ahLst/>
                            <a:cxnLst/>
                            <a:rect l="l" t="t" r="r" b="b"/>
                            <a:pathLst>
                              <a:path w="3912235" h="5520055">
                                <a:moveTo>
                                  <a:pt x="0" y="5519928"/>
                                </a:moveTo>
                                <a:lnTo>
                                  <a:pt x="3912108" y="5519928"/>
                                </a:lnTo>
                                <a:lnTo>
                                  <a:pt x="3912108" y="0"/>
                                </a:lnTo>
                                <a:lnTo>
                                  <a:pt x="0" y="0"/>
                                </a:lnTo>
                                <a:lnTo>
                                  <a:pt x="0" y="5519928"/>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09.6pt;height:436.2pt;mso-position-horizontal-relative:char;mso-position-vertical-relative:line" id="docshapegroup60" coordorigin="0,0" coordsize="6192,8724">
                <v:shape style="position:absolute;left:31;top:31;width:6130;height:8620" type="#_x0000_t75" id="docshape61" stroked="false">
                  <v:imagedata r:id="rId24" o:title=""/>
                </v:shape>
                <v:rect style="position:absolute;left:15;top:15;width:6161;height:8693" id="docshape62" filled="false" stroked="true" strokeweight="1.56pt" strokecolor="#000000">
                  <v:stroke dashstyle="solid"/>
                </v:rect>
              </v:group>
            </w:pict>
          </mc:Fallback>
        </mc:AlternateContent>
      </w:r>
      <w:r>
        <w:rPr>
          <w:sz w:val="20"/>
        </w:rPr>
      </w:r>
    </w:p>
    <w:p>
      <w:pPr>
        <w:pStyle w:val="BodyText"/>
        <w:spacing w:line="256" w:lineRule="exact"/>
        <w:ind w:left="831" w:right="868"/>
        <w:jc w:val="center"/>
      </w:pPr>
      <w:r>
        <w:rPr/>
        <w:t>Figure</w:t>
      </w:r>
      <w:r>
        <w:rPr>
          <w:spacing w:val="-3"/>
        </w:rPr>
        <w:t> </w:t>
      </w:r>
      <w:r>
        <w:rPr/>
        <w:t>4.11:</w:t>
      </w:r>
      <w:r>
        <w:rPr>
          <w:spacing w:val="-1"/>
        </w:rPr>
        <w:t> </w:t>
      </w:r>
      <w:r>
        <w:rPr/>
        <w:t>Catchment</w:t>
      </w:r>
      <w:r>
        <w:rPr>
          <w:spacing w:val="1"/>
        </w:rPr>
        <w:t> </w:t>
      </w:r>
      <w:r>
        <w:rPr/>
        <w:t>area</w:t>
      </w:r>
      <w:r>
        <w:rPr>
          <w:spacing w:val="-2"/>
        </w:rPr>
        <w:t> </w:t>
      </w:r>
      <w:r>
        <w:rPr/>
        <w:t>of</w:t>
      </w:r>
      <w:r>
        <w:rPr>
          <w:spacing w:val="-1"/>
        </w:rPr>
        <w:t> </w:t>
      </w:r>
      <w:r>
        <w:rPr/>
        <w:t>PPSs</w:t>
      </w:r>
      <w:r>
        <w:rPr>
          <w:spacing w:val="-1"/>
        </w:rPr>
        <w:t> </w:t>
      </w:r>
      <w:r>
        <w:rPr/>
        <w:t>within</w:t>
      </w:r>
      <w:r>
        <w:rPr>
          <w:spacing w:val="-1"/>
        </w:rPr>
        <w:t> </w:t>
      </w:r>
      <w:r>
        <w:rPr/>
        <w:t>Zuru</w:t>
      </w:r>
      <w:r>
        <w:rPr>
          <w:spacing w:val="3"/>
        </w:rPr>
        <w:t> </w:t>
      </w:r>
      <w:r>
        <w:rPr>
          <w:spacing w:val="-2"/>
        </w:rPr>
        <w:t>L.G.A</w:t>
      </w:r>
    </w:p>
    <w:p>
      <w:pPr>
        <w:pStyle w:val="BodyText"/>
        <w:ind w:left="2482" w:right="2517"/>
        <w:jc w:val="center"/>
      </w:pPr>
      <w:r>
        <w:rPr/>
        <w:t>Source:</w:t>
      </w:r>
      <w:r>
        <w:rPr>
          <w:spacing w:val="-2"/>
        </w:rPr>
        <w:t> </w:t>
      </w:r>
      <w:r>
        <w:rPr/>
        <w:t>Researcher’s</w:t>
      </w:r>
      <w:r>
        <w:rPr>
          <w:spacing w:val="1"/>
        </w:rPr>
        <w:t> </w:t>
      </w:r>
      <w:r>
        <w:rPr/>
        <w:t>Field</w:t>
      </w:r>
      <w:r>
        <w:rPr>
          <w:spacing w:val="-2"/>
        </w:rPr>
        <w:t> </w:t>
      </w:r>
      <w:r>
        <w:rPr/>
        <w:t>Work,</w:t>
      </w:r>
      <w:r>
        <w:rPr>
          <w:spacing w:val="-2"/>
        </w:rPr>
        <w:t> </w:t>
      </w:r>
      <w:r>
        <w:rPr>
          <w:spacing w:val="-4"/>
        </w:rPr>
        <w:t>2020</w:t>
      </w:r>
    </w:p>
    <w:p>
      <w:pPr>
        <w:pStyle w:val="BodyText"/>
        <w:rPr>
          <w:sz w:val="26"/>
        </w:rPr>
      </w:pPr>
    </w:p>
    <w:p>
      <w:pPr>
        <w:pStyle w:val="BodyText"/>
        <w:spacing w:line="480" w:lineRule="auto" w:before="176"/>
        <w:ind w:left="240" w:right="275"/>
        <w:jc w:val="both"/>
      </w:pPr>
      <w:r>
        <w:rPr/>
        <w:t>The result in Figure 4.11 implied that, where clusters are formed by overlapping catchment areas especially within 0.8km and 1.5km there are higher rate of accessibility to public primary school facilities. However, when a public primary school catchment area does not overlap with another public primary school within 3km and 4km radius, it means that the surrounding households have access to only a particular primary school. Such examples include, the Domo A PPS and Tadurga MPS as shown in Figure 4.11. The areas outside the buffer</w:t>
      </w:r>
      <w:r>
        <w:rPr>
          <w:spacing w:val="10"/>
        </w:rPr>
        <w:t> </w:t>
      </w:r>
      <w:r>
        <w:rPr/>
        <w:t>represent</w:t>
      </w:r>
      <w:r>
        <w:rPr>
          <w:spacing w:val="13"/>
        </w:rPr>
        <w:t> </w:t>
      </w:r>
      <w:r>
        <w:rPr/>
        <w:t>areas</w:t>
      </w:r>
      <w:r>
        <w:rPr>
          <w:spacing w:val="11"/>
        </w:rPr>
        <w:t> </w:t>
      </w:r>
      <w:r>
        <w:rPr/>
        <w:t>or</w:t>
      </w:r>
      <w:r>
        <w:rPr>
          <w:spacing w:val="14"/>
        </w:rPr>
        <w:t> </w:t>
      </w:r>
      <w:r>
        <w:rPr/>
        <w:t>households</w:t>
      </w:r>
      <w:r>
        <w:rPr>
          <w:spacing w:val="12"/>
        </w:rPr>
        <w:t> </w:t>
      </w:r>
      <w:r>
        <w:rPr/>
        <w:t>that</w:t>
      </w:r>
      <w:r>
        <w:rPr>
          <w:spacing w:val="10"/>
        </w:rPr>
        <w:t> </w:t>
      </w:r>
      <w:r>
        <w:rPr/>
        <w:t>are</w:t>
      </w:r>
      <w:r>
        <w:rPr>
          <w:spacing w:val="9"/>
        </w:rPr>
        <w:t> </w:t>
      </w:r>
      <w:r>
        <w:rPr/>
        <w:t>not</w:t>
      </w:r>
      <w:r>
        <w:rPr>
          <w:spacing w:val="11"/>
        </w:rPr>
        <w:t> </w:t>
      </w:r>
      <w:r>
        <w:rPr/>
        <w:t>serviced</w:t>
      </w:r>
      <w:r>
        <w:rPr>
          <w:spacing w:val="10"/>
        </w:rPr>
        <w:t> </w:t>
      </w:r>
      <w:r>
        <w:rPr/>
        <w:t>by</w:t>
      </w:r>
      <w:r>
        <w:rPr>
          <w:spacing w:val="6"/>
        </w:rPr>
        <w:t> </w:t>
      </w:r>
      <w:r>
        <w:rPr/>
        <w:t>PPSs.</w:t>
      </w:r>
      <w:r>
        <w:rPr>
          <w:spacing w:val="15"/>
        </w:rPr>
        <w:t> </w:t>
      </w:r>
      <w:r>
        <w:rPr/>
        <w:t>Figure</w:t>
      </w:r>
      <w:r>
        <w:rPr>
          <w:spacing w:val="12"/>
        </w:rPr>
        <w:t> </w:t>
      </w:r>
      <w:r>
        <w:rPr/>
        <w:t>4.11</w:t>
      </w:r>
      <w:r>
        <w:rPr>
          <w:spacing w:val="10"/>
        </w:rPr>
        <w:t> </w:t>
      </w:r>
      <w:r>
        <w:rPr/>
        <w:t>revealed</w:t>
      </w:r>
      <w:r>
        <w:rPr>
          <w:spacing w:val="11"/>
        </w:rPr>
        <w:t> </w:t>
      </w:r>
      <w:r>
        <w:rPr>
          <w:spacing w:val="-4"/>
        </w:rPr>
        <w:t>that</w:t>
      </w:r>
    </w:p>
    <w:p>
      <w:pPr>
        <w:spacing w:after="0" w:line="480" w:lineRule="auto"/>
        <w:jc w:val="both"/>
        <w:sectPr>
          <w:pgSz w:w="11910" w:h="16840"/>
          <w:pgMar w:header="0" w:footer="1003" w:top="1420" w:bottom="1200" w:left="1200" w:right="1160"/>
        </w:sectPr>
      </w:pPr>
    </w:p>
    <w:p>
      <w:pPr>
        <w:pStyle w:val="BodyText"/>
        <w:spacing w:line="482" w:lineRule="auto" w:before="73"/>
        <w:ind w:left="240" w:right="278"/>
        <w:jc w:val="both"/>
      </w:pPr>
      <w:r>
        <w:rPr/>
        <w:t>some part of Tadurga ward does not have adequate access to a public primary school and people living in that area must travel more than 4km before accessing the nearest PPSs.</w:t>
      </w:r>
    </w:p>
    <w:p>
      <w:pPr>
        <w:pStyle w:val="BodyText"/>
        <w:spacing w:line="480" w:lineRule="auto" w:before="194"/>
        <w:ind w:left="240" w:right="273"/>
        <w:jc w:val="both"/>
      </w:pPr>
      <w:r>
        <w:rPr/>
        <w:t>However physical barriers like mountains and water bodies (natural drainages) were not considered in the measuring straight line distances. This may lead to either underestimation</w:t>
      </w:r>
      <w:r>
        <w:rPr>
          <w:spacing w:val="40"/>
        </w:rPr>
        <w:t> </w:t>
      </w:r>
      <w:r>
        <w:rPr/>
        <w:t>or overestimation of the actual travelled distance (dos Anjos - Luis and Cabral, 2016). These inadequacies promoted the use of road network distances as a method for measuring accessibility to public primary schools (PPSs) in this study. The result shown in Figure 4.12 was an extract from the actual existing road network dataset of the study area as shown in Figure 4.8.</w:t>
      </w:r>
    </w:p>
    <w:p>
      <w:pPr>
        <w:pStyle w:val="BodyText"/>
        <w:spacing w:line="480" w:lineRule="auto" w:before="201"/>
        <w:ind w:left="240" w:right="272"/>
        <w:jc w:val="both"/>
      </w:pPr>
      <w:r>
        <w:rPr/>
        <w:t>The result of the analysis illustrated in Figure 4.12 showed the catchment area of PPSs using the existing road data. The catchment areas were established using 4km as established by the UBE standard action plan (Opoh </w:t>
      </w:r>
      <w:r>
        <w:rPr>
          <w:i/>
        </w:rPr>
        <w:t>et al</w:t>
      </w:r>
      <w:r>
        <w:rPr/>
        <w:t>. 2014; and Egbosi and Offor. 2016) as the maximum space standard for the allocation of public primary school. As estimated by Phiri and</w:t>
      </w:r>
      <w:r>
        <w:rPr>
          <w:spacing w:val="40"/>
        </w:rPr>
        <w:t> </w:t>
      </w:r>
      <w:r>
        <w:rPr/>
        <w:t>Munthali (2019) pedestrian travels 12 minutes for every 1km. Thus, the empirical value used as shortest travel time during this study is two thousand eight hundred and eighty seconds (2880s). Road that extended beyond 4km were erased and as such do not form catchment areas for PPSs. Therefore, any area with an erased road network line in Figure 4.12 does not have</w:t>
      </w:r>
      <w:r>
        <w:rPr>
          <w:spacing w:val="-1"/>
        </w:rPr>
        <w:t> </w:t>
      </w:r>
      <w:r>
        <w:rPr/>
        <w:t>adequate</w:t>
      </w:r>
      <w:r>
        <w:rPr>
          <w:spacing w:val="-3"/>
        </w:rPr>
        <w:t> </w:t>
      </w:r>
      <w:r>
        <w:rPr/>
        <w:t>access to</w:t>
      </w:r>
      <w:r>
        <w:rPr>
          <w:spacing w:val="-2"/>
        </w:rPr>
        <w:t> </w:t>
      </w:r>
      <w:r>
        <w:rPr/>
        <w:t>the</w:t>
      </w:r>
      <w:r>
        <w:rPr>
          <w:spacing w:val="-3"/>
        </w:rPr>
        <w:t> </w:t>
      </w:r>
      <w:r>
        <w:rPr/>
        <w:t>nearest</w:t>
      </w:r>
      <w:r>
        <w:rPr>
          <w:spacing w:val="-2"/>
        </w:rPr>
        <w:t> </w:t>
      </w:r>
      <w:r>
        <w:rPr/>
        <w:t>PPSs</w:t>
      </w:r>
      <w:r>
        <w:rPr>
          <w:spacing w:val="-2"/>
        </w:rPr>
        <w:t> </w:t>
      </w:r>
      <w:r>
        <w:rPr/>
        <w:t>and as</w:t>
      </w:r>
      <w:r>
        <w:rPr>
          <w:spacing w:val="-2"/>
        </w:rPr>
        <w:t> </w:t>
      </w:r>
      <w:r>
        <w:rPr/>
        <w:t>such</w:t>
      </w:r>
      <w:r>
        <w:rPr>
          <w:spacing w:val="-2"/>
        </w:rPr>
        <w:t> </w:t>
      </w:r>
      <w:r>
        <w:rPr/>
        <w:t>people in</w:t>
      </w:r>
      <w:r>
        <w:rPr>
          <w:spacing w:val="-2"/>
        </w:rPr>
        <w:t> </w:t>
      </w:r>
      <w:r>
        <w:rPr/>
        <w:t>such</w:t>
      </w:r>
      <w:r>
        <w:rPr>
          <w:spacing w:val="-1"/>
        </w:rPr>
        <w:t> </w:t>
      </w:r>
      <w:r>
        <w:rPr/>
        <w:t>environment</w:t>
      </w:r>
      <w:r>
        <w:rPr>
          <w:spacing w:val="-2"/>
        </w:rPr>
        <w:t> </w:t>
      </w:r>
      <w:r>
        <w:rPr/>
        <w:t>will</w:t>
      </w:r>
      <w:r>
        <w:rPr>
          <w:spacing w:val="-2"/>
        </w:rPr>
        <w:t> </w:t>
      </w:r>
      <w:r>
        <w:rPr/>
        <w:t>have</w:t>
      </w:r>
      <w:r>
        <w:rPr>
          <w:spacing w:val="-1"/>
        </w:rPr>
        <w:t> </w:t>
      </w:r>
      <w:r>
        <w:rPr/>
        <w:t>to walk more than 4km before reaching the nearest public primary school. A polygon was</w:t>
      </w:r>
      <w:r>
        <w:rPr>
          <w:spacing w:val="80"/>
        </w:rPr>
        <w:t> </w:t>
      </w:r>
      <w:r>
        <w:rPr/>
        <w:t>drawn around of the underserved region. The Figure 4.12 also showed the natural constraint (drainage) as indicated by dos Anjos - Luis and Cabral (2016) as a factor that limits the adequacy of the Euclidean method.</w:t>
      </w:r>
    </w:p>
    <w:p>
      <w:pPr>
        <w:spacing w:after="0" w:line="480" w:lineRule="auto"/>
        <w:jc w:val="both"/>
        <w:sectPr>
          <w:pgSz w:w="11910" w:h="16840"/>
          <w:pgMar w:header="0" w:footer="1003" w:top="1340" w:bottom="1200" w:left="1200" w:right="1160"/>
        </w:sectPr>
      </w:pPr>
    </w:p>
    <w:p>
      <w:pPr>
        <w:pStyle w:val="BodyText"/>
        <w:ind w:left="1766"/>
        <w:rPr>
          <w:sz w:val="20"/>
        </w:rPr>
      </w:pPr>
      <w:r>
        <w:rPr>
          <w:sz w:val="20"/>
        </w:rPr>
        <mc:AlternateContent>
          <mc:Choice Requires="wps">
            <w:drawing>
              <wp:inline distT="0" distB="0" distL="0" distR="0">
                <wp:extent cx="3794760" cy="5347970"/>
                <wp:effectExtent l="9525" t="0" r="0" b="5079"/>
                <wp:docPr id="63" name="Group 63"/>
                <wp:cNvGraphicFramePr>
                  <a:graphicFrameLocks/>
                </wp:cNvGraphicFramePr>
                <a:graphic>
                  <a:graphicData uri="http://schemas.microsoft.com/office/word/2010/wordprocessingGroup">
                    <wpg:wgp>
                      <wpg:cNvPr id="63" name="Group 63"/>
                      <wpg:cNvGrpSpPr/>
                      <wpg:grpSpPr>
                        <a:xfrm>
                          <a:off x="0" y="0"/>
                          <a:ext cx="3794760" cy="5347970"/>
                          <a:chExt cx="3794760" cy="5347970"/>
                        </a:xfrm>
                      </wpg:grpSpPr>
                      <pic:pic>
                        <pic:nvPicPr>
                          <pic:cNvPr id="64" name="Image 64"/>
                          <pic:cNvPicPr/>
                        </pic:nvPicPr>
                        <pic:blipFill>
                          <a:blip r:embed="rId25" cstate="print"/>
                          <a:stretch>
                            <a:fillRect/>
                          </a:stretch>
                        </pic:blipFill>
                        <pic:spPr>
                          <a:xfrm>
                            <a:off x="19811" y="19811"/>
                            <a:ext cx="3755136" cy="5308091"/>
                          </a:xfrm>
                          <a:prstGeom prst="rect">
                            <a:avLst/>
                          </a:prstGeom>
                        </pic:spPr>
                      </pic:pic>
                      <wps:wsp>
                        <wps:cNvPr id="65" name="Graphic 65"/>
                        <wps:cNvSpPr/>
                        <wps:spPr>
                          <a:xfrm>
                            <a:off x="9905" y="9905"/>
                            <a:ext cx="3775075" cy="5328285"/>
                          </a:xfrm>
                          <a:custGeom>
                            <a:avLst/>
                            <a:gdLst/>
                            <a:ahLst/>
                            <a:cxnLst/>
                            <a:rect l="l" t="t" r="r" b="b"/>
                            <a:pathLst>
                              <a:path w="3775075" h="5328285">
                                <a:moveTo>
                                  <a:pt x="0" y="5327904"/>
                                </a:moveTo>
                                <a:lnTo>
                                  <a:pt x="3774948" y="5327904"/>
                                </a:lnTo>
                                <a:lnTo>
                                  <a:pt x="3774948" y="0"/>
                                </a:lnTo>
                                <a:lnTo>
                                  <a:pt x="0" y="0"/>
                                </a:lnTo>
                                <a:lnTo>
                                  <a:pt x="0" y="5327904"/>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98.8pt;height:421.1pt;mso-position-horizontal-relative:char;mso-position-vertical-relative:line" id="docshapegroup63" coordorigin="0,0" coordsize="5976,8422">
                <v:shape style="position:absolute;left:31;top:31;width:5914;height:8360" type="#_x0000_t75" id="docshape64" stroked="false">
                  <v:imagedata r:id="rId25" o:title=""/>
                </v:shape>
                <v:rect style="position:absolute;left:15;top:15;width:5945;height:8391" id="docshape65" filled="false" stroked="true" strokeweight="1.56pt" strokecolor="#000000">
                  <v:stroke dashstyle="solid"/>
                </v:rect>
              </v:group>
            </w:pict>
          </mc:Fallback>
        </mc:AlternateContent>
      </w:r>
      <w:r>
        <w:rPr>
          <w:sz w:val="20"/>
        </w:rPr>
      </w:r>
    </w:p>
    <w:p>
      <w:pPr>
        <w:pStyle w:val="BodyText"/>
        <w:spacing w:line="256" w:lineRule="exact"/>
        <w:ind w:left="831" w:right="871"/>
        <w:jc w:val="center"/>
      </w:pPr>
      <w:r>
        <w:rPr/>
        <w:t>Figure</w:t>
      </w:r>
      <w:r>
        <w:rPr>
          <w:spacing w:val="-5"/>
        </w:rPr>
        <w:t> </w:t>
      </w:r>
      <w:r>
        <w:rPr/>
        <w:t>4.12:</w:t>
      </w:r>
      <w:r>
        <w:rPr>
          <w:spacing w:val="-1"/>
        </w:rPr>
        <w:t> </w:t>
      </w:r>
      <w:r>
        <w:rPr/>
        <w:t>Road Network</w:t>
      </w:r>
      <w:r>
        <w:rPr>
          <w:spacing w:val="-2"/>
        </w:rPr>
        <w:t> </w:t>
      </w:r>
      <w:r>
        <w:rPr/>
        <w:t>Service</w:t>
      </w:r>
      <w:r>
        <w:rPr>
          <w:spacing w:val="-1"/>
        </w:rPr>
        <w:t> </w:t>
      </w:r>
      <w:r>
        <w:rPr/>
        <w:t>Area</w:t>
      </w:r>
      <w:r>
        <w:rPr>
          <w:spacing w:val="-2"/>
        </w:rPr>
        <w:t> </w:t>
      </w:r>
      <w:r>
        <w:rPr/>
        <w:t>of</w:t>
      </w:r>
      <w:r>
        <w:rPr>
          <w:spacing w:val="-1"/>
        </w:rPr>
        <w:t> </w:t>
      </w:r>
      <w:r>
        <w:rPr/>
        <w:t>PPSs within</w:t>
      </w:r>
      <w:r>
        <w:rPr>
          <w:spacing w:val="-1"/>
        </w:rPr>
        <w:t> </w:t>
      </w:r>
      <w:r>
        <w:rPr/>
        <w:t>Zuru</w:t>
      </w:r>
      <w:r>
        <w:rPr>
          <w:spacing w:val="1"/>
        </w:rPr>
        <w:t> </w:t>
      </w:r>
      <w:r>
        <w:rPr>
          <w:spacing w:val="-2"/>
        </w:rPr>
        <w:t>L.G.A</w:t>
      </w:r>
    </w:p>
    <w:p>
      <w:pPr>
        <w:pStyle w:val="BodyText"/>
        <w:ind w:left="2482" w:right="2517"/>
        <w:jc w:val="center"/>
      </w:pPr>
      <w:r>
        <w:rPr/>
        <w:t>Source:</w:t>
      </w:r>
      <w:r>
        <w:rPr>
          <w:spacing w:val="-2"/>
        </w:rPr>
        <w:t> </w:t>
      </w:r>
      <w:r>
        <w:rPr/>
        <w:t>Researcher’s</w:t>
      </w:r>
      <w:r>
        <w:rPr>
          <w:spacing w:val="1"/>
        </w:rPr>
        <w:t> </w:t>
      </w:r>
      <w:r>
        <w:rPr/>
        <w:t>Field</w:t>
      </w:r>
      <w:r>
        <w:rPr>
          <w:spacing w:val="-2"/>
        </w:rPr>
        <w:t> </w:t>
      </w:r>
      <w:r>
        <w:rPr/>
        <w:t>Work,</w:t>
      </w:r>
      <w:r>
        <w:rPr>
          <w:spacing w:val="-2"/>
        </w:rPr>
        <w:t> </w:t>
      </w:r>
      <w:r>
        <w:rPr>
          <w:spacing w:val="-4"/>
        </w:rPr>
        <w:t>2020</w:t>
      </w:r>
    </w:p>
    <w:p>
      <w:pPr>
        <w:pStyle w:val="BodyText"/>
        <w:rPr>
          <w:sz w:val="26"/>
        </w:rPr>
      </w:pPr>
    </w:p>
    <w:p>
      <w:pPr>
        <w:pStyle w:val="BodyText"/>
        <w:spacing w:line="480" w:lineRule="auto" w:before="176"/>
        <w:ind w:left="240" w:right="274"/>
        <w:jc w:val="both"/>
      </w:pPr>
      <w:r>
        <w:rPr/>
        <w:t>In other to determine the difference between the Euclidean method and the use of actual road distances to measure accessibility, comparisons between both results were illustrated in Figure 4.13. The underserved regions characterized by inaccessibility were measured to determine the differences in the result. Euclidean analysis resulted to 79.158km</w:t>
      </w:r>
      <w:r>
        <w:rPr>
          <w:vertAlign w:val="superscript"/>
        </w:rPr>
        <w:t>2</w:t>
      </w:r>
      <w:r>
        <w:rPr>
          <w:vertAlign w:val="baseline"/>
        </w:rPr>
        <w:t> of underserved region in Tadurga ward while the network analysis revealed 82.626 km</w:t>
      </w:r>
      <w:r>
        <w:rPr>
          <w:vertAlign w:val="superscript"/>
        </w:rPr>
        <w:t>2</w:t>
      </w:r>
      <w:r>
        <w:rPr>
          <w:vertAlign w:val="baseline"/>
        </w:rPr>
        <w:t> as the underserved area. A difference of 3.468km</w:t>
      </w:r>
      <w:r>
        <w:rPr>
          <w:vertAlign w:val="superscript"/>
        </w:rPr>
        <w:t>2</w:t>
      </w:r>
      <w:r>
        <w:rPr>
          <w:vertAlign w:val="baseline"/>
        </w:rPr>
        <w:t> was observed. A significant difference of 16.546 km</w:t>
      </w:r>
      <w:r>
        <w:rPr>
          <w:vertAlign w:val="superscript"/>
        </w:rPr>
        <w:t>2</w:t>
      </w:r>
      <w:r>
        <w:rPr>
          <w:spacing w:val="-2"/>
          <w:vertAlign w:val="baseline"/>
        </w:rPr>
        <w:t> </w:t>
      </w:r>
      <w:r>
        <w:rPr>
          <w:vertAlign w:val="baseline"/>
        </w:rPr>
        <w:t>was</w:t>
      </w:r>
      <w:r>
        <w:rPr>
          <w:spacing w:val="-3"/>
          <w:vertAlign w:val="baseline"/>
        </w:rPr>
        <w:t> </w:t>
      </w:r>
      <w:r>
        <w:rPr>
          <w:vertAlign w:val="baseline"/>
        </w:rPr>
        <w:t>observed</w:t>
      </w:r>
      <w:r>
        <w:rPr>
          <w:spacing w:val="-1"/>
          <w:vertAlign w:val="baseline"/>
        </w:rPr>
        <w:t> </w:t>
      </w:r>
      <w:r>
        <w:rPr>
          <w:vertAlign w:val="baseline"/>
        </w:rPr>
        <w:t>in</w:t>
      </w:r>
      <w:r>
        <w:rPr>
          <w:spacing w:val="-3"/>
          <w:vertAlign w:val="baseline"/>
        </w:rPr>
        <w:t> </w:t>
      </w:r>
      <w:r>
        <w:rPr>
          <w:vertAlign w:val="baseline"/>
        </w:rPr>
        <w:t>Manga</w:t>
      </w:r>
      <w:r>
        <w:rPr>
          <w:spacing w:val="-2"/>
          <w:vertAlign w:val="baseline"/>
        </w:rPr>
        <w:t> </w:t>
      </w:r>
      <w:r>
        <w:rPr>
          <w:vertAlign w:val="baseline"/>
        </w:rPr>
        <w:t>Ushe</w:t>
      </w:r>
      <w:r>
        <w:rPr>
          <w:spacing w:val="-3"/>
          <w:vertAlign w:val="baseline"/>
        </w:rPr>
        <w:t> </w:t>
      </w:r>
      <w:r>
        <w:rPr>
          <w:vertAlign w:val="baseline"/>
        </w:rPr>
        <w:t>ward</w:t>
      </w:r>
      <w:r>
        <w:rPr>
          <w:spacing w:val="-2"/>
          <w:vertAlign w:val="baseline"/>
        </w:rPr>
        <w:t> </w:t>
      </w:r>
      <w:r>
        <w:rPr>
          <w:vertAlign w:val="baseline"/>
        </w:rPr>
        <w:t>because</w:t>
      </w:r>
      <w:r>
        <w:rPr>
          <w:spacing w:val="-2"/>
          <w:vertAlign w:val="baseline"/>
        </w:rPr>
        <w:t> </w:t>
      </w:r>
      <w:r>
        <w:rPr>
          <w:vertAlign w:val="baseline"/>
        </w:rPr>
        <w:t>straight</w:t>
      </w:r>
      <w:r>
        <w:rPr>
          <w:spacing w:val="-3"/>
          <w:vertAlign w:val="baseline"/>
        </w:rPr>
        <w:t> </w:t>
      </w:r>
      <w:r>
        <w:rPr>
          <w:vertAlign w:val="baseline"/>
        </w:rPr>
        <w:t>line</w:t>
      </w:r>
      <w:r>
        <w:rPr>
          <w:spacing w:val="-1"/>
          <w:vertAlign w:val="baseline"/>
        </w:rPr>
        <w:t> </w:t>
      </w:r>
      <w:r>
        <w:rPr>
          <w:vertAlign w:val="baseline"/>
        </w:rPr>
        <w:t>analysis</w:t>
      </w:r>
      <w:r>
        <w:rPr>
          <w:spacing w:val="-3"/>
          <w:vertAlign w:val="baseline"/>
        </w:rPr>
        <w:t> </w:t>
      </w:r>
      <w:r>
        <w:rPr>
          <w:vertAlign w:val="baseline"/>
        </w:rPr>
        <w:t>showed</w:t>
      </w:r>
      <w:r>
        <w:rPr>
          <w:spacing w:val="-3"/>
          <w:vertAlign w:val="baseline"/>
        </w:rPr>
        <w:t> </w:t>
      </w:r>
      <w:r>
        <w:rPr>
          <w:vertAlign w:val="baseline"/>
        </w:rPr>
        <w:t>adequacy</w:t>
      </w:r>
      <w:r>
        <w:rPr>
          <w:spacing w:val="-4"/>
          <w:vertAlign w:val="baseline"/>
        </w:rPr>
        <w:t> </w:t>
      </w:r>
      <w:r>
        <w:rPr>
          <w:vertAlign w:val="baseline"/>
        </w:rPr>
        <w:t>while the network analysis showed an area spanning 16.546 km</w:t>
      </w:r>
      <w:r>
        <w:rPr>
          <w:vertAlign w:val="superscript"/>
        </w:rPr>
        <w:t>2</w:t>
      </w:r>
      <w:r>
        <w:rPr>
          <w:vertAlign w:val="baseline"/>
        </w:rPr>
        <w:t> around erased road network.</w:t>
      </w:r>
    </w:p>
    <w:p>
      <w:pPr>
        <w:spacing w:after="0" w:line="480" w:lineRule="auto"/>
        <w:jc w:val="both"/>
        <w:sectPr>
          <w:pgSz w:w="11910" w:h="16840"/>
          <w:pgMar w:header="0" w:footer="1003" w:top="1420" w:bottom="1200" w:left="1200" w:right="1160"/>
        </w:sectPr>
      </w:pPr>
    </w:p>
    <w:p>
      <w:pPr>
        <w:pStyle w:val="BodyText"/>
        <w:ind w:left="1946"/>
        <w:rPr>
          <w:sz w:val="20"/>
        </w:rPr>
      </w:pPr>
      <w:r>
        <w:rPr>
          <w:sz w:val="20"/>
        </w:rPr>
        <mc:AlternateContent>
          <mc:Choice Requires="wps">
            <w:drawing>
              <wp:inline distT="0" distB="0" distL="0" distR="0">
                <wp:extent cx="3560445" cy="5015865"/>
                <wp:effectExtent l="9525" t="0" r="0" b="3810"/>
                <wp:docPr id="66" name="Group 66"/>
                <wp:cNvGraphicFramePr>
                  <a:graphicFrameLocks/>
                </wp:cNvGraphicFramePr>
                <a:graphic>
                  <a:graphicData uri="http://schemas.microsoft.com/office/word/2010/wordprocessingGroup">
                    <wpg:wgp>
                      <wpg:cNvPr id="66" name="Group 66"/>
                      <wpg:cNvGrpSpPr/>
                      <wpg:grpSpPr>
                        <a:xfrm>
                          <a:off x="0" y="0"/>
                          <a:ext cx="3560445" cy="5015865"/>
                          <a:chExt cx="3560445" cy="5015865"/>
                        </a:xfrm>
                      </wpg:grpSpPr>
                      <pic:pic>
                        <pic:nvPicPr>
                          <pic:cNvPr id="67" name="Image 67"/>
                          <pic:cNvPicPr/>
                        </pic:nvPicPr>
                        <pic:blipFill>
                          <a:blip r:embed="rId26" cstate="print"/>
                          <a:stretch>
                            <a:fillRect/>
                          </a:stretch>
                        </pic:blipFill>
                        <pic:spPr>
                          <a:xfrm>
                            <a:off x="19811" y="19811"/>
                            <a:ext cx="3520440" cy="4975860"/>
                          </a:xfrm>
                          <a:prstGeom prst="rect">
                            <a:avLst/>
                          </a:prstGeom>
                        </pic:spPr>
                      </pic:pic>
                      <wps:wsp>
                        <wps:cNvPr id="68" name="Graphic 68"/>
                        <wps:cNvSpPr/>
                        <wps:spPr>
                          <a:xfrm>
                            <a:off x="9905" y="9905"/>
                            <a:ext cx="3540760" cy="4996180"/>
                          </a:xfrm>
                          <a:custGeom>
                            <a:avLst/>
                            <a:gdLst/>
                            <a:ahLst/>
                            <a:cxnLst/>
                            <a:rect l="l" t="t" r="r" b="b"/>
                            <a:pathLst>
                              <a:path w="3540760" h="4996180">
                                <a:moveTo>
                                  <a:pt x="0" y="4995672"/>
                                </a:moveTo>
                                <a:lnTo>
                                  <a:pt x="3540252" y="4995672"/>
                                </a:lnTo>
                                <a:lnTo>
                                  <a:pt x="3540252" y="0"/>
                                </a:lnTo>
                                <a:lnTo>
                                  <a:pt x="0" y="0"/>
                                </a:lnTo>
                                <a:lnTo>
                                  <a:pt x="0" y="4995672"/>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0.350pt;height:394.95pt;mso-position-horizontal-relative:char;mso-position-vertical-relative:line" id="docshapegroup66" coordorigin="0,0" coordsize="5607,7899">
                <v:shape style="position:absolute;left:31;top:31;width:5544;height:7836" type="#_x0000_t75" id="docshape67" stroked="false">
                  <v:imagedata r:id="rId26" o:title=""/>
                </v:shape>
                <v:rect style="position:absolute;left:15;top:15;width:5576;height:7868" id="docshape68" filled="false" stroked="true" strokeweight="1.56pt" strokecolor="#000000">
                  <v:stroke dashstyle="solid"/>
                </v:rect>
              </v:group>
            </w:pict>
          </mc:Fallback>
        </mc:AlternateContent>
      </w:r>
      <w:r>
        <w:rPr>
          <w:sz w:val="20"/>
        </w:rPr>
      </w:r>
    </w:p>
    <w:p>
      <w:pPr>
        <w:pStyle w:val="BodyText"/>
        <w:spacing w:line="243" w:lineRule="exact"/>
        <w:ind w:left="240"/>
      </w:pPr>
      <w:r>
        <w:rPr/>
        <w:t>Figure</w:t>
      </w:r>
      <w:r>
        <w:rPr>
          <w:spacing w:val="-4"/>
        </w:rPr>
        <w:t> </w:t>
      </w:r>
      <w:r>
        <w:rPr/>
        <w:t>4.13:</w:t>
      </w:r>
      <w:r>
        <w:rPr>
          <w:spacing w:val="-1"/>
        </w:rPr>
        <w:t> </w:t>
      </w:r>
      <w:r>
        <w:rPr/>
        <w:t>Comparison</w:t>
      </w:r>
      <w:r>
        <w:rPr>
          <w:spacing w:val="1"/>
        </w:rPr>
        <w:t> </w:t>
      </w:r>
      <w:r>
        <w:rPr/>
        <w:t>between</w:t>
      </w:r>
      <w:r>
        <w:rPr>
          <w:spacing w:val="-1"/>
        </w:rPr>
        <w:t> </w:t>
      </w:r>
      <w:r>
        <w:rPr/>
        <w:t>the</w:t>
      </w:r>
      <w:r>
        <w:rPr>
          <w:spacing w:val="-1"/>
        </w:rPr>
        <w:t> </w:t>
      </w:r>
      <w:r>
        <w:rPr/>
        <w:t>Euclidean</w:t>
      </w:r>
      <w:r>
        <w:rPr>
          <w:spacing w:val="1"/>
        </w:rPr>
        <w:t> </w:t>
      </w:r>
      <w:r>
        <w:rPr/>
        <w:t>and</w:t>
      </w:r>
      <w:r>
        <w:rPr>
          <w:spacing w:val="-1"/>
        </w:rPr>
        <w:t> </w:t>
      </w:r>
      <w:r>
        <w:rPr/>
        <w:t>Network</w:t>
      </w:r>
      <w:r>
        <w:rPr>
          <w:spacing w:val="-2"/>
        </w:rPr>
        <w:t> </w:t>
      </w:r>
      <w:r>
        <w:rPr/>
        <w:t>Analysis</w:t>
      </w:r>
      <w:r>
        <w:rPr>
          <w:spacing w:val="-1"/>
        </w:rPr>
        <w:t> </w:t>
      </w:r>
      <w:r>
        <w:rPr/>
        <w:t>for the</w:t>
      </w:r>
      <w:r>
        <w:rPr>
          <w:spacing w:val="-1"/>
        </w:rPr>
        <w:t> </w:t>
      </w:r>
      <w:r>
        <w:rPr>
          <w:spacing w:val="-2"/>
        </w:rPr>
        <w:t>Accessibility</w:t>
      </w:r>
    </w:p>
    <w:p>
      <w:pPr>
        <w:pStyle w:val="BodyText"/>
        <w:spacing w:before="41"/>
        <w:ind w:left="240"/>
      </w:pPr>
      <w:r>
        <w:rPr/>
        <w:t>of</w:t>
      </w:r>
      <w:r>
        <w:rPr>
          <w:spacing w:val="-3"/>
        </w:rPr>
        <w:t> </w:t>
      </w:r>
      <w:r>
        <w:rPr/>
        <w:t>PPSs</w:t>
      </w:r>
      <w:r>
        <w:rPr>
          <w:spacing w:val="-1"/>
        </w:rPr>
        <w:t> </w:t>
      </w:r>
      <w:r>
        <w:rPr/>
        <w:t>within</w:t>
      </w:r>
      <w:r>
        <w:rPr>
          <w:spacing w:val="-1"/>
        </w:rPr>
        <w:t> </w:t>
      </w:r>
      <w:r>
        <w:rPr/>
        <w:t>Zuru</w:t>
      </w:r>
      <w:r>
        <w:rPr>
          <w:spacing w:val="1"/>
        </w:rPr>
        <w:t> </w:t>
      </w:r>
      <w:r>
        <w:rPr>
          <w:spacing w:val="-4"/>
        </w:rPr>
        <w:t>L.G.A</w:t>
      </w:r>
    </w:p>
    <w:p>
      <w:pPr>
        <w:pStyle w:val="BodyText"/>
        <w:spacing w:before="40"/>
        <w:ind w:left="240"/>
      </w:pPr>
      <w:r>
        <w:rPr/>
        <w:t>Source:</w:t>
      </w:r>
      <w:r>
        <w:rPr>
          <w:spacing w:val="-2"/>
        </w:rPr>
        <w:t> </w:t>
      </w:r>
      <w:r>
        <w:rPr/>
        <w:t>Researcher’s</w:t>
      </w:r>
      <w:r>
        <w:rPr>
          <w:spacing w:val="1"/>
        </w:rPr>
        <w:t> </w:t>
      </w:r>
      <w:r>
        <w:rPr/>
        <w:t>Field</w:t>
      </w:r>
      <w:r>
        <w:rPr>
          <w:spacing w:val="-2"/>
        </w:rPr>
        <w:t> </w:t>
      </w:r>
      <w:r>
        <w:rPr/>
        <w:t>Work,</w:t>
      </w:r>
      <w:r>
        <w:rPr>
          <w:spacing w:val="-2"/>
        </w:rPr>
        <w:t> </w:t>
      </w:r>
      <w:r>
        <w:rPr>
          <w:spacing w:val="-4"/>
        </w:rPr>
        <w:t>2020</w:t>
      </w:r>
    </w:p>
    <w:p>
      <w:pPr>
        <w:pStyle w:val="BodyText"/>
        <w:rPr>
          <w:sz w:val="26"/>
        </w:rPr>
      </w:pPr>
    </w:p>
    <w:p>
      <w:pPr>
        <w:pStyle w:val="Heading1"/>
        <w:numPr>
          <w:ilvl w:val="2"/>
          <w:numId w:val="8"/>
        </w:numPr>
        <w:tabs>
          <w:tab w:pos="959" w:val="left" w:leader="none"/>
        </w:tabs>
        <w:spacing w:line="240" w:lineRule="auto" w:before="181" w:after="0"/>
        <w:ind w:left="959" w:right="0" w:hanging="719"/>
        <w:jc w:val="both"/>
      </w:pPr>
      <w:r>
        <w:rPr/>
        <w:t>Spatial </w:t>
      </w:r>
      <w:r>
        <w:rPr>
          <w:spacing w:val="-2"/>
        </w:rPr>
        <w:t>Inequality</w:t>
      </w:r>
    </w:p>
    <w:p>
      <w:pPr>
        <w:pStyle w:val="BodyText"/>
        <w:spacing w:line="480" w:lineRule="auto" w:before="195"/>
        <w:ind w:left="240" w:right="277"/>
        <w:jc w:val="both"/>
      </w:pPr>
      <w:r>
        <w:rPr/>
        <w:t>This section illustrates the analysis of available data in view of understanding, describing and drawing inferences from the statistical output of such data to explain the levels of spatial inequalities in the study</w:t>
      </w:r>
      <w:r>
        <w:rPr>
          <w:spacing w:val="-3"/>
        </w:rPr>
        <w:t> </w:t>
      </w:r>
      <w:r>
        <w:rPr/>
        <w:t>area. It firstly</w:t>
      </w:r>
      <w:r>
        <w:rPr>
          <w:spacing w:val="-3"/>
        </w:rPr>
        <w:t> </w:t>
      </w:r>
      <w:r>
        <w:rPr/>
        <w:t>determines the relationship between the distribution of PHCs and PPSs and the population of each sampled ward through statistical correlation to</w:t>
      </w:r>
      <w:r>
        <w:rPr>
          <w:spacing w:val="40"/>
        </w:rPr>
        <w:t> </w:t>
      </w:r>
      <w:r>
        <w:rPr/>
        <w:t>test the research hypothesis. The data used is presented in Table 4.3. The estimated</w:t>
      </w:r>
      <w:r>
        <w:rPr>
          <w:spacing w:val="40"/>
        </w:rPr>
        <w:t> </w:t>
      </w:r>
      <w:r>
        <w:rPr/>
        <w:t>population is the dependent variable and the number of PHCs and PPSs found in each ward was used as the independent variables.</w:t>
      </w:r>
    </w:p>
    <w:p>
      <w:pPr>
        <w:spacing w:after="0" w:line="480" w:lineRule="auto"/>
        <w:jc w:val="both"/>
        <w:sectPr>
          <w:pgSz w:w="11910" w:h="16840"/>
          <w:pgMar w:header="0" w:footer="1003" w:top="1420" w:bottom="1200" w:left="1200" w:right="1160"/>
        </w:sectPr>
      </w:pPr>
    </w:p>
    <w:p>
      <w:pPr>
        <w:pStyle w:val="Heading1"/>
        <w:spacing w:before="78" w:after="4"/>
        <w:ind w:left="240" w:firstLine="0"/>
      </w:pPr>
      <w:r>
        <w:rPr/>
        <w:t>Table</w:t>
      </w:r>
      <w:r>
        <w:rPr>
          <w:spacing w:val="-1"/>
        </w:rPr>
        <w:t> </w:t>
      </w:r>
      <w:r>
        <w:rPr/>
        <w:t>4.3:</w:t>
      </w:r>
      <w:r>
        <w:rPr>
          <w:spacing w:val="-2"/>
        </w:rPr>
        <w:t> </w:t>
      </w:r>
      <w:r>
        <w:rPr/>
        <w:t>Data</w:t>
      </w:r>
      <w:r>
        <w:rPr>
          <w:spacing w:val="-2"/>
        </w:rPr>
        <w:t> </w:t>
      </w:r>
      <w:r>
        <w:rPr/>
        <w:t>for</w:t>
      </w:r>
      <w:r>
        <w:rPr>
          <w:spacing w:val="-2"/>
        </w:rPr>
        <w:t> </w:t>
      </w:r>
      <w:r>
        <w:rPr/>
        <w:t>Spatial </w:t>
      </w:r>
      <w:r>
        <w:rPr>
          <w:spacing w:val="-2"/>
        </w:rPr>
        <w:t>Inequality</w:t>
      </w: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3"/>
        <w:gridCol w:w="1618"/>
        <w:gridCol w:w="1569"/>
        <w:gridCol w:w="1618"/>
        <w:gridCol w:w="1486"/>
        <w:gridCol w:w="2084"/>
      </w:tblGrid>
      <w:tr>
        <w:trPr>
          <w:trHeight w:val="484" w:hRule="atLeast"/>
        </w:trPr>
        <w:tc>
          <w:tcPr>
            <w:tcW w:w="883" w:type="dxa"/>
            <w:tcBorders>
              <w:top w:val="single" w:sz="8" w:space="0" w:color="000000"/>
              <w:bottom w:val="single" w:sz="8" w:space="0" w:color="000000"/>
            </w:tcBorders>
          </w:tcPr>
          <w:p>
            <w:pPr>
              <w:pStyle w:val="TableParagraph"/>
              <w:spacing w:line="273" w:lineRule="exact"/>
              <w:ind w:left="135" w:right="171"/>
              <w:rPr>
                <w:b/>
                <w:sz w:val="24"/>
              </w:rPr>
            </w:pPr>
            <w:r>
              <w:rPr>
                <w:b/>
                <w:spacing w:val="-4"/>
                <w:sz w:val="24"/>
              </w:rPr>
              <w:t>S/no</w:t>
            </w:r>
          </w:p>
        </w:tc>
        <w:tc>
          <w:tcPr>
            <w:tcW w:w="1618" w:type="dxa"/>
            <w:tcBorders>
              <w:top w:val="single" w:sz="8" w:space="0" w:color="000000"/>
              <w:bottom w:val="single" w:sz="8" w:space="0" w:color="000000"/>
            </w:tcBorders>
          </w:tcPr>
          <w:p>
            <w:pPr>
              <w:pStyle w:val="TableParagraph"/>
              <w:spacing w:line="273" w:lineRule="exact"/>
              <w:ind w:left="144" w:right="167"/>
              <w:rPr>
                <w:b/>
                <w:sz w:val="24"/>
              </w:rPr>
            </w:pPr>
            <w:r>
              <w:rPr>
                <w:b/>
                <w:spacing w:val="-4"/>
                <w:sz w:val="24"/>
              </w:rPr>
              <w:t>Ward</w:t>
            </w:r>
          </w:p>
        </w:tc>
        <w:tc>
          <w:tcPr>
            <w:tcW w:w="1569" w:type="dxa"/>
            <w:tcBorders>
              <w:top w:val="single" w:sz="8" w:space="0" w:color="000000"/>
              <w:bottom w:val="single" w:sz="8" w:space="0" w:color="000000"/>
            </w:tcBorders>
          </w:tcPr>
          <w:p>
            <w:pPr>
              <w:pStyle w:val="TableParagraph"/>
              <w:spacing w:line="273" w:lineRule="exact"/>
              <w:ind w:left="201" w:right="151"/>
              <w:rPr>
                <w:b/>
                <w:sz w:val="24"/>
              </w:rPr>
            </w:pPr>
            <w:r>
              <w:rPr>
                <w:b/>
                <w:sz w:val="24"/>
              </w:rPr>
              <w:t>No.</w:t>
            </w:r>
            <w:r>
              <w:rPr>
                <w:b/>
                <w:spacing w:val="-2"/>
                <w:sz w:val="24"/>
              </w:rPr>
              <w:t> </w:t>
            </w:r>
            <w:r>
              <w:rPr>
                <w:b/>
                <w:sz w:val="24"/>
              </w:rPr>
              <w:t>of </w:t>
            </w:r>
            <w:r>
              <w:rPr>
                <w:b/>
                <w:spacing w:val="-4"/>
                <w:sz w:val="24"/>
              </w:rPr>
              <w:t>PPSs</w:t>
            </w:r>
          </w:p>
        </w:tc>
        <w:tc>
          <w:tcPr>
            <w:tcW w:w="1618" w:type="dxa"/>
            <w:tcBorders>
              <w:top w:val="single" w:sz="8" w:space="0" w:color="000000"/>
              <w:bottom w:val="single" w:sz="8" w:space="0" w:color="000000"/>
            </w:tcBorders>
          </w:tcPr>
          <w:p>
            <w:pPr>
              <w:pStyle w:val="TableParagraph"/>
              <w:spacing w:line="273" w:lineRule="exact"/>
              <w:ind w:left="152" w:right="167"/>
              <w:rPr>
                <w:b/>
                <w:sz w:val="24"/>
              </w:rPr>
            </w:pPr>
            <w:r>
              <w:rPr>
                <w:b/>
                <w:sz w:val="24"/>
              </w:rPr>
              <w:t>No. of </w:t>
            </w:r>
            <w:r>
              <w:rPr>
                <w:b/>
                <w:spacing w:val="-4"/>
                <w:sz w:val="24"/>
              </w:rPr>
              <w:t>PHCs</w:t>
            </w:r>
          </w:p>
        </w:tc>
        <w:tc>
          <w:tcPr>
            <w:tcW w:w="1486" w:type="dxa"/>
            <w:tcBorders>
              <w:top w:val="single" w:sz="8" w:space="0" w:color="000000"/>
              <w:bottom w:val="single" w:sz="8" w:space="0" w:color="000000"/>
            </w:tcBorders>
          </w:tcPr>
          <w:p>
            <w:pPr>
              <w:pStyle w:val="TableParagraph"/>
              <w:spacing w:line="273" w:lineRule="exact"/>
              <w:ind w:left="171" w:right="172"/>
              <w:rPr>
                <w:b/>
                <w:sz w:val="24"/>
              </w:rPr>
            </w:pPr>
            <w:r>
              <w:rPr>
                <w:b/>
                <w:sz w:val="24"/>
              </w:rPr>
              <w:t>Ward</w:t>
            </w:r>
            <w:r>
              <w:rPr>
                <w:b/>
                <w:spacing w:val="-3"/>
                <w:sz w:val="24"/>
              </w:rPr>
              <w:t> </w:t>
            </w:r>
            <w:r>
              <w:rPr>
                <w:b/>
                <w:spacing w:val="-4"/>
                <w:sz w:val="24"/>
              </w:rPr>
              <w:t>Pop.</w:t>
            </w:r>
          </w:p>
        </w:tc>
        <w:tc>
          <w:tcPr>
            <w:tcW w:w="2084" w:type="dxa"/>
            <w:tcBorders>
              <w:top w:val="single" w:sz="8" w:space="0" w:color="000000"/>
              <w:bottom w:val="single" w:sz="8" w:space="0" w:color="000000"/>
            </w:tcBorders>
          </w:tcPr>
          <w:p>
            <w:pPr>
              <w:pStyle w:val="TableParagraph"/>
              <w:spacing w:line="273" w:lineRule="exact"/>
              <w:ind w:left="176" w:right="143"/>
              <w:rPr>
                <w:b/>
                <w:sz w:val="24"/>
              </w:rPr>
            </w:pPr>
            <w:r>
              <w:rPr>
                <w:b/>
                <w:sz w:val="24"/>
              </w:rPr>
              <w:t>Land</w:t>
            </w:r>
            <w:r>
              <w:rPr>
                <w:b/>
                <w:spacing w:val="-2"/>
                <w:sz w:val="24"/>
              </w:rPr>
              <w:t> </w:t>
            </w:r>
            <w:r>
              <w:rPr>
                <w:b/>
                <w:sz w:val="24"/>
              </w:rPr>
              <w:t>Area</w:t>
            </w:r>
            <w:r>
              <w:rPr>
                <w:b/>
                <w:spacing w:val="-1"/>
                <w:sz w:val="24"/>
              </w:rPr>
              <w:t> </w:t>
            </w:r>
            <w:r>
              <w:rPr>
                <w:b/>
                <w:spacing w:val="-4"/>
                <w:sz w:val="24"/>
              </w:rPr>
              <w:t>(km</w:t>
            </w:r>
            <w:r>
              <w:rPr>
                <w:b/>
                <w:spacing w:val="-4"/>
                <w:position w:val="8"/>
                <w:sz w:val="16"/>
              </w:rPr>
              <w:t>2</w:t>
            </w:r>
            <w:r>
              <w:rPr>
                <w:b/>
                <w:spacing w:val="-4"/>
                <w:sz w:val="24"/>
              </w:rPr>
              <w:t>)</w:t>
            </w:r>
          </w:p>
        </w:tc>
      </w:tr>
      <w:tr>
        <w:trPr>
          <w:trHeight w:val="275" w:hRule="atLeast"/>
        </w:trPr>
        <w:tc>
          <w:tcPr>
            <w:tcW w:w="883" w:type="dxa"/>
            <w:tcBorders>
              <w:top w:val="single" w:sz="8" w:space="0" w:color="000000"/>
            </w:tcBorders>
          </w:tcPr>
          <w:p>
            <w:pPr>
              <w:pStyle w:val="TableParagraph"/>
              <w:spacing w:line="255" w:lineRule="exact"/>
              <w:ind w:right="36"/>
              <w:rPr>
                <w:sz w:val="24"/>
              </w:rPr>
            </w:pPr>
            <w:r>
              <w:rPr>
                <w:sz w:val="24"/>
              </w:rPr>
              <w:t>1</w:t>
            </w:r>
          </w:p>
        </w:tc>
        <w:tc>
          <w:tcPr>
            <w:tcW w:w="1618" w:type="dxa"/>
            <w:tcBorders>
              <w:top w:val="single" w:sz="8" w:space="0" w:color="000000"/>
            </w:tcBorders>
          </w:tcPr>
          <w:p>
            <w:pPr>
              <w:pStyle w:val="TableParagraph"/>
              <w:spacing w:line="255" w:lineRule="exact"/>
              <w:ind w:left="145" w:right="167"/>
              <w:rPr>
                <w:sz w:val="24"/>
              </w:rPr>
            </w:pPr>
            <w:r>
              <w:rPr>
                <w:spacing w:val="-2"/>
                <w:sz w:val="24"/>
              </w:rPr>
              <w:t>Dabai</w:t>
            </w:r>
          </w:p>
        </w:tc>
        <w:tc>
          <w:tcPr>
            <w:tcW w:w="1569" w:type="dxa"/>
            <w:tcBorders>
              <w:top w:val="single" w:sz="8" w:space="0" w:color="000000"/>
            </w:tcBorders>
          </w:tcPr>
          <w:p>
            <w:pPr>
              <w:pStyle w:val="TableParagraph"/>
              <w:spacing w:line="255" w:lineRule="exact"/>
              <w:ind w:left="54"/>
              <w:rPr>
                <w:sz w:val="24"/>
              </w:rPr>
            </w:pPr>
            <w:r>
              <w:rPr>
                <w:sz w:val="24"/>
              </w:rPr>
              <w:t>5</w:t>
            </w:r>
          </w:p>
        </w:tc>
        <w:tc>
          <w:tcPr>
            <w:tcW w:w="1618" w:type="dxa"/>
            <w:tcBorders>
              <w:top w:val="single" w:sz="8" w:space="0" w:color="000000"/>
            </w:tcBorders>
          </w:tcPr>
          <w:p>
            <w:pPr>
              <w:pStyle w:val="TableParagraph"/>
              <w:spacing w:line="255" w:lineRule="exact"/>
              <w:ind w:right="10"/>
              <w:rPr>
                <w:sz w:val="24"/>
              </w:rPr>
            </w:pPr>
            <w:r>
              <w:rPr>
                <w:sz w:val="24"/>
              </w:rPr>
              <w:t>4</w:t>
            </w:r>
          </w:p>
        </w:tc>
        <w:tc>
          <w:tcPr>
            <w:tcW w:w="1486" w:type="dxa"/>
            <w:tcBorders>
              <w:top w:val="single" w:sz="8" w:space="0" w:color="000000"/>
            </w:tcBorders>
          </w:tcPr>
          <w:p>
            <w:pPr>
              <w:pStyle w:val="TableParagraph"/>
              <w:spacing w:line="255" w:lineRule="exact"/>
              <w:ind w:left="171" w:right="170"/>
              <w:rPr>
                <w:sz w:val="24"/>
              </w:rPr>
            </w:pPr>
            <w:r>
              <w:rPr>
                <w:spacing w:val="-2"/>
                <w:sz w:val="24"/>
              </w:rPr>
              <w:t>31,055</w:t>
            </w:r>
          </w:p>
        </w:tc>
        <w:tc>
          <w:tcPr>
            <w:tcW w:w="2084" w:type="dxa"/>
            <w:tcBorders>
              <w:top w:val="single" w:sz="8" w:space="0" w:color="000000"/>
            </w:tcBorders>
          </w:tcPr>
          <w:p>
            <w:pPr>
              <w:pStyle w:val="TableParagraph"/>
              <w:spacing w:line="255" w:lineRule="exact"/>
              <w:ind w:left="176" w:right="139"/>
              <w:rPr>
                <w:sz w:val="24"/>
              </w:rPr>
            </w:pPr>
            <w:r>
              <w:rPr>
                <w:spacing w:val="-2"/>
                <w:sz w:val="24"/>
              </w:rPr>
              <w:t>81.734</w:t>
            </w:r>
          </w:p>
        </w:tc>
      </w:tr>
      <w:tr>
        <w:trPr>
          <w:trHeight w:val="276" w:hRule="atLeast"/>
        </w:trPr>
        <w:tc>
          <w:tcPr>
            <w:tcW w:w="883" w:type="dxa"/>
          </w:tcPr>
          <w:p>
            <w:pPr>
              <w:pStyle w:val="TableParagraph"/>
              <w:spacing w:line="256" w:lineRule="exact"/>
              <w:ind w:right="36"/>
              <w:rPr>
                <w:sz w:val="24"/>
              </w:rPr>
            </w:pPr>
            <w:r>
              <w:rPr>
                <w:sz w:val="24"/>
              </w:rPr>
              <w:t>2</w:t>
            </w:r>
          </w:p>
        </w:tc>
        <w:tc>
          <w:tcPr>
            <w:tcW w:w="1618" w:type="dxa"/>
          </w:tcPr>
          <w:p>
            <w:pPr>
              <w:pStyle w:val="TableParagraph"/>
              <w:spacing w:line="256" w:lineRule="exact"/>
              <w:ind w:left="145" w:right="167"/>
              <w:rPr>
                <w:sz w:val="24"/>
              </w:rPr>
            </w:pPr>
            <w:r>
              <w:rPr>
                <w:spacing w:val="-4"/>
                <w:sz w:val="24"/>
              </w:rPr>
              <w:t>Bedi</w:t>
            </w:r>
          </w:p>
        </w:tc>
        <w:tc>
          <w:tcPr>
            <w:tcW w:w="1569" w:type="dxa"/>
          </w:tcPr>
          <w:p>
            <w:pPr>
              <w:pStyle w:val="TableParagraph"/>
              <w:spacing w:line="256" w:lineRule="exact"/>
              <w:ind w:left="54"/>
              <w:rPr>
                <w:sz w:val="24"/>
              </w:rPr>
            </w:pPr>
            <w:r>
              <w:rPr>
                <w:sz w:val="24"/>
              </w:rPr>
              <w:t>7</w:t>
            </w:r>
          </w:p>
        </w:tc>
        <w:tc>
          <w:tcPr>
            <w:tcW w:w="1618" w:type="dxa"/>
          </w:tcPr>
          <w:p>
            <w:pPr>
              <w:pStyle w:val="TableParagraph"/>
              <w:spacing w:line="256" w:lineRule="exact"/>
              <w:ind w:right="10"/>
              <w:rPr>
                <w:sz w:val="24"/>
              </w:rPr>
            </w:pPr>
            <w:r>
              <w:rPr>
                <w:sz w:val="24"/>
              </w:rPr>
              <w:t>3</w:t>
            </w:r>
          </w:p>
        </w:tc>
        <w:tc>
          <w:tcPr>
            <w:tcW w:w="1486" w:type="dxa"/>
          </w:tcPr>
          <w:p>
            <w:pPr>
              <w:pStyle w:val="TableParagraph"/>
              <w:spacing w:line="256" w:lineRule="exact"/>
              <w:ind w:left="171" w:right="170"/>
              <w:rPr>
                <w:sz w:val="24"/>
              </w:rPr>
            </w:pPr>
            <w:r>
              <w:rPr>
                <w:spacing w:val="-2"/>
                <w:sz w:val="24"/>
              </w:rPr>
              <w:t>19,640</w:t>
            </w:r>
          </w:p>
        </w:tc>
        <w:tc>
          <w:tcPr>
            <w:tcW w:w="2084" w:type="dxa"/>
          </w:tcPr>
          <w:p>
            <w:pPr>
              <w:pStyle w:val="TableParagraph"/>
              <w:spacing w:line="256" w:lineRule="exact"/>
              <w:ind w:left="176" w:right="139"/>
              <w:rPr>
                <w:sz w:val="24"/>
              </w:rPr>
            </w:pPr>
            <w:r>
              <w:rPr>
                <w:spacing w:val="-2"/>
                <w:sz w:val="24"/>
              </w:rPr>
              <w:t>84.382</w:t>
            </w:r>
          </w:p>
        </w:tc>
      </w:tr>
      <w:tr>
        <w:trPr>
          <w:trHeight w:val="275" w:hRule="atLeast"/>
        </w:trPr>
        <w:tc>
          <w:tcPr>
            <w:tcW w:w="883" w:type="dxa"/>
          </w:tcPr>
          <w:p>
            <w:pPr>
              <w:pStyle w:val="TableParagraph"/>
              <w:spacing w:line="256" w:lineRule="exact"/>
              <w:ind w:right="36"/>
              <w:rPr>
                <w:sz w:val="24"/>
              </w:rPr>
            </w:pPr>
            <w:r>
              <w:rPr>
                <w:sz w:val="24"/>
              </w:rPr>
              <w:t>3</w:t>
            </w:r>
          </w:p>
        </w:tc>
        <w:tc>
          <w:tcPr>
            <w:tcW w:w="1618" w:type="dxa"/>
          </w:tcPr>
          <w:p>
            <w:pPr>
              <w:pStyle w:val="TableParagraph"/>
              <w:spacing w:line="256" w:lineRule="exact"/>
              <w:ind w:left="144" w:right="167"/>
              <w:rPr>
                <w:sz w:val="24"/>
              </w:rPr>
            </w:pPr>
            <w:r>
              <w:rPr>
                <w:sz w:val="24"/>
              </w:rPr>
              <w:t>Manga</w:t>
            </w:r>
            <w:r>
              <w:rPr>
                <w:spacing w:val="-2"/>
                <w:sz w:val="24"/>
              </w:rPr>
              <w:t> </w:t>
            </w:r>
            <w:r>
              <w:rPr>
                <w:spacing w:val="-4"/>
                <w:sz w:val="24"/>
              </w:rPr>
              <w:t>Ushe</w:t>
            </w:r>
          </w:p>
        </w:tc>
        <w:tc>
          <w:tcPr>
            <w:tcW w:w="1569" w:type="dxa"/>
          </w:tcPr>
          <w:p>
            <w:pPr>
              <w:pStyle w:val="TableParagraph"/>
              <w:spacing w:line="256" w:lineRule="exact"/>
              <w:ind w:left="54"/>
              <w:rPr>
                <w:sz w:val="24"/>
              </w:rPr>
            </w:pPr>
            <w:r>
              <w:rPr>
                <w:sz w:val="24"/>
              </w:rPr>
              <w:t>4</w:t>
            </w:r>
          </w:p>
        </w:tc>
        <w:tc>
          <w:tcPr>
            <w:tcW w:w="1618" w:type="dxa"/>
          </w:tcPr>
          <w:p>
            <w:pPr>
              <w:pStyle w:val="TableParagraph"/>
              <w:spacing w:line="256" w:lineRule="exact"/>
              <w:ind w:right="10"/>
              <w:rPr>
                <w:sz w:val="24"/>
              </w:rPr>
            </w:pPr>
            <w:r>
              <w:rPr>
                <w:sz w:val="24"/>
              </w:rPr>
              <w:t>4</w:t>
            </w:r>
          </w:p>
        </w:tc>
        <w:tc>
          <w:tcPr>
            <w:tcW w:w="1486" w:type="dxa"/>
          </w:tcPr>
          <w:p>
            <w:pPr>
              <w:pStyle w:val="TableParagraph"/>
              <w:spacing w:line="256" w:lineRule="exact"/>
              <w:ind w:left="171" w:right="170"/>
              <w:rPr>
                <w:sz w:val="24"/>
              </w:rPr>
            </w:pPr>
            <w:r>
              <w:rPr>
                <w:spacing w:val="-2"/>
                <w:sz w:val="24"/>
              </w:rPr>
              <w:t>28,285</w:t>
            </w:r>
          </w:p>
        </w:tc>
        <w:tc>
          <w:tcPr>
            <w:tcW w:w="2084" w:type="dxa"/>
          </w:tcPr>
          <w:p>
            <w:pPr>
              <w:pStyle w:val="TableParagraph"/>
              <w:spacing w:line="256" w:lineRule="exact"/>
              <w:ind w:left="176" w:right="139"/>
              <w:rPr>
                <w:sz w:val="24"/>
              </w:rPr>
            </w:pPr>
            <w:r>
              <w:rPr>
                <w:spacing w:val="-2"/>
                <w:sz w:val="24"/>
              </w:rPr>
              <w:t>71.535</w:t>
            </w:r>
          </w:p>
        </w:tc>
      </w:tr>
      <w:tr>
        <w:trPr>
          <w:trHeight w:val="275" w:hRule="atLeast"/>
        </w:trPr>
        <w:tc>
          <w:tcPr>
            <w:tcW w:w="883" w:type="dxa"/>
          </w:tcPr>
          <w:p>
            <w:pPr>
              <w:pStyle w:val="TableParagraph"/>
              <w:spacing w:line="256" w:lineRule="exact"/>
              <w:ind w:right="36"/>
              <w:rPr>
                <w:sz w:val="24"/>
              </w:rPr>
            </w:pPr>
            <w:r>
              <w:rPr>
                <w:sz w:val="24"/>
              </w:rPr>
              <w:t>4</w:t>
            </w:r>
          </w:p>
        </w:tc>
        <w:tc>
          <w:tcPr>
            <w:tcW w:w="1618" w:type="dxa"/>
          </w:tcPr>
          <w:p>
            <w:pPr>
              <w:pStyle w:val="TableParagraph"/>
              <w:spacing w:line="256" w:lineRule="exact"/>
              <w:ind w:left="143" w:right="167"/>
              <w:rPr>
                <w:sz w:val="24"/>
              </w:rPr>
            </w:pPr>
            <w:r>
              <w:rPr>
                <w:sz w:val="24"/>
              </w:rPr>
              <w:t>Rafin</w:t>
            </w:r>
            <w:r>
              <w:rPr>
                <w:spacing w:val="-3"/>
                <w:sz w:val="24"/>
              </w:rPr>
              <w:t> </w:t>
            </w:r>
            <w:r>
              <w:rPr>
                <w:spacing w:val="-4"/>
                <w:sz w:val="24"/>
              </w:rPr>
              <w:t>Zuru</w:t>
            </w:r>
          </w:p>
        </w:tc>
        <w:tc>
          <w:tcPr>
            <w:tcW w:w="1569" w:type="dxa"/>
          </w:tcPr>
          <w:p>
            <w:pPr>
              <w:pStyle w:val="TableParagraph"/>
              <w:spacing w:line="256" w:lineRule="exact"/>
              <w:ind w:left="54"/>
              <w:rPr>
                <w:sz w:val="24"/>
              </w:rPr>
            </w:pPr>
            <w:r>
              <w:rPr>
                <w:sz w:val="24"/>
              </w:rPr>
              <w:t>6</w:t>
            </w:r>
          </w:p>
        </w:tc>
        <w:tc>
          <w:tcPr>
            <w:tcW w:w="1618" w:type="dxa"/>
          </w:tcPr>
          <w:p>
            <w:pPr>
              <w:pStyle w:val="TableParagraph"/>
              <w:spacing w:line="256" w:lineRule="exact"/>
              <w:ind w:right="10"/>
              <w:rPr>
                <w:sz w:val="24"/>
              </w:rPr>
            </w:pPr>
            <w:r>
              <w:rPr>
                <w:sz w:val="24"/>
              </w:rPr>
              <w:t>1</w:t>
            </w:r>
          </w:p>
        </w:tc>
        <w:tc>
          <w:tcPr>
            <w:tcW w:w="1486" w:type="dxa"/>
          </w:tcPr>
          <w:p>
            <w:pPr>
              <w:pStyle w:val="TableParagraph"/>
              <w:spacing w:line="256" w:lineRule="exact"/>
              <w:ind w:left="171" w:right="170"/>
              <w:rPr>
                <w:sz w:val="24"/>
              </w:rPr>
            </w:pPr>
            <w:r>
              <w:rPr>
                <w:spacing w:val="-2"/>
                <w:sz w:val="24"/>
              </w:rPr>
              <w:t>26,550</w:t>
            </w:r>
          </w:p>
        </w:tc>
        <w:tc>
          <w:tcPr>
            <w:tcW w:w="2084" w:type="dxa"/>
          </w:tcPr>
          <w:p>
            <w:pPr>
              <w:pStyle w:val="TableParagraph"/>
              <w:spacing w:line="256" w:lineRule="exact"/>
              <w:ind w:left="176" w:right="139"/>
              <w:rPr>
                <w:sz w:val="24"/>
              </w:rPr>
            </w:pPr>
            <w:r>
              <w:rPr>
                <w:spacing w:val="-2"/>
                <w:sz w:val="24"/>
              </w:rPr>
              <w:t>23.642</w:t>
            </w:r>
          </w:p>
        </w:tc>
      </w:tr>
      <w:tr>
        <w:trPr>
          <w:trHeight w:val="275" w:hRule="atLeast"/>
        </w:trPr>
        <w:tc>
          <w:tcPr>
            <w:tcW w:w="883" w:type="dxa"/>
          </w:tcPr>
          <w:p>
            <w:pPr>
              <w:pStyle w:val="TableParagraph"/>
              <w:spacing w:line="256" w:lineRule="exact"/>
              <w:ind w:right="36"/>
              <w:rPr>
                <w:sz w:val="24"/>
              </w:rPr>
            </w:pPr>
            <w:r>
              <w:rPr>
                <w:sz w:val="24"/>
              </w:rPr>
              <w:t>5</w:t>
            </w:r>
          </w:p>
        </w:tc>
        <w:tc>
          <w:tcPr>
            <w:tcW w:w="1618" w:type="dxa"/>
          </w:tcPr>
          <w:p>
            <w:pPr>
              <w:pStyle w:val="TableParagraph"/>
              <w:spacing w:line="256" w:lineRule="exact"/>
              <w:ind w:left="147" w:right="167"/>
              <w:rPr>
                <w:sz w:val="24"/>
              </w:rPr>
            </w:pPr>
            <w:r>
              <w:rPr>
                <w:spacing w:val="-2"/>
                <w:sz w:val="24"/>
              </w:rPr>
              <w:t>Rikoto</w:t>
            </w:r>
          </w:p>
        </w:tc>
        <w:tc>
          <w:tcPr>
            <w:tcW w:w="1569" w:type="dxa"/>
          </w:tcPr>
          <w:p>
            <w:pPr>
              <w:pStyle w:val="TableParagraph"/>
              <w:spacing w:line="256" w:lineRule="exact"/>
              <w:ind w:left="54"/>
              <w:rPr>
                <w:sz w:val="24"/>
              </w:rPr>
            </w:pPr>
            <w:r>
              <w:rPr>
                <w:sz w:val="24"/>
              </w:rPr>
              <w:t>3</w:t>
            </w:r>
          </w:p>
        </w:tc>
        <w:tc>
          <w:tcPr>
            <w:tcW w:w="1618" w:type="dxa"/>
          </w:tcPr>
          <w:p>
            <w:pPr>
              <w:pStyle w:val="TableParagraph"/>
              <w:spacing w:line="256" w:lineRule="exact"/>
              <w:ind w:right="10"/>
              <w:rPr>
                <w:sz w:val="24"/>
              </w:rPr>
            </w:pPr>
            <w:r>
              <w:rPr>
                <w:sz w:val="24"/>
              </w:rPr>
              <w:t>1</w:t>
            </w:r>
          </w:p>
        </w:tc>
        <w:tc>
          <w:tcPr>
            <w:tcW w:w="1486" w:type="dxa"/>
          </w:tcPr>
          <w:p>
            <w:pPr>
              <w:pStyle w:val="TableParagraph"/>
              <w:spacing w:line="256" w:lineRule="exact"/>
              <w:ind w:left="171" w:right="170"/>
              <w:rPr>
                <w:sz w:val="24"/>
              </w:rPr>
            </w:pPr>
            <w:r>
              <w:rPr>
                <w:spacing w:val="-2"/>
                <w:sz w:val="24"/>
              </w:rPr>
              <w:t>32,910</w:t>
            </w:r>
          </w:p>
        </w:tc>
        <w:tc>
          <w:tcPr>
            <w:tcW w:w="2084" w:type="dxa"/>
          </w:tcPr>
          <w:p>
            <w:pPr>
              <w:pStyle w:val="TableParagraph"/>
              <w:spacing w:line="256" w:lineRule="exact"/>
              <w:ind w:left="176" w:right="139"/>
              <w:rPr>
                <w:sz w:val="24"/>
              </w:rPr>
            </w:pPr>
            <w:r>
              <w:rPr>
                <w:spacing w:val="-2"/>
                <w:sz w:val="24"/>
              </w:rPr>
              <w:t>18.032</w:t>
            </w:r>
          </w:p>
        </w:tc>
      </w:tr>
      <w:tr>
        <w:trPr>
          <w:trHeight w:val="516" w:hRule="atLeast"/>
        </w:trPr>
        <w:tc>
          <w:tcPr>
            <w:tcW w:w="883" w:type="dxa"/>
            <w:tcBorders>
              <w:bottom w:val="single" w:sz="4" w:space="0" w:color="000000"/>
            </w:tcBorders>
          </w:tcPr>
          <w:p>
            <w:pPr>
              <w:pStyle w:val="TableParagraph"/>
              <w:spacing w:line="271" w:lineRule="exact"/>
              <w:ind w:right="36"/>
              <w:rPr>
                <w:sz w:val="24"/>
              </w:rPr>
            </w:pPr>
            <w:r>
              <w:rPr>
                <w:sz w:val="24"/>
              </w:rPr>
              <w:t>6</w:t>
            </w:r>
          </w:p>
        </w:tc>
        <w:tc>
          <w:tcPr>
            <w:tcW w:w="1618" w:type="dxa"/>
            <w:tcBorders>
              <w:bottom w:val="single" w:sz="4" w:space="0" w:color="000000"/>
            </w:tcBorders>
          </w:tcPr>
          <w:p>
            <w:pPr>
              <w:pStyle w:val="TableParagraph"/>
              <w:spacing w:line="271" w:lineRule="exact"/>
              <w:ind w:left="146" w:right="167"/>
              <w:rPr>
                <w:sz w:val="24"/>
              </w:rPr>
            </w:pPr>
            <w:r>
              <w:rPr>
                <w:spacing w:val="-2"/>
                <w:sz w:val="24"/>
              </w:rPr>
              <w:t>Tadurga</w:t>
            </w:r>
          </w:p>
        </w:tc>
        <w:tc>
          <w:tcPr>
            <w:tcW w:w="1569" w:type="dxa"/>
            <w:tcBorders>
              <w:bottom w:val="single" w:sz="4" w:space="0" w:color="000000"/>
            </w:tcBorders>
          </w:tcPr>
          <w:p>
            <w:pPr>
              <w:pStyle w:val="TableParagraph"/>
              <w:spacing w:line="271" w:lineRule="exact"/>
              <w:ind w:left="54"/>
              <w:rPr>
                <w:sz w:val="24"/>
              </w:rPr>
            </w:pPr>
            <w:r>
              <w:rPr>
                <w:sz w:val="24"/>
              </w:rPr>
              <w:t>1</w:t>
            </w:r>
          </w:p>
        </w:tc>
        <w:tc>
          <w:tcPr>
            <w:tcW w:w="1618" w:type="dxa"/>
            <w:tcBorders>
              <w:bottom w:val="single" w:sz="4" w:space="0" w:color="000000"/>
            </w:tcBorders>
          </w:tcPr>
          <w:p>
            <w:pPr>
              <w:pStyle w:val="TableParagraph"/>
              <w:spacing w:line="271" w:lineRule="exact"/>
              <w:ind w:right="10"/>
              <w:rPr>
                <w:sz w:val="24"/>
              </w:rPr>
            </w:pPr>
            <w:r>
              <w:rPr>
                <w:sz w:val="24"/>
              </w:rPr>
              <w:t>1</w:t>
            </w:r>
          </w:p>
        </w:tc>
        <w:tc>
          <w:tcPr>
            <w:tcW w:w="1486" w:type="dxa"/>
            <w:tcBorders>
              <w:bottom w:val="single" w:sz="4" w:space="0" w:color="000000"/>
            </w:tcBorders>
          </w:tcPr>
          <w:p>
            <w:pPr>
              <w:pStyle w:val="TableParagraph"/>
              <w:spacing w:line="271" w:lineRule="exact"/>
              <w:ind w:left="171" w:right="170"/>
              <w:rPr>
                <w:sz w:val="24"/>
              </w:rPr>
            </w:pPr>
            <w:r>
              <w:rPr>
                <w:spacing w:val="-2"/>
                <w:sz w:val="24"/>
              </w:rPr>
              <w:t>13,810</w:t>
            </w:r>
          </w:p>
        </w:tc>
        <w:tc>
          <w:tcPr>
            <w:tcW w:w="2084" w:type="dxa"/>
            <w:tcBorders>
              <w:bottom w:val="single" w:sz="4" w:space="0" w:color="000000"/>
            </w:tcBorders>
          </w:tcPr>
          <w:p>
            <w:pPr>
              <w:pStyle w:val="TableParagraph"/>
              <w:spacing w:line="271" w:lineRule="exact"/>
              <w:ind w:left="176" w:right="139"/>
              <w:rPr>
                <w:sz w:val="24"/>
              </w:rPr>
            </w:pPr>
            <w:r>
              <w:rPr>
                <w:spacing w:val="-2"/>
                <w:sz w:val="24"/>
              </w:rPr>
              <w:t>114.828</w:t>
            </w:r>
          </w:p>
        </w:tc>
      </w:tr>
      <w:tr>
        <w:trPr>
          <w:trHeight w:val="352" w:hRule="atLeast"/>
        </w:trPr>
        <w:tc>
          <w:tcPr>
            <w:tcW w:w="883" w:type="dxa"/>
            <w:tcBorders>
              <w:top w:val="single" w:sz="4" w:space="0" w:color="000000"/>
              <w:bottom w:val="single" w:sz="8" w:space="0" w:color="000000"/>
            </w:tcBorders>
          </w:tcPr>
          <w:p>
            <w:pPr>
              <w:pStyle w:val="TableParagraph"/>
              <w:spacing w:line="273" w:lineRule="exact"/>
              <w:ind w:left="135" w:right="171"/>
              <w:rPr>
                <w:b/>
                <w:sz w:val="24"/>
              </w:rPr>
            </w:pPr>
            <w:r>
              <w:rPr>
                <w:b/>
                <w:spacing w:val="-2"/>
                <w:sz w:val="24"/>
              </w:rPr>
              <w:t>Total</w:t>
            </w:r>
          </w:p>
        </w:tc>
        <w:tc>
          <w:tcPr>
            <w:tcW w:w="1618" w:type="dxa"/>
            <w:tcBorders>
              <w:top w:val="single" w:sz="4" w:space="0" w:color="000000"/>
              <w:bottom w:val="single" w:sz="8" w:space="0" w:color="000000"/>
            </w:tcBorders>
          </w:tcPr>
          <w:p>
            <w:pPr>
              <w:pStyle w:val="TableParagraph"/>
              <w:jc w:val="left"/>
              <w:rPr>
                <w:sz w:val="22"/>
              </w:rPr>
            </w:pPr>
          </w:p>
        </w:tc>
        <w:tc>
          <w:tcPr>
            <w:tcW w:w="1569" w:type="dxa"/>
            <w:tcBorders>
              <w:top w:val="single" w:sz="4" w:space="0" w:color="000000"/>
              <w:bottom w:val="single" w:sz="8" w:space="0" w:color="000000"/>
            </w:tcBorders>
          </w:tcPr>
          <w:p>
            <w:pPr>
              <w:pStyle w:val="TableParagraph"/>
              <w:spacing w:line="268" w:lineRule="exact"/>
              <w:ind w:left="201" w:right="147"/>
              <w:rPr>
                <w:sz w:val="24"/>
              </w:rPr>
            </w:pPr>
            <w:r>
              <w:rPr>
                <w:spacing w:val="-5"/>
                <w:sz w:val="24"/>
              </w:rPr>
              <w:t>26</w:t>
            </w:r>
          </w:p>
        </w:tc>
        <w:tc>
          <w:tcPr>
            <w:tcW w:w="1618" w:type="dxa"/>
            <w:tcBorders>
              <w:top w:val="single" w:sz="4" w:space="0" w:color="000000"/>
              <w:bottom w:val="single" w:sz="8" w:space="0" w:color="000000"/>
            </w:tcBorders>
          </w:tcPr>
          <w:p>
            <w:pPr>
              <w:pStyle w:val="TableParagraph"/>
              <w:spacing w:line="268" w:lineRule="exact"/>
              <w:ind w:left="152" w:right="162"/>
              <w:rPr>
                <w:sz w:val="24"/>
              </w:rPr>
            </w:pPr>
            <w:r>
              <w:rPr>
                <w:spacing w:val="-5"/>
                <w:sz w:val="24"/>
              </w:rPr>
              <w:t>14</w:t>
            </w:r>
          </w:p>
        </w:tc>
        <w:tc>
          <w:tcPr>
            <w:tcW w:w="1486" w:type="dxa"/>
            <w:tcBorders>
              <w:top w:val="single" w:sz="4" w:space="0" w:color="000000"/>
              <w:bottom w:val="single" w:sz="8" w:space="0" w:color="000000"/>
            </w:tcBorders>
          </w:tcPr>
          <w:p>
            <w:pPr>
              <w:pStyle w:val="TableParagraph"/>
              <w:spacing w:line="268" w:lineRule="exact"/>
              <w:ind w:left="171" w:right="170"/>
              <w:rPr>
                <w:sz w:val="24"/>
              </w:rPr>
            </w:pPr>
            <w:r>
              <w:rPr>
                <w:spacing w:val="-2"/>
                <w:sz w:val="24"/>
              </w:rPr>
              <w:t>152,250</w:t>
            </w:r>
          </w:p>
        </w:tc>
        <w:tc>
          <w:tcPr>
            <w:tcW w:w="2084" w:type="dxa"/>
            <w:tcBorders>
              <w:top w:val="single" w:sz="4" w:space="0" w:color="000000"/>
              <w:bottom w:val="single" w:sz="8" w:space="0" w:color="000000"/>
            </w:tcBorders>
          </w:tcPr>
          <w:p>
            <w:pPr>
              <w:pStyle w:val="TableParagraph"/>
              <w:spacing w:line="268" w:lineRule="exact"/>
              <w:ind w:left="176" w:right="139"/>
              <w:rPr>
                <w:sz w:val="24"/>
              </w:rPr>
            </w:pPr>
            <w:r>
              <w:rPr>
                <w:spacing w:val="-2"/>
                <w:sz w:val="24"/>
              </w:rPr>
              <w:t>394.153</w:t>
            </w:r>
          </w:p>
        </w:tc>
      </w:tr>
    </w:tbl>
    <w:p>
      <w:pPr>
        <w:pStyle w:val="BodyText"/>
        <w:spacing w:line="360" w:lineRule="auto"/>
        <w:ind w:left="240" w:right="1553"/>
        <w:jc w:val="both"/>
      </w:pPr>
      <w:r>
        <w:rPr/>
        <w:t>Source:</w:t>
      </w:r>
      <w:r>
        <w:rPr>
          <w:spacing w:val="-1"/>
        </w:rPr>
        <w:t> </w:t>
      </w:r>
      <w:r>
        <w:rPr/>
        <w:t>Zuru</w:t>
      </w:r>
      <w:r>
        <w:rPr>
          <w:spacing w:val="-3"/>
        </w:rPr>
        <w:t> </w:t>
      </w:r>
      <w:r>
        <w:rPr/>
        <w:t>LGA</w:t>
      </w:r>
      <w:r>
        <w:rPr>
          <w:spacing w:val="-5"/>
        </w:rPr>
        <w:t> </w:t>
      </w:r>
      <w:r>
        <w:rPr/>
        <w:t>Primary</w:t>
      </w:r>
      <w:r>
        <w:rPr>
          <w:spacing w:val="-7"/>
        </w:rPr>
        <w:t> </w:t>
      </w:r>
      <w:r>
        <w:rPr/>
        <w:t>Health</w:t>
      </w:r>
      <w:r>
        <w:rPr>
          <w:spacing w:val="-4"/>
        </w:rPr>
        <w:t> </w:t>
      </w:r>
      <w:r>
        <w:rPr/>
        <w:t>Centre</w:t>
      </w:r>
      <w:r>
        <w:rPr>
          <w:spacing w:val="-4"/>
        </w:rPr>
        <w:t> </w:t>
      </w:r>
      <w:r>
        <w:rPr/>
        <w:t>Head</w:t>
      </w:r>
      <w:r>
        <w:rPr>
          <w:spacing w:val="-2"/>
        </w:rPr>
        <w:t> </w:t>
      </w:r>
      <w:r>
        <w:rPr/>
        <w:t>Office</w:t>
      </w:r>
      <w:r>
        <w:rPr>
          <w:spacing w:val="-3"/>
        </w:rPr>
        <w:t> </w:t>
      </w:r>
      <w:r>
        <w:rPr/>
        <w:t>(2019),</w:t>
      </w:r>
      <w:r>
        <w:rPr>
          <w:spacing w:val="-4"/>
        </w:rPr>
        <w:t> </w:t>
      </w:r>
      <w:r>
        <w:rPr/>
        <w:t>and</w:t>
      </w:r>
      <w:r>
        <w:rPr>
          <w:spacing w:val="-4"/>
        </w:rPr>
        <w:t> </w:t>
      </w:r>
      <w:r>
        <w:rPr/>
        <w:t>Researcher’s Computation (2020)</w:t>
      </w:r>
    </w:p>
    <w:p>
      <w:pPr>
        <w:pStyle w:val="BodyText"/>
        <w:spacing w:line="480" w:lineRule="auto" w:before="195"/>
        <w:ind w:left="240" w:right="273"/>
        <w:jc w:val="both"/>
      </w:pPr>
      <w:r>
        <w:rPr/>
        <w:t>The LQ model on the order hand sorts to measure the share of a ward in relation to the designated area for this study. The LQ was determined by using population and land area as denominators in the index. The summation of the number of PPSs and PHCs, ward</w:t>
      </w:r>
      <w:r>
        <w:rPr>
          <w:spacing w:val="40"/>
        </w:rPr>
        <w:t> </w:t>
      </w:r>
      <w:r>
        <w:rPr/>
        <w:t>population land area represents the larger data of the study area in Table 4.3. Wards like Tadurga have less population and a very large land area while Rikoto have the largest population and the smallest land area. Hence, spatial inequality must be determined based on both factors (population and land area).</w:t>
      </w:r>
    </w:p>
    <w:p>
      <w:pPr>
        <w:pStyle w:val="Heading1"/>
        <w:numPr>
          <w:ilvl w:val="2"/>
          <w:numId w:val="8"/>
        </w:numPr>
        <w:tabs>
          <w:tab w:pos="959" w:val="left" w:leader="none"/>
        </w:tabs>
        <w:spacing w:line="240" w:lineRule="auto" w:before="204" w:after="0"/>
        <w:ind w:left="959" w:right="0" w:hanging="719"/>
        <w:jc w:val="both"/>
      </w:pPr>
      <w:r>
        <w:rPr/>
        <w:t>Test</w:t>
      </w:r>
      <w:r>
        <w:rPr>
          <w:spacing w:val="-1"/>
        </w:rPr>
        <w:t> </w:t>
      </w:r>
      <w:r>
        <w:rPr/>
        <w:t>of </w:t>
      </w:r>
      <w:r>
        <w:rPr>
          <w:spacing w:val="-2"/>
        </w:rPr>
        <w:t>hypothesis</w:t>
      </w:r>
    </w:p>
    <w:p>
      <w:pPr>
        <w:pStyle w:val="BodyText"/>
        <w:spacing w:before="7"/>
        <w:rPr>
          <w:b/>
          <w:sz w:val="23"/>
        </w:rPr>
      </w:pPr>
    </w:p>
    <w:p>
      <w:pPr>
        <w:pStyle w:val="BodyText"/>
        <w:spacing w:line="480" w:lineRule="auto"/>
        <w:ind w:left="240" w:right="282"/>
        <w:jc w:val="both"/>
      </w:pPr>
      <w:r>
        <w:rPr/>
        <w:t>The count of social infrastructure was used to test for significant relationship. The count in this regard referred to the number of existing infrastructure (either PPSs or PHCs) in a particular ward. The null hypothesis is as follows;</w:t>
      </w:r>
    </w:p>
    <w:p>
      <w:pPr>
        <w:pStyle w:val="BodyText"/>
        <w:spacing w:line="480" w:lineRule="auto" w:before="199"/>
        <w:ind w:left="240" w:right="280"/>
        <w:jc w:val="both"/>
      </w:pPr>
      <w:r>
        <w:rPr>
          <w:position w:val="2"/>
        </w:rPr>
        <w:t>H</w:t>
      </w:r>
      <w:r>
        <w:rPr>
          <w:sz w:val="16"/>
        </w:rPr>
        <w:t>o</w:t>
      </w:r>
      <w:r>
        <w:rPr>
          <w:position w:val="2"/>
        </w:rPr>
        <w:t>: There is no statistical significant relationship between the distribution of social </w:t>
      </w:r>
      <w:r>
        <w:rPr/>
        <w:t>infrastructure and population in Zuru local government.</w:t>
      </w:r>
    </w:p>
    <w:p>
      <w:pPr>
        <w:pStyle w:val="BodyText"/>
        <w:spacing w:line="480" w:lineRule="auto" w:before="200"/>
        <w:ind w:left="240" w:right="275"/>
        <w:jc w:val="both"/>
      </w:pPr>
      <w:r>
        <w:rPr/>
        <w:t>The result of regression analysis is presented in the Table 4.4.</w:t>
      </w:r>
      <w:r>
        <w:rPr>
          <w:spacing w:val="40"/>
        </w:rPr>
        <w:t> </w:t>
      </w:r>
      <w:r>
        <w:rPr/>
        <w:t>The R</w:t>
      </w:r>
      <w:r>
        <w:rPr>
          <w:vertAlign w:val="superscript"/>
        </w:rPr>
        <w:t>2</w:t>
      </w:r>
      <w:r>
        <w:rPr>
          <w:vertAlign w:val="baseline"/>
        </w:rPr>
        <w:t> (correlation of determination) explained the likelihood of an occurring event by the percentage of variation between two independent variables. In the case presented in Table 4.4, the distribution of public</w:t>
      </w:r>
      <w:r>
        <w:rPr>
          <w:spacing w:val="-2"/>
          <w:vertAlign w:val="baseline"/>
        </w:rPr>
        <w:t> </w:t>
      </w:r>
      <w:r>
        <w:rPr>
          <w:vertAlign w:val="baseline"/>
        </w:rPr>
        <w:t>primary</w:t>
      </w:r>
      <w:r>
        <w:rPr>
          <w:spacing w:val="-3"/>
          <w:vertAlign w:val="baseline"/>
        </w:rPr>
        <w:t> </w:t>
      </w:r>
      <w:r>
        <w:rPr>
          <w:vertAlign w:val="baseline"/>
        </w:rPr>
        <w:t>schools</w:t>
      </w:r>
      <w:r>
        <w:rPr>
          <w:spacing w:val="2"/>
          <w:vertAlign w:val="baseline"/>
        </w:rPr>
        <w:t> </w:t>
      </w:r>
      <w:r>
        <w:rPr>
          <w:vertAlign w:val="baseline"/>
        </w:rPr>
        <w:t>(PPSs)</w:t>
      </w:r>
      <w:r>
        <w:rPr>
          <w:spacing w:val="1"/>
          <w:vertAlign w:val="baseline"/>
        </w:rPr>
        <w:t> </w:t>
      </w:r>
      <w:r>
        <w:rPr>
          <w:vertAlign w:val="baseline"/>
        </w:rPr>
        <w:t>and</w:t>
      </w:r>
      <w:r>
        <w:rPr>
          <w:spacing w:val="2"/>
          <w:vertAlign w:val="baseline"/>
        </w:rPr>
        <w:t> </w:t>
      </w:r>
      <w:r>
        <w:rPr>
          <w:vertAlign w:val="baseline"/>
        </w:rPr>
        <w:t>primary</w:t>
      </w:r>
      <w:r>
        <w:rPr>
          <w:spacing w:val="-3"/>
          <w:vertAlign w:val="baseline"/>
        </w:rPr>
        <w:t> </w:t>
      </w:r>
      <w:r>
        <w:rPr>
          <w:vertAlign w:val="baseline"/>
        </w:rPr>
        <w:t>health</w:t>
      </w:r>
      <w:r>
        <w:rPr>
          <w:spacing w:val="3"/>
          <w:vertAlign w:val="baseline"/>
        </w:rPr>
        <w:t> </w:t>
      </w:r>
      <w:r>
        <w:rPr>
          <w:vertAlign w:val="baseline"/>
        </w:rPr>
        <w:t>centres</w:t>
      </w:r>
      <w:r>
        <w:rPr>
          <w:spacing w:val="4"/>
          <w:vertAlign w:val="baseline"/>
        </w:rPr>
        <w:t> </w:t>
      </w:r>
      <w:r>
        <w:rPr>
          <w:vertAlign w:val="baseline"/>
        </w:rPr>
        <w:t>(PHCs)</w:t>
      </w:r>
      <w:r>
        <w:rPr>
          <w:spacing w:val="1"/>
          <w:vertAlign w:val="baseline"/>
        </w:rPr>
        <w:t> </w:t>
      </w:r>
      <w:r>
        <w:rPr>
          <w:vertAlign w:val="baseline"/>
        </w:rPr>
        <w:t>only</w:t>
      </w:r>
      <w:r>
        <w:rPr>
          <w:spacing w:val="-1"/>
          <w:vertAlign w:val="baseline"/>
        </w:rPr>
        <w:t> </w:t>
      </w:r>
      <w:r>
        <w:rPr>
          <w:vertAlign w:val="baseline"/>
        </w:rPr>
        <w:t>explains</w:t>
      </w:r>
      <w:r>
        <w:rPr>
          <w:spacing w:val="2"/>
          <w:vertAlign w:val="baseline"/>
        </w:rPr>
        <w:t> </w:t>
      </w:r>
      <w:r>
        <w:rPr>
          <w:vertAlign w:val="baseline"/>
        </w:rPr>
        <w:t>8.7%</w:t>
      </w:r>
      <w:r>
        <w:rPr>
          <w:spacing w:val="1"/>
          <w:vertAlign w:val="baseline"/>
        </w:rPr>
        <w:t> </w:t>
      </w:r>
      <w:r>
        <w:rPr>
          <w:vertAlign w:val="baseline"/>
        </w:rPr>
        <w:t>(that</w:t>
      </w:r>
      <w:r>
        <w:rPr>
          <w:spacing w:val="2"/>
          <w:vertAlign w:val="baseline"/>
        </w:rPr>
        <w:t> </w:t>
      </w:r>
      <w:r>
        <w:rPr>
          <w:spacing w:val="-5"/>
          <w:vertAlign w:val="baseline"/>
        </w:rPr>
        <w:t>is,</w:t>
      </w:r>
    </w:p>
    <w:p>
      <w:pPr>
        <w:spacing w:after="0" w:line="480" w:lineRule="auto"/>
        <w:jc w:val="both"/>
        <w:sectPr>
          <w:pgSz w:w="11910" w:h="16840"/>
          <w:pgMar w:header="0" w:footer="1003" w:top="1340" w:bottom="1200" w:left="1200" w:right="1160"/>
        </w:sectPr>
      </w:pPr>
    </w:p>
    <w:p>
      <w:pPr>
        <w:pStyle w:val="BodyText"/>
        <w:spacing w:line="482" w:lineRule="auto" w:before="93"/>
        <w:ind w:left="240" w:right="103"/>
      </w:pPr>
      <w:r>
        <w:rPr/>
        <w:t>R</w:t>
      </w:r>
      <w:r>
        <w:rPr>
          <w:vertAlign w:val="superscript"/>
        </w:rPr>
        <w:t>2</w:t>
      </w:r>
      <w:r>
        <w:rPr>
          <w:spacing w:val="64"/>
          <w:vertAlign w:val="baseline"/>
        </w:rPr>
        <w:t> </w:t>
      </w:r>
      <w:r>
        <w:rPr>
          <w:vertAlign w:val="baseline"/>
        </w:rPr>
        <w:t>=</w:t>
      </w:r>
      <w:r>
        <w:rPr>
          <w:spacing w:val="61"/>
          <w:vertAlign w:val="baseline"/>
        </w:rPr>
        <w:t> </w:t>
      </w:r>
      <w:r>
        <w:rPr>
          <w:vertAlign w:val="baseline"/>
        </w:rPr>
        <w:t>0.087)</w:t>
      </w:r>
      <w:r>
        <w:rPr>
          <w:spacing w:val="61"/>
          <w:vertAlign w:val="baseline"/>
        </w:rPr>
        <w:t> </w:t>
      </w:r>
      <w:r>
        <w:rPr>
          <w:vertAlign w:val="baseline"/>
        </w:rPr>
        <w:t>likelihood</w:t>
      </w:r>
      <w:r>
        <w:rPr>
          <w:spacing w:val="62"/>
          <w:vertAlign w:val="baseline"/>
        </w:rPr>
        <w:t> </w:t>
      </w:r>
      <w:r>
        <w:rPr>
          <w:vertAlign w:val="baseline"/>
        </w:rPr>
        <w:t>to</w:t>
      </w:r>
      <w:r>
        <w:rPr>
          <w:spacing w:val="63"/>
          <w:vertAlign w:val="baseline"/>
        </w:rPr>
        <w:t> </w:t>
      </w:r>
      <w:r>
        <w:rPr>
          <w:vertAlign w:val="baseline"/>
        </w:rPr>
        <w:t>be</w:t>
      </w:r>
      <w:r>
        <w:rPr>
          <w:spacing w:val="61"/>
          <w:vertAlign w:val="baseline"/>
        </w:rPr>
        <w:t> </w:t>
      </w:r>
      <w:r>
        <w:rPr>
          <w:vertAlign w:val="baseline"/>
        </w:rPr>
        <w:t>influenced</w:t>
      </w:r>
      <w:r>
        <w:rPr>
          <w:spacing w:val="62"/>
          <w:vertAlign w:val="baseline"/>
        </w:rPr>
        <w:t> </w:t>
      </w:r>
      <w:r>
        <w:rPr>
          <w:vertAlign w:val="baseline"/>
        </w:rPr>
        <w:t>by</w:t>
      </w:r>
      <w:r>
        <w:rPr>
          <w:spacing w:val="40"/>
          <w:vertAlign w:val="baseline"/>
        </w:rPr>
        <w:t> </w:t>
      </w:r>
      <w:r>
        <w:rPr>
          <w:vertAlign w:val="baseline"/>
        </w:rPr>
        <w:t>the</w:t>
      </w:r>
      <w:r>
        <w:rPr>
          <w:spacing w:val="61"/>
          <w:vertAlign w:val="baseline"/>
        </w:rPr>
        <w:t> </w:t>
      </w:r>
      <w:r>
        <w:rPr>
          <w:vertAlign w:val="baseline"/>
        </w:rPr>
        <w:t>population</w:t>
      </w:r>
      <w:r>
        <w:rPr>
          <w:spacing w:val="63"/>
          <w:vertAlign w:val="baseline"/>
        </w:rPr>
        <w:t> </w:t>
      </w:r>
      <w:r>
        <w:rPr>
          <w:vertAlign w:val="baseline"/>
        </w:rPr>
        <w:t>of</w:t>
      </w:r>
      <w:r>
        <w:rPr>
          <w:spacing w:val="61"/>
          <w:vertAlign w:val="baseline"/>
        </w:rPr>
        <w:t> </w:t>
      </w:r>
      <w:r>
        <w:rPr>
          <w:vertAlign w:val="baseline"/>
        </w:rPr>
        <w:t>wards</w:t>
      </w:r>
      <w:r>
        <w:rPr>
          <w:spacing w:val="64"/>
          <w:vertAlign w:val="baseline"/>
        </w:rPr>
        <w:t> </w:t>
      </w:r>
      <w:r>
        <w:rPr>
          <w:vertAlign w:val="baseline"/>
        </w:rPr>
        <w:t>within</w:t>
      </w:r>
      <w:r>
        <w:rPr>
          <w:spacing w:val="62"/>
          <w:vertAlign w:val="baseline"/>
        </w:rPr>
        <w:t> </w:t>
      </w:r>
      <w:r>
        <w:rPr>
          <w:vertAlign w:val="baseline"/>
        </w:rPr>
        <w:t>Zuru</w:t>
      </w:r>
      <w:r>
        <w:rPr>
          <w:spacing w:val="61"/>
          <w:vertAlign w:val="baseline"/>
        </w:rPr>
        <w:t> </w:t>
      </w:r>
      <w:r>
        <w:rPr>
          <w:vertAlign w:val="baseline"/>
        </w:rPr>
        <w:t>local government area.</w:t>
      </w:r>
    </w:p>
    <w:p>
      <w:pPr>
        <w:pStyle w:val="BodyText"/>
        <w:spacing w:before="5"/>
        <w:rPr>
          <w:sz w:val="18"/>
        </w:rPr>
      </w:pPr>
    </w:p>
    <w:tbl>
      <w:tblPr>
        <w:tblW w:w="0" w:type="auto"/>
        <w:jc w:val="left"/>
        <w:tblInd w:w="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6"/>
        <w:gridCol w:w="1153"/>
        <w:gridCol w:w="1378"/>
        <w:gridCol w:w="1039"/>
        <w:gridCol w:w="1325"/>
        <w:gridCol w:w="1713"/>
        <w:gridCol w:w="745"/>
        <w:gridCol w:w="825"/>
      </w:tblGrid>
      <w:tr>
        <w:trPr>
          <w:trHeight w:val="283" w:hRule="atLeast"/>
        </w:trPr>
        <w:tc>
          <w:tcPr>
            <w:tcW w:w="9034" w:type="dxa"/>
            <w:gridSpan w:val="8"/>
          </w:tcPr>
          <w:p>
            <w:pPr>
              <w:pStyle w:val="TableParagraph"/>
              <w:spacing w:line="263" w:lineRule="exact"/>
              <w:ind w:left="28"/>
              <w:jc w:val="left"/>
              <w:rPr>
                <w:b/>
                <w:sz w:val="24"/>
              </w:rPr>
            </w:pPr>
            <w:r>
              <w:rPr>
                <w:b/>
                <w:sz w:val="24"/>
              </w:rPr>
              <w:t>Table</w:t>
            </w:r>
            <w:r>
              <w:rPr>
                <w:b/>
                <w:spacing w:val="-2"/>
                <w:sz w:val="24"/>
              </w:rPr>
              <w:t> </w:t>
            </w:r>
            <w:r>
              <w:rPr>
                <w:b/>
                <w:sz w:val="24"/>
              </w:rPr>
              <w:t>4.4:</w:t>
            </w:r>
            <w:r>
              <w:rPr>
                <w:b/>
                <w:spacing w:val="-3"/>
                <w:sz w:val="24"/>
              </w:rPr>
              <w:t> </w:t>
            </w:r>
            <w:r>
              <w:rPr>
                <w:b/>
                <w:sz w:val="24"/>
              </w:rPr>
              <w:t>Regression Model</w:t>
            </w:r>
            <w:r>
              <w:rPr>
                <w:b/>
                <w:spacing w:val="-1"/>
                <w:sz w:val="24"/>
              </w:rPr>
              <w:t> </w:t>
            </w:r>
            <w:r>
              <w:rPr>
                <w:b/>
                <w:spacing w:val="-2"/>
                <w:sz w:val="24"/>
              </w:rPr>
              <w:t>Summary</w:t>
            </w:r>
          </w:p>
        </w:tc>
      </w:tr>
      <w:tr>
        <w:trPr>
          <w:trHeight w:val="491" w:hRule="atLeast"/>
        </w:trPr>
        <w:tc>
          <w:tcPr>
            <w:tcW w:w="856" w:type="dxa"/>
            <w:tcBorders>
              <w:top w:val="single" w:sz="6" w:space="0" w:color="000000"/>
              <w:bottom w:val="single" w:sz="6" w:space="0" w:color="000000"/>
            </w:tcBorders>
          </w:tcPr>
          <w:p>
            <w:pPr>
              <w:pStyle w:val="TableParagraph"/>
              <w:spacing w:line="275" w:lineRule="exact"/>
              <w:ind w:left="189"/>
              <w:jc w:val="left"/>
              <w:rPr>
                <w:b/>
                <w:sz w:val="24"/>
              </w:rPr>
            </w:pPr>
            <w:r>
              <w:rPr>
                <w:b/>
                <w:spacing w:val="-2"/>
                <w:sz w:val="24"/>
              </w:rPr>
              <w:t>Model</w:t>
            </w:r>
          </w:p>
        </w:tc>
        <w:tc>
          <w:tcPr>
            <w:tcW w:w="1153" w:type="dxa"/>
            <w:tcBorders>
              <w:top w:val="single" w:sz="6" w:space="0" w:color="000000"/>
              <w:bottom w:val="single" w:sz="6" w:space="0" w:color="000000"/>
            </w:tcBorders>
          </w:tcPr>
          <w:p>
            <w:pPr>
              <w:pStyle w:val="TableParagraph"/>
              <w:spacing w:line="275" w:lineRule="exact"/>
              <w:ind w:left="29"/>
              <w:rPr>
                <w:b/>
                <w:sz w:val="24"/>
              </w:rPr>
            </w:pPr>
            <w:r>
              <w:rPr>
                <w:b/>
                <w:sz w:val="24"/>
              </w:rPr>
              <w:t>R</w:t>
            </w:r>
          </w:p>
        </w:tc>
        <w:tc>
          <w:tcPr>
            <w:tcW w:w="1378" w:type="dxa"/>
            <w:tcBorders>
              <w:top w:val="single" w:sz="6" w:space="0" w:color="000000"/>
              <w:bottom w:val="single" w:sz="6" w:space="0" w:color="000000"/>
            </w:tcBorders>
          </w:tcPr>
          <w:p>
            <w:pPr>
              <w:pStyle w:val="TableParagraph"/>
              <w:spacing w:line="275" w:lineRule="exact"/>
              <w:ind w:left="165"/>
              <w:jc w:val="left"/>
              <w:rPr>
                <w:b/>
                <w:sz w:val="24"/>
              </w:rPr>
            </w:pPr>
            <w:r>
              <w:rPr>
                <w:b/>
                <w:spacing w:val="-5"/>
                <w:sz w:val="24"/>
              </w:rPr>
              <w:t>R²</w:t>
            </w:r>
          </w:p>
        </w:tc>
        <w:tc>
          <w:tcPr>
            <w:tcW w:w="2364" w:type="dxa"/>
            <w:gridSpan w:val="2"/>
            <w:tcBorders>
              <w:top w:val="single" w:sz="6" w:space="0" w:color="000000"/>
              <w:bottom w:val="single" w:sz="6" w:space="0" w:color="000000"/>
            </w:tcBorders>
          </w:tcPr>
          <w:p>
            <w:pPr>
              <w:pStyle w:val="TableParagraph"/>
              <w:spacing w:line="275" w:lineRule="exact"/>
              <w:ind w:left="-10"/>
              <w:jc w:val="left"/>
              <w:rPr>
                <w:b/>
                <w:sz w:val="24"/>
              </w:rPr>
            </w:pPr>
            <w:r>
              <w:rPr>
                <w:b/>
                <w:sz w:val="24"/>
              </w:rPr>
              <w:t>Adjusted</w:t>
            </w:r>
            <w:r>
              <w:rPr>
                <w:b/>
                <w:spacing w:val="-2"/>
                <w:sz w:val="24"/>
              </w:rPr>
              <w:t> </w:t>
            </w:r>
            <w:r>
              <w:rPr>
                <w:b/>
                <w:spacing w:val="-5"/>
                <w:sz w:val="24"/>
              </w:rPr>
              <w:t>R²</w:t>
            </w:r>
          </w:p>
        </w:tc>
        <w:tc>
          <w:tcPr>
            <w:tcW w:w="1713" w:type="dxa"/>
            <w:tcBorders>
              <w:top w:val="single" w:sz="6" w:space="0" w:color="000000"/>
              <w:bottom w:val="single" w:sz="6" w:space="0" w:color="000000"/>
            </w:tcBorders>
          </w:tcPr>
          <w:p>
            <w:pPr>
              <w:pStyle w:val="TableParagraph"/>
              <w:spacing w:line="275" w:lineRule="exact"/>
              <w:ind w:left="824"/>
              <w:jc w:val="left"/>
              <w:rPr>
                <w:b/>
                <w:sz w:val="24"/>
              </w:rPr>
            </w:pPr>
            <w:r>
              <w:rPr>
                <w:b/>
                <w:spacing w:val="-4"/>
                <w:sz w:val="24"/>
              </w:rPr>
              <w:t>RMSE</w:t>
            </w:r>
          </w:p>
        </w:tc>
        <w:tc>
          <w:tcPr>
            <w:tcW w:w="745" w:type="dxa"/>
            <w:tcBorders>
              <w:top w:val="single" w:sz="6" w:space="0" w:color="000000"/>
              <w:bottom w:val="single" w:sz="6" w:space="0" w:color="000000"/>
            </w:tcBorders>
          </w:tcPr>
          <w:p>
            <w:pPr>
              <w:pStyle w:val="TableParagraph"/>
              <w:jc w:val="left"/>
              <w:rPr>
                <w:sz w:val="22"/>
              </w:rPr>
            </w:pPr>
          </w:p>
        </w:tc>
        <w:tc>
          <w:tcPr>
            <w:tcW w:w="825" w:type="dxa"/>
            <w:tcBorders>
              <w:top w:val="single" w:sz="6" w:space="0" w:color="000000"/>
              <w:bottom w:val="single" w:sz="6" w:space="0" w:color="000000"/>
            </w:tcBorders>
          </w:tcPr>
          <w:p>
            <w:pPr>
              <w:pStyle w:val="TableParagraph"/>
              <w:jc w:val="left"/>
              <w:rPr>
                <w:sz w:val="22"/>
              </w:rPr>
            </w:pPr>
          </w:p>
        </w:tc>
      </w:tr>
      <w:tr>
        <w:trPr>
          <w:trHeight w:val="519" w:hRule="atLeast"/>
        </w:trPr>
        <w:tc>
          <w:tcPr>
            <w:tcW w:w="856" w:type="dxa"/>
            <w:tcBorders>
              <w:top w:val="single" w:sz="6" w:space="0" w:color="000000"/>
              <w:bottom w:val="single" w:sz="12" w:space="0" w:color="000000"/>
            </w:tcBorders>
          </w:tcPr>
          <w:p>
            <w:pPr>
              <w:pStyle w:val="TableParagraph"/>
              <w:spacing w:line="270" w:lineRule="exact"/>
              <w:ind w:left="242"/>
              <w:jc w:val="left"/>
              <w:rPr>
                <w:sz w:val="24"/>
              </w:rPr>
            </w:pPr>
            <w:r>
              <w:rPr>
                <w:sz w:val="24"/>
              </w:rPr>
              <w:t>1</w:t>
            </w:r>
          </w:p>
        </w:tc>
        <w:tc>
          <w:tcPr>
            <w:tcW w:w="1153" w:type="dxa"/>
            <w:tcBorders>
              <w:top w:val="single" w:sz="6" w:space="0" w:color="000000"/>
              <w:bottom w:val="single" w:sz="12" w:space="0" w:color="000000"/>
            </w:tcBorders>
          </w:tcPr>
          <w:p>
            <w:pPr>
              <w:pStyle w:val="TableParagraph"/>
              <w:spacing w:line="270" w:lineRule="exact"/>
              <w:ind w:left="247"/>
              <w:jc w:val="left"/>
              <w:rPr>
                <w:sz w:val="24"/>
              </w:rPr>
            </w:pPr>
            <w:r>
              <w:rPr>
                <w:spacing w:val="-2"/>
                <w:sz w:val="24"/>
              </w:rPr>
              <w:t>0.295</w:t>
            </w:r>
          </w:p>
        </w:tc>
        <w:tc>
          <w:tcPr>
            <w:tcW w:w="1378" w:type="dxa"/>
            <w:tcBorders>
              <w:top w:val="single" w:sz="6" w:space="0" w:color="000000"/>
              <w:bottom w:val="single" w:sz="12" w:space="0" w:color="000000"/>
            </w:tcBorders>
          </w:tcPr>
          <w:p>
            <w:pPr>
              <w:pStyle w:val="TableParagraph"/>
              <w:spacing w:line="270" w:lineRule="exact"/>
              <w:ind w:left="17"/>
              <w:jc w:val="left"/>
              <w:rPr>
                <w:sz w:val="24"/>
              </w:rPr>
            </w:pPr>
            <w:r>
              <w:rPr>
                <w:spacing w:val="-2"/>
                <w:sz w:val="24"/>
              </w:rPr>
              <w:t>0.087</w:t>
            </w:r>
          </w:p>
        </w:tc>
        <w:tc>
          <w:tcPr>
            <w:tcW w:w="1039" w:type="dxa"/>
            <w:tcBorders>
              <w:top w:val="single" w:sz="6" w:space="0" w:color="000000"/>
              <w:bottom w:val="single" w:sz="12" w:space="0" w:color="000000"/>
            </w:tcBorders>
          </w:tcPr>
          <w:p>
            <w:pPr>
              <w:pStyle w:val="TableParagraph"/>
              <w:spacing w:line="270" w:lineRule="exact"/>
              <w:ind w:left="350"/>
              <w:jc w:val="left"/>
              <w:rPr>
                <w:sz w:val="24"/>
              </w:rPr>
            </w:pPr>
            <w:r>
              <w:rPr>
                <w:spacing w:val="-2"/>
                <w:sz w:val="24"/>
              </w:rPr>
              <w:t>-0.522</w:t>
            </w:r>
          </w:p>
        </w:tc>
        <w:tc>
          <w:tcPr>
            <w:tcW w:w="1325" w:type="dxa"/>
            <w:tcBorders>
              <w:top w:val="single" w:sz="6" w:space="0" w:color="000000"/>
              <w:bottom w:val="single" w:sz="12" w:space="0" w:color="000000"/>
            </w:tcBorders>
          </w:tcPr>
          <w:p>
            <w:pPr>
              <w:pStyle w:val="TableParagraph"/>
              <w:jc w:val="left"/>
              <w:rPr>
                <w:sz w:val="22"/>
              </w:rPr>
            </w:pPr>
          </w:p>
        </w:tc>
        <w:tc>
          <w:tcPr>
            <w:tcW w:w="1713" w:type="dxa"/>
            <w:tcBorders>
              <w:top w:val="single" w:sz="6" w:space="0" w:color="000000"/>
              <w:bottom w:val="single" w:sz="12" w:space="0" w:color="000000"/>
            </w:tcBorders>
          </w:tcPr>
          <w:p>
            <w:pPr>
              <w:pStyle w:val="TableParagraph"/>
              <w:spacing w:line="270" w:lineRule="exact"/>
              <w:ind w:left="797"/>
              <w:jc w:val="left"/>
              <w:rPr>
                <w:sz w:val="24"/>
              </w:rPr>
            </w:pPr>
            <w:r>
              <w:rPr>
                <w:spacing w:val="-2"/>
                <w:sz w:val="24"/>
              </w:rPr>
              <w:t>8989.583</w:t>
            </w:r>
          </w:p>
        </w:tc>
        <w:tc>
          <w:tcPr>
            <w:tcW w:w="745" w:type="dxa"/>
            <w:tcBorders>
              <w:top w:val="single" w:sz="6" w:space="0" w:color="000000"/>
              <w:bottom w:val="single" w:sz="12" w:space="0" w:color="000000"/>
            </w:tcBorders>
          </w:tcPr>
          <w:p>
            <w:pPr>
              <w:pStyle w:val="TableParagraph"/>
              <w:jc w:val="left"/>
              <w:rPr>
                <w:sz w:val="22"/>
              </w:rPr>
            </w:pPr>
          </w:p>
        </w:tc>
        <w:tc>
          <w:tcPr>
            <w:tcW w:w="825" w:type="dxa"/>
            <w:tcBorders>
              <w:top w:val="single" w:sz="6" w:space="0" w:color="000000"/>
              <w:bottom w:val="single" w:sz="12" w:space="0" w:color="000000"/>
            </w:tcBorders>
          </w:tcPr>
          <w:p>
            <w:pPr>
              <w:pStyle w:val="TableParagraph"/>
              <w:jc w:val="left"/>
              <w:rPr>
                <w:sz w:val="22"/>
              </w:rPr>
            </w:pPr>
          </w:p>
        </w:tc>
      </w:tr>
      <w:tr>
        <w:trPr>
          <w:trHeight w:val="491" w:hRule="atLeast"/>
        </w:trPr>
        <w:tc>
          <w:tcPr>
            <w:tcW w:w="9034" w:type="dxa"/>
            <w:gridSpan w:val="8"/>
            <w:tcBorders>
              <w:bottom w:val="single" w:sz="6" w:space="0" w:color="000000"/>
            </w:tcBorders>
          </w:tcPr>
          <w:p>
            <w:pPr>
              <w:pStyle w:val="TableParagraph"/>
              <w:spacing w:line="275" w:lineRule="exact"/>
              <w:ind w:left="28"/>
              <w:jc w:val="left"/>
              <w:rPr>
                <w:b/>
                <w:sz w:val="24"/>
              </w:rPr>
            </w:pPr>
            <w:r>
              <w:rPr>
                <w:b/>
                <w:spacing w:val="-2"/>
                <w:sz w:val="24"/>
              </w:rPr>
              <w:t>Coefficients</w:t>
            </w:r>
          </w:p>
        </w:tc>
      </w:tr>
      <w:tr>
        <w:trPr>
          <w:trHeight w:val="767" w:hRule="atLeast"/>
        </w:trPr>
        <w:tc>
          <w:tcPr>
            <w:tcW w:w="856" w:type="dxa"/>
            <w:tcBorders>
              <w:top w:val="single" w:sz="6" w:space="0" w:color="000000"/>
              <w:bottom w:val="single" w:sz="6" w:space="0" w:color="000000"/>
            </w:tcBorders>
          </w:tcPr>
          <w:p>
            <w:pPr>
              <w:pStyle w:val="TableParagraph"/>
              <w:spacing w:before="138"/>
              <w:ind w:left="47"/>
              <w:jc w:val="left"/>
              <w:rPr>
                <w:b/>
                <w:sz w:val="24"/>
              </w:rPr>
            </w:pPr>
            <w:r>
              <w:rPr>
                <w:b/>
                <w:spacing w:val="-2"/>
                <w:sz w:val="24"/>
              </w:rPr>
              <w:t>Model</w:t>
            </w:r>
          </w:p>
        </w:tc>
        <w:tc>
          <w:tcPr>
            <w:tcW w:w="1153" w:type="dxa"/>
            <w:tcBorders>
              <w:top w:val="single" w:sz="6" w:space="0" w:color="000000"/>
              <w:bottom w:val="single" w:sz="6" w:space="0" w:color="000000"/>
            </w:tcBorders>
          </w:tcPr>
          <w:p>
            <w:pPr>
              <w:pStyle w:val="TableParagraph"/>
              <w:jc w:val="left"/>
              <w:rPr>
                <w:sz w:val="22"/>
              </w:rPr>
            </w:pPr>
          </w:p>
        </w:tc>
        <w:tc>
          <w:tcPr>
            <w:tcW w:w="2417" w:type="dxa"/>
            <w:gridSpan w:val="2"/>
            <w:tcBorders>
              <w:top w:val="single" w:sz="6" w:space="0" w:color="000000"/>
              <w:bottom w:val="single" w:sz="6" w:space="0" w:color="000000"/>
            </w:tcBorders>
          </w:tcPr>
          <w:p>
            <w:pPr>
              <w:pStyle w:val="TableParagraph"/>
              <w:spacing w:before="138"/>
              <w:ind w:left="631"/>
              <w:jc w:val="left"/>
              <w:rPr>
                <w:b/>
                <w:sz w:val="24"/>
              </w:rPr>
            </w:pPr>
            <w:r>
              <w:rPr>
                <w:b/>
                <w:spacing w:val="-2"/>
                <w:sz w:val="24"/>
              </w:rPr>
              <w:t>Unstandardized</w:t>
            </w:r>
          </w:p>
        </w:tc>
        <w:tc>
          <w:tcPr>
            <w:tcW w:w="1325" w:type="dxa"/>
            <w:tcBorders>
              <w:top w:val="single" w:sz="6" w:space="0" w:color="000000"/>
              <w:bottom w:val="single" w:sz="6" w:space="0" w:color="000000"/>
            </w:tcBorders>
          </w:tcPr>
          <w:p>
            <w:pPr>
              <w:pStyle w:val="TableParagraph"/>
              <w:spacing w:line="242" w:lineRule="auto"/>
              <w:ind w:left="434" w:right="106" w:hanging="180"/>
              <w:jc w:val="left"/>
              <w:rPr>
                <w:b/>
                <w:sz w:val="24"/>
              </w:rPr>
            </w:pPr>
            <w:r>
              <w:rPr>
                <w:b/>
                <w:spacing w:val="-2"/>
                <w:sz w:val="24"/>
              </w:rPr>
              <w:t>Standard Error</w:t>
            </w:r>
          </w:p>
        </w:tc>
        <w:tc>
          <w:tcPr>
            <w:tcW w:w="1713" w:type="dxa"/>
            <w:tcBorders>
              <w:top w:val="single" w:sz="6" w:space="0" w:color="000000"/>
              <w:bottom w:val="single" w:sz="6" w:space="0" w:color="000000"/>
            </w:tcBorders>
          </w:tcPr>
          <w:p>
            <w:pPr>
              <w:pStyle w:val="TableParagraph"/>
              <w:spacing w:before="138"/>
              <w:ind w:left="113"/>
              <w:jc w:val="left"/>
              <w:rPr>
                <w:b/>
                <w:sz w:val="24"/>
              </w:rPr>
            </w:pPr>
            <w:r>
              <w:rPr>
                <w:b/>
                <w:spacing w:val="-2"/>
                <w:sz w:val="24"/>
              </w:rPr>
              <w:t>Standardized</w:t>
            </w:r>
          </w:p>
        </w:tc>
        <w:tc>
          <w:tcPr>
            <w:tcW w:w="745" w:type="dxa"/>
            <w:tcBorders>
              <w:top w:val="single" w:sz="6" w:space="0" w:color="000000"/>
              <w:bottom w:val="single" w:sz="6" w:space="0" w:color="000000"/>
            </w:tcBorders>
          </w:tcPr>
          <w:p>
            <w:pPr>
              <w:pStyle w:val="TableParagraph"/>
              <w:spacing w:before="138"/>
              <w:ind w:right="160"/>
              <w:rPr>
                <w:b/>
                <w:sz w:val="24"/>
              </w:rPr>
            </w:pPr>
            <w:r>
              <w:rPr>
                <w:b/>
                <w:sz w:val="24"/>
              </w:rPr>
              <w:t>t</w:t>
            </w:r>
          </w:p>
        </w:tc>
        <w:tc>
          <w:tcPr>
            <w:tcW w:w="825" w:type="dxa"/>
            <w:tcBorders>
              <w:top w:val="single" w:sz="6" w:space="0" w:color="000000"/>
              <w:bottom w:val="single" w:sz="6" w:space="0" w:color="000000"/>
            </w:tcBorders>
          </w:tcPr>
          <w:p>
            <w:pPr>
              <w:pStyle w:val="TableParagraph"/>
              <w:spacing w:before="138"/>
              <w:ind w:left="44"/>
              <w:rPr>
                <w:b/>
                <w:sz w:val="24"/>
              </w:rPr>
            </w:pPr>
            <w:r>
              <w:rPr>
                <w:b/>
                <w:sz w:val="24"/>
              </w:rPr>
              <w:t>p</w:t>
            </w:r>
          </w:p>
        </w:tc>
      </w:tr>
      <w:tr>
        <w:trPr>
          <w:trHeight w:val="563" w:hRule="atLeast"/>
        </w:trPr>
        <w:tc>
          <w:tcPr>
            <w:tcW w:w="856" w:type="dxa"/>
            <w:tcBorders>
              <w:top w:val="single" w:sz="6" w:space="0" w:color="000000"/>
            </w:tcBorders>
          </w:tcPr>
          <w:p>
            <w:pPr>
              <w:pStyle w:val="TableParagraph"/>
              <w:spacing w:before="87"/>
              <w:ind w:left="242"/>
              <w:jc w:val="left"/>
              <w:rPr>
                <w:sz w:val="24"/>
              </w:rPr>
            </w:pPr>
            <w:r>
              <w:rPr>
                <w:sz w:val="24"/>
              </w:rPr>
              <w:t>1</w:t>
            </w:r>
          </w:p>
        </w:tc>
        <w:tc>
          <w:tcPr>
            <w:tcW w:w="1153" w:type="dxa"/>
            <w:tcBorders>
              <w:top w:val="single" w:sz="6" w:space="0" w:color="000000"/>
            </w:tcBorders>
          </w:tcPr>
          <w:p>
            <w:pPr>
              <w:pStyle w:val="TableParagraph"/>
              <w:spacing w:before="87"/>
              <w:ind w:left="15"/>
              <w:jc w:val="left"/>
              <w:rPr>
                <w:sz w:val="24"/>
              </w:rPr>
            </w:pPr>
            <w:r>
              <w:rPr>
                <w:spacing w:val="-2"/>
                <w:sz w:val="24"/>
              </w:rPr>
              <w:t>(Intercept)</w:t>
            </w:r>
          </w:p>
        </w:tc>
        <w:tc>
          <w:tcPr>
            <w:tcW w:w="2417" w:type="dxa"/>
            <w:gridSpan w:val="2"/>
            <w:tcBorders>
              <w:top w:val="single" w:sz="6" w:space="0" w:color="000000"/>
            </w:tcBorders>
          </w:tcPr>
          <w:p>
            <w:pPr>
              <w:pStyle w:val="TableParagraph"/>
              <w:spacing w:before="87"/>
              <w:ind w:left="489"/>
              <w:jc w:val="left"/>
              <w:rPr>
                <w:sz w:val="24"/>
              </w:rPr>
            </w:pPr>
            <w:r>
              <w:rPr>
                <w:spacing w:val="-2"/>
                <w:sz w:val="24"/>
              </w:rPr>
              <w:t>20901.367</w:t>
            </w:r>
          </w:p>
        </w:tc>
        <w:tc>
          <w:tcPr>
            <w:tcW w:w="1325" w:type="dxa"/>
            <w:tcBorders>
              <w:top w:val="single" w:sz="6" w:space="0" w:color="000000"/>
            </w:tcBorders>
          </w:tcPr>
          <w:p>
            <w:pPr>
              <w:pStyle w:val="TableParagraph"/>
              <w:spacing w:before="87"/>
              <w:ind w:left="72"/>
              <w:jc w:val="left"/>
              <w:rPr>
                <w:sz w:val="24"/>
              </w:rPr>
            </w:pPr>
            <w:r>
              <w:rPr>
                <w:spacing w:val="-2"/>
                <w:sz w:val="24"/>
              </w:rPr>
              <w:t>9474.092</w:t>
            </w:r>
          </w:p>
        </w:tc>
        <w:tc>
          <w:tcPr>
            <w:tcW w:w="1713" w:type="dxa"/>
            <w:tcBorders>
              <w:top w:val="single" w:sz="6" w:space="0" w:color="000000"/>
            </w:tcBorders>
          </w:tcPr>
          <w:p>
            <w:pPr>
              <w:pStyle w:val="TableParagraph"/>
              <w:jc w:val="left"/>
              <w:rPr>
                <w:sz w:val="22"/>
              </w:rPr>
            </w:pPr>
          </w:p>
        </w:tc>
        <w:tc>
          <w:tcPr>
            <w:tcW w:w="745" w:type="dxa"/>
            <w:tcBorders>
              <w:top w:val="single" w:sz="6" w:space="0" w:color="000000"/>
            </w:tcBorders>
          </w:tcPr>
          <w:p>
            <w:pPr>
              <w:pStyle w:val="TableParagraph"/>
              <w:spacing w:before="87"/>
              <w:ind w:left="7" w:right="168"/>
              <w:rPr>
                <w:sz w:val="24"/>
              </w:rPr>
            </w:pPr>
            <w:r>
              <w:rPr>
                <w:spacing w:val="-2"/>
                <w:sz w:val="24"/>
              </w:rPr>
              <w:t>2.206</w:t>
            </w:r>
          </w:p>
        </w:tc>
        <w:tc>
          <w:tcPr>
            <w:tcW w:w="825" w:type="dxa"/>
            <w:tcBorders>
              <w:top w:val="single" w:sz="6" w:space="0" w:color="000000"/>
            </w:tcBorders>
          </w:tcPr>
          <w:p>
            <w:pPr>
              <w:pStyle w:val="TableParagraph"/>
              <w:spacing w:before="87"/>
              <w:ind w:left="175" w:right="79"/>
              <w:rPr>
                <w:sz w:val="24"/>
              </w:rPr>
            </w:pPr>
            <w:r>
              <w:rPr>
                <w:spacing w:val="-2"/>
                <w:sz w:val="24"/>
              </w:rPr>
              <w:t>0.115</w:t>
            </w:r>
          </w:p>
        </w:tc>
      </w:tr>
      <w:tr>
        <w:trPr>
          <w:trHeight w:val="647" w:hRule="atLeast"/>
        </w:trPr>
        <w:tc>
          <w:tcPr>
            <w:tcW w:w="2009" w:type="dxa"/>
            <w:gridSpan w:val="2"/>
          </w:tcPr>
          <w:p>
            <w:pPr>
              <w:pStyle w:val="TableParagraph"/>
              <w:spacing w:before="189"/>
              <w:ind w:left="794"/>
              <w:jc w:val="left"/>
              <w:rPr>
                <w:sz w:val="24"/>
              </w:rPr>
            </w:pPr>
            <w:r>
              <w:rPr>
                <w:sz w:val="24"/>
              </w:rPr>
              <w:t>No. of</w:t>
            </w:r>
            <w:r>
              <w:rPr>
                <w:spacing w:val="-2"/>
                <w:sz w:val="24"/>
              </w:rPr>
              <w:t> </w:t>
            </w:r>
            <w:r>
              <w:rPr>
                <w:spacing w:val="-4"/>
                <w:sz w:val="24"/>
              </w:rPr>
              <w:t>PPSs</w:t>
            </w:r>
          </w:p>
        </w:tc>
        <w:tc>
          <w:tcPr>
            <w:tcW w:w="1378" w:type="dxa"/>
          </w:tcPr>
          <w:p>
            <w:pPr>
              <w:pStyle w:val="TableParagraph"/>
              <w:spacing w:before="189"/>
              <w:ind w:right="-15"/>
              <w:jc w:val="right"/>
              <w:rPr>
                <w:sz w:val="24"/>
              </w:rPr>
            </w:pPr>
            <w:r>
              <w:rPr>
                <w:spacing w:val="-2"/>
                <w:sz w:val="24"/>
              </w:rPr>
              <w:t>504.889</w:t>
            </w:r>
          </w:p>
        </w:tc>
        <w:tc>
          <w:tcPr>
            <w:tcW w:w="1039" w:type="dxa"/>
          </w:tcPr>
          <w:p>
            <w:pPr>
              <w:pStyle w:val="TableParagraph"/>
              <w:jc w:val="left"/>
              <w:rPr>
                <w:sz w:val="22"/>
              </w:rPr>
            </w:pPr>
          </w:p>
        </w:tc>
        <w:tc>
          <w:tcPr>
            <w:tcW w:w="1325" w:type="dxa"/>
          </w:tcPr>
          <w:p>
            <w:pPr>
              <w:pStyle w:val="TableParagraph"/>
              <w:spacing w:before="189"/>
              <w:ind w:left="72"/>
              <w:jc w:val="left"/>
              <w:rPr>
                <w:sz w:val="24"/>
              </w:rPr>
            </w:pPr>
            <w:r>
              <w:rPr>
                <w:spacing w:val="-2"/>
                <w:sz w:val="24"/>
              </w:rPr>
              <w:t>2020.559</w:t>
            </w:r>
          </w:p>
        </w:tc>
        <w:tc>
          <w:tcPr>
            <w:tcW w:w="1713" w:type="dxa"/>
          </w:tcPr>
          <w:p>
            <w:pPr>
              <w:pStyle w:val="TableParagraph"/>
              <w:spacing w:before="189"/>
              <w:ind w:left="245"/>
              <w:jc w:val="left"/>
              <w:rPr>
                <w:sz w:val="24"/>
              </w:rPr>
            </w:pPr>
            <w:r>
              <w:rPr>
                <w:spacing w:val="-2"/>
                <w:sz w:val="24"/>
              </w:rPr>
              <w:t>0.150</w:t>
            </w:r>
          </w:p>
        </w:tc>
        <w:tc>
          <w:tcPr>
            <w:tcW w:w="745" w:type="dxa"/>
          </w:tcPr>
          <w:p>
            <w:pPr>
              <w:pStyle w:val="TableParagraph"/>
              <w:spacing w:before="189"/>
              <w:ind w:left="7" w:right="168"/>
              <w:rPr>
                <w:sz w:val="24"/>
              </w:rPr>
            </w:pPr>
            <w:r>
              <w:rPr>
                <w:spacing w:val="-2"/>
                <w:sz w:val="24"/>
              </w:rPr>
              <w:t>0.250</w:t>
            </w:r>
          </w:p>
        </w:tc>
        <w:tc>
          <w:tcPr>
            <w:tcW w:w="825" w:type="dxa"/>
          </w:tcPr>
          <w:p>
            <w:pPr>
              <w:pStyle w:val="TableParagraph"/>
              <w:spacing w:before="189"/>
              <w:ind w:left="175" w:right="79"/>
              <w:rPr>
                <w:sz w:val="24"/>
              </w:rPr>
            </w:pPr>
            <w:r>
              <w:rPr>
                <w:spacing w:val="-2"/>
                <w:sz w:val="24"/>
              </w:rPr>
              <w:t>0.819</w:t>
            </w:r>
          </w:p>
        </w:tc>
      </w:tr>
      <w:tr>
        <w:trPr>
          <w:trHeight w:val="760" w:hRule="atLeast"/>
        </w:trPr>
        <w:tc>
          <w:tcPr>
            <w:tcW w:w="2009" w:type="dxa"/>
            <w:gridSpan w:val="2"/>
            <w:tcBorders>
              <w:bottom w:val="single" w:sz="12" w:space="0" w:color="000000"/>
            </w:tcBorders>
          </w:tcPr>
          <w:p>
            <w:pPr>
              <w:pStyle w:val="TableParagraph"/>
              <w:spacing w:before="172"/>
              <w:ind w:left="760"/>
              <w:jc w:val="left"/>
              <w:rPr>
                <w:sz w:val="24"/>
              </w:rPr>
            </w:pPr>
            <w:r>
              <w:rPr>
                <w:sz w:val="24"/>
              </w:rPr>
              <w:t>No. of</w:t>
            </w:r>
            <w:r>
              <w:rPr>
                <w:spacing w:val="-2"/>
                <w:sz w:val="24"/>
              </w:rPr>
              <w:t> </w:t>
            </w:r>
            <w:r>
              <w:rPr>
                <w:spacing w:val="-4"/>
                <w:sz w:val="24"/>
              </w:rPr>
              <w:t>PHCs</w:t>
            </w:r>
          </w:p>
        </w:tc>
        <w:tc>
          <w:tcPr>
            <w:tcW w:w="1378" w:type="dxa"/>
            <w:tcBorders>
              <w:bottom w:val="single" w:sz="12" w:space="0" w:color="000000"/>
            </w:tcBorders>
          </w:tcPr>
          <w:p>
            <w:pPr>
              <w:pStyle w:val="TableParagraph"/>
              <w:spacing w:before="172"/>
              <w:ind w:right="-15"/>
              <w:jc w:val="right"/>
              <w:rPr>
                <w:sz w:val="24"/>
              </w:rPr>
            </w:pPr>
            <w:r>
              <w:rPr>
                <w:spacing w:val="-2"/>
                <w:sz w:val="24"/>
              </w:rPr>
              <w:t>979.621</w:t>
            </w:r>
          </w:p>
        </w:tc>
        <w:tc>
          <w:tcPr>
            <w:tcW w:w="1039" w:type="dxa"/>
            <w:tcBorders>
              <w:bottom w:val="single" w:sz="12" w:space="0" w:color="000000"/>
            </w:tcBorders>
          </w:tcPr>
          <w:p>
            <w:pPr>
              <w:pStyle w:val="TableParagraph"/>
              <w:jc w:val="left"/>
              <w:rPr>
                <w:sz w:val="22"/>
              </w:rPr>
            </w:pPr>
          </w:p>
        </w:tc>
        <w:tc>
          <w:tcPr>
            <w:tcW w:w="1325" w:type="dxa"/>
            <w:tcBorders>
              <w:bottom w:val="single" w:sz="12" w:space="0" w:color="000000"/>
            </w:tcBorders>
          </w:tcPr>
          <w:p>
            <w:pPr>
              <w:pStyle w:val="TableParagraph"/>
              <w:spacing w:before="172"/>
              <w:ind w:left="72"/>
              <w:jc w:val="left"/>
              <w:rPr>
                <w:sz w:val="24"/>
              </w:rPr>
            </w:pPr>
            <w:r>
              <w:rPr>
                <w:spacing w:val="-2"/>
                <w:sz w:val="24"/>
              </w:rPr>
              <w:t>2899.219</w:t>
            </w:r>
          </w:p>
        </w:tc>
        <w:tc>
          <w:tcPr>
            <w:tcW w:w="1713" w:type="dxa"/>
            <w:tcBorders>
              <w:bottom w:val="single" w:sz="12" w:space="0" w:color="000000"/>
            </w:tcBorders>
          </w:tcPr>
          <w:p>
            <w:pPr>
              <w:pStyle w:val="TableParagraph"/>
              <w:spacing w:before="172"/>
              <w:ind w:left="245"/>
              <w:jc w:val="left"/>
              <w:rPr>
                <w:sz w:val="24"/>
              </w:rPr>
            </w:pPr>
            <w:r>
              <w:rPr>
                <w:spacing w:val="-2"/>
                <w:sz w:val="24"/>
              </w:rPr>
              <w:t>0.202</w:t>
            </w:r>
          </w:p>
        </w:tc>
        <w:tc>
          <w:tcPr>
            <w:tcW w:w="745" w:type="dxa"/>
            <w:tcBorders>
              <w:bottom w:val="single" w:sz="12" w:space="0" w:color="000000"/>
            </w:tcBorders>
          </w:tcPr>
          <w:p>
            <w:pPr>
              <w:pStyle w:val="TableParagraph"/>
              <w:spacing w:before="172"/>
              <w:ind w:left="7" w:right="168"/>
              <w:rPr>
                <w:sz w:val="24"/>
              </w:rPr>
            </w:pPr>
            <w:r>
              <w:rPr>
                <w:spacing w:val="-2"/>
                <w:sz w:val="24"/>
              </w:rPr>
              <w:t>0.338</w:t>
            </w:r>
          </w:p>
        </w:tc>
        <w:tc>
          <w:tcPr>
            <w:tcW w:w="825" w:type="dxa"/>
            <w:tcBorders>
              <w:bottom w:val="single" w:sz="12" w:space="0" w:color="000000"/>
            </w:tcBorders>
          </w:tcPr>
          <w:p>
            <w:pPr>
              <w:pStyle w:val="TableParagraph"/>
              <w:spacing w:before="172"/>
              <w:ind w:left="175" w:right="79"/>
              <w:rPr>
                <w:sz w:val="24"/>
              </w:rPr>
            </w:pPr>
            <w:r>
              <w:rPr>
                <w:spacing w:val="-2"/>
                <w:sz w:val="24"/>
              </w:rPr>
              <w:t>0.758</w:t>
            </w:r>
          </w:p>
        </w:tc>
      </w:tr>
    </w:tbl>
    <w:p>
      <w:pPr>
        <w:pStyle w:val="BodyText"/>
        <w:spacing w:before="12"/>
        <w:ind w:left="240"/>
        <w:jc w:val="both"/>
      </w:pPr>
      <w:r>
        <w:rPr/>
        <w:t>Source:</w:t>
      </w:r>
      <w:r>
        <w:rPr>
          <w:spacing w:val="-2"/>
        </w:rPr>
        <w:t> </w:t>
      </w:r>
      <w:r>
        <w:rPr/>
        <w:t>Researcher’s</w:t>
      </w:r>
      <w:r>
        <w:rPr>
          <w:spacing w:val="1"/>
        </w:rPr>
        <w:t> </w:t>
      </w:r>
      <w:r>
        <w:rPr/>
        <w:t>Field</w:t>
      </w:r>
      <w:r>
        <w:rPr>
          <w:spacing w:val="-2"/>
        </w:rPr>
        <w:t> </w:t>
      </w:r>
      <w:r>
        <w:rPr/>
        <w:t>Work,</w:t>
      </w:r>
      <w:r>
        <w:rPr>
          <w:spacing w:val="-2"/>
        </w:rPr>
        <w:t> </w:t>
      </w:r>
      <w:r>
        <w:rPr>
          <w:spacing w:val="-4"/>
        </w:rPr>
        <w:t>2020</w:t>
      </w:r>
    </w:p>
    <w:p>
      <w:pPr>
        <w:pStyle w:val="BodyText"/>
        <w:rPr>
          <w:sz w:val="26"/>
        </w:rPr>
      </w:pPr>
    </w:p>
    <w:p>
      <w:pPr>
        <w:pStyle w:val="BodyText"/>
        <w:spacing w:line="480" w:lineRule="auto" w:before="177"/>
        <w:ind w:left="240" w:right="272"/>
        <w:jc w:val="both"/>
      </w:pPr>
      <w:r>
        <w:rPr/>
        <w:t>The p value of the regression analysis resulted to 0.819 and 0.758 for number of PPSs and PHCs respectively as shown in Table 4.4. The p value is greater than the 0.05 acceptable standards for social science research. The result thus, signifies that there is no statistically significant relationship in the distribution of social infrastructure and the population of Zuru </w:t>
      </w:r>
      <w:r>
        <w:rPr>
          <w:position w:val="2"/>
        </w:rPr>
        <w:t>local government area. Thus, the null hypothesis (H</w:t>
      </w:r>
      <w:r>
        <w:rPr>
          <w:sz w:val="16"/>
        </w:rPr>
        <w:t>o</w:t>
      </w:r>
      <w:r>
        <w:rPr>
          <w:position w:val="2"/>
        </w:rPr>
        <w:t>) is accepted.</w:t>
      </w:r>
    </w:p>
    <w:p>
      <w:pPr>
        <w:pStyle w:val="Heading1"/>
        <w:numPr>
          <w:ilvl w:val="2"/>
          <w:numId w:val="8"/>
        </w:numPr>
        <w:tabs>
          <w:tab w:pos="959" w:val="left" w:leader="none"/>
        </w:tabs>
        <w:spacing w:line="240" w:lineRule="auto" w:before="201" w:after="0"/>
        <w:ind w:left="959" w:right="0" w:hanging="719"/>
        <w:jc w:val="both"/>
      </w:pPr>
      <w:r>
        <w:rPr/>
        <w:t>Location quotient</w:t>
      </w:r>
      <w:r>
        <w:rPr>
          <w:spacing w:val="-1"/>
        </w:rPr>
        <w:t> </w:t>
      </w:r>
      <w:r>
        <w:rPr>
          <w:spacing w:val="-4"/>
        </w:rPr>
        <w:t>(LQ)</w:t>
      </w:r>
    </w:p>
    <w:p>
      <w:pPr>
        <w:pStyle w:val="BodyText"/>
        <w:spacing w:before="7"/>
        <w:rPr>
          <w:b/>
          <w:sz w:val="23"/>
        </w:rPr>
      </w:pPr>
    </w:p>
    <w:p>
      <w:pPr>
        <w:pStyle w:val="BodyText"/>
        <w:spacing w:line="480" w:lineRule="auto"/>
        <w:ind w:left="240" w:right="280"/>
        <w:jc w:val="both"/>
      </w:pPr>
      <w:r>
        <w:rPr/>
        <w:t>Allocation of social infrastructure is done either with spatial or population based criterion (Noreen 2010; Teriman </w:t>
      </w:r>
      <w:r>
        <w:rPr>
          <w:i/>
        </w:rPr>
        <w:t>et al. </w:t>
      </w:r>
      <w:r>
        <w:rPr/>
        <w:t>2011; Opoh </w:t>
      </w:r>
      <w:r>
        <w:rPr>
          <w:i/>
        </w:rPr>
        <w:t>et al</w:t>
      </w:r>
      <w:r>
        <w:rPr/>
        <w:t>. 2014; Egbosi and Offor 2016). Using data in Table 4.3 to measure the location index (LQ) of existing PHCs and PPSs within Zuru local government, Table 4.5 showed the result of the analysis. Population (pop) and land area are the two factors that determined the LQ of each ward as shown in Table 4.5.</w:t>
      </w:r>
    </w:p>
    <w:p>
      <w:pPr>
        <w:spacing w:after="0" w:line="480" w:lineRule="auto"/>
        <w:jc w:val="both"/>
        <w:sectPr>
          <w:pgSz w:w="11910" w:h="16840"/>
          <w:pgMar w:header="0" w:footer="1003" w:top="1320" w:bottom="1200" w:left="1200" w:right="1160"/>
        </w:sectPr>
      </w:pPr>
    </w:p>
    <w:p>
      <w:pPr>
        <w:pStyle w:val="BodyText"/>
        <w:spacing w:before="73"/>
        <w:ind w:left="240"/>
        <w:jc w:val="both"/>
      </w:pPr>
      <w:r>
        <w:rPr/>
        <w:t>As</w:t>
      </w:r>
      <w:r>
        <w:rPr>
          <w:spacing w:val="13"/>
        </w:rPr>
        <w:t> </w:t>
      </w:r>
      <w:r>
        <w:rPr/>
        <w:t>stated</w:t>
      </w:r>
      <w:r>
        <w:rPr>
          <w:spacing w:val="16"/>
        </w:rPr>
        <w:t> </w:t>
      </w:r>
      <w:r>
        <w:rPr/>
        <w:t>by</w:t>
      </w:r>
      <w:r>
        <w:rPr>
          <w:spacing w:val="11"/>
        </w:rPr>
        <w:t> </w:t>
      </w:r>
      <w:r>
        <w:rPr/>
        <w:t>Abu</w:t>
      </w:r>
      <w:r>
        <w:rPr>
          <w:spacing w:val="17"/>
        </w:rPr>
        <w:t> </w:t>
      </w:r>
      <w:r>
        <w:rPr>
          <w:i/>
        </w:rPr>
        <w:t>et</w:t>
      </w:r>
      <w:r>
        <w:rPr>
          <w:i/>
          <w:spacing w:val="17"/>
        </w:rPr>
        <w:t> </w:t>
      </w:r>
      <w:r>
        <w:rPr>
          <w:i/>
        </w:rPr>
        <w:t>al.</w:t>
      </w:r>
      <w:r>
        <w:rPr>
          <w:i/>
          <w:spacing w:val="17"/>
        </w:rPr>
        <w:t> </w:t>
      </w:r>
      <w:r>
        <w:rPr/>
        <w:t>(2015),</w:t>
      </w:r>
      <w:r>
        <w:rPr>
          <w:spacing w:val="16"/>
        </w:rPr>
        <w:t> </w:t>
      </w:r>
      <w:r>
        <w:rPr/>
        <w:t>any</w:t>
      </w:r>
      <w:r>
        <w:rPr>
          <w:spacing w:val="11"/>
        </w:rPr>
        <w:t> </w:t>
      </w:r>
      <w:r>
        <w:rPr/>
        <w:t>ward</w:t>
      </w:r>
      <w:r>
        <w:rPr>
          <w:spacing w:val="14"/>
        </w:rPr>
        <w:t> </w:t>
      </w:r>
      <w:r>
        <w:rPr/>
        <w:t>with</w:t>
      </w:r>
      <w:r>
        <w:rPr>
          <w:spacing w:val="17"/>
        </w:rPr>
        <w:t> </w:t>
      </w:r>
      <w:r>
        <w:rPr/>
        <w:t>both</w:t>
      </w:r>
      <w:r>
        <w:rPr>
          <w:spacing w:val="19"/>
        </w:rPr>
        <w:t> </w:t>
      </w:r>
      <w:r>
        <w:rPr/>
        <w:t>LQ</w:t>
      </w:r>
      <w:r>
        <w:rPr>
          <w:spacing w:val="18"/>
        </w:rPr>
        <w:t> </w:t>
      </w:r>
      <w:r>
        <w:rPr/>
        <w:t>(population</w:t>
      </w:r>
      <w:r>
        <w:rPr>
          <w:spacing w:val="17"/>
        </w:rPr>
        <w:t> </w:t>
      </w:r>
      <w:r>
        <w:rPr/>
        <w:t>and</w:t>
      </w:r>
      <w:r>
        <w:rPr>
          <w:spacing w:val="16"/>
        </w:rPr>
        <w:t> </w:t>
      </w:r>
      <w:r>
        <w:rPr/>
        <w:t>land</w:t>
      </w:r>
      <w:r>
        <w:rPr>
          <w:spacing w:val="16"/>
        </w:rPr>
        <w:t> </w:t>
      </w:r>
      <w:r>
        <w:rPr/>
        <w:t>area)</w:t>
      </w:r>
      <w:r>
        <w:rPr>
          <w:spacing w:val="15"/>
        </w:rPr>
        <w:t> </w:t>
      </w:r>
      <w:r>
        <w:rPr/>
        <w:t>less</w:t>
      </w:r>
      <w:r>
        <w:rPr>
          <w:spacing w:val="16"/>
        </w:rPr>
        <w:t> </w:t>
      </w:r>
      <w:r>
        <w:rPr>
          <w:spacing w:val="-4"/>
        </w:rPr>
        <w:t>than</w:t>
      </w:r>
    </w:p>
    <w:p>
      <w:pPr>
        <w:pStyle w:val="BodyText"/>
      </w:pPr>
    </w:p>
    <w:p>
      <w:pPr>
        <w:pStyle w:val="BodyText"/>
        <w:spacing w:line="480" w:lineRule="auto" w:before="1"/>
        <w:ind w:left="240" w:right="279"/>
        <w:jc w:val="both"/>
      </w:pPr>
      <w:r>
        <w:rPr/>
        <w:t>0.4 is very poor, between 0.4 to less than 0.8 is poor and 0.8 to less than 1.0 is moderate. LQ between 1.0 to less than 1.5 means an equal share of PPSs or PHCs as the local government and LQ</w:t>
      </w:r>
      <w:r>
        <w:rPr>
          <w:spacing w:val="-1"/>
        </w:rPr>
        <w:t> </w:t>
      </w:r>
      <w:r>
        <w:rPr/>
        <w:t>above</w:t>
      </w:r>
      <w:r>
        <w:rPr>
          <w:spacing w:val="-1"/>
        </w:rPr>
        <w:t> </w:t>
      </w:r>
      <w:r>
        <w:rPr/>
        <w:t>1.0 will</w:t>
      </w:r>
      <w:r>
        <w:rPr>
          <w:spacing w:val="-2"/>
        </w:rPr>
        <w:t> </w:t>
      </w:r>
      <w:r>
        <w:rPr/>
        <w:t>mean</w:t>
      </w:r>
      <w:r>
        <w:rPr>
          <w:spacing w:val="-2"/>
        </w:rPr>
        <w:t> </w:t>
      </w:r>
      <w:r>
        <w:rPr/>
        <w:t>that the</w:t>
      </w:r>
      <w:r>
        <w:rPr>
          <w:spacing w:val="-1"/>
        </w:rPr>
        <w:t> </w:t>
      </w:r>
      <w:r>
        <w:rPr/>
        <w:t>ward</w:t>
      </w:r>
      <w:r>
        <w:rPr>
          <w:spacing w:val="-1"/>
        </w:rPr>
        <w:t> </w:t>
      </w:r>
      <w:r>
        <w:rPr/>
        <w:t>has a</w:t>
      </w:r>
      <w:r>
        <w:rPr>
          <w:spacing w:val="-3"/>
        </w:rPr>
        <w:t> </w:t>
      </w:r>
      <w:r>
        <w:rPr/>
        <w:t>higher</w:t>
      </w:r>
      <w:r>
        <w:rPr>
          <w:spacing w:val="-2"/>
        </w:rPr>
        <w:t> </w:t>
      </w:r>
      <w:r>
        <w:rPr/>
        <w:t>proportion</w:t>
      </w:r>
      <w:r>
        <w:rPr>
          <w:spacing w:val="-2"/>
        </w:rPr>
        <w:t> </w:t>
      </w:r>
      <w:r>
        <w:rPr/>
        <w:t>of</w:t>
      </w:r>
      <w:r>
        <w:rPr>
          <w:spacing w:val="-1"/>
        </w:rPr>
        <w:t> </w:t>
      </w:r>
      <w:r>
        <w:rPr/>
        <w:t>the</w:t>
      </w:r>
      <w:r>
        <w:rPr>
          <w:spacing w:val="-2"/>
        </w:rPr>
        <w:t> </w:t>
      </w:r>
      <w:r>
        <w:rPr/>
        <w:t>PPSs</w:t>
      </w:r>
      <w:r>
        <w:rPr>
          <w:spacing w:val="-2"/>
        </w:rPr>
        <w:t> </w:t>
      </w:r>
      <w:r>
        <w:rPr/>
        <w:t>and</w:t>
      </w:r>
      <w:r>
        <w:rPr>
          <w:spacing w:val="-2"/>
        </w:rPr>
        <w:t> </w:t>
      </w:r>
      <w:r>
        <w:rPr/>
        <w:t>PHCs</w:t>
      </w:r>
      <w:r>
        <w:rPr>
          <w:spacing w:val="-2"/>
        </w:rPr>
        <w:t> </w:t>
      </w:r>
      <w:r>
        <w:rPr/>
        <w:t>than the local government as seen in Table 4.5.</w:t>
      </w:r>
    </w:p>
    <w:p>
      <w:pPr>
        <w:pStyle w:val="Heading1"/>
        <w:spacing w:before="206" w:after="42"/>
        <w:ind w:left="240" w:firstLine="0"/>
      </w:pPr>
      <w:r>
        <w:rPr/>
        <w:t>Table</w:t>
      </w:r>
      <w:r>
        <w:rPr>
          <w:spacing w:val="-1"/>
        </w:rPr>
        <w:t> </w:t>
      </w:r>
      <w:r>
        <w:rPr/>
        <w:t>4.5:</w:t>
      </w:r>
      <w:r>
        <w:rPr>
          <w:spacing w:val="-3"/>
        </w:rPr>
        <w:t> </w:t>
      </w:r>
      <w:r>
        <w:rPr/>
        <w:t>LQ</w:t>
      </w:r>
      <w:r>
        <w:rPr>
          <w:spacing w:val="-1"/>
        </w:rPr>
        <w:t> </w:t>
      </w:r>
      <w:r>
        <w:rPr/>
        <w:t>for</w:t>
      </w:r>
      <w:r>
        <w:rPr>
          <w:spacing w:val="-2"/>
        </w:rPr>
        <w:t> </w:t>
      </w:r>
      <w:r>
        <w:rPr/>
        <w:t>social</w:t>
      </w:r>
      <w:r>
        <w:rPr>
          <w:spacing w:val="-3"/>
        </w:rPr>
        <w:t> </w:t>
      </w:r>
      <w:r>
        <w:rPr/>
        <w:t>infrastructure</w:t>
      </w:r>
      <w:r>
        <w:rPr>
          <w:spacing w:val="-2"/>
        </w:rPr>
        <w:t> </w:t>
      </w:r>
      <w:r>
        <w:rPr/>
        <w:t>within Zuru</w:t>
      </w:r>
      <w:r>
        <w:rPr>
          <w:spacing w:val="-1"/>
        </w:rPr>
        <w:t> </w:t>
      </w:r>
      <w:r>
        <w:rPr/>
        <w:t>local </w:t>
      </w:r>
      <w:r>
        <w:rPr>
          <w:spacing w:val="-2"/>
        </w:rPr>
        <w:t>government</w:t>
      </w: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9"/>
        <w:gridCol w:w="1722"/>
        <w:gridCol w:w="1195"/>
        <w:gridCol w:w="1674"/>
        <w:gridCol w:w="1091"/>
        <w:gridCol w:w="1625"/>
      </w:tblGrid>
      <w:tr>
        <w:trPr>
          <w:trHeight w:val="746" w:hRule="atLeast"/>
        </w:trPr>
        <w:tc>
          <w:tcPr>
            <w:tcW w:w="889" w:type="dxa"/>
            <w:tcBorders>
              <w:top w:val="single" w:sz="8" w:space="0" w:color="000000"/>
              <w:bottom w:val="single" w:sz="8" w:space="0" w:color="000000"/>
            </w:tcBorders>
          </w:tcPr>
          <w:p>
            <w:pPr>
              <w:pStyle w:val="TableParagraph"/>
              <w:spacing w:line="276" w:lineRule="auto" w:before="1"/>
              <w:ind w:left="237" w:right="172" w:hanging="123"/>
              <w:jc w:val="left"/>
              <w:rPr>
                <w:b/>
                <w:sz w:val="24"/>
              </w:rPr>
            </w:pPr>
            <w:r>
              <w:rPr>
                <w:b/>
                <w:spacing w:val="-4"/>
                <w:sz w:val="24"/>
              </w:rPr>
              <w:t>Ward No.</w:t>
            </w:r>
          </w:p>
        </w:tc>
        <w:tc>
          <w:tcPr>
            <w:tcW w:w="1722" w:type="dxa"/>
            <w:tcBorders>
              <w:top w:val="single" w:sz="8" w:space="0" w:color="000000"/>
              <w:bottom w:val="single" w:sz="8" w:space="0" w:color="000000"/>
            </w:tcBorders>
          </w:tcPr>
          <w:p>
            <w:pPr>
              <w:pStyle w:val="TableParagraph"/>
              <w:spacing w:before="1"/>
              <w:ind w:left="163" w:right="313"/>
              <w:rPr>
                <w:b/>
                <w:sz w:val="24"/>
              </w:rPr>
            </w:pPr>
            <w:r>
              <w:rPr>
                <w:b/>
                <w:spacing w:val="-2"/>
                <w:sz w:val="24"/>
              </w:rPr>
              <w:t>Wards</w:t>
            </w:r>
          </w:p>
        </w:tc>
        <w:tc>
          <w:tcPr>
            <w:tcW w:w="1195" w:type="dxa"/>
            <w:tcBorders>
              <w:top w:val="single" w:sz="8" w:space="0" w:color="000000"/>
              <w:bottom w:val="single" w:sz="8" w:space="0" w:color="000000"/>
            </w:tcBorders>
          </w:tcPr>
          <w:p>
            <w:pPr>
              <w:pStyle w:val="TableParagraph"/>
              <w:spacing w:before="1"/>
              <w:ind w:left="363"/>
              <w:jc w:val="left"/>
              <w:rPr>
                <w:b/>
                <w:sz w:val="24"/>
              </w:rPr>
            </w:pPr>
            <w:r>
              <w:rPr>
                <w:b/>
                <w:spacing w:val="-4"/>
                <w:sz w:val="24"/>
              </w:rPr>
              <w:t>PPSs</w:t>
            </w:r>
          </w:p>
          <w:p>
            <w:pPr>
              <w:pStyle w:val="TableParagraph"/>
              <w:spacing w:before="41"/>
              <w:ind w:left="329"/>
              <w:jc w:val="left"/>
              <w:rPr>
                <w:b/>
                <w:sz w:val="24"/>
              </w:rPr>
            </w:pPr>
            <w:r>
              <w:rPr>
                <w:b/>
                <w:spacing w:val="-4"/>
                <w:sz w:val="24"/>
              </w:rPr>
              <w:t>n/pop</w:t>
            </w:r>
          </w:p>
        </w:tc>
        <w:tc>
          <w:tcPr>
            <w:tcW w:w="1674" w:type="dxa"/>
            <w:tcBorders>
              <w:top w:val="single" w:sz="8" w:space="0" w:color="000000"/>
              <w:bottom w:val="single" w:sz="8" w:space="0" w:color="000000"/>
            </w:tcBorders>
          </w:tcPr>
          <w:p>
            <w:pPr>
              <w:pStyle w:val="TableParagraph"/>
              <w:spacing w:before="1"/>
              <w:ind w:left="265" w:right="219"/>
              <w:rPr>
                <w:b/>
                <w:sz w:val="24"/>
              </w:rPr>
            </w:pPr>
            <w:r>
              <w:rPr>
                <w:b/>
                <w:spacing w:val="-4"/>
                <w:sz w:val="24"/>
              </w:rPr>
              <w:t>PPSs</w:t>
            </w:r>
          </w:p>
          <w:p>
            <w:pPr>
              <w:pStyle w:val="TableParagraph"/>
              <w:spacing w:before="41"/>
              <w:ind w:left="265" w:right="219"/>
              <w:rPr>
                <w:b/>
                <w:sz w:val="24"/>
              </w:rPr>
            </w:pPr>
            <w:r>
              <w:rPr>
                <w:b/>
                <w:sz w:val="24"/>
              </w:rPr>
              <w:t>n/land</w:t>
            </w:r>
            <w:r>
              <w:rPr>
                <w:b/>
                <w:spacing w:val="-2"/>
                <w:sz w:val="24"/>
              </w:rPr>
              <w:t> </w:t>
            </w:r>
            <w:r>
              <w:rPr>
                <w:b/>
                <w:spacing w:val="-4"/>
                <w:sz w:val="24"/>
              </w:rPr>
              <w:t>area</w:t>
            </w:r>
          </w:p>
        </w:tc>
        <w:tc>
          <w:tcPr>
            <w:tcW w:w="1091" w:type="dxa"/>
            <w:tcBorders>
              <w:top w:val="single" w:sz="8" w:space="0" w:color="000000"/>
              <w:bottom w:val="single" w:sz="8" w:space="0" w:color="000000"/>
            </w:tcBorders>
          </w:tcPr>
          <w:p>
            <w:pPr>
              <w:pStyle w:val="TableParagraph"/>
              <w:spacing w:before="1"/>
              <w:ind w:left="232"/>
              <w:jc w:val="left"/>
              <w:rPr>
                <w:b/>
                <w:sz w:val="24"/>
              </w:rPr>
            </w:pPr>
            <w:r>
              <w:rPr>
                <w:b/>
                <w:spacing w:val="-4"/>
                <w:sz w:val="24"/>
              </w:rPr>
              <w:t>PHCs</w:t>
            </w:r>
          </w:p>
          <w:p>
            <w:pPr>
              <w:pStyle w:val="TableParagraph"/>
              <w:spacing w:before="41"/>
              <w:ind w:left="240"/>
              <w:jc w:val="left"/>
              <w:rPr>
                <w:b/>
                <w:sz w:val="24"/>
              </w:rPr>
            </w:pPr>
            <w:r>
              <w:rPr>
                <w:b/>
                <w:spacing w:val="-4"/>
                <w:sz w:val="24"/>
              </w:rPr>
              <w:t>n/pop</w:t>
            </w:r>
          </w:p>
        </w:tc>
        <w:tc>
          <w:tcPr>
            <w:tcW w:w="1625" w:type="dxa"/>
            <w:tcBorders>
              <w:top w:val="single" w:sz="8" w:space="0" w:color="000000"/>
              <w:bottom w:val="single" w:sz="8" w:space="0" w:color="000000"/>
            </w:tcBorders>
          </w:tcPr>
          <w:p>
            <w:pPr>
              <w:pStyle w:val="TableParagraph"/>
              <w:spacing w:before="1"/>
              <w:ind w:left="249" w:right="184"/>
              <w:rPr>
                <w:b/>
                <w:sz w:val="24"/>
              </w:rPr>
            </w:pPr>
            <w:r>
              <w:rPr>
                <w:b/>
                <w:spacing w:val="-4"/>
                <w:sz w:val="24"/>
              </w:rPr>
              <w:t>PHCs</w:t>
            </w:r>
          </w:p>
          <w:p>
            <w:pPr>
              <w:pStyle w:val="TableParagraph"/>
              <w:spacing w:before="41"/>
              <w:ind w:left="251" w:right="184"/>
              <w:rPr>
                <w:b/>
                <w:sz w:val="24"/>
              </w:rPr>
            </w:pPr>
            <w:r>
              <w:rPr>
                <w:b/>
                <w:sz w:val="24"/>
              </w:rPr>
              <w:t>n/land</w:t>
            </w:r>
            <w:r>
              <w:rPr>
                <w:b/>
                <w:spacing w:val="-2"/>
                <w:sz w:val="24"/>
              </w:rPr>
              <w:t> </w:t>
            </w:r>
            <w:r>
              <w:rPr>
                <w:b/>
                <w:spacing w:val="-4"/>
                <w:sz w:val="24"/>
              </w:rPr>
              <w:t>area</w:t>
            </w:r>
          </w:p>
        </w:tc>
      </w:tr>
      <w:tr>
        <w:trPr>
          <w:trHeight w:val="297" w:hRule="atLeast"/>
        </w:trPr>
        <w:tc>
          <w:tcPr>
            <w:tcW w:w="889" w:type="dxa"/>
            <w:tcBorders>
              <w:top w:val="single" w:sz="8" w:space="0" w:color="000000"/>
            </w:tcBorders>
          </w:tcPr>
          <w:p>
            <w:pPr>
              <w:pStyle w:val="TableParagraph"/>
              <w:spacing w:line="272" w:lineRule="exact"/>
              <w:ind w:right="56"/>
              <w:rPr>
                <w:sz w:val="24"/>
              </w:rPr>
            </w:pPr>
            <w:r>
              <w:rPr>
                <w:sz w:val="24"/>
              </w:rPr>
              <w:t>1</w:t>
            </w:r>
          </w:p>
        </w:tc>
        <w:tc>
          <w:tcPr>
            <w:tcW w:w="1722" w:type="dxa"/>
            <w:tcBorders>
              <w:top w:val="single" w:sz="8" w:space="0" w:color="000000"/>
            </w:tcBorders>
          </w:tcPr>
          <w:p>
            <w:pPr>
              <w:pStyle w:val="TableParagraph"/>
              <w:spacing w:line="272" w:lineRule="exact"/>
              <w:ind w:left="163" w:right="316"/>
              <w:rPr>
                <w:sz w:val="24"/>
              </w:rPr>
            </w:pPr>
            <w:r>
              <w:rPr>
                <w:spacing w:val="-2"/>
                <w:sz w:val="24"/>
              </w:rPr>
              <w:t>Dabai</w:t>
            </w:r>
          </w:p>
        </w:tc>
        <w:tc>
          <w:tcPr>
            <w:tcW w:w="1195" w:type="dxa"/>
            <w:tcBorders>
              <w:top w:val="single" w:sz="8" w:space="0" w:color="000000"/>
            </w:tcBorders>
          </w:tcPr>
          <w:p>
            <w:pPr>
              <w:pStyle w:val="TableParagraph"/>
              <w:spacing w:line="272" w:lineRule="exact"/>
              <w:ind w:left="401" w:right="349"/>
              <w:rPr>
                <w:sz w:val="24"/>
              </w:rPr>
            </w:pPr>
            <w:r>
              <w:rPr>
                <w:spacing w:val="-4"/>
                <w:sz w:val="24"/>
              </w:rPr>
              <w:t>0.94</w:t>
            </w:r>
          </w:p>
        </w:tc>
        <w:tc>
          <w:tcPr>
            <w:tcW w:w="1674" w:type="dxa"/>
            <w:tcBorders>
              <w:top w:val="single" w:sz="8" w:space="0" w:color="000000"/>
            </w:tcBorders>
          </w:tcPr>
          <w:p>
            <w:pPr>
              <w:pStyle w:val="TableParagraph"/>
              <w:spacing w:line="272" w:lineRule="exact"/>
              <w:ind w:left="265" w:right="216"/>
              <w:rPr>
                <w:sz w:val="24"/>
              </w:rPr>
            </w:pPr>
            <w:r>
              <w:rPr>
                <w:spacing w:val="-4"/>
                <w:sz w:val="24"/>
              </w:rPr>
              <w:t>0.93</w:t>
            </w:r>
          </w:p>
        </w:tc>
        <w:tc>
          <w:tcPr>
            <w:tcW w:w="1091" w:type="dxa"/>
            <w:tcBorders>
              <w:top w:val="single" w:sz="8" w:space="0" w:color="000000"/>
            </w:tcBorders>
          </w:tcPr>
          <w:p>
            <w:pPr>
              <w:pStyle w:val="TableParagraph"/>
              <w:spacing w:line="272" w:lineRule="exact"/>
              <w:ind w:left="313" w:right="333"/>
              <w:rPr>
                <w:sz w:val="24"/>
              </w:rPr>
            </w:pPr>
            <w:r>
              <w:rPr>
                <w:spacing w:val="-4"/>
                <w:sz w:val="24"/>
              </w:rPr>
              <w:t>1.40</w:t>
            </w:r>
          </w:p>
        </w:tc>
        <w:tc>
          <w:tcPr>
            <w:tcW w:w="1625" w:type="dxa"/>
            <w:tcBorders>
              <w:top w:val="single" w:sz="8" w:space="0" w:color="000000"/>
            </w:tcBorders>
          </w:tcPr>
          <w:p>
            <w:pPr>
              <w:pStyle w:val="TableParagraph"/>
              <w:spacing w:line="272" w:lineRule="exact"/>
              <w:ind w:left="249" w:right="184"/>
              <w:rPr>
                <w:sz w:val="24"/>
              </w:rPr>
            </w:pPr>
            <w:r>
              <w:rPr>
                <w:spacing w:val="-4"/>
                <w:sz w:val="24"/>
              </w:rPr>
              <w:t>1.38</w:t>
            </w:r>
          </w:p>
        </w:tc>
      </w:tr>
      <w:tr>
        <w:trPr>
          <w:trHeight w:val="316" w:hRule="atLeast"/>
        </w:trPr>
        <w:tc>
          <w:tcPr>
            <w:tcW w:w="889" w:type="dxa"/>
          </w:tcPr>
          <w:p>
            <w:pPr>
              <w:pStyle w:val="TableParagraph"/>
              <w:spacing w:before="15"/>
              <w:ind w:right="56"/>
              <w:rPr>
                <w:sz w:val="24"/>
              </w:rPr>
            </w:pPr>
            <w:r>
              <w:rPr>
                <w:sz w:val="24"/>
              </w:rPr>
              <w:t>2</w:t>
            </w:r>
          </w:p>
        </w:tc>
        <w:tc>
          <w:tcPr>
            <w:tcW w:w="1722" w:type="dxa"/>
          </w:tcPr>
          <w:p>
            <w:pPr>
              <w:pStyle w:val="TableParagraph"/>
              <w:spacing w:before="15"/>
              <w:ind w:left="163" w:right="316"/>
              <w:rPr>
                <w:sz w:val="24"/>
              </w:rPr>
            </w:pPr>
            <w:r>
              <w:rPr>
                <w:spacing w:val="-4"/>
                <w:sz w:val="24"/>
              </w:rPr>
              <w:t>Bedi</w:t>
            </w:r>
          </w:p>
        </w:tc>
        <w:tc>
          <w:tcPr>
            <w:tcW w:w="1195" w:type="dxa"/>
          </w:tcPr>
          <w:p>
            <w:pPr>
              <w:pStyle w:val="TableParagraph"/>
              <w:spacing w:before="15"/>
              <w:ind w:left="401" w:right="349"/>
              <w:rPr>
                <w:sz w:val="24"/>
              </w:rPr>
            </w:pPr>
            <w:r>
              <w:rPr>
                <w:spacing w:val="-4"/>
                <w:sz w:val="24"/>
              </w:rPr>
              <w:t>2.09</w:t>
            </w:r>
          </w:p>
        </w:tc>
        <w:tc>
          <w:tcPr>
            <w:tcW w:w="1674" w:type="dxa"/>
          </w:tcPr>
          <w:p>
            <w:pPr>
              <w:pStyle w:val="TableParagraph"/>
              <w:spacing w:before="15"/>
              <w:ind w:left="265" w:right="216"/>
              <w:rPr>
                <w:sz w:val="24"/>
              </w:rPr>
            </w:pPr>
            <w:r>
              <w:rPr>
                <w:spacing w:val="-4"/>
                <w:sz w:val="24"/>
              </w:rPr>
              <w:t>1.26</w:t>
            </w:r>
          </w:p>
        </w:tc>
        <w:tc>
          <w:tcPr>
            <w:tcW w:w="1091" w:type="dxa"/>
          </w:tcPr>
          <w:p>
            <w:pPr>
              <w:pStyle w:val="TableParagraph"/>
              <w:spacing w:before="15"/>
              <w:ind w:left="313" w:right="333"/>
              <w:rPr>
                <w:sz w:val="24"/>
              </w:rPr>
            </w:pPr>
            <w:r>
              <w:rPr>
                <w:spacing w:val="-4"/>
                <w:sz w:val="24"/>
              </w:rPr>
              <w:t>1.66</w:t>
            </w:r>
          </w:p>
        </w:tc>
        <w:tc>
          <w:tcPr>
            <w:tcW w:w="1625" w:type="dxa"/>
          </w:tcPr>
          <w:p>
            <w:pPr>
              <w:pStyle w:val="TableParagraph"/>
              <w:spacing w:before="15"/>
              <w:ind w:left="249" w:right="184"/>
              <w:rPr>
                <w:sz w:val="24"/>
              </w:rPr>
            </w:pPr>
            <w:r>
              <w:rPr>
                <w:spacing w:val="-4"/>
                <w:sz w:val="24"/>
              </w:rPr>
              <w:t>1.00</w:t>
            </w:r>
          </w:p>
        </w:tc>
      </w:tr>
      <w:tr>
        <w:trPr>
          <w:trHeight w:val="316" w:hRule="atLeast"/>
        </w:trPr>
        <w:tc>
          <w:tcPr>
            <w:tcW w:w="889" w:type="dxa"/>
          </w:tcPr>
          <w:p>
            <w:pPr>
              <w:pStyle w:val="TableParagraph"/>
              <w:spacing w:before="15"/>
              <w:ind w:right="56"/>
              <w:rPr>
                <w:sz w:val="24"/>
              </w:rPr>
            </w:pPr>
            <w:r>
              <w:rPr>
                <w:sz w:val="24"/>
              </w:rPr>
              <w:t>3</w:t>
            </w:r>
          </w:p>
        </w:tc>
        <w:tc>
          <w:tcPr>
            <w:tcW w:w="1722" w:type="dxa"/>
          </w:tcPr>
          <w:p>
            <w:pPr>
              <w:pStyle w:val="TableParagraph"/>
              <w:spacing w:before="15"/>
              <w:ind w:left="163" w:right="316"/>
              <w:rPr>
                <w:sz w:val="24"/>
              </w:rPr>
            </w:pPr>
            <w:r>
              <w:rPr>
                <w:sz w:val="24"/>
              </w:rPr>
              <w:t>Manga</w:t>
            </w:r>
            <w:r>
              <w:rPr>
                <w:spacing w:val="-2"/>
                <w:sz w:val="24"/>
              </w:rPr>
              <w:t> </w:t>
            </w:r>
            <w:r>
              <w:rPr>
                <w:spacing w:val="-4"/>
                <w:sz w:val="24"/>
              </w:rPr>
              <w:t>Ushe</w:t>
            </w:r>
          </w:p>
        </w:tc>
        <w:tc>
          <w:tcPr>
            <w:tcW w:w="1195" w:type="dxa"/>
          </w:tcPr>
          <w:p>
            <w:pPr>
              <w:pStyle w:val="TableParagraph"/>
              <w:spacing w:before="15"/>
              <w:ind w:left="401" w:right="349"/>
              <w:rPr>
                <w:sz w:val="24"/>
              </w:rPr>
            </w:pPr>
            <w:r>
              <w:rPr>
                <w:spacing w:val="-4"/>
                <w:sz w:val="24"/>
              </w:rPr>
              <w:t>0.83</w:t>
            </w:r>
          </w:p>
        </w:tc>
        <w:tc>
          <w:tcPr>
            <w:tcW w:w="1674" w:type="dxa"/>
          </w:tcPr>
          <w:p>
            <w:pPr>
              <w:pStyle w:val="TableParagraph"/>
              <w:spacing w:before="15"/>
              <w:ind w:left="265" w:right="216"/>
              <w:rPr>
                <w:sz w:val="24"/>
              </w:rPr>
            </w:pPr>
            <w:r>
              <w:rPr>
                <w:spacing w:val="-4"/>
                <w:sz w:val="24"/>
              </w:rPr>
              <w:t>0.85</w:t>
            </w:r>
          </w:p>
        </w:tc>
        <w:tc>
          <w:tcPr>
            <w:tcW w:w="1091" w:type="dxa"/>
          </w:tcPr>
          <w:p>
            <w:pPr>
              <w:pStyle w:val="TableParagraph"/>
              <w:spacing w:before="15"/>
              <w:ind w:left="313" w:right="333"/>
              <w:rPr>
                <w:sz w:val="24"/>
              </w:rPr>
            </w:pPr>
            <w:r>
              <w:rPr>
                <w:spacing w:val="-4"/>
                <w:sz w:val="24"/>
              </w:rPr>
              <w:t>1.54</w:t>
            </w:r>
          </w:p>
        </w:tc>
        <w:tc>
          <w:tcPr>
            <w:tcW w:w="1625" w:type="dxa"/>
          </w:tcPr>
          <w:p>
            <w:pPr>
              <w:pStyle w:val="TableParagraph"/>
              <w:spacing w:before="15"/>
              <w:ind w:left="249" w:right="184"/>
              <w:rPr>
                <w:sz w:val="24"/>
              </w:rPr>
            </w:pPr>
            <w:r>
              <w:rPr>
                <w:spacing w:val="-4"/>
                <w:sz w:val="24"/>
              </w:rPr>
              <w:t>1.57</w:t>
            </w:r>
          </w:p>
        </w:tc>
      </w:tr>
      <w:tr>
        <w:trPr>
          <w:trHeight w:val="318" w:hRule="atLeast"/>
        </w:trPr>
        <w:tc>
          <w:tcPr>
            <w:tcW w:w="889" w:type="dxa"/>
          </w:tcPr>
          <w:p>
            <w:pPr>
              <w:pStyle w:val="TableParagraph"/>
              <w:spacing w:before="15"/>
              <w:ind w:right="56"/>
              <w:rPr>
                <w:sz w:val="24"/>
              </w:rPr>
            </w:pPr>
            <w:r>
              <w:rPr>
                <w:sz w:val="24"/>
              </w:rPr>
              <w:t>4</w:t>
            </w:r>
          </w:p>
        </w:tc>
        <w:tc>
          <w:tcPr>
            <w:tcW w:w="1722" w:type="dxa"/>
          </w:tcPr>
          <w:p>
            <w:pPr>
              <w:pStyle w:val="TableParagraph"/>
              <w:spacing w:before="15"/>
              <w:ind w:left="162" w:right="316"/>
              <w:rPr>
                <w:sz w:val="24"/>
              </w:rPr>
            </w:pPr>
            <w:r>
              <w:rPr>
                <w:sz w:val="24"/>
              </w:rPr>
              <w:t>Rafin</w:t>
            </w:r>
            <w:r>
              <w:rPr>
                <w:spacing w:val="-3"/>
                <w:sz w:val="24"/>
              </w:rPr>
              <w:t> </w:t>
            </w:r>
            <w:r>
              <w:rPr>
                <w:spacing w:val="-4"/>
                <w:sz w:val="24"/>
              </w:rPr>
              <w:t>Zuru</w:t>
            </w:r>
          </w:p>
        </w:tc>
        <w:tc>
          <w:tcPr>
            <w:tcW w:w="1195" w:type="dxa"/>
          </w:tcPr>
          <w:p>
            <w:pPr>
              <w:pStyle w:val="TableParagraph"/>
              <w:spacing w:before="15"/>
              <w:ind w:left="401" w:right="349"/>
              <w:rPr>
                <w:sz w:val="24"/>
              </w:rPr>
            </w:pPr>
            <w:r>
              <w:rPr>
                <w:spacing w:val="-4"/>
                <w:sz w:val="24"/>
              </w:rPr>
              <w:t>1.32</w:t>
            </w:r>
          </w:p>
        </w:tc>
        <w:tc>
          <w:tcPr>
            <w:tcW w:w="1674" w:type="dxa"/>
          </w:tcPr>
          <w:p>
            <w:pPr>
              <w:pStyle w:val="TableParagraph"/>
              <w:spacing w:before="15"/>
              <w:ind w:left="265" w:right="216"/>
              <w:rPr>
                <w:sz w:val="24"/>
              </w:rPr>
            </w:pPr>
            <w:r>
              <w:rPr>
                <w:spacing w:val="-4"/>
                <w:sz w:val="24"/>
              </w:rPr>
              <w:t>3.85</w:t>
            </w:r>
          </w:p>
        </w:tc>
        <w:tc>
          <w:tcPr>
            <w:tcW w:w="1091" w:type="dxa"/>
          </w:tcPr>
          <w:p>
            <w:pPr>
              <w:pStyle w:val="TableParagraph"/>
              <w:spacing w:before="15"/>
              <w:ind w:left="313" w:right="333"/>
              <w:rPr>
                <w:sz w:val="24"/>
              </w:rPr>
            </w:pPr>
            <w:r>
              <w:rPr>
                <w:spacing w:val="-4"/>
                <w:sz w:val="24"/>
              </w:rPr>
              <w:t>0.41</w:t>
            </w:r>
          </w:p>
        </w:tc>
        <w:tc>
          <w:tcPr>
            <w:tcW w:w="1625" w:type="dxa"/>
          </w:tcPr>
          <w:p>
            <w:pPr>
              <w:pStyle w:val="TableParagraph"/>
              <w:spacing w:before="15"/>
              <w:ind w:left="249" w:right="184"/>
              <w:rPr>
                <w:sz w:val="24"/>
              </w:rPr>
            </w:pPr>
            <w:r>
              <w:rPr>
                <w:spacing w:val="-4"/>
                <w:sz w:val="24"/>
              </w:rPr>
              <w:t>1.19</w:t>
            </w:r>
          </w:p>
        </w:tc>
      </w:tr>
      <w:tr>
        <w:trPr>
          <w:trHeight w:val="317" w:hRule="atLeast"/>
        </w:trPr>
        <w:tc>
          <w:tcPr>
            <w:tcW w:w="889" w:type="dxa"/>
          </w:tcPr>
          <w:p>
            <w:pPr>
              <w:pStyle w:val="TableParagraph"/>
              <w:spacing w:before="16"/>
              <w:ind w:right="56"/>
              <w:rPr>
                <w:sz w:val="24"/>
              </w:rPr>
            </w:pPr>
            <w:r>
              <w:rPr>
                <w:sz w:val="24"/>
              </w:rPr>
              <w:t>5</w:t>
            </w:r>
          </w:p>
        </w:tc>
        <w:tc>
          <w:tcPr>
            <w:tcW w:w="1722" w:type="dxa"/>
          </w:tcPr>
          <w:p>
            <w:pPr>
              <w:pStyle w:val="TableParagraph"/>
              <w:spacing w:before="16"/>
              <w:ind w:left="163" w:right="313"/>
              <w:rPr>
                <w:sz w:val="24"/>
              </w:rPr>
            </w:pPr>
            <w:r>
              <w:rPr>
                <w:spacing w:val="-2"/>
                <w:sz w:val="24"/>
              </w:rPr>
              <w:t>Rikoto</w:t>
            </w:r>
          </w:p>
        </w:tc>
        <w:tc>
          <w:tcPr>
            <w:tcW w:w="1195" w:type="dxa"/>
          </w:tcPr>
          <w:p>
            <w:pPr>
              <w:pStyle w:val="TableParagraph"/>
              <w:spacing w:before="16"/>
              <w:ind w:left="401" w:right="349"/>
              <w:rPr>
                <w:sz w:val="24"/>
              </w:rPr>
            </w:pPr>
            <w:r>
              <w:rPr>
                <w:spacing w:val="-4"/>
                <w:sz w:val="24"/>
              </w:rPr>
              <w:t>0.53</w:t>
            </w:r>
          </w:p>
        </w:tc>
        <w:tc>
          <w:tcPr>
            <w:tcW w:w="1674" w:type="dxa"/>
          </w:tcPr>
          <w:p>
            <w:pPr>
              <w:pStyle w:val="TableParagraph"/>
              <w:spacing w:before="16"/>
              <w:ind w:left="265" w:right="216"/>
              <w:rPr>
                <w:sz w:val="24"/>
              </w:rPr>
            </w:pPr>
            <w:r>
              <w:rPr>
                <w:spacing w:val="-4"/>
                <w:sz w:val="24"/>
              </w:rPr>
              <w:t>2.52</w:t>
            </w:r>
          </w:p>
        </w:tc>
        <w:tc>
          <w:tcPr>
            <w:tcW w:w="1091" w:type="dxa"/>
          </w:tcPr>
          <w:p>
            <w:pPr>
              <w:pStyle w:val="TableParagraph"/>
              <w:spacing w:before="16"/>
              <w:ind w:left="313" w:right="333"/>
              <w:rPr>
                <w:sz w:val="24"/>
              </w:rPr>
            </w:pPr>
            <w:r>
              <w:rPr>
                <w:spacing w:val="-4"/>
                <w:sz w:val="24"/>
              </w:rPr>
              <w:t>0.33</w:t>
            </w:r>
          </w:p>
        </w:tc>
        <w:tc>
          <w:tcPr>
            <w:tcW w:w="1625" w:type="dxa"/>
          </w:tcPr>
          <w:p>
            <w:pPr>
              <w:pStyle w:val="TableParagraph"/>
              <w:spacing w:before="16"/>
              <w:ind w:left="249" w:right="184"/>
              <w:rPr>
                <w:sz w:val="24"/>
              </w:rPr>
            </w:pPr>
            <w:r>
              <w:rPr>
                <w:spacing w:val="-4"/>
                <w:sz w:val="24"/>
              </w:rPr>
              <w:t>1.56</w:t>
            </w:r>
          </w:p>
        </w:tc>
      </w:tr>
      <w:tr>
        <w:trPr>
          <w:trHeight w:val="337" w:hRule="atLeast"/>
        </w:trPr>
        <w:tc>
          <w:tcPr>
            <w:tcW w:w="889" w:type="dxa"/>
            <w:tcBorders>
              <w:bottom w:val="single" w:sz="8" w:space="0" w:color="000000"/>
            </w:tcBorders>
          </w:tcPr>
          <w:p>
            <w:pPr>
              <w:pStyle w:val="TableParagraph"/>
              <w:spacing w:before="15"/>
              <w:ind w:right="56"/>
              <w:rPr>
                <w:sz w:val="24"/>
              </w:rPr>
            </w:pPr>
            <w:r>
              <w:rPr>
                <w:sz w:val="24"/>
              </w:rPr>
              <w:t>6</w:t>
            </w:r>
          </w:p>
        </w:tc>
        <w:tc>
          <w:tcPr>
            <w:tcW w:w="1722" w:type="dxa"/>
            <w:tcBorders>
              <w:bottom w:val="single" w:sz="8" w:space="0" w:color="000000"/>
            </w:tcBorders>
          </w:tcPr>
          <w:p>
            <w:pPr>
              <w:pStyle w:val="TableParagraph"/>
              <w:spacing w:before="15"/>
              <w:ind w:left="163" w:right="314"/>
              <w:rPr>
                <w:sz w:val="24"/>
              </w:rPr>
            </w:pPr>
            <w:r>
              <w:rPr>
                <w:spacing w:val="-2"/>
                <w:sz w:val="24"/>
              </w:rPr>
              <w:t>Tadurga</w:t>
            </w:r>
          </w:p>
        </w:tc>
        <w:tc>
          <w:tcPr>
            <w:tcW w:w="1195" w:type="dxa"/>
            <w:tcBorders>
              <w:bottom w:val="single" w:sz="8" w:space="0" w:color="000000"/>
            </w:tcBorders>
          </w:tcPr>
          <w:p>
            <w:pPr>
              <w:pStyle w:val="TableParagraph"/>
              <w:spacing w:before="15"/>
              <w:ind w:left="401" w:right="349"/>
              <w:rPr>
                <w:sz w:val="24"/>
              </w:rPr>
            </w:pPr>
            <w:r>
              <w:rPr>
                <w:spacing w:val="-4"/>
                <w:sz w:val="24"/>
              </w:rPr>
              <w:t>0.42</w:t>
            </w:r>
          </w:p>
        </w:tc>
        <w:tc>
          <w:tcPr>
            <w:tcW w:w="1674" w:type="dxa"/>
            <w:tcBorders>
              <w:bottom w:val="single" w:sz="8" w:space="0" w:color="000000"/>
            </w:tcBorders>
          </w:tcPr>
          <w:p>
            <w:pPr>
              <w:pStyle w:val="TableParagraph"/>
              <w:spacing w:before="15"/>
              <w:ind w:left="265" w:right="216"/>
              <w:rPr>
                <w:sz w:val="24"/>
              </w:rPr>
            </w:pPr>
            <w:r>
              <w:rPr>
                <w:spacing w:val="-4"/>
                <w:sz w:val="24"/>
              </w:rPr>
              <w:t>0.13</w:t>
            </w:r>
          </w:p>
        </w:tc>
        <w:tc>
          <w:tcPr>
            <w:tcW w:w="1091" w:type="dxa"/>
            <w:tcBorders>
              <w:bottom w:val="single" w:sz="8" w:space="0" w:color="000000"/>
            </w:tcBorders>
          </w:tcPr>
          <w:p>
            <w:pPr>
              <w:pStyle w:val="TableParagraph"/>
              <w:spacing w:before="15"/>
              <w:ind w:left="313" w:right="333"/>
              <w:rPr>
                <w:sz w:val="24"/>
              </w:rPr>
            </w:pPr>
            <w:r>
              <w:rPr>
                <w:spacing w:val="-4"/>
                <w:sz w:val="24"/>
              </w:rPr>
              <w:t>0.79</w:t>
            </w:r>
          </w:p>
        </w:tc>
        <w:tc>
          <w:tcPr>
            <w:tcW w:w="1625" w:type="dxa"/>
            <w:tcBorders>
              <w:bottom w:val="single" w:sz="8" w:space="0" w:color="000000"/>
            </w:tcBorders>
          </w:tcPr>
          <w:p>
            <w:pPr>
              <w:pStyle w:val="TableParagraph"/>
              <w:spacing w:before="15"/>
              <w:ind w:left="249" w:right="184"/>
              <w:rPr>
                <w:sz w:val="24"/>
              </w:rPr>
            </w:pPr>
            <w:r>
              <w:rPr>
                <w:spacing w:val="-4"/>
                <w:sz w:val="24"/>
              </w:rPr>
              <w:t>0.25</w:t>
            </w:r>
          </w:p>
        </w:tc>
      </w:tr>
    </w:tbl>
    <w:p>
      <w:pPr>
        <w:pStyle w:val="BodyText"/>
        <w:ind w:left="240"/>
        <w:jc w:val="both"/>
      </w:pPr>
      <w:r>
        <w:rPr/>
        <w:t>Source:</w:t>
      </w:r>
      <w:r>
        <w:rPr>
          <w:spacing w:val="-2"/>
        </w:rPr>
        <w:t> </w:t>
      </w:r>
      <w:r>
        <w:rPr/>
        <w:t>Researcher’s Field</w:t>
      </w:r>
      <w:r>
        <w:rPr>
          <w:spacing w:val="-2"/>
        </w:rPr>
        <w:t> </w:t>
      </w:r>
      <w:r>
        <w:rPr/>
        <w:t>Work,</w:t>
      </w:r>
      <w:r>
        <w:rPr>
          <w:spacing w:val="-1"/>
        </w:rPr>
        <w:t> </w:t>
      </w:r>
      <w:r>
        <w:rPr>
          <w:spacing w:val="-4"/>
        </w:rPr>
        <w:t>2020</w:t>
      </w:r>
    </w:p>
    <w:p>
      <w:pPr>
        <w:pStyle w:val="BodyText"/>
        <w:rPr>
          <w:sz w:val="26"/>
        </w:rPr>
      </w:pPr>
    </w:p>
    <w:p>
      <w:pPr>
        <w:pStyle w:val="BodyText"/>
        <w:spacing w:line="480" w:lineRule="auto" w:before="173"/>
        <w:ind w:left="240" w:right="277"/>
        <w:jc w:val="both"/>
      </w:pPr>
      <w:r>
        <w:rPr/>
        <w:t>As illustrated in Table 4.5, public primary schools (PPSs) in Bedi and Rafin Zuru have both LQs (population and land area) greater than 1.00 and as such can be regarded as well served wards. Manga ushe and Dabai has both LQ 0.8 to 1.0 and as such can be regarded as moderately or fairly served. However, Tadurga has a poor LQ for public primary school and this means that it has a low share of PPSs compared to the local government share of PPSs. Rikoto resulted to two LQs that 0.53 and 2.52 for population and land area respectively.</w:t>
      </w:r>
      <w:r>
        <w:rPr>
          <w:spacing w:val="40"/>
        </w:rPr>
        <w:t> </w:t>
      </w:r>
      <w:r>
        <w:rPr/>
        <w:t>Thus, illustrating a poor LQ when population is the variable for measuring spatial inequality while, being adequate when measured by land area as shown in Table 4.5.</w:t>
      </w:r>
    </w:p>
    <w:p>
      <w:pPr>
        <w:pStyle w:val="BodyText"/>
        <w:spacing w:line="480" w:lineRule="auto" w:before="201"/>
        <w:ind w:left="240" w:right="276"/>
        <w:jc w:val="both"/>
      </w:pPr>
      <w:r>
        <w:rPr/>
        <w:t>Both LQs in Dabai, Bedi and Manga Ushe wards were ranging from 1.0 to 1.66, and as such revealed that these wards have a good share in the allocation of PHCs within the local government as shown in Table 4.5. Despite the variation in the LQs, Tarduga has the lowest LQs which are less than 1.0. Thus, Tadurga ward tend to have the lowest share of the allocated</w:t>
      </w:r>
      <w:r>
        <w:rPr>
          <w:spacing w:val="46"/>
        </w:rPr>
        <w:t> </w:t>
      </w:r>
      <w:r>
        <w:rPr/>
        <w:t>PHCs</w:t>
      </w:r>
      <w:r>
        <w:rPr>
          <w:spacing w:val="47"/>
        </w:rPr>
        <w:t> </w:t>
      </w:r>
      <w:r>
        <w:rPr/>
        <w:t>within</w:t>
      </w:r>
      <w:r>
        <w:rPr>
          <w:spacing w:val="47"/>
        </w:rPr>
        <w:t> </w:t>
      </w:r>
      <w:r>
        <w:rPr/>
        <w:t>the</w:t>
      </w:r>
      <w:r>
        <w:rPr>
          <w:spacing w:val="45"/>
        </w:rPr>
        <w:t> </w:t>
      </w:r>
      <w:r>
        <w:rPr/>
        <w:t>local</w:t>
      </w:r>
      <w:r>
        <w:rPr>
          <w:spacing w:val="50"/>
        </w:rPr>
        <w:t> </w:t>
      </w:r>
      <w:r>
        <w:rPr/>
        <w:t>government.</w:t>
      </w:r>
      <w:r>
        <w:rPr>
          <w:spacing w:val="47"/>
        </w:rPr>
        <w:t> </w:t>
      </w:r>
      <w:r>
        <w:rPr/>
        <w:t>Rafin</w:t>
      </w:r>
      <w:r>
        <w:rPr>
          <w:spacing w:val="50"/>
        </w:rPr>
        <w:t> </w:t>
      </w:r>
      <w:r>
        <w:rPr/>
        <w:t>Zuru</w:t>
      </w:r>
      <w:r>
        <w:rPr>
          <w:spacing w:val="48"/>
        </w:rPr>
        <w:t> </w:t>
      </w:r>
      <w:r>
        <w:rPr/>
        <w:t>and</w:t>
      </w:r>
      <w:r>
        <w:rPr>
          <w:spacing w:val="47"/>
        </w:rPr>
        <w:t> </w:t>
      </w:r>
      <w:r>
        <w:rPr/>
        <w:t>Rikoto</w:t>
      </w:r>
      <w:r>
        <w:rPr>
          <w:spacing w:val="46"/>
        </w:rPr>
        <w:t> </w:t>
      </w:r>
      <w:r>
        <w:rPr/>
        <w:t>wards</w:t>
      </w:r>
      <w:r>
        <w:rPr>
          <w:spacing w:val="47"/>
        </w:rPr>
        <w:t> </w:t>
      </w:r>
      <w:r>
        <w:rPr/>
        <w:t>in</w:t>
      </w:r>
      <w:r>
        <w:rPr>
          <w:spacing w:val="50"/>
        </w:rPr>
        <w:t> </w:t>
      </w:r>
      <w:r>
        <w:rPr/>
        <w:t>Table</w:t>
      </w:r>
      <w:r>
        <w:rPr>
          <w:spacing w:val="48"/>
        </w:rPr>
        <w:t> </w:t>
      </w:r>
      <w:r>
        <w:rPr>
          <w:spacing w:val="-5"/>
        </w:rPr>
        <w:t>4.5</w:t>
      </w:r>
    </w:p>
    <w:p>
      <w:pPr>
        <w:spacing w:after="0" w:line="480" w:lineRule="auto"/>
        <w:jc w:val="both"/>
        <w:sectPr>
          <w:pgSz w:w="11910" w:h="16840"/>
          <w:pgMar w:header="0" w:footer="1003" w:top="1340" w:bottom="1200" w:left="1200" w:right="1160"/>
        </w:sectPr>
      </w:pPr>
    </w:p>
    <w:p>
      <w:pPr>
        <w:pStyle w:val="BodyText"/>
        <w:spacing w:line="482" w:lineRule="auto" w:before="73"/>
        <w:ind w:left="240" w:right="284"/>
        <w:jc w:val="both"/>
      </w:pPr>
      <w:r>
        <w:rPr/>
        <w:t>showed conflicting results which explained PHCs were allocated adequately using spatial consideration (land area) and not the population.</w:t>
      </w:r>
    </w:p>
    <w:p>
      <w:pPr>
        <w:pStyle w:val="Heading1"/>
        <w:spacing w:before="199"/>
        <w:ind w:left="240" w:firstLine="0"/>
      </w:pPr>
      <w:r>
        <w:rPr/>
        <w:t>4.5</w:t>
      </w:r>
      <w:r>
        <w:rPr>
          <w:spacing w:val="78"/>
        </w:rPr>
        <w:t>   </w:t>
      </w:r>
      <w:r>
        <w:rPr/>
        <w:t>Summary</w:t>
      </w:r>
      <w:r>
        <w:rPr>
          <w:spacing w:val="-1"/>
        </w:rPr>
        <w:t> </w:t>
      </w:r>
      <w:r>
        <w:rPr/>
        <w:t>of</w:t>
      </w:r>
      <w:r>
        <w:rPr>
          <w:spacing w:val="3"/>
        </w:rPr>
        <w:t> </w:t>
      </w:r>
      <w:r>
        <w:rPr>
          <w:spacing w:val="-2"/>
        </w:rPr>
        <w:t>Findings</w:t>
      </w:r>
    </w:p>
    <w:p>
      <w:pPr>
        <w:pStyle w:val="BodyText"/>
        <w:spacing w:before="7"/>
        <w:rPr>
          <w:b/>
          <w:sz w:val="23"/>
        </w:rPr>
      </w:pPr>
    </w:p>
    <w:p>
      <w:pPr>
        <w:pStyle w:val="BodyText"/>
        <w:spacing w:line="480" w:lineRule="auto"/>
        <w:ind w:left="240" w:right="276"/>
        <w:jc w:val="both"/>
      </w:pPr>
      <w:r>
        <w:rPr/>
        <w:t>This study</w:t>
      </w:r>
      <w:r>
        <w:rPr>
          <w:spacing w:val="-5"/>
        </w:rPr>
        <w:t> </w:t>
      </w:r>
      <w:r>
        <w:rPr/>
        <w:t>revealed that some public primary</w:t>
      </w:r>
      <w:r>
        <w:rPr>
          <w:spacing w:val="-3"/>
        </w:rPr>
        <w:t> </w:t>
      </w:r>
      <w:r>
        <w:rPr/>
        <w:t>schools and primary</w:t>
      </w:r>
      <w:r>
        <w:rPr>
          <w:spacing w:val="-3"/>
        </w:rPr>
        <w:t> </w:t>
      </w:r>
      <w:r>
        <w:rPr/>
        <w:t>health care centres in Zuru local government were actually located outside the boundary of the local government area. However, a large number of the social infrastructure was located within the local</w:t>
      </w:r>
      <w:r>
        <w:rPr>
          <w:spacing w:val="80"/>
        </w:rPr>
        <w:t> </w:t>
      </w:r>
      <w:r>
        <w:rPr/>
        <w:t>government. There exist 14 primary</w:t>
      </w:r>
      <w:r>
        <w:rPr>
          <w:spacing w:val="-4"/>
        </w:rPr>
        <w:t> </w:t>
      </w:r>
      <w:r>
        <w:rPr/>
        <w:t>health centres and 26 public primary</w:t>
      </w:r>
      <w:r>
        <w:rPr>
          <w:spacing w:val="-4"/>
        </w:rPr>
        <w:t> </w:t>
      </w:r>
      <w:r>
        <w:rPr/>
        <w:t>schools to serve the need of the populace within the six sampled wards namely; Bedi, Dabai, Rafin Zuru, Manga Ushe, Tadurga and Rikoto wards. The spatial distribution analysis showed that both the PPSs and PHCs exhibited a dispersed pattern of distribution. This explains that the allocation of social infrastructure within the study area did not maintain uniform distance between them</w:t>
      </w:r>
      <w:r>
        <w:rPr>
          <w:spacing w:val="40"/>
        </w:rPr>
        <w:t> </w:t>
      </w:r>
      <w:r>
        <w:rPr/>
        <w:t>nor were they distributed randomly. A dispersed pattern depicts the tendency that each</w:t>
      </w:r>
      <w:r>
        <w:rPr>
          <w:spacing w:val="40"/>
        </w:rPr>
        <w:t> </w:t>
      </w:r>
      <w:r>
        <w:rPr/>
        <w:t>facility was located as far as possible from another.</w:t>
      </w:r>
    </w:p>
    <w:p>
      <w:pPr>
        <w:pStyle w:val="BodyText"/>
        <w:spacing w:line="480" w:lineRule="auto" w:before="201"/>
        <w:ind w:left="240" w:right="276"/>
        <w:jc w:val="both"/>
      </w:pPr>
      <w:r>
        <w:rPr/>
        <w:t>This also study used a multiple regression model to examine the statistical correlation</w:t>
      </w:r>
      <w:r>
        <w:rPr>
          <w:spacing w:val="40"/>
        </w:rPr>
        <w:t> </w:t>
      </w:r>
      <w:r>
        <w:rPr/>
        <w:t>existing between population and the existing social infrastructure stock amongst the six sampled wards. Result of the analysis showed that there is no statistically significant correlation between the population and the existing social infrastructural stock within Zuru local government area. Hence, it depicts that a population based model of resource or infrastructural allocation within Zuru local government is unlikely. As</w:t>
      </w:r>
      <w:r>
        <w:rPr>
          <w:spacing w:val="-1"/>
        </w:rPr>
        <w:t> </w:t>
      </w:r>
      <w:r>
        <w:rPr/>
        <w:t>such, population is not used as a determinant of the quantity of social infrastructure allocated to any ward. This nullifies the idea that the greater the population the more the number of facilities allocated to them. On the contrary, the relationship existing between PPSs and PHCs as illustrated in the Euclidean or buffer analysis showed how the service areas of PHCs and PPSs overlapped. This suggests a spatial relationship as well as a high potential for social infrastructural accessibility.</w:t>
      </w:r>
      <w:r>
        <w:rPr>
          <w:spacing w:val="30"/>
        </w:rPr>
        <w:t>  </w:t>
      </w:r>
      <w:r>
        <w:rPr/>
        <w:t>This</w:t>
      </w:r>
      <w:r>
        <w:rPr>
          <w:spacing w:val="31"/>
        </w:rPr>
        <w:t>  </w:t>
      </w:r>
      <w:r>
        <w:rPr/>
        <w:t>also</w:t>
      </w:r>
      <w:r>
        <w:rPr>
          <w:spacing w:val="30"/>
        </w:rPr>
        <w:t>  </w:t>
      </w:r>
      <w:r>
        <w:rPr/>
        <w:t>implied</w:t>
      </w:r>
      <w:r>
        <w:rPr>
          <w:spacing w:val="31"/>
        </w:rPr>
        <w:t>  </w:t>
      </w:r>
      <w:r>
        <w:rPr/>
        <w:t>that,</w:t>
      </w:r>
      <w:r>
        <w:rPr>
          <w:spacing w:val="28"/>
        </w:rPr>
        <w:t>  </w:t>
      </w:r>
      <w:r>
        <w:rPr/>
        <w:t>spatial</w:t>
      </w:r>
      <w:r>
        <w:rPr>
          <w:spacing w:val="29"/>
        </w:rPr>
        <w:t>  </w:t>
      </w:r>
      <w:r>
        <w:rPr/>
        <w:t>considerations</w:t>
      </w:r>
      <w:r>
        <w:rPr>
          <w:spacing w:val="31"/>
        </w:rPr>
        <w:t>  </w:t>
      </w:r>
      <w:r>
        <w:rPr/>
        <w:t>and</w:t>
      </w:r>
      <w:r>
        <w:rPr>
          <w:spacing w:val="30"/>
        </w:rPr>
        <w:t>  </w:t>
      </w:r>
      <w:r>
        <w:rPr/>
        <w:t>accessibility</w:t>
      </w:r>
      <w:r>
        <w:rPr>
          <w:spacing w:val="27"/>
        </w:rPr>
        <w:t>  </w:t>
      </w:r>
      <w:r>
        <w:rPr/>
        <w:t>is</w:t>
      </w:r>
      <w:r>
        <w:rPr>
          <w:spacing w:val="31"/>
        </w:rPr>
        <w:t>  </w:t>
      </w:r>
      <w:r>
        <w:rPr>
          <w:spacing w:val="-5"/>
        </w:rPr>
        <w:t>the</w:t>
      </w:r>
    </w:p>
    <w:p>
      <w:pPr>
        <w:spacing w:after="0" w:line="480" w:lineRule="auto"/>
        <w:jc w:val="both"/>
        <w:sectPr>
          <w:pgSz w:w="11910" w:h="16840"/>
          <w:pgMar w:header="0" w:footer="1003" w:top="1340" w:bottom="1200" w:left="1200" w:right="1160"/>
        </w:sectPr>
      </w:pPr>
    </w:p>
    <w:p>
      <w:pPr>
        <w:pStyle w:val="BodyText"/>
        <w:spacing w:line="482" w:lineRule="auto" w:before="73"/>
        <w:ind w:left="240" w:right="286"/>
        <w:jc w:val="both"/>
      </w:pPr>
      <w:r>
        <w:rPr/>
        <w:t>predominant criteria used to determine the allocation of PPSs and PHCs in Zuru local government and not threshold population.</w:t>
      </w:r>
    </w:p>
    <w:p>
      <w:pPr>
        <w:pStyle w:val="BodyText"/>
        <w:spacing w:line="480" w:lineRule="auto" w:before="194"/>
        <w:ind w:left="240" w:right="275"/>
        <w:jc w:val="both"/>
      </w:pPr>
      <w:r>
        <w:rPr/>
        <w:t>Nevertheless,</w:t>
      </w:r>
      <w:r>
        <w:rPr>
          <w:spacing w:val="-3"/>
        </w:rPr>
        <w:t> </w:t>
      </w:r>
      <w:r>
        <w:rPr/>
        <w:t>a</w:t>
      </w:r>
      <w:r>
        <w:rPr>
          <w:spacing w:val="-3"/>
        </w:rPr>
        <w:t> </w:t>
      </w:r>
      <w:r>
        <w:rPr/>
        <w:t>location</w:t>
      </w:r>
      <w:r>
        <w:rPr>
          <w:spacing w:val="-3"/>
        </w:rPr>
        <w:t> </w:t>
      </w:r>
      <w:r>
        <w:rPr/>
        <w:t>quotient</w:t>
      </w:r>
      <w:r>
        <w:rPr>
          <w:spacing w:val="-3"/>
        </w:rPr>
        <w:t> </w:t>
      </w:r>
      <w:r>
        <w:rPr/>
        <w:t>(LQ)</w:t>
      </w:r>
      <w:r>
        <w:rPr>
          <w:spacing w:val="-3"/>
        </w:rPr>
        <w:t> </w:t>
      </w:r>
      <w:r>
        <w:rPr/>
        <w:t>model</w:t>
      </w:r>
      <w:r>
        <w:rPr>
          <w:spacing w:val="-3"/>
        </w:rPr>
        <w:t> </w:t>
      </w:r>
      <w:r>
        <w:rPr/>
        <w:t>was also</w:t>
      </w:r>
      <w:r>
        <w:rPr>
          <w:spacing w:val="-3"/>
        </w:rPr>
        <w:t> </w:t>
      </w:r>
      <w:r>
        <w:rPr/>
        <w:t>adopted</w:t>
      </w:r>
      <w:r>
        <w:rPr>
          <w:spacing w:val="-3"/>
        </w:rPr>
        <w:t> </w:t>
      </w:r>
      <w:r>
        <w:rPr/>
        <w:t>as</w:t>
      </w:r>
      <w:r>
        <w:rPr>
          <w:spacing w:val="-1"/>
        </w:rPr>
        <w:t> </w:t>
      </w:r>
      <w:r>
        <w:rPr/>
        <w:t>a</w:t>
      </w:r>
      <w:r>
        <w:rPr>
          <w:spacing w:val="-4"/>
        </w:rPr>
        <w:t> </w:t>
      </w:r>
      <w:r>
        <w:rPr/>
        <w:t>viable</w:t>
      </w:r>
      <w:r>
        <w:rPr>
          <w:spacing w:val="-2"/>
        </w:rPr>
        <w:t> </w:t>
      </w:r>
      <w:r>
        <w:rPr/>
        <w:t>tool</w:t>
      </w:r>
      <w:r>
        <w:rPr>
          <w:spacing w:val="-2"/>
        </w:rPr>
        <w:t> </w:t>
      </w:r>
      <w:r>
        <w:rPr/>
        <w:t>to</w:t>
      </w:r>
      <w:r>
        <w:rPr>
          <w:spacing w:val="-3"/>
        </w:rPr>
        <w:t> </w:t>
      </w:r>
      <w:r>
        <w:rPr/>
        <w:t>examine</w:t>
      </w:r>
      <w:r>
        <w:rPr>
          <w:spacing w:val="-3"/>
        </w:rPr>
        <w:t> </w:t>
      </w:r>
      <w:r>
        <w:rPr/>
        <w:t>the level of spatial disparities or inequalities in the allocation of PPSs and PHCs within the study area. Spatial inequalities analysis was viewed from two perspectives in contrast for this research. Firstly, by measuring the share of existing social infrastructural and ward</w:t>
      </w:r>
      <w:r>
        <w:rPr>
          <w:spacing w:val="40"/>
        </w:rPr>
        <w:t> </w:t>
      </w:r>
      <w:r>
        <w:rPr/>
        <w:t>population and secondly by measuring the existing social infrastructure and land area of respective ward. Cross tabulating the LQ results of each ward highlighted the ward with LQ lesser than 1.0 which do not have a fair share of the allocated social infrastructure. Tadurga ward in this study was identified as a ward deprived or underserved with both public primary school and public primary health facility allocation in the LQ analysis.</w:t>
      </w:r>
    </w:p>
    <w:p>
      <w:pPr>
        <w:pStyle w:val="BodyText"/>
        <w:spacing w:line="480" w:lineRule="auto" w:before="201"/>
        <w:ind w:left="240" w:right="277"/>
        <w:jc w:val="both"/>
      </w:pPr>
      <w:r>
        <w:rPr/>
        <w:t>To ensure the effectiveness of the spatial analysis, this study adopted recognised standards to examine accessibility to PPSs and PHCs respectively. These include the WHO one-hour pedestrian travel time for primary health centres and also 3km to 4km UBE service radius standard for public primary schools. The analysis identified the areas accessible and those</w:t>
      </w:r>
      <w:r>
        <w:rPr>
          <w:spacing w:val="40"/>
        </w:rPr>
        <w:t> </w:t>
      </w:r>
      <w:r>
        <w:rPr/>
        <w:t>that are not having adequate access to existing social infrastructure using linear and network distances. Analysing the accessibility of the existing PPSs and PHCs, revealed that Tadurga ward is underserved with PHCs and PPSs due to an identified large expanse of land outside the catchment area. Although the settlement pattern in the underserved region is dispersed, there is a need for them to access these basic infrastructures.</w:t>
      </w:r>
    </w:p>
    <w:p>
      <w:pPr>
        <w:pStyle w:val="BodyText"/>
        <w:spacing w:line="480" w:lineRule="auto" w:before="203"/>
        <w:ind w:left="240" w:right="275"/>
        <w:jc w:val="both"/>
      </w:pPr>
      <w:r>
        <w:rPr/>
        <w:t>The Euclidean and road network analysis showed variations in the total land area outside the catchment areas of PPSs and PHCs during this study. In Tadurga ward for instance,</w:t>
      </w:r>
      <w:r>
        <w:rPr>
          <w:spacing w:val="40"/>
        </w:rPr>
        <w:t> </w:t>
      </w:r>
      <w:r>
        <w:rPr/>
        <w:t>Euclidean analysis revealed a land area of 42.228km</w:t>
      </w:r>
      <w:r>
        <w:rPr>
          <w:vertAlign w:val="superscript"/>
        </w:rPr>
        <w:t>2</w:t>
      </w:r>
      <w:r>
        <w:rPr>
          <w:vertAlign w:val="baseline"/>
        </w:rPr>
        <w:t> while the road network analysis revealed</w:t>
      </w:r>
      <w:r>
        <w:rPr>
          <w:spacing w:val="69"/>
          <w:vertAlign w:val="baseline"/>
        </w:rPr>
        <w:t> </w:t>
      </w:r>
      <w:r>
        <w:rPr>
          <w:vertAlign w:val="baseline"/>
        </w:rPr>
        <w:t>78.466km</w:t>
      </w:r>
      <w:r>
        <w:rPr>
          <w:vertAlign w:val="superscript"/>
        </w:rPr>
        <w:t>2</w:t>
      </w:r>
      <w:r>
        <w:rPr>
          <w:spacing w:val="72"/>
          <w:vertAlign w:val="baseline"/>
        </w:rPr>
        <w:t> </w:t>
      </w:r>
      <w:r>
        <w:rPr>
          <w:vertAlign w:val="baseline"/>
        </w:rPr>
        <w:t>of</w:t>
      </w:r>
      <w:r>
        <w:rPr>
          <w:spacing w:val="67"/>
          <w:vertAlign w:val="baseline"/>
        </w:rPr>
        <w:t> </w:t>
      </w:r>
      <w:r>
        <w:rPr>
          <w:vertAlign w:val="baseline"/>
        </w:rPr>
        <w:t>land</w:t>
      </w:r>
      <w:r>
        <w:rPr>
          <w:spacing w:val="70"/>
          <w:vertAlign w:val="baseline"/>
        </w:rPr>
        <w:t> </w:t>
      </w:r>
      <w:r>
        <w:rPr>
          <w:vertAlign w:val="baseline"/>
        </w:rPr>
        <w:t>area</w:t>
      </w:r>
      <w:r>
        <w:rPr>
          <w:spacing w:val="69"/>
          <w:vertAlign w:val="baseline"/>
        </w:rPr>
        <w:t> </w:t>
      </w:r>
      <w:r>
        <w:rPr>
          <w:vertAlign w:val="baseline"/>
        </w:rPr>
        <w:t>outside</w:t>
      </w:r>
      <w:r>
        <w:rPr>
          <w:spacing w:val="68"/>
          <w:vertAlign w:val="baseline"/>
        </w:rPr>
        <w:t> </w:t>
      </w:r>
      <w:r>
        <w:rPr>
          <w:vertAlign w:val="baseline"/>
        </w:rPr>
        <w:t>the</w:t>
      </w:r>
      <w:r>
        <w:rPr>
          <w:spacing w:val="72"/>
          <w:vertAlign w:val="baseline"/>
        </w:rPr>
        <w:t> </w:t>
      </w:r>
      <w:r>
        <w:rPr>
          <w:vertAlign w:val="baseline"/>
        </w:rPr>
        <w:t>PHC</w:t>
      </w:r>
      <w:r>
        <w:rPr>
          <w:spacing w:val="73"/>
          <w:vertAlign w:val="baseline"/>
        </w:rPr>
        <w:t> </w:t>
      </w:r>
      <w:r>
        <w:rPr>
          <w:vertAlign w:val="baseline"/>
        </w:rPr>
        <w:t>catchment</w:t>
      </w:r>
      <w:r>
        <w:rPr>
          <w:spacing w:val="71"/>
          <w:vertAlign w:val="baseline"/>
        </w:rPr>
        <w:t> </w:t>
      </w:r>
      <w:r>
        <w:rPr>
          <w:vertAlign w:val="baseline"/>
        </w:rPr>
        <w:t>area.</w:t>
      </w:r>
      <w:r>
        <w:rPr>
          <w:spacing w:val="70"/>
          <w:vertAlign w:val="baseline"/>
        </w:rPr>
        <w:t> </w:t>
      </w:r>
      <w:r>
        <w:rPr>
          <w:vertAlign w:val="baseline"/>
        </w:rPr>
        <w:t>This</w:t>
      </w:r>
      <w:r>
        <w:rPr>
          <w:spacing w:val="71"/>
          <w:vertAlign w:val="baseline"/>
        </w:rPr>
        <w:t> </w:t>
      </w:r>
      <w:r>
        <w:rPr>
          <w:vertAlign w:val="baseline"/>
        </w:rPr>
        <w:t>illustrated</w:t>
      </w:r>
      <w:r>
        <w:rPr>
          <w:spacing w:val="72"/>
          <w:vertAlign w:val="baseline"/>
        </w:rPr>
        <w:t> </w:t>
      </w:r>
      <w:r>
        <w:rPr>
          <w:spacing w:val="-5"/>
          <w:vertAlign w:val="baseline"/>
        </w:rPr>
        <w:t>the</w:t>
      </w:r>
    </w:p>
    <w:p>
      <w:pPr>
        <w:spacing w:after="0" w:line="480" w:lineRule="auto"/>
        <w:jc w:val="both"/>
        <w:sectPr>
          <w:pgSz w:w="11910" w:h="16840"/>
          <w:pgMar w:header="0" w:footer="1003" w:top="1340" w:bottom="1200" w:left="1200" w:right="1160"/>
        </w:sectPr>
      </w:pPr>
    </w:p>
    <w:p>
      <w:pPr>
        <w:pStyle w:val="BodyText"/>
        <w:spacing w:line="482" w:lineRule="auto" w:before="73"/>
        <w:ind w:left="240" w:right="279"/>
        <w:jc w:val="both"/>
      </w:pPr>
      <w:r>
        <w:rPr/>
        <w:t>differences between the Euclidean and the network analysis. Although both have the</w:t>
      </w:r>
      <w:r>
        <w:rPr>
          <w:spacing w:val="40"/>
        </w:rPr>
        <w:t> </w:t>
      </w:r>
      <w:r>
        <w:rPr/>
        <w:t>tendency</w:t>
      </w:r>
      <w:r>
        <w:rPr>
          <w:spacing w:val="-3"/>
        </w:rPr>
        <w:t> </w:t>
      </w:r>
      <w:r>
        <w:rPr/>
        <w:t>of measuring spatial accessibility</w:t>
      </w:r>
      <w:r>
        <w:rPr>
          <w:spacing w:val="-3"/>
        </w:rPr>
        <w:t> </w:t>
      </w:r>
      <w:r>
        <w:rPr/>
        <w:t>and determining areas outside the catchment area, the Euclidean measurement underestimated the land area of the underserved region.</w:t>
      </w:r>
    </w:p>
    <w:p>
      <w:pPr>
        <w:pStyle w:val="BodyText"/>
        <w:spacing w:line="480" w:lineRule="auto" w:before="192"/>
        <w:ind w:left="240" w:right="275"/>
        <w:jc w:val="both"/>
      </w:pPr>
      <w:r>
        <w:rPr/>
        <w:t>Furthermore, some areas within Bedi ward were identified as underserved because they fall outside the catchment area of the nearest PHCs. This area covers 71.632km</w:t>
      </w:r>
      <w:r>
        <w:rPr>
          <w:vertAlign w:val="superscript"/>
        </w:rPr>
        <w:t>2</w:t>
      </w:r>
      <w:r>
        <w:rPr>
          <w:vertAlign w:val="baseline"/>
        </w:rPr>
        <w:t> from the</w:t>
      </w:r>
      <w:r>
        <w:rPr>
          <w:spacing w:val="40"/>
          <w:vertAlign w:val="baseline"/>
        </w:rPr>
        <w:t> </w:t>
      </w:r>
      <w:r>
        <w:rPr>
          <w:vertAlign w:val="baseline"/>
        </w:rPr>
        <w:t>network analysis findings and 10.64km</w:t>
      </w:r>
      <w:r>
        <w:rPr>
          <w:vertAlign w:val="superscript"/>
        </w:rPr>
        <w:t>2</w:t>
      </w:r>
      <w:r>
        <w:rPr>
          <w:vertAlign w:val="baseline"/>
        </w:rPr>
        <w:t> from the Euclidean analysis. An area covering 16.546km</w:t>
      </w:r>
      <w:r>
        <w:rPr>
          <w:vertAlign w:val="superscript"/>
        </w:rPr>
        <w:t>2</w:t>
      </w:r>
      <w:r>
        <w:rPr>
          <w:vertAlign w:val="baseline"/>
        </w:rPr>
        <w:t> of land in Manga Ushe ward was identified outside the catchment area during network analysis while the Euclidean analysis showed its adequacy. As revealed in the study, the Euclidean method used straight line distances to measure accessibility in the forms of buffers or ring like catchment areas. While, the network analysis adopts the use of existing transport routes and the shortest or fastest possible travel time to determine the catchment</w:t>
      </w:r>
      <w:r>
        <w:rPr>
          <w:spacing w:val="40"/>
          <w:vertAlign w:val="baseline"/>
        </w:rPr>
        <w:t> </w:t>
      </w:r>
      <w:r>
        <w:rPr>
          <w:vertAlign w:val="baseline"/>
        </w:rPr>
        <w:t>area of each facility. It also takes into cognisance the nature of the road which is not in straight lines.</w:t>
      </w:r>
    </w:p>
    <w:p>
      <w:pPr>
        <w:pStyle w:val="BodyText"/>
        <w:spacing w:line="480" w:lineRule="auto" w:before="200"/>
        <w:ind w:left="240" w:right="274"/>
        <w:jc w:val="both"/>
      </w:pPr>
      <w:r>
        <w:rPr/>
        <w:t>The underserved settlements that were identified in Figure 4.10 and 4.13 respectively can be regarded as the households with inadequate access to primary health care and public primary school</w:t>
      </w:r>
      <w:r>
        <w:rPr>
          <w:spacing w:val="-2"/>
        </w:rPr>
        <w:t> </w:t>
      </w:r>
      <w:r>
        <w:rPr/>
        <w:t>services.</w:t>
      </w:r>
      <w:r>
        <w:rPr>
          <w:spacing w:val="-2"/>
        </w:rPr>
        <w:t> </w:t>
      </w:r>
      <w:r>
        <w:rPr/>
        <w:t>This</w:t>
      </w:r>
      <w:r>
        <w:rPr>
          <w:spacing w:val="-2"/>
        </w:rPr>
        <w:t> </w:t>
      </w:r>
      <w:r>
        <w:rPr/>
        <w:t>becomes</w:t>
      </w:r>
      <w:r>
        <w:rPr>
          <w:spacing w:val="-3"/>
        </w:rPr>
        <w:t> </w:t>
      </w:r>
      <w:r>
        <w:rPr/>
        <w:t>an</w:t>
      </w:r>
      <w:r>
        <w:rPr>
          <w:spacing w:val="-2"/>
        </w:rPr>
        <w:t> </w:t>
      </w:r>
      <w:r>
        <w:rPr/>
        <w:t>identified</w:t>
      </w:r>
      <w:r>
        <w:rPr>
          <w:spacing w:val="-2"/>
        </w:rPr>
        <w:t> </w:t>
      </w:r>
      <w:r>
        <w:rPr/>
        <w:t>gap</w:t>
      </w:r>
      <w:r>
        <w:rPr>
          <w:spacing w:val="-2"/>
        </w:rPr>
        <w:t> </w:t>
      </w:r>
      <w:r>
        <w:rPr/>
        <w:t>or</w:t>
      </w:r>
      <w:r>
        <w:rPr>
          <w:spacing w:val="-3"/>
        </w:rPr>
        <w:t> </w:t>
      </w:r>
      <w:r>
        <w:rPr/>
        <w:t>short</w:t>
      </w:r>
      <w:r>
        <w:rPr>
          <w:spacing w:val="-2"/>
        </w:rPr>
        <w:t> </w:t>
      </w:r>
      <w:r>
        <w:rPr/>
        <w:t>fall</w:t>
      </w:r>
      <w:r>
        <w:rPr>
          <w:spacing w:val="-2"/>
        </w:rPr>
        <w:t> </w:t>
      </w:r>
      <w:r>
        <w:rPr/>
        <w:t>in</w:t>
      </w:r>
      <w:r>
        <w:rPr>
          <w:spacing w:val="-4"/>
        </w:rPr>
        <w:t> </w:t>
      </w:r>
      <w:r>
        <w:rPr/>
        <w:t>social infrastructural</w:t>
      </w:r>
      <w:r>
        <w:rPr>
          <w:spacing w:val="-1"/>
        </w:rPr>
        <w:t> </w:t>
      </w:r>
      <w:r>
        <w:rPr/>
        <w:t>adequacy which is also a planning issue worthy of note. The households with poor access to social infrastructure were found in areas within Manga Ushe, Bedi and Tadurga ward.</w:t>
      </w:r>
    </w:p>
    <w:p>
      <w:pPr>
        <w:spacing w:after="0" w:line="480" w:lineRule="auto"/>
        <w:jc w:val="both"/>
        <w:sectPr>
          <w:pgSz w:w="11910" w:h="16840"/>
          <w:pgMar w:header="0" w:footer="1003" w:top="1340" w:bottom="1200" w:left="1200" w:right="1160"/>
        </w:sectPr>
      </w:pPr>
    </w:p>
    <w:p>
      <w:pPr>
        <w:spacing w:before="78"/>
        <w:ind w:left="2479" w:right="2517" w:firstLine="0"/>
        <w:jc w:val="center"/>
        <w:rPr>
          <w:b/>
          <w:sz w:val="24"/>
        </w:rPr>
      </w:pPr>
      <w:r>
        <w:rPr>
          <w:b/>
          <w:sz w:val="24"/>
        </w:rPr>
        <w:t>CHAPTER</w:t>
      </w:r>
      <w:r>
        <w:rPr>
          <w:b/>
          <w:spacing w:val="-5"/>
          <w:sz w:val="24"/>
        </w:rPr>
        <w:t> </w:t>
      </w:r>
      <w:r>
        <w:rPr>
          <w:b/>
          <w:spacing w:val="-4"/>
          <w:sz w:val="24"/>
        </w:rPr>
        <w:t>FIVE</w:t>
      </w:r>
    </w:p>
    <w:p>
      <w:pPr>
        <w:pStyle w:val="BodyText"/>
        <w:rPr>
          <w:b/>
        </w:rPr>
      </w:pPr>
    </w:p>
    <w:p>
      <w:pPr>
        <w:pStyle w:val="ListParagraph"/>
        <w:numPr>
          <w:ilvl w:val="1"/>
          <w:numId w:val="9"/>
        </w:numPr>
        <w:tabs>
          <w:tab w:pos="2400" w:val="left" w:leader="none"/>
        </w:tabs>
        <w:spacing w:line="240" w:lineRule="auto" w:before="0" w:after="0"/>
        <w:ind w:left="2400" w:right="0" w:hanging="2160"/>
        <w:jc w:val="both"/>
        <w:rPr>
          <w:b/>
          <w:sz w:val="24"/>
        </w:rPr>
      </w:pPr>
      <w:r>
        <w:rPr>
          <w:b/>
          <w:sz w:val="24"/>
        </w:rPr>
        <w:t>CONCLUSION</w:t>
      </w:r>
      <w:r>
        <w:rPr>
          <w:b/>
          <w:spacing w:val="-1"/>
          <w:sz w:val="24"/>
        </w:rPr>
        <w:t> </w:t>
      </w:r>
      <w:r>
        <w:rPr>
          <w:b/>
          <w:sz w:val="24"/>
        </w:rPr>
        <w:t>AND</w:t>
      </w:r>
      <w:r>
        <w:rPr>
          <w:b/>
          <w:spacing w:val="-2"/>
          <w:sz w:val="24"/>
        </w:rPr>
        <w:t> RECOMMENDATION</w:t>
      </w:r>
    </w:p>
    <w:p>
      <w:pPr>
        <w:pStyle w:val="BodyText"/>
        <w:rPr>
          <w:b/>
        </w:rPr>
      </w:pPr>
    </w:p>
    <w:p>
      <w:pPr>
        <w:pStyle w:val="Heading1"/>
        <w:numPr>
          <w:ilvl w:val="1"/>
          <w:numId w:val="9"/>
        </w:numPr>
        <w:tabs>
          <w:tab w:pos="600" w:val="left" w:leader="none"/>
        </w:tabs>
        <w:spacing w:line="240" w:lineRule="auto" w:before="1" w:after="0"/>
        <w:ind w:left="600" w:right="0" w:hanging="360"/>
        <w:jc w:val="both"/>
      </w:pPr>
      <w:r>
        <w:rPr>
          <w:spacing w:val="-2"/>
        </w:rPr>
        <w:t>Conclusion</w:t>
      </w:r>
    </w:p>
    <w:p>
      <w:pPr>
        <w:pStyle w:val="BodyText"/>
        <w:spacing w:before="6"/>
        <w:rPr>
          <w:b/>
          <w:sz w:val="23"/>
        </w:rPr>
      </w:pPr>
    </w:p>
    <w:p>
      <w:pPr>
        <w:pStyle w:val="BodyText"/>
        <w:spacing w:line="480" w:lineRule="auto"/>
        <w:ind w:left="240" w:right="275"/>
        <w:jc w:val="both"/>
      </w:pPr>
      <w:r>
        <w:rPr/>
        <w:t>This study deduced that, the spatial distribution pattern of social infrastructure within Zuru local government is dispersed. It also illustrated the location of each facility and its relationship to another in distance. The overlapping of catchment areas and the regression analysis revealed that the allocation of primary health centres and public primary schools in Zuru local government were not based on ward population but on spatial consideration. Spatial inequality analysis showed that Tadurga ward does not have a fair share in the allocation and distribution of PHCs and PPSs.</w:t>
      </w:r>
    </w:p>
    <w:p>
      <w:pPr>
        <w:pStyle w:val="BodyText"/>
        <w:spacing w:line="480" w:lineRule="auto" w:before="200"/>
        <w:ind w:left="240" w:right="271"/>
        <w:jc w:val="both"/>
      </w:pPr>
      <w:r>
        <w:rPr/>
        <w:t>The access to the public primary</w:t>
      </w:r>
      <w:r>
        <w:rPr>
          <w:spacing w:val="-4"/>
        </w:rPr>
        <w:t> </w:t>
      </w:r>
      <w:r>
        <w:rPr/>
        <w:t>school and primary</w:t>
      </w:r>
      <w:r>
        <w:rPr>
          <w:spacing w:val="-4"/>
        </w:rPr>
        <w:t> </w:t>
      </w:r>
      <w:r>
        <w:rPr/>
        <w:t>health centre were examined spatially</w:t>
      </w:r>
      <w:r>
        <w:rPr>
          <w:spacing w:val="-2"/>
        </w:rPr>
        <w:t> </w:t>
      </w:r>
      <w:r>
        <w:rPr/>
        <w:t>to identify households that are within and outside the service area. This highlighted households that have the potential of benefiting from their nearest primary health care centre and public primary school in recommendable time as well as those that cannot access them. This study also emphasised on the advantage of using actual road network distance over linear distances in analysing spatial accessibility. By making use of walking distances as a parameter to measure accessibility, road network analysis revealed a larger land area of inadequate access than Euclidean analysis. As a way of enhancing accessibility to improve community well- being of the underserved households, this study provided some recommendable guidelines and strategies as remedies for the identified inadequacies.</w:t>
      </w:r>
    </w:p>
    <w:p>
      <w:pPr>
        <w:spacing w:after="0" w:line="480" w:lineRule="auto"/>
        <w:jc w:val="both"/>
        <w:sectPr>
          <w:pgSz w:w="11910" w:h="16840"/>
          <w:pgMar w:header="0" w:footer="1003" w:top="1340" w:bottom="1200" w:left="1200" w:right="1160"/>
        </w:sectPr>
      </w:pPr>
    </w:p>
    <w:p>
      <w:pPr>
        <w:pStyle w:val="Heading1"/>
        <w:numPr>
          <w:ilvl w:val="1"/>
          <w:numId w:val="9"/>
        </w:numPr>
        <w:tabs>
          <w:tab w:pos="600" w:val="left" w:leader="none"/>
        </w:tabs>
        <w:spacing w:line="240" w:lineRule="auto" w:before="78" w:after="0"/>
        <w:ind w:left="600" w:right="0" w:hanging="360"/>
        <w:jc w:val="both"/>
      </w:pPr>
      <w:r>
        <w:rPr>
          <w:spacing w:val="-2"/>
        </w:rPr>
        <w:t>Recommendations</w:t>
      </w:r>
    </w:p>
    <w:p>
      <w:pPr>
        <w:pStyle w:val="BodyText"/>
        <w:spacing w:before="7"/>
        <w:rPr>
          <w:b/>
          <w:sz w:val="23"/>
        </w:rPr>
      </w:pPr>
    </w:p>
    <w:p>
      <w:pPr>
        <w:pStyle w:val="BodyText"/>
        <w:spacing w:line="480" w:lineRule="auto"/>
        <w:ind w:left="240" w:right="277"/>
        <w:jc w:val="both"/>
      </w:pPr>
      <w:r>
        <w:rPr/>
        <w:t>Based on the findings of this research, the major identified inadequacies were on spatial accessibility and not on population based approach of allocation of facilities. As such the approach in solving these identified inadequacies should provide adequate access to social infrastructure to the underserved households. Strategies that could be employed are as </w:t>
      </w:r>
      <w:r>
        <w:rPr>
          <w:spacing w:val="-2"/>
        </w:rPr>
        <w:t>follows;</w:t>
      </w:r>
    </w:p>
    <w:p>
      <w:pPr>
        <w:pStyle w:val="ListParagraph"/>
        <w:numPr>
          <w:ilvl w:val="2"/>
          <w:numId w:val="9"/>
        </w:numPr>
        <w:tabs>
          <w:tab w:pos="871" w:val="left" w:leader="none"/>
        </w:tabs>
        <w:spacing w:line="480" w:lineRule="auto" w:before="200" w:after="0"/>
        <w:ind w:left="871" w:right="276" w:hanging="360"/>
        <w:jc w:val="both"/>
        <w:rPr>
          <w:sz w:val="24"/>
        </w:rPr>
      </w:pPr>
      <w:r>
        <w:rPr>
          <w:sz w:val="24"/>
        </w:rPr>
        <w:t>In the case of the underserved households in Tadurga ward, one primary health centre and one public primary school should be provided. This will create new catchment</w:t>
      </w:r>
      <w:r>
        <w:rPr>
          <w:spacing w:val="80"/>
          <w:sz w:val="24"/>
        </w:rPr>
        <w:t> </w:t>
      </w:r>
      <w:r>
        <w:rPr>
          <w:sz w:val="24"/>
        </w:rPr>
        <w:t>area and as well become accessible to the underserved population.</w:t>
      </w:r>
    </w:p>
    <w:p>
      <w:pPr>
        <w:pStyle w:val="ListParagraph"/>
        <w:numPr>
          <w:ilvl w:val="2"/>
          <w:numId w:val="9"/>
        </w:numPr>
        <w:tabs>
          <w:tab w:pos="871" w:val="left" w:leader="none"/>
        </w:tabs>
        <w:spacing w:line="480" w:lineRule="auto" w:before="0" w:after="0"/>
        <w:ind w:left="871" w:right="273" w:hanging="360"/>
        <w:jc w:val="both"/>
        <w:rPr>
          <w:sz w:val="24"/>
        </w:rPr>
      </w:pPr>
      <w:r>
        <w:rPr>
          <w:sz w:val="24"/>
        </w:rPr>
        <w:t>The Dam area in Bedi ward has inadequate access to primary health care facility. In this regard, there is a need to provide one primary health centre in other to enhance their access to primary health care services within the standard time as stipulated by</w:t>
      </w:r>
      <w:r>
        <w:rPr>
          <w:spacing w:val="40"/>
          <w:sz w:val="24"/>
        </w:rPr>
        <w:t> </w:t>
      </w:r>
      <w:r>
        <w:rPr>
          <w:sz w:val="24"/>
        </w:rPr>
        <w:t>the World Health Organisation.</w:t>
      </w:r>
    </w:p>
    <w:p>
      <w:pPr>
        <w:pStyle w:val="ListParagraph"/>
        <w:numPr>
          <w:ilvl w:val="2"/>
          <w:numId w:val="9"/>
        </w:numPr>
        <w:tabs>
          <w:tab w:pos="871" w:val="left" w:leader="none"/>
        </w:tabs>
        <w:spacing w:line="480" w:lineRule="auto" w:before="1" w:after="0"/>
        <w:ind w:left="871" w:right="274" w:hanging="360"/>
        <w:jc w:val="both"/>
        <w:rPr>
          <w:sz w:val="24"/>
        </w:rPr>
      </w:pPr>
      <w:r>
        <w:rPr>
          <w:sz w:val="24"/>
        </w:rPr>
        <w:t>There</w:t>
      </w:r>
      <w:r>
        <w:rPr>
          <w:spacing w:val="-1"/>
          <w:sz w:val="24"/>
        </w:rPr>
        <w:t> </w:t>
      </w:r>
      <w:r>
        <w:rPr>
          <w:sz w:val="24"/>
        </w:rPr>
        <w:t>are</w:t>
      </w:r>
      <w:r>
        <w:rPr>
          <w:spacing w:val="-1"/>
          <w:sz w:val="24"/>
        </w:rPr>
        <w:t> </w:t>
      </w:r>
      <w:r>
        <w:rPr>
          <w:sz w:val="24"/>
        </w:rPr>
        <w:t>two alternatives for the underserved households in Manga Ushe ward having poor access to public primary school.</w:t>
      </w:r>
      <w:r>
        <w:rPr>
          <w:spacing w:val="40"/>
          <w:sz w:val="24"/>
        </w:rPr>
        <w:t> </w:t>
      </w:r>
      <w:r>
        <w:rPr>
          <w:sz w:val="24"/>
        </w:rPr>
        <w:t>A new public primary school could be provided or the road network could be improved so as to enhance access to nearby schools (Semkene and Germace PPS).</w:t>
      </w:r>
    </w:p>
    <w:p>
      <w:pPr>
        <w:pStyle w:val="BodyText"/>
        <w:spacing w:line="480" w:lineRule="auto" w:before="199"/>
        <w:ind w:left="240" w:right="274"/>
        <w:jc w:val="both"/>
      </w:pPr>
      <w:r>
        <w:rPr/>
        <w:t>Implementing these strategies will aid in improving access to primary health care and public primary schools in Zuru local government, thereby making access to social infrastructure adequate. However, there is need to further study the phenomena in salient areas not covered by</w:t>
      </w:r>
      <w:r>
        <w:rPr>
          <w:spacing w:val="-5"/>
        </w:rPr>
        <w:t> </w:t>
      </w:r>
      <w:r>
        <w:rPr/>
        <w:t>this research. These</w:t>
      </w:r>
      <w:r>
        <w:rPr>
          <w:spacing w:val="-1"/>
        </w:rPr>
        <w:t> </w:t>
      </w:r>
      <w:r>
        <w:rPr/>
        <w:t>include; the</w:t>
      </w:r>
      <w:r>
        <w:rPr>
          <w:spacing w:val="-1"/>
        </w:rPr>
        <w:t> </w:t>
      </w:r>
      <w:r>
        <w:rPr/>
        <w:t>demand</w:t>
      </w:r>
      <w:r>
        <w:rPr>
          <w:spacing w:val="-1"/>
        </w:rPr>
        <w:t> </w:t>
      </w:r>
      <w:r>
        <w:rPr/>
        <w:t>and supply</w:t>
      </w:r>
      <w:r>
        <w:rPr>
          <w:spacing w:val="-5"/>
        </w:rPr>
        <w:t> </w:t>
      </w:r>
      <w:r>
        <w:rPr/>
        <w:t>of</w:t>
      </w:r>
      <w:r>
        <w:rPr>
          <w:spacing w:val="-1"/>
        </w:rPr>
        <w:t> </w:t>
      </w:r>
      <w:r>
        <w:rPr/>
        <w:t>social infrastructure</w:t>
      </w:r>
      <w:r>
        <w:rPr>
          <w:spacing w:val="-2"/>
        </w:rPr>
        <w:t> </w:t>
      </w:r>
      <w:r>
        <w:rPr/>
        <w:t>and household preference and choice in choosing a facility and factors that influence spatial distribution and accessibility. There is also the need to investigate other social infrastructure. They may include but are not restricted to, recreation, education, health and empowerment.</w:t>
      </w:r>
    </w:p>
    <w:p>
      <w:pPr>
        <w:spacing w:after="0" w:line="480" w:lineRule="auto"/>
        <w:jc w:val="both"/>
        <w:sectPr>
          <w:pgSz w:w="11910" w:h="16840"/>
          <w:pgMar w:header="0" w:footer="1003" w:top="1340" w:bottom="1200" w:left="1200" w:right="1160"/>
        </w:sectPr>
      </w:pPr>
    </w:p>
    <w:p>
      <w:pPr>
        <w:pStyle w:val="Heading1"/>
        <w:spacing w:before="78"/>
        <w:ind w:left="240" w:firstLine="0"/>
        <w:jc w:val="left"/>
      </w:pPr>
      <w:r>
        <w:rPr>
          <w:spacing w:val="-2"/>
        </w:rPr>
        <w:t>References</w:t>
      </w:r>
    </w:p>
    <w:p>
      <w:pPr>
        <w:pStyle w:val="BodyText"/>
        <w:spacing w:before="7"/>
        <w:rPr>
          <w:b/>
          <w:sz w:val="23"/>
        </w:rPr>
      </w:pPr>
    </w:p>
    <w:p>
      <w:pPr>
        <w:pStyle w:val="BodyText"/>
        <w:ind w:left="960" w:right="281" w:hanging="720"/>
        <w:jc w:val="both"/>
      </w:pPr>
      <w:r>
        <w:rPr/>
        <w:t>Abdulraheem, I. S., Olapipo, A. R. &amp; Amodu, M. O.</w:t>
      </w:r>
      <w:r>
        <w:rPr>
          <w:spacing w:val="80"/>
        </w:rPr>
        <w:t> </w:t>
      </w:r>
      <w:r>
        <w:rPr/>
        <w:t>(2012). Primary Health Care Services</w:t>
      </w:r>
      <w:r>
        <w:rPr>
          <w:spacing w:val="40"/>
        </w:rPr>
        <w:t> </w:t>
      </w:r>
      <w:r>
        <w:rPr/>
        <w:t>in Nigeria: Critical Issues and Strategies for Enhancing the Use by the Rural Communities. </w:t>
      </w:r>
      <w:r>
        <w:rPr>
          <w:i/>
        </w:rPr>
        <w:t>Journal of Public Health and Epidemiology</w:t>
      </w:r>
      <w:r>
        <w:rPr/>
        <w:t>, 4(1), 5-13</w:t>
      </w:r>
    </w:p>
    <w:p>
      <w:pPr>
        <w:pStyle w:val="BodyText"/>
        <w:spacing w:line="276" w:lineRule="auto" w:before="202"/>
        <w:ind w:left="960" w:right="278" w:hanging="720"/>
        <w:jc w:val="both"/>
      </w:pPr>
      <w:r>
        <w:rPr/>
        <w:t>Abu, H., Anika, T., Antora, M. H., Rifat, H., Sarwar, J., &amp; Anindya, K. D. (2015). Determination of Location Quotient (LQ) of Districts of Bangladesh based on Level</w:t>
      </w:r>
      <w:r>
        <w:rPr>
          <w:spacing w:val="40"/>
        </w:rPr>
        <w:t> </w:t>
      </w:r>
      <w:r>
        <w:rPr/>
        <w:t>of Urbanization and their Regionalization to study the Regional Disparities based on Indicators of Urban Areas of Bangladesh. </w:t>
      </w:r>
      <w:r>
        <w:rPr>
          <w:i/>
        </w:rPr>
        <w:t>European Academic Research</w:t>
      </w:r>
      <w:r>
        <w:rPr/>
        <w:t>,</w:t>
      </w:r>
      <w:r>
        <w:rPr>
          <w:spacing w:val="80"/>
        </w:rPr>
        <w:t> </w:t>
      </w:r>
      <w:r>
        <w:rPr/>
        <w:t>III(2), </w:t>
      </w:r>
      <w:r>
        <w:rPr>
          <w:spacing w:val="-2"/>
        </w:rPr>
        <w:t>1671-1692</w:t>
      </w:r>
    </w:p>
    <w:p>
      <w:pPr>
        <w:pStyle w:val="BodyText"/>
        <w:spacing w:before="199"/>
        <w:ind w:left="960" w:right="275" w:hanging="720"/>
        <w:jc w:val="both"/>
      </w:pPr>
      <w:r>
        <w:rPr/>
        <w:t>Abraha, T. A. (2019). Analyzing Spatial and Non-Spatial Factors that Influence Educational Quality of Primary Schools in Emerging Regions of Ethiopia: Evidence from Geospatial Analysis and Administrative Time Series Data. </w:t>
      </w:r>
      <w:r>
        <w:rPr>
          <w:i/>
        </w:rPr>
        <w:t>Journal of Geography and Regional Planning</w:t>
      </w:r>
      <w:r>
        <w:rPr/>
        <w:t>, 12(1), 10-19</w:t>
      </w:r>
    </w:p>
    <w:p>
      <w:pPr>
        <w:spacing w:line="240" w:lineRule="auto" w:before="199"/>
        <w:ind w:left="960" w:right="278" w:hanging="720"/>
        <w:jc w:val="both"/>
        <w:rPr>
          <w:sz w:val="24"/>
        </w:rPr>
      </w:pPr>
      <w:r>
        <w:rPr>
          <w:sz w:val="24"/>
        </w:rPr>
        <w:t>Adefila, J. O. &amp; Bulus, J. S. (2014). Spatial Inequalities in Infrastructural Development in Plateau State, Nigeria. </w:t>
      </w:r>
      <w:r>
        <w:rPr>
          <w:i/>
          <w:sz w:val="24"/>
        </w:rPr>
        <w:t>American International Journal of Contemporary Research</w:t>
      </w:r>
      <w:r>
        <w:rPr>
          <w:sz w:val="24"/>
        </w:rPr>
        <w:t>, 4(7), 89-97</w:t>
      </w:r>
    </w:p>
    <w:p>
      <w:pPr>
        <w:pStyle w:val="BodyText"/>
        <w:spacing w:line="242" w:lineRule="auto" w:before="200"/>
        <w:ind w:left="960" w:right="275" w:hanging="720"/>
        <w:jc w:val="both"/>
      </w:pPr>
      <w:r>
        <w:rPr/>
        <w:t>Adrain, B. (2008). Spatial Statistics. A Presentation at the ASC Workshop with R of the University of Western Australia.</w:t>
      </w:r>
    </w:p>
    <w:p>
      <w:pPr>
        <w:pStyle w:val="BodyText"/>
        <w:spacing w:before="196"/>
        <w:ind w:left="960" w:right="272" w:hanging="720"/>
        <w:jc w:val="both"/>
      </w:pPr>
      <w:r>
        <w:rPr/>
        <w:t>Akpan P. A. &amp; Atser J. (2010). Implications of Spatial Pattern of Social Infrastructure Stock in the Development of Rural Areas of Akwa Ibom State. </w:t>
      </w:r>
      <w:r>
        <w:rPr>
          <w:i/>
        </w:rPr>
        <w:t>FUTY Journal of the Environment</w:t>
      </w:r>
      <w:r>
        <w:rPr/>
        <w:t>, 5(1), 29-42</w:t>
      </w:r>
    </w:p>
    <w:p>
      <w:pPr>
        <w:spacing w:line="240" w:lineRule="auto" w:before="200"/>
        <w:ind w:left="960" w:right="278" w:hanging="720"/>
        <w:jc w:val="both"/>
        <w:rPr>
          <w:sz w:val="24"/>
        </w:rPr>
      </w:pPr>
      <w:r>
        <w:rPr>
          <w:sz w:val="24"/>
        </w:rPr>
        <w:t>Avinash, T. (2017). Development of Social Infrastructure of Primary School in Karnataka:</w:t>
      </w:r>
      <w:r>
        <w:rPr>
          <w:spacing w:val="40"/>
          <w:sz w:val="24"/>
        </w:rPr>
        <w:t> </w:t>
      </w:r>
      <w:r>
        <w:rPr>
          <w:sz w:val="24"/>
        </w:rPr>
        <w:t>An Overview. </w:t>
      </w:r>
      <w:r>
        <w:rPr>
          <w:i/>
          <w:sz w:val="24"/>
        </w:rPr>
        <w:t>International Journal of Advance Research and Development</w:t>
      </w:r>
      <w:r>
        <w:rPr>
          <w:sz w:val="24"/>
        </w:rPr>
        <w:t>, 2(6), </w:t>
      </w:r>
      <w:r>
        <w:rPr>
          <w:spacing w:val="-2"/>
          <w:sz w:val="24"/>
        </w:rPr>
        <w:t>453-458</w:t>
      </w:r>
    </w:p>
    <w:p>
      <w:pPr>
        <w:spacing w:line="240" w:lineRule="auto" w:before="199"/>
        <w:ind w:left="960" w:right="276" w:hanging="720"/>
        <w:jc w:val="both"/>
        <w:rPr>
          <w:sz w:val="24"/>
        </w:rPr>
      </w:pPr>
      <w:r>
        <w:rPr>
          <w:sz w:val="24"/>
        </w:rPr>
        <w:t>Barret, P., Aberto, T., Tigran, S., Diego, A. &amp; Maria, U., (2019). </w:t>
      </w:r>
      <w:r>
        <w:rPr>
          <w:i/>
          <w:sz w:val="24"/>
        </w:rPr>
        <w:t>The Impact of School Infrastructure on Learning: A Synthesis of the Evidence. </w:t>
      </w:r>
      <w:r>
        <w:rPr>
          <w:sz w:val="24"/>
        </w:rPr>
        <w:t>International Development</w:t>
      </w:r>
      <w:r>
        <w:rPr>
          <w:spacing w:val="80"/>
          <w:sz w:val="24"/>
        </w:rPr>
        <w:t> </w:t>
      </w:r>
      <w:r>
        <w:rPr>
          <w:sz w:val="24"/>
        </w:rPr>
        <w:t>in Focus. Washington DC: World Bank. doi:10.1596/978-1-4648-1378-8</w:t>
      </w:r>
    </w:p>
    <w:p>
      <w:pPr>
        <w:pStyle w:val="BodyText"/>
        <w:spacing w:before="201"/>
        <w:ind w:left="960" w:right="276" w:hanging="720"/>
        <w:jc w:val="both"/>
      </w:pPr>
      <w:r>
        <w:rPr/>
        <w:t>Bello, M. N., Abbas, I. I., &amp; Akpu, B. (2014). Analysis of Land Use-Land Cover Changes in Zuru and its Environment of Kebbi State, Nigeria Using Remote Sensing and Geographic Information System Technology. </w:t>
      </w:r>
      <w:r>
        <w:rPr>
          <w:i/>
        </w:rPr>
        <w:t>Journal of Geography and Earth Sciences</w:t>
      </w:r>
      <w:r>
        <w:rPr/>
        <w:t>, 2(1), 113-126</w:t>
      </w:r>
    </w:p>
    <w:p>
      <w:pPr>
        <w:pStyle w:val="BodyText"/>
        <w:spacing w:before="200"/>
        <w:ind w:left="960" w:right="275" w:hanging="720"/>
        <w:jc w:val="both"/>
      </w:pPr>
      <w:r>
        <w:rPr/>
        <w:t>Bingler, S., Diamond, B. M., Hill, B., Hoffman, J. L., Howley, C. B., Lawrence, B. K., Mitchell, S., Rudolph, D., &amp; Washor, E. (2002). </w:t>
      </w:r>
      <w:r>
        <w:rPr>
          <w:i/>
        </w:rPr>
        <w:t>Dollars and Sense: The Cost Effectiveness of Small Schools. </w:t>
      </w:r>
      <w:r>
        <w:rPr/>
        <w:t>Retrieved from the Rural School and Community</w:t>
      </w:r>
      <w:r>
        <w:rPr>
          <w:spacing w:val="40"/>
        </w:rPr>
        <w:t> </w:t>
      </w:r>
      <w:r>
        <w:rPr/>
        <w:t>Trust website: </w:t>
      </w:r>
      <w:hyperlink r:id="rId27">
        <w:r>
          <w:rPr>
            <w:color w:val="0000FF"/>
            <w:u w:val="single" w:color="0000FF"/>
          </w:rPr>
          <w:t>http://www.ruraledu.org/user_uploads/file/Dollars_and_Sense.pdf</w:t>
        </w:r>
      </w:hyperlink>
    </w:p>
    <w:p>
      <w:pPr>
        <w:pStyle w:val="BodyText"/>
        <w:spacing w:before="200"/>
        <w:ind w:left="240"/>
        <w:jc w:val="both"/>
      </w:pPr>
      <w:r>
        <w:rPr/>
        <w:t>Biktemirova,</w:t>
      </w:r>
      <w:r>
        <w:rPr>
          <w:spacing w:val="15"/>
        </w:rPr>
        <w:t> </w:t>
      </w:r>
      <w:r>
        <w:rPr/>
        <w:t>M.</w:t>
      </w:r>
      <w:r>
        <w:rPr>
          <w:spacing w:val="18"/>
        </w:rPr>
        <w:t> </w:t>
      </w:r>
      <w:r>
        <w:rPr/>
        <w:t>K.,</w:t>
      </w:r>
      <w:r>
        <w:rPr>
          <w:spacing w:val="18"/>
        </w:rPr>
        <w:t> </w:t>
      </w:r>
      <w:r>
        <w:rPr/>
        <w:t>Tatiana</w:t>
      </w:r>
      <w:r>
        <w:rPr>
          <w:spacing w:val="16"/>
        </w:rPr>
        <w:t> </w:t>
      </w:r>
      <w:r>
        <w:rPr/>
        <w:t>A.</w:t>
      </w:r>
      <w:r>
        <w:rPr>
          <w:spacing w:val="18"/>
        </w:rPr>
        <w:t> </w:t>
      </w:r>
      <w:r>
        <w:rPr/>
        <w:t>S.,</w:t>
      </w:r>
      <w:r>
        <w:rPr>
          <w:spacing w:val="20"/>
        </w:rPr>
        <w:t> </w:t>
      </w:r>
      <w:r>
        <w:rPr/>
        <w:t>Lyudmila</w:t>
      </w:r>
      <w:r>
        <w:rPr>
          <w:spacing w:val="17"/>
        </w:rPr>
        <w:t> </w:t>
      </w:r>
      <w:r>
        <w:rPr/>
        <w:t>G.</w:t>
      </w:r>
      <w:r>
        <w:rPr>
          <w:spacing w:val="17"/>
        </w:rPr>
        <w:t> </w:t>
      </w:r>
      <w:r>
        <w:rPr/>
        <w:t>R.,</w:t>
      </w:r>
      <w:r>
        <w:rPr>
          <w:spacing w:val="18"/>
        </w:rPr>
        <w:t> </w:t>
      </w:r>
      <w:r>
        <w:rPr/>
        <w:t>Sergey</w:t>
      </w:r>
      <w:r>
        <w:rPr>
          <w:spacing w:val="13"/>
        </w:rPr>
        <w:t> </w:t>
      </w:r>
      <w:r>
        <w:rPr/>
        <w:t>V.</w:t>
      </w:r>
      <w:r>
        <w:rPr>
          <w:spacing w:val="18"/>
        </w:rPr>
        <w:t> </w:t>
      </w:r>
      <w:r>
        <w:rPr/>
        <w:t>K.,</w:t>
      </w:r>
      <w:r>
        <w:rPr>
          <w:spacing w:val="17"/>
        </w:rPr>
        <w:t> </w:t>
      </w:r>
      <w:r>
        <w:rPr/>
        <w:t>Tatyana</w:t>
      </w:r>
      <w:r>
        <w:rPr>
          <w:spacing w:val="17"/>
        </w:rPr>
        <w:t> </w:t>
      </w:r>
      <w:r>
        <w:rPr/>
        <w:t>V.</w:t>
      </w:r>
      <w:r>
        <w:rPr>
          <w:spacing w:val="18"/>
        </w:rPr>
        <w:t> </w:t>
      </w:r>
      <w:r>
        <w:rPr/>
        <w:t>N.,</w:t>
      </w:r>
      <w:r>
        <w:rPr>
          <w:spacing w:val="20"/>
        </w:rPr>
        <w:t> </w:t>
      </w:r>
      <w:r>
        <w:rPr>
          <w:spacing w:val="-2"/>
        </w:rPr>
        <w:t>Liudmila</w:t>
      </w:r>
    </w:p>
    <w:p>
      <w:pPr>
        <w:spacing w:line="240" w:lineRule="auto" w:before="0"/>
        <w:ind w:left="960" w:right="272" w:firstLine="0"/>
        <w:jc w:val="both"/>
        <w:rPr>
          <w:sz w:val="24"/>
        </w:rPr>
      </w:pPr>
      <w:r>
        <w:rPr>
          <w:sz w:val="24"/>
        </w:rPr>
        <w:t>V. S. &amp; Larisa E. F., (2015). The Social Infrastructure Services in the Context of Economic Growth Factors. </w:t>
      </w:r>
      <w:r>
        <w:rPr>
          <w:i/>
          <w:sz w:val="24"/>
        </w:rPr>
        <w:t>Mediterranean Journal of Social Sciences MCSER Publishing, Rome-Italy </w:t>
      </w:r>
      <w:r>
        <w:rPr>
          <w:sz w:val="24"/>
        </w:rPr>
        <w:t>6(2), 260-267</w:t>
      </w:r>
    </w:p>
    <w:p>
      <w:pPr>
        <w:spacing w:after="0" w:line="240" w:lineRule="auto"/>
        <w:jc w:val="both"/>
        <w:rPr>
          <w:sz w:val="24"/>
        </w:rPr>
        <w:sectPr>
          <w:pgSz w:w="11910" w:h="16840"/>
          <w:pgMar w:header="0" w:footer="1003" w:top="1340" w:bottom="1200" w:left="1200" w:right="1160"/>
        </w:sectPr>
      </w:pPr>
    </w:p>
    <w:p>
      <w:pPr>
        <w:pStyle w:val="BodyText"/>
        <w:spacing w:line="242" w:lineRule="auto" w:before="73"/>
        <w:ind w:left="960" w:right="277" w:hanging="720"/>
        <w:jc w:val="both"/>
      </w:pPr>
      <w:r>
        <w:rPr/>
        <w:t>Boasson, E. &amp; Boasson, V. (2011). The Spatial-Temporal Cluster Development in the Healthcare Service Industry- An Integrated GIS Approach. </w:t>
      </w:r>
      <w:r>
        <w:rPr>
          <w:i/>
        </w:rPr>
        <w:t>Environmental</w:t>
      </w:r>
      <w:r>
        <w:rPr>
          <w:i/>
          <w:spacing w:val="40"/>
        </w:rPr>
        <w:t> </w:t>
      </w:r>
      <w:r>
        <w:rPr>
          <w:i/>
        </w:rPr>
        <w:t>Economics, </w:t>
      </w:r>
      <w:r>
        <w:rPr/>
        <w:t>2(3), 131-140</w:t>
      </w:r>
    </w:p>
    <w:p>
      <w:pPr>
        <w:pStyle w:val="BodyText"/>
        <w:spacing w:before="192"/>
        <w:ind w:left="240"/>
        <w:jc w:val="both"/>
      </w:pPr>
      <w:r>
        <w:rPr/>
        <w:t>Brown,</w:t>
      </w:r>
      <w:r>
        <w:rPr>
          <w:spacing w:val="21"/>
        </w:rPr>
        <w:t> </w:t>
      </w:r>
      <w:r>
        <w:rPr/>
        <w:t>J.</w:t>
      </w:r>
      <w:r>
        <w:rPr>
          <w:spacing w:val="23"/>
        </w:rPr>
        <w:t> </w:t>
      </w:r>
      <w:r>
        <w:rPr/>
        <w:t>&amp;</w:t>
      </w:r>
      <w:r>
        <w:rPr>
          <w:spacing w:val="23"/>
        </w:rPr>
        <w:t> </w:t>
      </w:r>
      <w:r>
        <w:rPr/>
        <w:t>Barber,</w:t>
      </w:r>
      <w:r>
        <w:rPr>
          <w:spacing w:val="23"/>
        </w:rPr>
        <w:t> </w:t>
      </w:r>
      <w:r>
        <w:rPr/>
        <w:t>A.</w:t>
      </w:r>
      <w:r>
        <w:rPr>
          <w:spacing w:val="25"/>
        </w:rPr>
        <w:t> </w:t>
      </w:r>
      <w:r>
        <w:rPr/>
        <w:t>(2012).</w:t>
      </w:r>
      <w:r>
        <w:rPr>
          <w:spacing w:val="75"/>
          <w:w w:val="150"/>
        </w:rPr>
        <w:t> </w:t>
      </w:r>
      <w:r>
        <w:rPr/>
        <w:t>Social</w:t>
      </w:r>
      <w:r>
        <w:rPr>
          <w:spacing w:val="27"/>
        </w:rPr>
        <w:t> </w:t>
      </w:r>
      <w:r>
        <w:rPr/>
        <w:t>Infrastructure</w:t>
      </w:r>
      <w:r>
        <w:rPr>
          <w:spacing w:val="22"/>
        </w:rPr>
        <w:t> </w:t>
      </w:r>
      <w:r>
        <w:rPr/>
        <w:t>and</w:t>
      </w:r>
      <w:r>
        <w:rPr>
          <w:spacing w:val="25"/>
        </w:rPr>
        <w:t> </w:t>
      </w:r>
      <w:r>
        <w:rPr/>
        <w:t>Sustainable</w:t>
      </w:r>
      <w:r>
        <w:rPr>
          <w:spacing w:val="22"/>
        </w:rPr>
        <w:t> </w:t>
      </w:r>
      <w:r>
        <w:rPr/>
        <w:t>Urban</w:t>
      </w:r>
      <w:r>
        <w:rPr>
          <w:spacing w:val="23"/>
        </w:rPr>
        <w:t> </w:t>
      </w:r>
      <w:r>
        <w:rPr>
          <w:spacing w:val="-2"/>
        </w:rPr>
        <w:t>Communities.</w:t>
      </w:r>
    </w:p>
    <w:p>
      <w:pPr>
        <w:spacing w:before="2"/>
        <w:ind w:left="960" w:right="0" w:firstLine="0"/>
        <w:jc w:val="left"/>
        <w:rPr>
          <w:sz w:val="24"/>
        </w:rPr>
      </w:pPr>
      <w:r>
        <w:rPr>
          <w:i/>
          <w:sz w:val="24"/>
        </w:rPr>
        <w:t>Engineering</w:t>
      </w:r>
      <w:r>
        <w:rPr>
          <w:i/>
          <w:spacing w:val="-2"/>
          <w:sz w:val="24"/>
        </w:rPr>
        <w:t> </w:t>
      </w:r>
      <w:r>
        <w:rPr>
          <w:i/>
          <w:sz w:val="24"/>
        </w:rPr>
        <w:t>Sustainability,</w:t>
      </w:r>
      <w:r>
        <w:rPr>
          <w:i/>
          <w:spacing w:val="-2"/>
          <w:sz w:val="24"/>
        </w:rPr>
        <w:t> </w:t>
      </w:r>
      <w:r>
        <w:rPr>
          <w:sz w:val="24"/>
        </w:rPr>
        <w:t>165(ES1)</w:t>
      </w:r>
      <w:r>
        <w:rPr>
          <w:spacing w:val="-1"/>
          <w:sz w:val="24"/>
        </w:rPr>
        <w:t> </w:t>
      </w:r>
      <w:r>
        <w:rPr>
          <w:sz w:val="24"/>
        </w:rPr>
        <w:t>99-</w:t>
      </w:r>
      <w:r>
        <w:rPr>
          <w:spacing w:val="-5"/>
          <w:sz w:val="24"/>
        </w:rPr>
        <w:t>109</w:t>
      </w:r>
    </w:p>
    <w:p>
      <w:pPr>
        <w:pStyle w:val="BodyText"/>
        <w:spacing w:before="202"/>
        <w:ind w:left="240"/>
        <w:jc w:val="both"/>
      </w:pPr>
      <w:r>
        <w:rPr/>
        <w:t>Chobotová,</w:t>
      </w:r>
      <w:r>
        <w:rPr>
          <w:spacing w:val="15"/>
        </w:rPr>
        <w:t> </w:t>
      </w:r>
      <w:r>
        <w:rPr/>
        <w:t>M.,</w:t>
      </w:r>
      <w:r>
        <w:rPr>
          <w:spacing w:val="16"/>
        </w:rPr>
        <w:t> </w:t>
      </w:r>
      <w:r>
        <w:rPr/>
        <w:t>&amp;</w:t>
      </w:r>
      <w:r>
        <w:rPr>
          <w:spacing w:val="15"/>
        </w:rPr>
        <w:t> </w:t>
      </w:r>
      <w:r>
        <w:rPr/>
        <w:t>Palová,</w:t>
      </w:r>
      <w:r>
        <w:rPr>
          <w:spacing w:val="15"/>
        </w:rPr>
        <w:t> </w:t>
      </w:r>
      <w:r>
        <w:rPr/>
        <w:t>Z.</w:t>
      </w:r>
      <w:r>
        <w:rPr>
          <w:spacing w:val="15"/>
        </w:rPr>
        <w:t> </w:t>
      </w:r>
      <w:r>
        <w:rPr/>
        <w:t>(2015).</w:t>
      </w:r>
      <w:r>
        <w:rPr>
          <w:spacing w:val="15"/>
        </w:rPr>
        <w:t> </w:t>
      </w:r>
      <w:r>
        <w:rPr/>
        <w:t>Social</w:t>
      </w:r>
      <w:r>
        <w:rPr>
          <w:spacing w:val="15"/>
        </w:rPr>
        <w:t> </w:t>
      </w:r>
      <w:r>
        <w:rPr/>
        <w:t>Disparities</w:t>
      </w:r>
      <w:r>
        <w:rPr>
          <w:spacing w:val="15"/>
        </w:rPr>
        <w:t> </w:t>
      </w:r>
      <w:r>
        <w:rPr/>
        <w:t>in</w:t>
      </w:r>
      <w:r>
        <w:rPr>
          <w:spacing w:val="17"/>
        </w:rPr>
        <w:t> </w:t>
      </w:r>
      <w:r>
        <w:rPr/>
        <w:t>Relation</w:t>
      </w:r>
      <w:r>
        <w:rPr>
          <w:spacing w:val="16"/>
        </w:rPr>
        <w:t> </w:t>
      </w:r>
      <w:r>
        <w:rPr/>
        <w:t>to</w:t>
      </w:r>
      <w:r>
        <w:rPr>
          <w:spacing w:val="13"/>
        </w:rPr>
        <w:t> </w:t>
      </w:r>
      <w:r>
        <w:rPr/>
        <w:t>Sector</w:t>
      </w:r>
      <w:r>
        <w:rPr>
          <w:spacing w:val="21"/>
        </w:rPr>
        <w:t> </w:t>
      </w:r>
      <w:r>
        <w:rPr>
          <w:spacing w:val="-2"/>
        </w:rPr>
        <w:t>Specialization.</w:t>
      </w:r>
    </w:p>
    <w:p>
      <w:pPr>
        <w:spacing w:before="40"/>
        <w:ind w:left="240" w:right="0" w:firstLine="0"/>
        <w:jc w:val="both"/>
        <w:rPr>
          <w:sz w:val="24"/>
        </w:rPr>
      </w:pPr>
      <w:r>
        <w:rPr>
          <w:i/>
          <w:sz w:val="24"/>
        </w:rPr>
        <w:t>International</w:t>
      </w:r>
      <w:r>
        <w:rPr>
          <w:i/>
          <w:spacing w:val="-1"/>
          <w:sz w:val="24"/>
        </w:rPr>
        <w:t> </w:t>
      </w:r>
      <w:r>
        <w:rPr>
          <w:i/>
          <w:sz w:val="24"/>
        </w:rPr>
        <w:t>Journal</w:t>
      </w:r>
      <w:r>
        <w:rPr>
          <w:i/>
          <w:spacing w:val="-1"/>
          <w:sz w:val="24"/>
        </w:rPr>
        <w:t> </w:t>
      </w:r>
      <w:r>
        <w:rPr>
          <w:i/>
          <w:sz w:val="24"/>
        </w:rPr>
        <w:t>of Humanities</w:t>
      </w:r>
      <w:r>
        <w:rPr>
          <w:i/>
          <w:spacing w:val="-1"/>
          <w:sz w:val="24"/>
        </w:rPr>
        <w:t> </w:t>
      </w:r>
      <w:r>
        <w:rPr>
          <w:i/>
          <w:sz w:val="24"/>
        </w:rPr>
        <w:t>Social</w:t>
      </w:r>
      <w:r>
        <w:rPr>
          <w:i/>
          <w:spacing w:val="-1"/>
          <w:sz w:val="24"/>
        </w:rPr>
        <w:t> </w:t>
      </w:r>
      <w:r>
        <w:rPr>
          <w:i/>
          <w:sz w:val="24"/>
        </w:rPr>
        <w:t>Sciences and</w:t>
      </w:r>
      <w:r>
        <w:rPr>
          <w:i/>
          <w:spacing w:val="-1"/>
          <w:sz w:val="24"/>
        </w:rPr>
        <w:t> </w:t>
      </w:r>
      <w:r>
        <w:rPr>
          <w:i/>
          <w:sz w:val="24"/>
        </w:rPr>
        <w:t>Education,</w:t>
      </w:r>
      <w:r>
        <w:rPr>
          <w:i/>
          <w:spacing w:val="-1"/>
          <w:sz w:val="24"/>
        </w:rPr>
        <w:t> </w:t>
      </w:r>
      <w:r>
        <w:rPr>
          <w:sz w:val="24"/>
        </w:rPr>
        <w:t>2(7), 176-</w:t>
      </w:r>
      <w:r>
        <w:rPr>
          <w:spacing w:val="-5"/>
          <w:sz w:val="24"/>
        </w:rPr>
        <w:t>182</w:t>
      </w:r>
    </w:p>
    <w:p>
      <w:pPr>
        <w:pStyle w:val="BodyText"/>
        <w:spacing w:before="8"/>
        <w:rPr>
          <w:sz w:val="20"/>
        </w:rPr>
      </w:pPr>
    </w:p>
    <w:p>
      <w:pPr>
        <w:pStyle w:val="BodyText"/>
        <w:ind w:left="960" w:right="272" w:hanging="720"/>
        <w:jc w:val="both"/>
      </w:pPr>
      <w:r>
        <w:rPr/>
        <w:t>Davern, M., Gunn, G., Whitzman, C., Higgs, C., Giles-Corti, B., Simons, K., Villanueva, K., Mavoa, S., Roberts, R. &amp; Badland, H. (2017). Using Spatial Measures to Test a Conceptual Model of Social Infrastructure That Supports Health and Wellbeing.</w:t>
      </w:r>
      <w:r>
        <w:rPr>
          <w:spacing w:val="40"/>
        </w:rPr>
        <w:t> </w:t>
      </w:r>
      <w:r>
        <w:rPr>
          <w:i/>
        </w:rPr>
        <w:t>Cities and Health</w:t>
      </w:r>
      <w:r>
        <w:rPr/>
        <w:t>, 1(2), 194-209,</w:t>
      </w:r>
    </w:p>
    <w:p>
      <w:pPr>
        <w:spacing w:line="240" w:lineRule="auto" w:before="202"/>
        <w:ind w:left="960" w:right="277" w:hanging="720"/>
        <w:jc w:val="both"/>
        <w:rPr>
          <w:sz w:val="24"/>
        </w:rPr>
      </w:pPr>
      <w:r>
        <w:rPr>
          <w:sz w:val="24"/>
        </w:rPr>
        <w:t>Dejen, A., Soni S. &amp;</w:t>
      </w:r>
      <w:r>
        <w:rPr>
          <w:spacing w:val="-1"/>
          <w:sz w:val="24"/>
        </w:rPr>
        <w:t> </w:t>
      </w:r>
      <w:r>
        <w:rPr>
          <w:sz w:val="24"/>
        </w:rPr>
        <w:t>Semaw, F.</w:t>
      </w:r>
      <w:r>
        <w:rPr>
          <w:spacing w:val="40"/>
          <w:sz w:val="24"/>
        </w:rPr>
        <w:t> </w:t>
      </w:r>
      <w:r>
        <w:rPr>
          <w:sz w:val="24"/>
        </w:rPr>
        <w:t>(2019). Spatial Accessibility</w:t>
      </w:r>
      <w:r>
        <w:rPr>
          <w:spacing w:val="-3"/>
          <w:sz w:val="24"/>
        </w:rPr>
        <w:t> </w:t>
      </w:r>
      <w:r>
        <w:rPr>
          <w:sz w:val="24"/>
        </w:rPr>
        <w:t>Analysis of Healthcare Service Centers in Gamo Gofa Zone, Ethiopia through Geospatial Technique. </w:t>
      </w:r>
      <w:r>
        <w:rPr>
          <w:i/>
          <w:sz w:val="24"/>
        </w:rPr>
        <w:t>Remote Sensing Applications: Society and Environment, </w:t>
      </w:r>
      <w:r>
        <w:rPr>
          <w:sz w:val="24"/>
        </w:rPr>
        <w:t>1(13), 466–473</w:t>
      </w:r>
    </w:p>
    <w:p>
      <w:pPr>
        <w:pStyle w:val="BodyText"/>
        <w:spacing w:before="200"/>
        <w:ind w:left="960" w:right="274" w:hanging="720"/>
        <w:jc w:val="both"/>
      </w:pPr>
      <w:r>
        <w:rPr/>
        <w:t>Dejene T. B., Tulu B. B., &amp; Leta G. D. (2018). Analyzing Spatial Distribution and Accessibility of Primary Schools in Bishoftu Town, Ethiopia. </w:t>
      </w:r>
      <w:r>
        <w:rPr>
          <w:i/>
        </w:rPr>
        <w:t>Spatial Information Research, </w:t>
      </w:r>
      <w:r>
        <w:rPr/>
        <w:t>1, 1-13 Retrieved from </w:t>
      </w:r>
      <w:hyperlink r:id="rId28">
        <w:r>
          <w:rPr>
            <w:color w:val="0000FF"/>
            <w:u w:val="single" w:color="0000FF"/>
          </w:rPr>
          <w:t>https://doi.org/10.1007/s41324-018-0227-6</w:t>
        </w:r>
      </w:hyperlink>
    </w:p>
    <w:p>
      <w:pPr>
        <w:pStyle w:val="BodyText"/>
        <w:spacing w:line="242" w:lineRule="auto" w:before="199"/>
        <w:ind w:left="960" w:right="277" w:hanging="720"/>
        <w:jc w:val="both"/>
      </w:pPr>
      <w:r>
        <w:rPr/>
        <w:t>Dronkers, J. &amp; Robert, P. (2003). The Effectiveness of Public and Private Schools from a Comparative Perspective. </w:t>
      </w:r>
      <w:r>
        <w:rPr>
          <w:i/>
        </w:rPr>
        <w:t>EUI Working Paper, </w:t>
      </w:r>
      <w:r>
        <w:rPr/>
        <w:t>13, 1-63</w:t>
      </w:r>
    </w:p>
    <w:p>
      <w:pPr>
        <w:spacing w:line="242" w:lineRule="auto" w:before="196"/>
        <w:ind w:left="960" w:right="283" w:hanging="720"/>
        <w:jc w:val="both"/>
        <w:rPr>
          <w:sz w:val="24"/>
        </w:rPr>
      </w:pPr>
      <w:r>
        <w:rPr>
          <w:sz w:val="24"/>
        </w:rPr>
        <w:t>dos Anjos Luis, A., &amp; Cabral, P. (2016). Geographic Accessibility to Primary Healthcare Centers in Mozambique. </w:t>
      </w:r>
      <w:r>
        <w:rPr>
          <w:i/>
          <w:sz w:val="24"/>
        </w:rPr>
        <w:t>International Journal for Equity in Health, </w:t>
      </w:r>
      <w:r>
        <w:rPr>
          <w:sz w:val="24"/>
        </w:rPr>
        <w:t>15(173), 1-13</w:t>
      </w:r>
    </w:p>
    <w:p>
      <w:pPr>
        <w:pStyle w:val="BodyText"/>
        <w:spacing w:before="194"/>
        <w:ind w:left="240"/>
        <w:jc w:val="both"/>
      </w:pPr>
      <w:r>
        <w:rPr/>
        <w:t>Ebener,</w:t>
      </w:r>
      <w:r>
        <w:rPr>
          <w:spacing w:val="3"/>
        </w:rPr>
        <w:t> </w:t>
      </w:r>
      <w:r>
        <w:rPr/>
        <w:t>S.,</w:t>
      </w:r>
      <w:r>
        <w:rPr>
          <w:spacing w:val="5"/>
        </w:rPr>
        <w:t> </w:t>
      </w:r>
      <w:r>
        <w:rPr/>
        <w:t>El</w:t>
      </w:r>
      <w:r>
        <w:rPr>
          <w:spacing w:val="6"/>
        </w:rPr>
        <w:t> </w:t>
      </w:r>
      <w:r>
        <w:rPr/>
        <w:t>Morjani,</w:t>
      </w:r>
      <w:r>
        <w:rPr>
          <w:spacing w:val="6"/>
        </w:rPr>
        <w:t> </w:t>
      </w:r>
      <w:r>
        <w:rPr/>
        <w:t>Z.,</w:t>
      </w:r>
      <w:r>
        <w:rPr>
          <w:spacing w:val="5"/>
        </w:rPr>
        <w:t> </w:t>
      </w:r>
      <w:r>
        <w:rPr/>
        <w:t>Black,</w:t>
      </w:r>
      <w:r>
        <w:rPr>
          <w:spacing w:val="5"/>
        </w:rPr>
        <w:t> </w:t>
      </w:r>
      <w:r>
        <w:rPr/>
        <w:t>M.,</w:t>
      </w:r>
      <w:r>
        <w:rPr>
          <w:spacing w:val="6"/>
        </w:rPr>
        <w:t> </w:t>
      </w:r>
      <w:r>
        <w:rPr/>
        <w:t>Alexakis,</w:t>
      </w:r>
      <w:r>
        <w:rPr>
          <w:spacing w:val="7"/>
        </w:rPr>
        <w:t> </w:t>
      </w:r>
      <w:r>
        <w:rPr/>
        <w:t>E.,</w:t>
      </w:r>
      <w:r>
        <w:rPr>
          <w:spacing w:val="5"/>
        </w:rPr>
        <w:t> </w:t>
      </w:r>
      <w:r>
        <w:rPr/>
        <w:t>Martin,</w:t>
      </w:r>
      <w:r>
        <w:rPr>
          <w:spacing w:val="6"/>
        </w:rPr>
        <w:t> </w:t>
      </w:r>
      <w:r>
        <w:rPr/>
        <w:t>Diaz</w:t>
      </w:r>
      <w:r>
        <w:rPr>
          <w:spacing w:val="7"/>
        </w:rPr>
        <w:t> </w:t>
      </w:r>
      <w:r>
        <w:rPr/>
        <w:t>A.,</w:t>
      </w:r>
      <w:r>
        <w:rPr>
          <w:spacing w:val="6"/>
        </w:rPr>
        <w:t> </w:t>
      </w:r>
      <w:r>
        <w:rPr/>
        <w:t>Vanasse,</w:t>
      </w:r>
      <w:r>
        <w:rPr>
          <w:spacing w:val="5"/>
        </w:rPr>
        <w:t> </w:t>
      </w:r>
      <w:r>
        <w:rPr/>
        <w:t>A.</w:t>
      </w:r>
      <w:r>
        <w:rPr>
          <w:spacing w:val="5"/>
        </w:rPr>
        <w:t> </w:t>
      </w:r>
      <w:r>
        <w:rPr/>
        <w:t>&amp;</w:t>
      </w:r>
      <w:r>
        <w:rPr>
          <w:spacing w:val="5"/>
        </w:rPr>
        <w:t> </w:t>
      </w:r>
      <w:r>
        <w:rPr>
          <w:spacing w:val="-2"/>
        </w:rPr>
        <w:t>Hemiari,</w:t>
      </w:r>
    </w:p>
    <w:p>
      <w:pPr>
        <w:spacing w:line="240" w:lineRule="auto" w:before="0"/>
        <w:ind w:left="960" w:right="283" w:firstLine="0"/>
        <w:jc w:val="both"/>
        <w:rPr>
          <w:i/>
          <w:sz w:val="24"/>
        </w:rPr>
      </w:pPr>
      <w:r>
        <w:rPr>
          <w:sz w:val="24"/>
        </w:rPr>
        <w:t>A. (2004). Measurement of Accessibility to Health Care, Part II: GIS Development. </w:t>
      </w:r>
      <w:r>
        <w:rPr>
          <w:i/>
          <w:sz w:val="24"/>
        </w:rPr>
        <w:t>Proceedings of the 6th GEOIDE Annual Scientific Conference. La Chaudière,</w:t>
      </w:r>
      <w:r>
        <w:rPr>
          <w:i/>
          <w:spacing w:val="40"/>
          <w:sz w:val="24"/>
        </w:rPr>
        <w:t> </w:t>
      </w:r>
      <w:r>
        <w:rPr>
          <w:i/>
          <w:sz w:val="24"/>
        </w:rPr>
        <w:t>Ottawa, Canada.</w:t>
      </w:r>
    </w:p>
    <w:p>
      <w:pPr>
        <w:spacing w:line="240" w:lineRule="auto" w:before="200"/>
        <w:ind w:left="960" w:right="279" w:hanging="720"/>
        <w:jc w:val="both"/>
        <w:rPr>
          <w:sz w:val="24"/>
        </w:rPr>
      </w:pPr>
      <w:r>
        <w:rPr>
          <w:sz w:val="24"/>
        </w:rPr>
        <w:t>Efiong,</w:t>
      </w:r>
      <w:r>
        <w:rPr>
          <w:spacing w:val="-2"/>
          <w:sz w:val="24"/>
        </w:rPr>
        <w:t> </w:t>
      </w:r>
      <w:r>
        <w:rPr>
          <w:sz w:val="24"/>
        </w:rPr>
        <w:t>J.</w:t>
      </w:r>
      <w:r>
        <w:rPr>
          <w:spacing w:val="-2"/>
          <w:sz w:val="24"/>
        </w:rPr>
        <w:t> </w:t>
      </w:r>
      <w:r>
        <w:rPr>
          <w:sz w:val="24"/>
        </w:rPr>
        <w:t>(2019).</w:t>
      </w:r>
      <w:r>
        <w:rPr>
          <w:spacing w:val="-3"/>
          <w:sz w:val="24"/>
        </w:rPr>
        <w:t> </w:t>
      </w:r>
      <w:r>
        <w:rPr>
          <w:sz w:val="24"/>
        </w:rPr>
        <w:t>GIS-Based</w:t>
      </w:r>
      <w:r>
        <w:rPr>
          <w:spacing w:val="-2"/>
          <w:sz w:val="24"/>
        </w:rPr>
        <w:t> </w:t>
      </w:r>
      <w:r>
        <w:rPr>
          <w:sz w:val="24"/>
        </w:rPr>
        <w:t>Network</w:t>
      </w:r>
      <w:r>
        <w:rPr>
          <w:spacing w:val="-3"/>
          <w:sz w:val="24"/>
        </w:rPr>
        <w:t> </w:t>
      </w:r>
      <w:r>
        <w:rPr>
          <w:sz w:val="24"/>
        </w:rPr>
        <w:t>Analysis</w:t>
      </w:r>
      <w:r>
        <w:rPr>
          <w:spacing w:val="-2"/>
          <w:sz w:val="24"/>
        </w:rPr>
        <w:t> </w:t>
      </w:r>
      <w:r>
        <w:rPr>
          <w:sz w:val="24"/>
        </w:rPr>
        <w:t>for</w:t>
      </w:r>
      <w:r>
        <w:rPr>
          <w:spacing w:val="-3"/>
          <w:sz w:val="24"/>
        </w:rPr>
        <w:t> </w:t>
      </w:r>
      <w:r>
        <w:rPr>
          <w:sz w:val="24"/>
        </w:rPr>
        <w:t>Optimization</w:t>
      </w:r>
      <w:r>
        <w:rPr>
          <w:spacing w:val="-4"/>
          <w:sz w:val="24"/>
        </w:rPr>
        <w:t> </w:t>
      </w:r>
      <w:r>
        <w:rPr>
          <w:sz w:val="24"/>
        </w:rPr>
        <w:t>of</w:t>
      </w:r>
      <w:r>
        <w:rPr>
          <w:spacing w:val="-3"/>
          <w:sz w:val="24"/>
        </w:rPr>
        <w:t> </w:t>
      </w:r>
      <w:r>
        <w:rPr>
          <w:sz w:val="24"/>
        </w:rPr>
        <w:t>Public</w:t>
      </w:r>
      <w:r>
        <w:rPr>
          <w:spacing w:val="-3"/>
          <w:sz w:val="24"/>
        </w:rPr>
        <w:t> </w:t>
      </w:r>
      <w:r>
        <w:rPr>
          <w:sz w:val="24"/>
        </w:rPr>
        <w:t>Facilities</w:t>
      </w:r>
      <w:r>
        <w:rPr>
          <w:spacing w:val="-3"/>
          <w:sz w:val="24"/>
        </w:rPr>
        <w:t> </w:t>
      </w:r>
      <w:r>
        <w:rPr>
          <w:sz w:val="24"/>
        </w:rPr>
        <w:t>Closure: A Study on Libraries in Leicestershire, United Kingdom. </w:t>
      </w:r>
      <w:r>
        <w:rPr>
          <w:i/>
          <w:sz w:val="24"/>
        </w:rPr>
        <w:t>Journal of Geography, Environment and Earth Science International</w:t>
      </w:r>
      <w:r>
        <w:rPr>
          <w:sz w:val="24"/>
        </w:rPr>
        <w:t>, 23(3), 1-18</w:t>
      </w:r>
    </w:p>
    <w:p>
      <w:pPr>
        <w:spacing w:line="240" w:lineRule="auto" w:before="201"/>
        <w:ind w:left="960" w:right="274" w:hanging="720"/>
        <w:jc w:val="both"/>
        <w:rPr>
          <w:sz w:val="24"/>
        </w:rPr>
      </w:pPr>
      <w:r>
        <w:rPr>
          <w:sz w:val="24"/>
        </w:rPr>
        <w:t>Egbewale, B.E. &amp; Odu, O. O. (2013). Perception and Utilization of Primary Health Care Services in A Semi-Urban Community in South-Western Nigeria. </w:t>
      </w:r>
      <w:r>
        <w:rPr>
          <w:i/>
          <w:sz w:val="24"/>
        </w:rPr>
        <w:t>Journal of Community Medicine and Primary Health Care</w:t>
      </w:r>
      <w:r>
        <w:rPr>
          <w:sz w:val="24"/>
        </w:rPr>
        <w:t>, 24(1), 11-20.</w:t>
      </w:r>
    </w:p>
    <w:p>
      <w:pPr>
        <w:spacing w:line="240" w:lineRule="auto" w:before="200"/>
        <w:ind w:left="960" w:right="276" w:hanging="720"/>
        <w:jc w:val="both"/>
        <w:rPr>
          <w:sz w:val="24"/>
        </w:rPr>
      </w:pPr>
      <w:r>
        <w:rPr>
          <w:sz w:val="24"/>
        </w:rPr>
        <w:t>Egbosi, I. B. &amp; Offor, U. I. (2016). Application of Access Principle to Primary Education Management in Anambra State of Nigeria. </w:t>
      </w:r>
      <w:r>
        <w:rPr>
          <w:i/>
          <w:sz w:val="24"/>
        </w:rPr>
        <w:t>IOSR-Journal of Research and Method in Education, </w:t>
      </w:r>
      <w:r>
        <w:rPr>
          <w:sz w:val="24"/>
        </w:rPr>
        <w:t>6(4), 43-50</w:t>
      </w:r>
    </w:p>
    <w:p>
      <w:pPr>
        <w:pStyle w:val="BodyText"/>
        <w:spacing w:line="242" w:lineRule="auto" w:before="199"/>
        <w:ind w:left="960" w:right="276" w:hanging="720"/>
        <w:jc w:val="both"/>
      </w:pPr>
      <w:r>
        <w:rPr/>
        <w:t>Emeka, E. O. &amp; Masemote, G. M. (2011). Functioning and Challenges of Primary Health Care (PHC) Program in Roma Valley, Lesotho. </w:t>
      </w:r>
      <w:r>
        <w:rPr>
          <w:i/>
        </w:rPr>
        <w:t>Ethno Medicine</w:t>
      </w:r>
      <w:r>
        <w:rPr/>
        <w:t>, 5(2), 73-88</w:t>
      </w:r>
    </w:p>
    <w:p>
      <w:pPr>
        <w:pStyle w:val="BodyText"/>
        <w:spacing w:before="194"/>
        <w:ind w:left="960" w:right="276" w:hanging="720"/>
        <w:jc w:val="both"/>
      </w:pPr>
      <w:r>
        <w:rPr/>
        <w:t>Fabiyi O. O. &amp; Ogunyemi S. A. (2015). Spatial Distribution and Accessibility to Post</w:t>
      </w:r>
      <w:r>
        <w:rPr>
          <w:spacing w:val="40"/>
        </w:rPr>
        <w:t> </w:t>
      </w:r>
      <w:r>
        <w:rPr/>
        <w:t>Primary Educational Institution in Ogun State, Southwestern Nigeria: Case Study of Yewa South Local Government Area, Nigeria</w:t>
      </w:r>
      <w:r>
        <w:rPr>
          <w:i/>
        </w:rPr>
        <w:t>. Journal of Scientific Research and Reports, </w:t>
      </w:r>
      <w:r>
        <w:rPr/>
        <w:t>5(7), 542-552</w:t>
      </w:r>
    </w:p>
    <w:p>
      <w:pPr>
        <w:spacing w:after="0"/>
        <w:jc w:val="both"/>
        <w:sectPr>
          <w:pgSz w:w="11910" w:h="16840"/>
          <w:pgMar w:header="0" w:footer="1003" w:top="1340" w:bottom="1200" w:left="1200" w:right="1160"/>
        </w:sectPr>
      </w:pPr>
    </w:p>
    <w:p>
      <w:pPr>
        <w:pStyle w:val="BodyText"/>
        <w:spacing w:line="242" w:lineRule="auto" w:before="73"/>
        <w:ind w:left="960" w:right="279" w:hanging="720"/>
        <w:jc w:val="both"/>
      </w:pPr>
      <w:r>
        <w:rPr/>
        <w:t>Federal Republic of Nigeria (2012). </w:t>
      </w:r>
      <w:r>
        <w:rPr>
          <w:i/>
        </w:rPr>
        <w:t>National Housing policy. </w:t>
      </w:r>
      <w:r>
        <w:rPr/>
        <w:t>Abuja: Federal Ministry of Lands, Housing and Urban Development.</w:t>
      </w:r>
    </w:p>
    <w:p>
      <w:pPr>
        <w:spacing w:line="240" w:lineRule="auto" w:before="194"/>
        <w:ind w:left="960" w:right="274" w:hanging="720"/>
        <w:jc w:val="both"/>
        <w:rPr>
          <w:sz w:val="24"/>
        </w:rPr>
      </w:pPr>
      <w:r>
        <w:rPr>
          <w:sz w:val="24"/>
        </w:rPr>
        <w:t>Frolova, E.V., Mikhail V. V., Andrey V. K., Olga V. R. &amp; Kabanova E.E. (2016). Development of Social Infrastructure in the Management Practices of Local Authorities: Trends and Factors.</w:t>
      </w:r>
      <w:r>
        <w:rPr>
          <w:spacing w:val="40"/>
          <w:sz w:val="24"/>
        </w:rPr>
        <w:t> </w:t>
      </w:r>
      <w:r>
        <w:rPr>
          <w:i/>
          <w:sz w:val="24"/>
        </w:rPr>
        <w:t>International Journal of Environmental and Science Education</w:t>
      </w:r>
      <w:r>
        <w:rPr>
          <w:sz w:val="24"/>
        </w:rPr>
        <w:t>, 11(15), 7421-7430</w:t>
      </w:r>
    </w:p>
    <w:p>
      <w:pPr>
        <w:pStyle w:val="BodyText"/>
        <w:spacing w:before="202"/>
        <w:ind w:left="960" w:right="275" w:hanging="720"/>
        <w:jc w:val="both"/>
      </w:pPr>
      <w:r>
        <w:rPr/>
        <w:t>Garnham, J. (2015). The Location of Public Schools: Implications for Communities and Planners, and School District Decision-Making in Puget Sound Region. An Unpublished Master's Thesis Submitted to Urban Design and Planning Department University of Washington.</w:t>
      </w:r>
    </w:p>
    <w:p>
      <w:pPr>
        <w:pStyle w:val="BodyText"/>
        <w:spacing w:line="242" w:lineRule="auto" w:before="199"/>
        <w:ind w:left="960" w:right="279" w:hanging="720"/>
        <w:jc w:val="both"/>
      </w:pPr>
      <w:r>
        <w:rPr/>
        <w:t>Gianpiero, T.</w:t>
      </w:r>
      <w:r>
        <w:rPr>
          <w:spacing w:val="40"/>
        </w:rPr>
        <w:t> </w:t>
      </w:r>
      <w:r>
        <w:rPr/>
        <w:t>(2009). Public Infrastructure: Definition, Classification and Measurement Issues</w:t>
      </w:r>
      <w:r>
        <w:rPr>
          <w:i/>
        </w:rPr>
        <w:t>. </w:t>
      </w:r>
      <w:r>
        <w:rPr/>
        <w:t>Retrieved from MPRA Paper Database (12990)</w:t>
      </w:r>
    </w:p>
    <w:p>
      <w:pPr>
        <w:spacing w:line="276" w:lineRule="auto" w:before="197"/>
        <w:ind w:left="960" w:right="282" w:hanging="720"/>
        <w:jc w:val="both"/>
        <w:rPr>
          <w:sz w:val="24"/>
        </w:rPr>
      </w:pPr>
      <w:r>
        <w:rPr>
          <w:sz w:val="24"/>
        </w:rPr>
        <w:t>Gokan, T. (2010). On the Usage of the Measurement of Geographical Concentration and Specialization with Areal Data. </w:t>
      </w:r>
      <w:r>
        <w:rPr>
          <w:i/>
          <w:sz w:val="24"/>
        </w:rPr>
        <w:t>Institute of Developing Economies, Japan External Trade Organization, </w:t>
      </w:r>
      <w:r>
        <w:rPr>
          <w:sz w:val="24"/>
        </w:rPr>
        <w:t>2, 1-20</w:t>
      </w:r>
    </w:p>
    <w:p>
      <w:pPr>
        <w:pStyle w:val="BodyText"/>
        <w:spacing w:line="470" w:lineRule="atLeast" w:before="6"/>
        <w:ind w:left="240" w:right="277"/>
        <w:jc w:val="both"/>
      </w:pPr>
      <w:r>
        <w:rPr/>
        <w:t>Grant, U. (2010). Spatial Inequality and Urban Poverty Traps.</w:t>
      </w:r>
      <w:r>
        <w:rPr>
          <w:spacing w:val="40"/>
        </w:rPr>
        <w:t> </w:t>
      </w:r>
      <w:r>
        <w:rPr/>
        <w:t>CPRC Working Paper 166 Haggins,</w:t>
      </w:r>
      <w:r>
        <w:rPr>
          <w:spacing w:val="5"/>
        </w:rPr>
        <w:t> </w:t>
      </w:r>
      <w:r>
        <w:rPr/>
        <w:t>C.</w:t>
      </w:r>
      <w:r>
        <w:rPr>
          <w:spacing w:val="8"/>
        </w:rPr>
        <w:t> </w:t>
      </w:r>
      <w:r>
        <w:rPr/>
        <w:t>&amp;</w:t>
      </w:r>
      <w:r>
        <w:rPr>
          <w:spacing w:val="6"/>
        </w:rPr>
        <w:t> </w:t>
      </w:r>
      <w:r>
        <w:rPr/>
        <w:t>Knight,</w:t>
      </w:r>
      <w:r>
        <w:rPr>
          <w:spacing w:val="8"/>
        </w:rPr>
        <w:t> </w:t>
      </w:r>
      <w:r>
        <w:rPr/>
        <w:t>K.</w:t>
      </w:r>
      <w:r>
        <w:rPr>
          <w:spacing w:val="8"/>
        </w:rPr>
        <w:t> </w:t>
      </w:r>
      <w:r>
        <w:rPr/>
        <w:t>A.</w:t>
      </w:r>
      <w:r>
        <w:rPr>
          <w:spacing w:val="7"/>
        </w:rPr>
        <w:t> </w:t>
      </w:r>
      <w:r>
        <w:rPr/>
        <w:t>(2011).</w:t>
      </w:r>
      <w:r>
        <w:rPr>
          <w:spacing w:val="7"/>
        </w:rPr>
        <w:t> </w:t>
      </w:r>
      <w:r>
        <w:rPr/>
        <w:t>What</w:t>
      </w:r>
      <w:r>
        <w:rPr>
          <w:spacing w:val="9"/>
        </w:rPr>
        <w:t> </w:t>
      </w:r>
      <w:r>
        <w:rPr/>
        <w:t>Makes</w:t>
      </w:r>
      <w:r>
        <w:rPr>
          <w:spacing w:val="11"/>
        </w:rPr>
        <w:t> </w:t>
      </w:r>
      <w:r>
        <w:rPr/>
        <w:t>a</w:t>
      </w:r>
      <w:r>
        <w:rPr>
          <w:spacing w:val="7"/>
        </w:rPr>
        <w:t> </w:t>
      </w:r>
      <w:r>
        <w:rPr/>
        <w:t>Public</w:t>
      </w:r>
      <w:r>
        <w:rPr>
          <w:spacing w:val="6"/>
        </w:rPr>
        <w:t> </w:t>
      </w:r>
      <w:r>
        <w:rPr/>
        <w:t>School</w:t>
      </w:r>
      <w:r>
        <w:rPr>
          <w:spacing w:val="8"/>
        </w:rPr>
        <w:t> </w:t>
      </w:r>
      <w:r>
        <w:rPr/>
        <w:t>Public?</w:t>
      </w:r>
      <w:r>
        <w:rPr>
          <w:spacing w:val="10"/>
        </w:rPr>
        <w:t> </w:t>
      </w:r>
      <w:r>
        <w:rPr/>
        <w:t>A</w:t>
      </w:r>
      <w:r>
        <w:rPr>
          <w:spacing w:val="8"/>
        </w:rPr>
        <w:t> </w:t>
      </w:r>
      <w:r>
        <w:rPr/>
        <w:t>Framework</w:t>
      </w:r>
      <w:r>
        <w:rPr>
          <w:spacing w:val="9"/>
        </w:rPr>
        <w:t> </w:t>
      </w:r>
      <w:r>
        <w:rPr>
          <w:spacing w:val="-5"/>
        </w:rPr>
        <w:t>for</w:t>
      </w:r>
    </w:p>
    <w:p>
      <w:pPr>
        <w:spacing w:before="8"/>
        <w:ind w:left="960" w:right="0" w:firstLine="0"/>
        <w:jc w:val="both"/>
        <w:rPr>
          <w:sz w:val="24"/>
        </w:rPr>
      </w:pPr>
      <w:r>
        <w:rPr>
          <w:sz w:val="24"/>
        </w:rPr>
        <w:t>Evaluating</w:t>
      </w:r>
      <w:r>
        <w:rPr>
          <w:spacing w:val="-5"/>
          <w:sz w:val="24"/>
        </w:rPr>
        <w:t> </w:t>
      </w:r>
      <w:r>
        <w:rPr>
          <w:sz w:val="24"/>
        </w:rPr>
        <w:t>the</w:t>
      </w:r>
      <w:r>
        <w:rPr>
          <w:spacing w:val="-2"/>
          <w:sz w:val="24"/>
        </w:rPr>
        <w:t> </w:t>
      </w:r>
      <w:r>
        <w:rPr>
          <w:sz w:val="24"/>
        </w:rPr>
        <w:t>Civic</w:t>
      </w:r>
      <w:r>
        <w:rPr>
          <w:spacing w:val="-2"/>
          <w:sz w:val="24"/>
        </w:rPr>
        <w:t> </w:t>
      </w:r>
      <w:r>
        <w:rPr>
          <w:sz w:val="24"/>
        </w:rPr>
        <w:t>Substance</w:t>
      </w:r>
      <w:r>
        <w:rPr>
          <w:spacing w:val="-1"/>
          <w:sz w:val="24"/>
        </w:rPr>
        <w:t> </w:t>
      </w:r>
      <w:r>
        <w:rPr>
          <w:sz w:val="24"/>
        </w:rPr>
        <w:t>of</w:t>
      </w:r>
      <w:r>
        <w:rPr>
          <w:spacing w:val="-1"/>
          <w:sz w:val="24"/>
        </w:rPr>
        <w:t> </w:t>
      </w:r>
      <w:r>
        <w:rPr>
          <w:sz w:val="24"/>
        </w:rPr>
        <w:t>Schooling.</w:t>
      </w:r>
      <w:r>
        <w:rPr>
          <w:spacing w:val="-1"/>
          <w:sz w:val="24"/>
        </w:rPr>
        <w:t> </w:t>
      </w:r>
      <w:r>
        <w:rPr>
          <w:i/>
          <w:sz w:val="24"/>
        </w:rPr>
        <w:t>Educational Theory,</w:t>
      </w:r>
      <w:r>
        <w:rPr>
          <w:i/>
          <w:spacing w:val="-1"/>
          <w:sz w:val="24"/>
        </w:rPr>
        <w:t> </w:t>
      </w:r>
      <w:r>
        <w:rPr>
          <w:sz w:val="24"/>
        </w:rPr>
        <w:t>61(4), 365-</w:t>
      </w:r>
      <w:r>
        <w:rPr>
          <w:spacing w:val="-5"/>
          <w:sz w:val="24"/>
        </w:rPr>
        <w:t>380</w:t>
      </w:r>
    </w:p>
    <w:p>
      <w:pPr>
        <w:pStyle w:val="BodyText"/>
        <w:spacing w:before="196"/>
        <w:ind w:left="960" w:right="278" w:hanging="720"/>
        <w:jc w:val="both"/>
      </w:pPr>
      <w:r>
        <w:rPr/>
        <w:t>Hassan, O, G. &amp; Nor, A. A. (2017). Lack of Infrastructure: The Impact on Economic Development as a Case of Benadir Region and Hir-Shabelle, Somalia. </w:t>
      </w:r>
      <w:r>
        <w:rPr>
          <w:i/>
        </w:rPr>
        <w:t>Developing Country Studies, </w:t>
      </w:r>
      <w:r>
        <w:rPr/>
        <w:t>7(1), 49-55</w:t>
      </w:r>
    </w:p>
    <w:p>
      <w:pPr>
        <w:pStyle w:val="BodyText"/>
        <w:spacing w:line="242" w:lineRule="auto" w:before="200"/>
        <w:ind w:left="960" w:right="274" w:hanging="720"/>
        <w:jc w:val="both"/>
      </w:pPr>
      <w:r>
        <w:rPr/>
        <w:t>Idemudia, E. &amp; Victor, O. (2010). The Role of Primary Health Care in Nigeria. Health Care Delivery Systems: Problems and Prospect. </w:t>
      </w:r>
      <w:r>
        <w:rPr>
          <w:i/>
        </w:rPr>
        <w:t>Knowledge Review</w:t>
      </w:r>
      <w:r>
        <w:rPr/>
        <w:t>, 21(1), 71-76</w:t>
      </w:r>
    </w:p>
    <w:p>
      <w:pPr>
        <w:pStyle w:val="BodyText"/>
        <w:spacing w:before="196"/>
        <w:ind w:left="960" w:right="276" w:hanging="720"/>
        <w:jc w:val="both"/>
      </w:pPr>
      <w:r>
        <w:rPr/>
        <w:t>Knitter, D., Blum, H., Horejs, B., Nakoinz, O., Schütt, B. &amp; Meyer, M. (2013) Integrated Centrality Analysis: A Diachronic Comparison of Selected Western Anatolian Locations. </w:t>
      </w:r>
      <w:r>
        <w:rPr>
          <w:i/>
        </w:rPr>
        <w:t>Quaternary International, </w:t>
      </w:r>
      <w:r>
        <w:rPr/>
        <w:t>312, 45–56.</w:t>
      </w:r>
    </w:p>
    <w:p>
      <w:pPr>
        <w:pStyle w:val="BodyText"/>
        <w:spacing w:before="199"/>
        <w:ind w:left="960" w:right="276" w:hanging="720"/>
        <w:jc w:val="both"/>
      </w:pPr>
      <w:r>
        <w:rPr/>
        <w:t>Knitter, D. &amp; Nakoinz, O. (2018). The Relative Concentration of Interaction – Aproposal for an Integrated Understanding of Centrality and Central Places. </w:t>
      </w:r>
      <w:r>
        <w:rPr>
          <w:i/>
        </w:rPr>
        <w:t>Land</w:t>
      </w:r>
      <w:r>
        <w:rPr/>
        <w:t>, 7(3), 86 </w:t>
      </w:r>
      <w:hyperlink r:id="rId29">
        <w:r>
          <w:rPr>
            <w:color w:val="0000FF"/>
            <w:spacing w:val="-2"/>
            <w:u w:val="single" w:color="0000FF"/>
          </w:rPr>
          <w:t>https://doi.org/10.3390/land7030086</w:t>
        </w:r>
      </w:hyperlink>
    </w:p>
    <w:p>
      <w:pPr>
        <w:spacing w:line="242" w:lineRule="auto" w:before="200"/>
        <w:ind w:left="960" w:right="271" w:hanging="720"/>
        <w:jc w:val="both"/>
        <w:rPr>
          <w:sz w:val="24"/>
        </w:rPr>
      </w:pPr>
      <w:r>
        <w:rPr>
          <w:sz w:val="24"/>
        </w:rPr>
        <w:t>Kosfeld, R., Eckey, H. &amp; Lauridsen, J. (2009): Spatial Point Pattern Analysis and Industry Concentration. </w:t>
      </w:r>
      <w:r>
        <w:rPr>
          <w:i/>
          <w:sz w:val="24"/>
        </w:rPr>
        <w:t>Joint Discussion Paper Series in Economics, </w:t>
      </w:r>
      <w:r>
        <w:rPr>
          <w:sz w:val="24"/>
        </w:rPr>
        <w:t>16, Retrieved from </w:t>
      </w:r>
      <w:hyperlink r:id="rId30">
        <w:r>
          <w:rPr>
            <w:color w:val="0000FF"/>
            <w:spacing w:val="-2"/>
            <w:sz w:val="24"/>
            <w:u w:val="single" w:color="0000FF"/>
          </w:rPr>
          <w:t>https://Hdl.Handle.Net/10419/30145</w:t>
        </w:r>
      </w:hyperlink>
    </w:p>
    <w:p>
      <w:pPr>
        <w:pStyle w:val="BodyText"/>
        <w:spacing w:before="191"/>
        <w:ind w:left="960" w:right="276" w:hanging="720"/>
        <w:jc w:val="both"/>
      </w:pPr>
      <w:r>
        <w:rPr/>
        <w:t>Latham, A. &amp; Layton, J. (2019) Social Infrastructure and the Public Life of Cities: Studying Urban Sociality and Public Spaces. </w:t>
      </w:r>
      <w:r>
        <w:rPr>
          <w:i/>
        </w:rPr>
        <w:t>Geography Compass, </w:t>
      </w:r>
      <w:r>
        <w:rPr/>
        <w:t>E12444, 1-15 Retrieved From </w:t>
      </w:r>
      <w:hyperlink r:id="rId31">
        <w:r>
          <w:rPr>
            <w:color w:val="0000FF"/>
            <w:u w:val="single" w:color="0000FF"/>
          </w:rPr>
          <w:t>https://Doi.Org/10.1111/Gec3.12444</w:t>
        </w:r>
      </w:hyperlink>
    </w:p>
    <w:p>
      <w:pPr>
        <w:spacing w:line="240" w:lineRule="auto" w:before="202"/>
        <w:ind w:left="960" w:right="272" w:hanging="720"/>
        <w:jc w:val="both"/>
        <w:rPr>
          <w:sz w:val="24"/>
        </w:rPr>
      </w:pPr>
      <w:r>
        <w:rPr>
          <w:sz w:val="24"/>
        </w:rPr>
        <w:t>Liu, S. &amp; Zhu, X. (2004). Accessibility Analyst: And Integrated GIS Tool for Accessibility Analysis in Urban Transportation Planning. </w:t>
      </w:r>
      <w:r>
        <w:rPr>
          <w:i/>
          <w:sz w:val="24"/>
        </w:rPr>
        <w:t>Environment and Planning B: Planning and Design</w:t>
      </w:r>
      <w:r>
        <w:rPr>
          <w:sz w:val="24"/>
        </w:rPr>
        <w:t>, 31, 105-124</w:t>
      </w:r>
    </w:p>
    <w:p>
      <w:pPr>
        <w:spacing w:after="0" w:line="240" w:lineRule="auto"/>
        <w:jc w:val="both"/>
        <w:rPr>
          <w:sz w:val="24"/>
        </w:rPr>
        <w:sectPr>
          <w:pgSz w:w="11910" w:h="16840"/>
          <w:pgMar w:header="0" w:footer="1003" w:top="1340" w:bottom="1200" w:left="1200" w:right="1160"/>
        </w:sectPr>
      </w:pPr>
    </w:p>
    <w:p>
      <w:pPr>
        <w:spacing w:line="242" w:lineRule="auto" w:before="73"/>
        <w:ind w:left="960" w:right="278" w:hanging="720"/>
        <w:jc w:val="both"/>
        <w:rPr>
          <w:sz w:val="24"/>
        </w:rPr>
      </w:pPr>
      <w:r>
        <w:rPr>
          <w:sz w:val="24"/>
        </w:rPr>
        <w:t>Liu, Y., Liu, Y. &amp; He, J. (2008). Spatial Analysis Techniques Based on Data Field and its Application in Land Gradation. </w:t>
      </w:r>
      <w:r>
        <w:rPr>
          <w:i/>
          <w:sz w:val="24"/>
        </w:rPr>
        <w:t>The International Archives of the Photogrammetry, Remote Sensing and Spatial Information Sciences, </w:t>
      </w:r>
      <w:r>
        <w:rPr>
          <w:sz w:val="24"/>
        </w:rPr>
        <w:t>XXXVII(B2), 229-236</w:t>
      </w:r>
    </w:p>
    <w:p>
      <w:pPr>
        <w:spacing w:line="242" w:lineRule="auto" w:before="192"/>
        <w:ind w:left="960" w:right="278" w:hanging="720"/>
        <w:jc w:val="both"/>
        <w:rPr>
          <w:sz w:val="24"/>
        </w:rPr>
      </w:pPr>
      <w:r>
        <w:rPr>
          <w:sz w:val="24"/>
        </w:rPr>
        <w:t>Morenikeji, O. O. (2006). </w:t>
      </w:r>
      <w:r>
        <w:rPr>
          <w:i/>
          <w:sz w:val="24"/>
        </w:rPr>
        <w:t>Research and Analytical Methods for Social Scientists; Planning and Environmentalist</w:t>
      </w:r>
      <w:r>
        <w:rPr>
          <w:sz w:val="24"/>
        </w:rPr>
        <w:t>. Jos: Jos University Press Ltd.</w:t>
      </w:r>
    </w:p>
    <w:p>
      <w:pPr>
        <w:spacing w:before="196"/>
        <w:ind w:left="240" w:right="0" w:firstLine="0"/>
        <w:jc w:val="left"/>
        <w:rPr>
          <w:sz w:val="24"/>
        </w:rPr>
      </w:pPr>
      <w:r>
        <w:rPr>
          <w:sz w:val="24"/>
        </w:rPr>
        <w:t>National</w:t>
      </w:r>
      <w:r>
        <w:rPr>
          <w:spacing w:val="50"/>
          <w:w w:val="150"/>
          <w:sz w:val="24"/>
        </w:rPr>
        <w:t> </w:t>
      </w:r>
      <w:r>
        <w:rPr>
          <w:sz w:val="24"/>
        </w:rPr>
        <w:t>Planning</w:t>
      </w:r>
      <w:r>
        <w:rPr>
          <w:spacing w:val="50"/>
          <w:w w:val="150"/>
          <w:sz w:val="24"/>
        </w:rPr>
        <w:t> </w:t>
      </w:r>
      <w:r>
        <w:rPr>
          <w:sz w:val="24"/>
        </w:rPr>
        <w:t>Commision</w:t>
      </w:r>
      <w:r>
        <w:rPr>
          <w:spacing w:val="54"/>
          <w:w w:val="150"/>
          <w:sz w:val="24"/>
        </w:rPr>
        <w:t> </w:t>
      </w:r>
      <w:r>
        <w:rPr>
          <w:sz w:val="24"/>
        </w:rPr>
        <w:t>(2015).</w:t>
      </w:r>
      <w:r>
        <w:rPr>
          <w:spacing w:val="52"/>
          <w:w w:val="150"/>
          <w:sz w:val="24"/>
        </w:rPr>
        <w:t> </w:t>
      </w:r>
      <w:r>
        <w:rPr>
          <w:i/>
          <w:sz w:val="24"/>
        </w:rPr>
        <w:t>National</w:t>
      </w:r>
      <w:r>
        <w:rPr>
          <w:i/>
          <w:spacing w:val="52"/>
          <w:w w:val="150"/>
          <w:sz w:val="24"/>
        </w:rPr>
        <w:t> </w:t>
      </w:r>
      <w:r>
        <w:rPr>
          <w:i/>
          <w:sz w:val="24"/>
        </w:rPr>
        <w:t>Integrated</w:t>
      </w:r>
      <w:r>
        <w:rPr>
          <w:i/>
          <w:spacing w:val="52"/>
          <w:w w:val="150"/>
          <w:sz w:val="24"/>
        </w:rPr>
        <w:t> </w:t>
      </w:r>
      <w:r>
        <w:rPr>
          <w:i/>
          <w:sz w:val="24"/>
        </w:rPr>
        <w:t>Infrastructure</w:t>
      </w:r>
      <w:r>
        <w:rPr>
          <w:i/>
          <w:spacing w:val="51"/>
          <w:w w:val="150"/>
          <w:sz w:val="24"/>
        </w:rPr>
        <w:t> </w:t>
      </w:r>
      <w:r>
        <w:rPr>
          <w:i/>
          <w:sz w:val="24"/>
        </w:rPr>
        <w:t>Master</w:t>
      </w:r>
      <w:r>
        <w:rPr>
          <w:i/>
          <w:spacing w:val="52"/>
          <w:w w:val="150"/>
          <w:sz w:val="24"/>
        </w:rPr>
        <w:t> </w:t>
      </w:r>
      <w:r>
        <w:rPr>
          <w:i/>
          <w:spacing w:val="-2"/>
          <w:sz w:val="24"/>
        </w:rPr>
        <w:t>Plan</w:t>
      </w:r>
      <w:r>
        <w:rPr>
          <w:spacing w:val="-2"/>
          <w:sz w:val="24"/>
        </w:rPr>
        <w:t>.</w:t>
      </w:r>
    </w:p>
    <w:p>
      <w:pPr>
        <w:pStyle w:val="BodyText"/>
        <w:spacing w:before="2"/>
        <w:ind w:left="960"/>
      </w:pPr>
      <w:r>
        <w:rPr/>
        <w:t>Abuja:</w:t>
      </w:r>
      <w:r>
        <w:rPr>
          <w:spacing w:val="-2"/>
        </w:rPr>
        <w:t> </w:t>
      </w:r>
      <w:r>
        <w:rPr/>
        <w:t>National Planning</w:t>
      </w:r>
      <w:r>
        <w:rPr>
          <w:spacing w:val="-1"/>
        </w:rPr>
        <w:t> </w:t>
      </w:r>
      <w:r>
        <w:rPr>
          <w:spacing w:val="-2"/>
        </w:rPr>
        <w:t>Commission.</w:t>
      </w:r>
    </w:p>
    <w:p>
      <w:pPr>
        <w:pStyle w:val="BodyText"/>
        <w:spacing w:before="197"/>
        <w:ind w:left="960" w:right="274" w:hanging="720"/>
        <w:jc w:val="both"/>
      </w:pPr>
      <w:r>
        <w:rPr/>
        <w:t>National Population Commission (2010). </w:t>
      </w:r>
      <w:r>
        <w:rPr>
          <w:i/>
        </w:rPr>
        <w:t>2006 Population and Housing Census</w:t>
      </w:r>
      <w:r>
        <w:rPr/>
        <w:t>: Population Distribution by Sex, State, LGA &amp; Senatorial Distribution. Abuja: National</w:t>
      </w:r>
      <w:r>
        <w:rPr>
          <w:spacing w:val="40"/>
        </w:rPr>
        <w:t> </w:t>
      </w:r>
      <w:r>
        <w:rPr/>
        <w:t>Population Commission</w:t>
      </w:r>
    </w:p>
    <w:p>
      <w:pPr>
        <w:spacing w:before="199"/>
        <w:ind w:left="240" w:right="0" w:firstLine="0"/>
        <w:jc w:val="left"/>
        <w:rPr>
          <w:sz w:val="24"/>
        </w:rPr>
      </w:pPr>
      <w:r>
        <w:rPr>
          <w:sz w:val="24"/>
        </w:rPr>
        <w:t>National</w:t>
      </w:r>
      <w:r>
        <w:rPr>
          <w:spacing w:val="46"/>
          <w:sz w:val="24"/>
        </w:rPr>
        <w:t> </w:t>
      </w:r>
      <w:r>
        <w:rPr>
          <w:sz w:val="24"/>
        </w:rPr>
        <w:t>Population</w:t>
      </w:r>
      <w:r>
        <w:rPr>
          <w:spacing w:val="49"/>
          <w:sz w:val="24"/>
        </w:rPr>
        <w:t> </w:t>
      </w:r>
      <w:r>
        <w:rPr>
          <w:sz w:val="24"/>
        </w:rPr>
        <w:t>Commission</w:t>
      </w:r>
      <w:r>
        <w:rPr>
          <w:spacing w:val="48"/>
          <w:sz w:val="24"/>
        </w:rPr>
        <w:t> </w:t>
      </w:r>
      <w:r>
        <w:rPr>
          <w:sz w:val="24"/>
        </w:rPr>
        <w:t>(2019).</w:t>
      </w:r>
      <w:r>
        <w:rPr>
          <w:spacing w:val="51"/>
          <w:sz w:val="24"/>
        </w:rPr>
        <w:t> </w:t>
      </w:r>
      <w:r>
        <w:rPr>
          <w:i/>
          <w:sz w:val="24"/>
        </w:rPr>
        <w:t>Nigeria</w:t>
      </w:r>
      <w:r>
        <w:rPr>
          <w:i/>
          <w:spacing w:val="48"/>
          <w:sz w:val="24"/>
        </w:rPr>
        <w:t> </w:t>
      </w:r>
      <w:r>
        <w:rPr>
          <w:i/>
          <w:sz w:val="24"/>
        </w:rPr>
        <w:t>Demographic</w:t>
      </w:r>
      <w:r>
        <w:rPr>
          <w:i/>
          <w:spacing w:val="48"/>
          <w:sz w:val="24"/>
        </w:rPr>
        <w:t> </w:t>
      </w:r>
      <w:r>
        <w:rPr>
          <w:i/>
          <w:sz w:val="24"/>
        </w:rPr>
        <w:t>and</w:t>
      </w:r>
      <w:r>
        <w:rPr>
          <w:i/>
          <w:spacing w:val="48"/>
          <w:sz w:val="24"/>
        </w:rPr>
        <w:t> </w:t>
      </w:r>
      <w:r>
        <w:rPr>
          <w:i/>
          <w:sz w:val="24"/>
        </w:rPr>
        <w:t>Health</w:t>
      </w:r>
      <w:r>
        <w:rPr>
          <w:i/>
          <w:spacing w:val="49"/>
          <w:sz w:val="24"/>
        </w:rPr>
        <w:t> </w:t>
      </w:r>
      <w:r>
        <w:rPr>
          <w:i/>
          <w:sz w:val="24"/>
        </w:rPr>
        <w:t>Survey</w:t>
      </w:r>
      <w:r>
        <w:rPr>
          <w:i/>
          <w:spacing w:val="48"/>
          <w:sz w:val="24"/>
        </w:rPr>
        <w:t> </w:t>
      </w:r>
      <w:r>
        <w:rPr>
          <w:i/>
          <w:spacing w:val="-2"/>
          <w:sz w:val="24"/>
        </w:rPr>
        <w:t>2018</w:t>
      </w:r>
      <w:r>
        <w:rPr>
          <w:spacing w:val="-2"/>
          <w:sz w:val="24"/>
        </w:rPr>
        <w:t>.</w:t>
      </w:r>
    </w:p>
    <w:p>
      <w:pPr>
        <w:pStyle w:val="BodyText"/>
        <w:spacing w:before="3"/>
        <w:ind w:left="960"/>
      </w:pPr>
      <w:r>
        <w:rPr/>
        <w:t>Abuja:</w:t>
      </w:r>
      <w:r>
        <w:rPr>
          <w:spacing w:val="-4"/>
        </w:rPr>
        <w:t> </w:t>
      </w:r>
      <w:r>
        <w:rPr/>
        <w:t>Author.</w:t>
      </w:r>
      <w:r>
        <w:rPr>
          <w:spacing w:val="-1"/>
        </w:rPr>
        <w:t> </w:t>
      </w:r>
      <w:r>
        <w:rPr/>
        <w:t>Retrieved from</w:t>
      </w:r>
      <w:r>
        <w:rPr>
          <w:spacing w:val="-2"/>
        </w:rPr>
        <w:t> </w:t>
      </w:r>
      <w:hyperlink r:id="rId32">
        <w:r>
          <w:rPr>
            <w:color w:val="0000FF"/>
            <w:spacing w:val="-2"/>
            <w:u w:val="single" w:color="0000FF"/>
          </w:rPr>
          <w:t>http://dhsprogram.com/pubs/pdf/FR359/FR359.pdf</w:t>
        </w:r>
      </w:hyperlink>
      <w:r>
        <w:rPr>
          <w:spacing w:val="-2"/>
        </w:rPr>
        <w:t>.</w:t>
      </w:r>
    </w:p>
    <w:p>
      <w:pPr>
        <w:spacing w:line="240" w:lineRule="auto" w:before="200"/>
        <w:ind w:left="960" w:right="277" w:hanging="720"/>
        <w:jc w:val="both"/>
        <w:rPr>
          <w:sz w:val="24"/>
        </w:rPr>
      </w:pPr>
      <w:r>
        <w:rPr>
          <w:sz w:val="24"/>
        </w:rPr>
        <w:t>Ngeleza, G. K., Florax, R. J. G. M., &amp; Masters, W. A. (2011). Spatial Inequality:</w:t>
      </w:r>
      <w:r>
        <w:rPr>
          <w:spacing w:val="80"/>
          <w:sz w:val="24"/>
        </w:rPr>
        <w:t> </w:t>
      </w:r>
      <w:r>
        <w:rPr>
          <w:sz w:val="24"/>
        </w:rPr>
        <w:t>Overcoming Neighbourhood Effects in Africa. </w:t>
      </w:r>
      <w:r>
        <w:rPr>
          <w:i/>
          <w:sz w:val="24"/>
        </w:rPr>
        <w:t>Applied Econometrics and International Development</w:t>
      </w:r>
      <w:r>
        <w:rPr>
          <w:sz w:val="24"/>
        </w:rPr>
        <w:t>, 11(2), 165-190</w:t>
      </w:r>
    </w:p>
    <w:p>
      <w:pPr>
        <w:spacing w:line="242" w:lineRule="auto" w:before="199"/>
        <w:ind w:left="960" w:right="278" w:hanging="720"/>
        <w:jc w:val="both"/>
        <w:rPr>
          <w:sz w:val="24"/>
        </w:rPr>
      </w:pPr>
      <w:r>
        <w:rPr>
          <w:sz w:val="24"/>
        </w:rPr>
        <w:t>Noreen, C. M. (2010). School Siting. </w:t>
      </w:r>
      <w:r>
        <w:rPr>
          <w:i/>
          <w:sz w:val="24"/>
        </w:rPr>
        <w:t>Journal of the American Planning Association</w:t>
      </w:r>
      <w:r>
        <w:rPr>
          <w:sz w:val="24"/>
        </w:rPr>
        <w:t>, 76(2), </w:t>
      </w:r>
      <w:r>
        <w:rPr>
          <w:spacing w:val="-2"/>
          <w:sz w:val="24"/>
        </w:rPr>
        <w:t>184-198</w:t>
      </w:r>
    </w:p>
    <w:p>
      <w:pPr>
        <w:spacing w:line="242" w:lineRule="auto" w:before="194"/>
        <w:ind w:left="960" w:right="272" w:hanging="720"/>
        <w:jc w:val="both"/>
        <w:rPr>
          <w:sz w:val="24"/>
        </w:rPr>
      </w:pPr>
      <w:r>
        <w:rPr>
          <w:sz w:val="24"/>
        </w:rPr>
        <w:t>National</w:t>
      </w:r>
      <w:r>
        <w:rPr>
          <w:spacing w:val="-1"/>
          <w:sz w:val="24"/>
        </w:rPr>
        <w:t> </w:t>
      </w:r>
      <w:r>
        <w:rPr>
          <w:sz w:val="24"/>
        </w:rPr>
        <w:t>Primary</w:t>
      </w:r>
      <w:r>
        <w:rPr>
          <w:spacing w:val="-4"/>
          <w:sz w:val="24"/>
        </w:rPr>
        <w:t> </w:t>
      </w:r>
      <w:r>
        <w:rPr>
          <w:sz w:val="24"/>
        </w:rPr>
        <w:t>Health Care</w:t>
      </w:r>
      <w:r>
        <w:rPr>
          <w:spacing w:val="-3"/>
          <w:sz w:val="24"/>
        </w:rPr>
        <w:t> </w:t>
      </w:r>
      <w:r>
        <w:rPr>
          <w:sz w:val="24"/>
        </w:rPr>
        <w:t>Development</w:t>
      </w:r>
      <w:r>
        <w:rPr>
          <w:spacing w:val="-1"/>
          <w:sz w:val="24"/>
        </w:rPr>
        <w:t> </w:t>
      </w:r>
      <w:r>
        <w:rPr>
          <w:sz w:val="24"/>
        </w:rPr>
        <w:t>Agency</w:t>
      </w:r>
      <w:r>
        <w:rPr>
          <w:spacing w:val="-1"/>
          <w:sz w:val="24"/>
        </w:rPr>
        <w:t> </w:t>
      </w:r>
      <w:r>
        <w:rPr>
          <w:sz w:val="24"/>
        </w:rPr>
        <w:t>(2010).</w:t>
      </w:r>
      <w:r>
        <w:rPr>
          <w:spacing w:val="-2"/>
          <w:sz w:val="24"/>
        </w:rPr>
        <w:t> </w:t>
      </w:r>
      <w:r>
        <w:rPr>
          <w:i/>
          <w:sz w:val="24"/>
        </w:rPr>
        <w:t>Minimum</w:t>
      </w:r>
      <w:r>
        <w:rPr>
          <w:i/>
          <w:spacing w:val="-1"/>
          <w:sz w:val="24"/>
        </w:rPr>
        <w:t> </w:t>
      </w:r>
      <w:r>
        <w:rPr>
          <w:i/>
          <w:sz w:val="24"/>
        </w:rPr>
        <w:t>Standards for Primary Health Care in Nigeria</w:t>
      </w:r>
      <w:r>
        <w:rPr>
          <w:sz w:val="24"/>
        </w:rPr>
        <w:t>. Abuja: Department of Planning, Research and Statistics.</w:t>
      </w:r>
    </w:p>
    <w:p>
      <w:pPr>
        <w:spacing w:line="242" w:lineRule="auto" w:before="193"/>
        <w:ind w:left="960" w:right="278" w:hanging="720"/>
        <w:jc w:val="both"/>
        <w:rPr>
          <w:sz w:val="24"/>
        </w:rPr>
      </w:pPr>
      <w:r>
        <w:rPr>
          <w:sz w:val="24"/>
        </w:rPr>
        <w:t>Obi, Z. C. &amp; Ezemba, C. C. (2019). Management of Public Primary Schools in a Depressed Economy: The Roles of Teachers. </w:t>
      </w:r>
      <w:r>
        <w:rPr>
          <w:i/>
          <w:sz w:val="24"/>
        </w:rPr>
        <w:t>IDOSR Journal of Science and Technology</w:t>
      </w:r>
      <w:r>
        <w:rPr>
          <w:sz w:val="24"/>
        </w:rPr>
        <w:t>, 4(1), </w:t>
      </w:r>
      <w:r>
        <w:rPr>
          <w:spacing w:val="-2"/>
          <w:sz w:val="24"/>
        </w:rPr>
        <w:t>76-80.</w:t>
      </w:r>
    </w:p>
    <w:p>
      <w:pPr>
        <w:pStyle w:val="BodyText"/>
        <w:spacing w:before="194"/>
        <w:ind w:left="960" w:right="275" w:hanging="720"/>
        <w:jc w:val="both"/>
      </w:pPr>
      <w:r>
        <w:rPr/>
        <w:t>Ogunyemi, S. A., Muibi, K. H., Eguaroje, O. E., Fabiyi, O. O. &amp; Halilu, A. S. (2014). A Geospatial Approach to Evaluation of Accessibility to Secondary Educational Institution in Ogun State, Nigeria. </w:t>
      </w:r>
      <w:r>
        <w:rPr>
          <w:i/>
        </w:rPr>
        <w:t>IOP Conf. Series: Earth and Environmental</w:t>
      </w:r>
      <w:r>
        <w:rPr>
          <w:i/>
          <w:spacing w:val="40"/>
        </w:rPr>
        <w:t> </w:t>
      </w:r>
      <w:r>
        <w:rPr>
          <w:i/>
        </w:rPr>
        <w:t>Science </w:t>
      </w:r>
      <w:r>
        <w:rPr/>
        <w:t>20</w:t>
      </w:r>
      <w:r>
        <w:rPr>
          <w:b/>
        </w:rPr>
        <w:t>, </w:t>
      </w:r>
      <w:r>
        <w:rPr/>
        <w:t>012045</w:t>
      </w:r>
    </w:p>
    <w:p>
      <w:pPr>
        <w:pStyle w:val="BodyText"/>
        <w:spacing w:line="242" w:lineRule="auto" w:before="199"/>
        <w:ind w:left="960" w:right="275" w:hanging="720"/>
        <w:jc w:val="both"/>
      </w:pPr>
      <w:r>
        <w:rPr/>
        <w:t>Oguzor, N. S. (2011). A Spatial Analysis of Infrastructures and Social Services in Rural Nigeria: Implications for Public Policy. </w:t>
      </w:r>
      <w:r>
        <w:rPr>
          <w:i/>
        </w:rPr>
        <w:t>Geo Tropico</w:t>
      </w:r>
      <w:r>
        <w:rPr/>
        <w:t>, 5(1), 25-38</w:t>
      </w:r>
    </w:p>
    <w:p>
      <w:pPr>
        <w:spacing w:line="240" w:lineRule="auto" w:before="194"/>
        <w:ind w:left="960" w:right="276" w:hanging="720"/>
        <w:jc w:val="both"/>
        <w:rPr>
          <w:sz w:val="24"/>
        </w:rPr>
      </w:pPr>
      <w:r>
        <w:rPr>
          <w:sz w:val="24"/>
        </w:rPr>
        <w:t>Opoh, F. A., Okou, F. T. &amp; Ubungi, J. A. (2014). Improving the Standard and Quality of Primary Education in Nigeria for National Development. </w:t>
      </w:r>
      <w:r>
        <w:rPr>
          <w:i/>
          <w:sz w:val="24"/>
        </w:rPr>
        <w:t>International Journal of Research and Reviews in Education, </w:t>
      </w:r>
      <w:r>
        <w:rPr>
          <w:sz w:val="24"/>
        </w:rPr>
        <w:t>1, 1-6</w:t>
      </w:r>
    </w:p>
    <w:p>
      <w:pPr>
        <w:spacing w:line="240" w:lineRule="auto" w:before="202"/>
        <w:ind w:left="960" w:right="275" w:hanging="720"/>
        <w:jc w:val="both"/>
        <w:rPr>
          <w:sz w:val="24"/>
        </w:rPr>
      </w:pPr>
      <w:r>
        <w:rPr>
          <w:sz w:val="24"/>
        </w:rPr>
        <w:t>Osumgborogwu, I. (2016). Analysis of Access to Social Infrastructure in Rural Imo State, Nigeria. </w:t>
      </w:r>
      <w:r>
        <w:rPr>
          <w:i/>
          <w:sz w:val="24"/>
        </w:rPr>
        <w:t>Journal of Geography, Environment and Earth Science International, </w:t>
      </w:r>
      <w:r>
        <w:rPr>
          <w:sz w:val="24"/>
        </w:rPr>
        <w:t>7(2),</w:t>
      </w:r>
      <w:r>
        <w:rPr>
          <w:spacing w:val="80"/>
          <w:sz w:val="24"/>
        </w:rPr>
        <w:t> </w:t>
      </w:r>
      <w:r>
        <w:rPr>
          <w:spacing w:val="-4"/>
          <w:sz w:val="24"/>
        </w:rPr>
        <w:t>1-7</w:t>
      </w:r>
    </w:p>
    <w:p>
      <w:pPr>
        <w:pStyle w:val="BodyText"/>
        <w:spacing w:before="200"/>
        <w:ind w:left="240"/>
      </w:pPr>
      <w:r>
        <w:rPr/>
        <w:t>Otu,</w:t>
      </w:r>
      <w:r>
        <w:rPr>
          <w:spacing w:val="57"/>
        </w:rPr>
        <w:t> </w:t>
      </w:r>
      <w:r>
        <w:rPr/>
        <w:t>E.</w:t>
      </w:r>
      <w:r>
        <w:rPr>
          <w:spacing w:val="58"/>
        </w:rPr>
        <w:t> </w:t>
      </w:r>
      <w:r>
        <w:rPr/>
        <w:t>(2018).</w:t>
      </w:r>
      <w:r>
        <w:rPr>
          <w:spacing w:val="59"/>
        </w:rPr>
        <w:t> </w:t>
      </w:r>
      <w:r>
        <w:rPr/>
        <w:t>Geographical</w:t>
      </w:r>
      <w:r>
        <w:rPr>
          <w:spacing w:val="61"/>
        </w:rPr>
        <w:t> </w:t>
      </w:r>
      <w:r>
        <w:rPr/>
        <w:t>Access</w:t>
      </w:r>
      <w:r>
        <w:rPr>
          <w:spacing w:val="63"/>
        </w:rPr>
        <w:t> </w:t>
      </w:r>
      <w:r>
        <w:rPr/>
        <w:t>to</w:t>
      </w:r>
      <w:r>
        <w:rPr>
          <w:spacing w:val="59"/>
        </w:rPr>
        <w:t> </w:t>
      </w:r>
      <w:r>
        <w:rPr/>
        <w:t>Health</w:t>
      </w:r>
      <w:r>
        <w:rPr>
          <w:spacing w:val="59"/>
        </w:rPr>
        <w:t> </w:t>
      </w:r>
      <w:r>
        <w:rPr/>
        <w:t>Care</w:t>
      </w:r>
      <w:r>
        <w:rPr>
          <w:spacing w:val="59"/>
        </w:rPr>
        <w:t> </w:t>
      </w:r>
      <w:r>
        <w:rPr/>
        <w:t>Facilities</w:t>
      </w:r>
      <w:r>
        <w:rPr>
          <w:spacing w:val="62"/>
        </w:rPr>
        <w:t> </w:t>
      </w:r>
      <w:r>
        <w:rPr/>
        <w:t>in</w:t>
      </w:r>
      <w:r>
        <w:rPr>
          <w:spacing w:val="59"/>
        </w:rPr>
        <w:t> </w:t>
      </w:r>
      <w:r>
        <w:rPr/>
        <w:t>Nigeria</w:t>
      </w:r>
      <w:r>
        <w:rPr>
          <w:spacing w:val="59"/>
        </w:rPr>
        <w:t> </w:t>
      </w:r>
      <w:r>
        <w:rPr/>
        <w:t>–</w:t>
      </w:r>
      <w:r>
        <w:rPr>
          <w:spacing w:val="61"/>
        </w:rPr>
        <w:t> </w:t>
      </w:r>
      <w:r>
        <w:rPr/>
        <w:t>A</w:t>
      </w:r>
      <w:r>
        <w:rPr>
          <w:spacing w:val="62"/>
        </w:rPr>
        <w:t> </w:t>
      </w:r>
      <w:r>
        <w:rPr>
          <w:spacing w:val="-2"/>
        </w:rPr>
        <w:t>Review.</w:t>
      </w:r>
    </w:p>
    <w:p>
      <w:pPr>
        <w:spacing w:before="2"/>
        <w:ind w:left="960" w:right="0" w:firstLine="0"/>
        <w:jc w:val="left"/>
        <w:rPr>
          <w:sz w:val="24"/>
        </w:rPr>
      </w:pPr>
      <w:r>
        <w:rPr>
          <w:i/>
          <w:sz w:val="24"/>
        </w:rPr>
        <w:t>International</w:t>
      </w:r>
      <w:r>
        <w:rPr>
          <w:i/>
          <w:spacing w:val="-2"/>
          <w:sz w:val="24"/>
        </w:rPr>
        <w:t> </w:t>
      </w:r>
      <w:r>
        <w:rPr>
          <w:i/>
          <w:sz w:val="24"/>
        </w:rPr>
        <w:t>Journal</w:t>
      </w:r>
      <w:r>
        <w:rPr>
          <w:i/>
          <w:spacing w:val="1"/>
          <w:sz w:val="24"/>
        </w:rPr>
        <w:t> </w:t>
      </w:r>
      <w:r>
        <w:rPr>
          <w:i/>
          <w:sz w:val="24"/>
        </w:rPr>
        <w:t>of</w:t>
      </w:r>
      <w:r>
        <w:rPr>
          <w:i/>
          <w:spacing w:val="-1"/>
          <w:sz w:val="24"/>
        </w:rPr>
        <w:t> </w:t>
      </w:r>
      <w:r>
        <w:rPr>
          <w:i/>
          <w:sz w:val="24"/>
        </w:rPr>
        <w:t>Integrative</w:t>
      </w:r>
      <w:r>
        <w:rPr>
          <w:i/>
          <w:spacing w:val="-3"/>
          <w:sz w:val="24"/>
        </w:rPr>
        <w:t> </w:t>
      </w:r>
      <w:r>
        <w:rPr>
          <w:i/>
          <w:sz w:val="24"/>
        </w:rPr>
        <w:t>Humanism</w:t>
      </w:r>
      <w:r>
        <w:rPr>
          <w:sz w:val="24"/>
        </w:rPr>
        <w:t>,</w:t>
      </w:r>
      <w:r>
        <w:rPr>
          <w:spacing w:val="-1"/>
          <w:sz w:val="24"/>
        </w:rPr>
        <w:t> </w:t>
      </w:r>
      <w:r>
        <w:rPr>
          <w:sz w:val="24"/>
        </w:rPr>
        <w:t>10(1),</w:t>
      </w:r>
      <w:r>
        <w:rPr>
          <w:spacing w:val="-1"/>
          <w:sz w:val="24"/>
        </w:rPr>
        <w:t> </w:t>
      </w:r>
      <w:r>
        <w:rPr>
          <w:sz w:val="24"/>
        </w:rPr>
        <w:t>17-</w:t>
      </w:r>
      <w:r>
        <w:rPr>
          <w:spacing w:val="-5"/>
          <w:sz w:val="24"/>
        </w:rPr>
        <w:t>26</w:t>
      </w:r>
    </w:p>
    <w:p>
      <w:pPr>
        <w:pStyle w:val="BodyText"/>
        <w:spacing w:line="242" w:lineRule="auto" w:before="197"/>
        <w:ind w:left="960" w:right="274" w:hanging="720"/>
        <w:jc w:val="both"/>
      </w:pPr>
      <w:r>
        <w:rPr/>
        <w:t>Owoeye, J. S. &amp; Yara, P. O. (2011). School Location and Academic Achievement of Secondary School in Ekiti State, Nigeria. </w:t>
      </w:r>
      <w:r>
        <w:rPr>
          <w:i/>
        </w:rPr>
        <w:t>Asian Social Science, </w:t>
      </w:r>
      <w:r>
        <w:rPr/>
        <w:t>7(5), 170-175</w:t>
      </w:r>
    </w:p>
    <w:p>
      <w:pPr>
        <w:spacing w:after="0" w:line="242" w:lineRule="auto"/>
        <w:jc w:val="both"/>
        <w:sectPr>
          <w:pgSz w:w="11910" w:h="16840"/>
          <w:pgMar w:header="0" w:footer="1003" w:top="1340" w:bottom="1200" w:left="1200" w:right="1160"/>
        </w:sectPr>
      </w:pPr>
    </w:p>
    <w:p>
      <w:pPr>
        <w:spacing w:line="242" w:lineRule="auto" w:before="73"/>
        <w:ind w:left="960" w:right="275" w:hanging="720"/>
        <w:jc w:val="both"/>
        <w:rPr>
          <w:sz w:val="24"/>
        </w:rPr>
      </w:pPr>
      <w:r>
        <w:rPr>
          <w:sz w:val="24"/>
        </w:rPr>
        <w:t>Oyedele, O.A (2012). The Challenges of Infrastructure Development in Democratic Governance. </w:t>
      </w:r>
      <w:r>
        <w:rPr>
          <w:i/>
          <w:sz w:val="24"/>
        </w:rPr>
        <w:t>TSO1C- Construction Economics and Management, </w:t>
      </w:r>
      <w:r>
        <w:rPr>
          <w:sz w:val="24"/>
        </w:rPr>
        <w:t>1, 6119</w:t>
      </w:r>
    </w:p>
    <w:p>
      <w:pPr>
        <w:spacing w:line="240" w:lineRule="auto" w:before="194"/>
        <w:ind w:left="960" w:right="277" w:hanging="720"/>
        <w:jc w:val="both"/>
        <w:rPr>
          <w:sz w:val="24"/>
        </w:rPr>
      </w:pPr>
      <w:r>
        <w:rPr>
          <w:sz w:val="24"/>
        </w:rPr>
        <w:t>Phiri, Y. &amp; Munthali, K. (2019). FOSS Technologies in Modelling Spatial Accessibility of Primary Health Care in Malawi. </w:t>
      </w:r>
      <w:r>
        <w:rPr>
          <w:i/>
          <w:sz w:val="24"/>
        </w:rPr>
        <w:t>ISPRS - International Archives of the Photogrammetry, Remote Sensing and Spatial Information Sciences. </w:t>
      </w:r>
      <w:r>
        <w:rPr>
          <w:sz w:val="24"/>
        </w:rPr>
        <w:t>XLII-4/W14, </w:t>
      </w:r>
      <w:r>
        <w:rPr>
          <w:spacing w:val="-2"/>
          <w:sz w:val="24"/>
        </w:rPr>
        <w:t>189-195</w:t>
      </w:r>
    </w:p>
    <w:p>
      <w:pPr>
        <w:pStyle w:val="BodyText"/>
        <w:spacing w:line="242" w:lineRule="auto" w:before="202"/>
        <w:ind w:left="960" w:right="277" w:hanging="720"/>
        <w:jc w:val="both"/>
      </w:pPr>
      <w:r>
        <w:rPr/>
        <w:t>Putnam, R. (2000). </w:t>
      </w:r>
      <w:r>
        <w:rPr>
          <w:i/>
        </w:rPr>
        <w:t>Bowling alone: </w:t>
      </w:r>
      <w:r>
        <w:rPr/>
        <w:t>The collapse and revival of American community</w:t>
      </w:r>
      <w:r>
        <w:rPr>
          <w:i/>
        </w:rPr>
        <w:t>. </w:t>
      </w:r>
      <w:r>
        <w:rPr/>
        <w:t>New York: Simon &amp; Schuster.</w:t>
      </w:r>
    </w:p>
    <w:p>
      <w:pPr>
        <w:spacing w:line="240" w:lineRule="auto" w:before="194"/>
        <w:ind w:left="960" w:right="273" w:hanging="720"/>
        <w:jc w:val="both"/>
        <w:rPr>
          <w:sz w:val="24"/>
        </w:rPr>
      </w:pPr>
      <w:r>
        <w:rPr>
          <w:sz w:val="24"/>
        </w:rPr>
        <w:t>Robert, J. H. &amp; Aniruddha, G. (2019). Spatial Data Analysis with R. </w:t>
      </w:r>
      <w:r>
        <w:rPr>
          <w:i/>
          <w:sz w:val="24"/>
        </w:rPr>
        <w:t>Innovation Lab for Collaborative Research on Sustainable Intensification, </w:t>
      </w:r>
      <w:r>
        <w:rPr>
          <w:sz w:val="24"/>
        </w:rPr>
        <w:t>Retrieved from </w:t>
      </w:r>
      <w:hyperlink r:id="rId33">
        <w:r>
          <w:rPr>
            <w:color w:val="0000FF"/>
            <w:spacing w:val="-2"/>
            <w:sz w:val="24"/>
            <w:u w:val="single" w:color="0000FF"/>
          </w:rPr>
          <w:t>https://www.rspatial.org/index.html</w:t>
        </w:r>
      </w:hyperlink>
    </w:p>
    <w:p>
      <w:pPr>
        <w:pStyle w:val="BodyText"/>
        <w:spacing w:before="200"/>
        <w:ind w:left="960" w:right="275" w:hanging="720"/>
        <w:jc w:val="both"/>
      </w:pPr>
      <w:r>
        <w:rPr/>
        <w:t>Salisu, A. K. (2016). Socio-Economic Infrastructure and National Development: An Analytical Assessment from Nigerian Perspective. </w:t>
      </w:r>
      <w:r>
        <w:rPr>
          <w:i/>
        </w:rPr>
        <w:t>IOSR Journal of Humanities and Social </w:t>
      </w:r>
      <w:r>
        <w:rPr/>
        <w:t>Science, 21(10), 36-42</w:t>
      </w:r>
    </w:p>
    <w:p>
      <w:pPr>
        <w:pStyle w:val="BodyText"/>
        <w:spacing w:before="201"/>
        <w:ind w:left="960" w:right="278" w:hanging="720"/>
        <w:jc w:val="both"/>
      </w:pPr>
      <w:r>
        <w:rPr/>
        <w:t>Shanmathi, R. R., Shayesta, W., Nisha, R., &amp; Samson, M. (2017). Accessibility Analysis of Health Care Facility Using Geospatial Techniques. </w:t>
      </w:r>
      <w:r>
        <w:rPr>
          <w:i/>
        </w:rPr>
        <w:t>Transportation Research Procedia</w:t>
      </w:r>
      <w:r>
        <w:rPr/>
        <w:t>, 27, 1163-1170</w:t>
      </w:r>
    </w:p>
    <w:p>
      <w:pPr>
        <w:spacing w:line="242" w:lineRule="auto" w:before="200"/>
        <w:ind w:left="960" w:right="274" w:hanging="720"/>
        <w:jc w:val="both"/>
        <w:rPr>
          <w:sz w:val="24"/>
        </w:rPr>
      </w:pPr>
      <w:r>
        <w:rPr>
          <w:sz w:val="24"/>
        </w:rPr>
        <w:t>Shroyer, A., Schilling, J., &amp; Poethig, E. (2019).</w:t>
      </w:r>
      <w:r>
        <w:rPr>
          <w:spacing w:val="40"/>
          <w:sz w:val="24"/>
        </w:rPr>
        <w:t> </w:t>
      </w:r>
      <w:r>
        <w:rPr>
          <w:i/>
          <w:sz w:val="24"/>
        </w:rPr>
        <w:t>Catalyzing Neighborhood Revitalization by Strengthening Civic Infrastructure. </w:t>
      </w:r>
      <w:r>
        <w:rPr>
          <w:sz w:val="24"/>
        </w:rPr>
        <w:t>Washington, DC: Urban Institute.</w:t>
      </w:r>
    </w:p>
    <w:p>
      <w:pPr>
        <w:spacing w:line="276" w:lineRule="auto" w:before="196"/>
        <w:ind w:left="960" w:right="286" w:hanging="720"/>
        <w:jc w:val="both"/>
        <w:rPr>
          <w:sz w:val="24"/>
        </w:rPr>
      </w:pPr>
      <w:r>
        <w:rPr>
          <w:sz w:val="24"/>
        </w:rPr>
        <w:t>Somik, V. L., &amp; Sanjoy, C. (2005). Industrial Location and Spatial Inequality: Theory and Evidence in India. </w:t>
      </w:r>
      <w:r>
        <w:rPr>
          <w:i/>
          <w:sz w:val="24"/>
        </w:rPr>
        <w:t>Review of Development Economics, </w:t>
      </w:r>
      <w:r>
        <w:rPr>
          <w:sz w:val="24"/>
        </w:rPr>
        <w:t>9(1), 47-68</w:t>
      </w:r>
    </w:p>
    <w:p>
      <w:pPr>
        <w:spacing w:line="240" w:lineRule="auto" w:before="198"/>
        <w:ind w:left="960" w:right="275" w:hanging="720"/>
        <w:jc w:val="both"/>
        <w:rPr>
          <w:i/>
          <w:sz w:val="24"/>
        </w:rPr>
      </w:pPr>
      <w:r>
        <w:rPr>
          <w:sz w:val="24"/>
        </w:rPr>
        <w:t>Teriman, S., Yigitcanlar, T. &amp; Mayere, S. (2011) Social Infrastructure Planning and Sustainable Community: Example from South East Queensland, Australia. </w:t>
      </w:r>
      <w:r>
        <w:rPr>
          <w:i/>
          <w:sz w:val="24"/>
        </w:rPr>
        <w:t>Proceedings of the Business and Social Science Research Conference. Novotel World Trade Centre, Dubai.</w:t>
      </w:r>
    </w:p>
    <w:p>
      <w:pPr>
        <w:pStyle w:val="BodyText"/>
        <w:spacing w:before="199"/>
        <w:ind w:left="960" w:right="278" w:hanging="720"/>
        <w:jc w:val="both"/>
      </w:pPr>
      <w:r>
        <w:rPr/>
        <w:t>Tao, Z., Cheng, Y., Zheng, Q &amp; Li, G. (2018). Measuring Spatial Accessibility</w:t>
      </w:r>
      <w:r>
        <w:rPr>
          <w:spacing w:val="-3"/>
        </w:rPr>
        <w:t> </w:t>
      </w:r>
      <w:r>
        <w:rPr/>
        <w:t>to Healthcare Services with Constraint of Administrative Boundary: A Case Study of Yanquing District, Beijing, China. </w:t>
      </w:r>
      <w:r>
        <w:rPr>
          <w:i/>
        </w:rPr>
        <w:t>International Journal for Equity in Health</w:t>
      </w:r>
      <w:r>
        <w:rPr/>
        <w:t>, 17(7), 1-12</w:t>
      </w:r>
    </w:p>
    <w:p>
      <w:pPr>
        <w:pStyle w:val="BodyText"/>
        <w:spacing w:before="202"/>
        <w:ind w:left="960" w:right="278" w:hanging="660"/>
        <w:jc w:val="both"/>
      </w:pPr>
      <w:r>
        <w:rPr/>
        <w:t>Vionis, A. K. &amp; Papantoniou, G. (2019). Central Place Theory Reloaded and Revised: Political Economy and Landscape Dynamics in the Longue Durée. </w:t>
      </w:r>
      <w:r>
        <w:rPr>
          <w:i/>
        </w:rPr>
        <w:t>Land, </w:t>
      </w:r>
      <w:r>
        <w:rPr/>
        <w:t>8(36) 1-12 </w:t>
      </w:r>
      <w:r>
        <w:rPr>
          <w:color w:val="0000FF"/>
          <w:spacing w:val="-2"/>
          <w:u w:val="single" w:color="0000FF"/>
        </w:rPr>
        <w:t>https://doi:10.3390/Land8020036</w:t>
      </w:r>
    </w:p>
    <w:p>
      <w:pPr>
        <w:spacing w:line="240" w:lineRule="auto" w:before="200"/>
        <w:ind w:left="960" w:right="277" w:hanging="720"/>
        <w:jc w:val="both"/>
        <w:rPr>
          <w:sz w:val="24"/>
        </w:rPr>
      </w:pPr>
      <w:r>
        <w:rPr>
          <w:sz w:val="24"/>
        </w:rPr>
        <w:t>United Nations (2015). </w:t>
      </w:r>
      <w:r>
        <w:rPr>
          <w:i/>
          <w:sz w:val="24"/>
        </w:rPr>
        <w:t>Infrastructure Development within the Context of Africa’s Cooperation</w:t>
      </w:r>
      <w:r>
        <w:rPr>
          <w:i/>
          <w:spacing w:val="-4"/>
          <w:sz w:val="24"/>
        </w:rPr>
        <w:t> </w:t>
      </w:r>
      <w:r>
        <w:rPr>
          <w:i/>
          <w:sz w:val="24"/>
        </w:rPr>
        <w:t>with</w:t>
      </w:r>
      <w:r>
        <w:rPr>
          <w:i/>
          <w:spacing w:val="-4"/>
          <w:sz w:val="24"/>
        </w:rPr>
        <w:t> </w:t>
      </w:r>
      <w:r>
        <w:rPr>
          <w:i/>
          <w:sz w:val="24"/>
        </w:rPr>
        <w:t>New</w:t>
      </w:r>
      <w:r>
        <w:rPr>
          <w:i/>
          <w:spacing w:val="-4"/>
          <w:sz w:val="24"/>
        </w:rPr>
        <w:t> </w:t>
      </w:r>
      <w:r>
        <w:rPr>
          <w:i/>
          <w:sz w:val="24"/>
        </w:rPr>
        <w:t>and</w:t>
      </w:r>
      <w:r>
        <w:rPr>
          <w:i/>
          <w:spacing w:val="-4"/>
          <w:sz w:val="24"/>
        </w:rPr>
        <w:t> </w:t>
      </w:r>
      <w:r>
        <w:rPr>
          <w:i/>
          <w:sz w:val="24"/>
        </w:rPr>
        <w:t>Emerging</w:t>
      </w:r>
      <w:r>
        <w:rPr>
          <w:i/>
          <w:spacing w:val="-4"/>
          <w:sz w:val="24"/>
        </w:rPr>
        <w:t> </w:t>
      </w:r>
      <w:r>
        <w:rPr>
          <w:i/>
          <w:sz w:val="24"/>
        </w:rPr>
        <w:t>Development</w:t>
      </w:r>
      <w:r>
        <w:rPr>
          <w:i/>
          <w:spacing w:val="-4"/>
          <w:sz w:val="24"/>
        </w:rPr>
        <w:t> </w:t>
      </w:r>
      <w:r>
        <w:rPr>
          <w:i/>
          <w:sz w:val="24"/>
        </w:rPr>
        <w:t>Partners.</w:t>
      </w:r>
      <w:r>
        <w:rPr>
          <w:i/>
          <w:spacing w:val="-4"/>
          <w:sz w:val="24"/>
        </w:rPr>
        <w:t> </w:t>
      </w:r>
      <w:r>
        <w:rPr>
          <w:sz w:val="24"/>
        </w:rPr>
        <w:t>New</w:t>
      </w:r>
      <w:r>
        <w:rPr>
          <w:spacing w:val="-4"/>
          <w:sz w:val="24"/>
        </w:rPr>
        <w:t> </w:t>
      </w:r>
      <w:r>
        <w:rPr>
          <w:sz w:val="24"/>
        </w:rPr>
        <w:t>York:</w:t>
      </w:r>
      <w:r>
        <w:rPr>
          <w:spacing w:val="-2"/>
          <w:sz w:val="24"/>
        </w:rPr>
        <w:t> </w:t>
      </w:r>
      <w:r>
        <w:rPr>
          <w:sz w:val="24"/>
        </w:rPr>
        <w:t>Office</w:t>
      </w:r>
      <w:r>
        <w:rPr>
          <w:spacing w:val="-4"/>
          <w:sz w:val="24"/>
        </w:rPr>
        <w:t> </w:t>
      </w:r>
      <w:r>
        <w:rPr>
          <w:sz w:val="24"/>
        </w:rPr>
        <w:t>of</w:t>
      </w:r>
      <w:r>
        <w:rPr>
          <w:spacing w:val="-4"/>
          <w:sz w:val="24"/>
        </w:rPr>
        <w:t> </w:t>
      </w:r>
      <w:r>
        <w:rPr>
          <w:sz w:val="24"/>
        </w:rPr>
        <w:t>the Special Adviser on Africa Report.</w:t>
      </w:r>
    </w:p>
    <w:p>
      <w:pPr>
        <w:spacing w:line="240" w:lineRule="auto" w:before="199"/>
        <w:ind w:left="960" w:right="278" w:hanging="720"/>
        <w:jc w:val="both"/>
        <w:rPr>
          <w:i/>
          <w:sz w:val="24"/>
        </w:rPr>
      </w:pPr>
      <w:r>
        <w:rPr>
          <w:sz w:val="24"/>
        </w:rPr>
        <w:t>United Nations (2018). Achieving the Sustainable Development Goals in the Least</w:t>
      </w:r>
      <w:r>
        <w:rPr>
          <w:spacing w:val="40"/>
          <w:sz w:val="24"/>
        </w:rPr>
        <w:t> </w:t>
      </w:r>
      <w:r>
        <w:rPr>
          <w:sz w:val="24"/>
        </w:rPr>
        <w:t>Developed Countries: A Compendium of Policy Options. </w:t>
      </w:r>
      <w:r>
        <w:rPr>
          <w:i/>
          <w:sz w:val="24"/>
        </w:rPr>
        <w:t>United Nations Conference on Trade and Development United New York and Geneva.</w:t>
      </w:r>
    </w:p>
    <w:p>
      <w:pPr>
        <w:spacing w:line="242" w:lineRule="auto" w:before="200"/>
        <w:ind w:left="960" w:right="279" w:hanging="720"/>
        <w:jc w:val="both"/>
        <w:rPr>
          <w:sz w:val="24"/>
        </w:rPr>
      </w:pPr>
      <w:r>
        <w:rPr>
          <w:sz w:val="24"/>
        </w:rPr>
        <w:t>White, F. (2015). Primary Health Care and Public Health: Foundations of Universal Health Systems. </w:t>
      </w:r>
      <w:r>
        <w:rPr>
          <w:i/>
          <w:sz w:val="24"/>
        </w:rPr>
        <w:t>Medical Principles and Practice, </w:t>
      </w:r>
      <w:r>
        <w:rPr>
          <w:sz w:val="24"/>
        </w:rPr>
        <w:t>24, 103-116</w:t>
      </w:r>
    </w:p>
    <w:p>
      <w:pPr>
        <w:spacing w:after="0" w:line="242" w:lineRule="auto"/>
        <w:jc w:val="both"/>
        <w:rPr>
          <w:sz w:val="24"/>
        </w:rPr>
        <w:sectPr>
          <w:pgSz w:w="11910" w:h="16840"/>
          <w:pgMar w:header="0" w:footer="1003" w:top="1340" w:bottom="1200" w:left="1200" w:right="1160"/>
        </w:sectPr>
      </w:pPr>
    </w:p>
    <w:p>
      <w:pPr>
        <w:spacing w:line="242" w:lineRule="auto" w:before="73"/>
        <w:ind w:left="960" w:right="69" w:hanging="720"/>
        <w:jc w:val="left"/>
        <w:rPr>
          <w:sz w:val="24"/>
        </w:rPr>
      </w:pPr>
      <w:r>
        <w:rPr>
          <w:sz w:val="24"/>
        </w:rPr>
        <w:t>World Health Organisation (2017). </w:t>
      </w:r>
      <w:r>
        <w:rPr>
          <w:i/>
          <w:sz w:val="24"/>
        </w:rPr>
        <w:t>Primary Health Care Systems (PRIMASYS): Case Study from Nigeria. </w:t>
      </w:r>
      <w:r>
        <w:rPr>
          <w:sz w:val="24"/>
        </w:rPr>
        <w:t>Geneva: World Health Organisation</w:t>
      </w:r>
    </w:p>
    <w:p>
      <w:pPr>
        <w:spacing w:line="242" w:lineRule="auto" w:before="194"/>
        <w:ind w:left="960" w:right="0" w:hanging="720"/>
        <w:jc w:val="left"/>
        <w:rPr>
          <w:sz w:val="24"/>
        </w:rPr>
      </w:pPr>
      <w:r>
        <w:rPr>
          <w:sz w:val="24"/>
        </w:rPr>
        <w:t>Yusuff, J. A. (2011). Child Education in Nigeria: Hindrances and Legal Solutions. </w:t>
      </w:r>
      <w:r>
        <w:rPr>
          <w:i/>
          <w:sz w:val="24"/>
        </w:rPr>
        <w:t>Procedia Social and Behavioural Sciences</w:t>
      </w:r>
      <w:r>
        <w:rPr>
          <w:sz w:val="24"/>
        </w:rPr>
        <w:t>, 15, 3027-3031</w:t>
      </w:r>
    </w:p>
    <w:p>
      <w:pPr>
        <w:spacing w:after="0" w:line="242" w:lineRule="auto"/>
        <w:jc w:val="left"/>
        <w:rPr>
          <w:sz w:val="24"/>
        </w:rPr>
        <w:sectPr>
          <w:pgSz w:w="11910" w:h="16840"/>
          <w:pgMar w:header="0" w:footer="1003" w:top="1340" w:bottom="1200" w:left="1200" w:right="1160"/>
        </w:sectPr>
      </w:pPr>
    </w:p>
    <w:p>
      <w:pPr>
        <w:spacing w:before="60"/>
        <w:ind w:left="2481" w:right="2517" w:firstLine="0"/>
        <w:jc w:val="center"/>
        <w:rPr>
          <w:b/>
          <w:sz w:val="24"/>
        </w:rPr>
      </w:pPr>
      <w:r>
        <w:rPr>
          <w:b/>
          <w:sz w:val="24"/>
        </w:rPr>
        <w:t>Appendix </w:t>
      </w:r>
      <w:r>
        <w:rPr>
          <w:b/>
          <w:spacing w:val="-10"/>
          <w:sz w:val="24"/>
        </w:rPr>
        <w:t>A</w:t>
      </w:r>
    </w:p>
    <w:p>
      <w:pPr>
        <w:spacing w:line="415" w:lineRule="auto" w:before="200"/>
        <w:ind w:left="1847" w:right="1887" w:firstLine="0"/>
        <w:jc w:val="center"/>
        <w:rPr>
          <w:b/>
          <w:sz w:val="24"/>
        </w:rPr>
      </w:pPr>
      <w:r>
        <w:rPr>
          <w:b/>
          <w:sz w:val="24"/>
        </w:rPr>
        <w:t>FEDERAL</w:t>
      </w:r>
      <w:r>
        <w:rPr>
          <w:b/>
          <w:spacing w:val="-9"/>
          <w:sz w:val="24"/>
        </w:rPr>
        <w:t> </w:t>
      </w:r>
      <w:r>
        <w:rPr>
          <w:b/>
          <w:sz w:val="24"/>
        </w:rPr>
        <w:t>UNIVERSITY</w:t>
      </w:r>
      <w:r>
        <w:rPr>
          <w:b/>
          <w:spacing w:val="-9"/>
          <w:sz w:val="24"/>
        </w:rPr>
        <w:t> </w:t>
      </w:r>
      <w:r>
        <w:rPr>
          <w:b/>
          <w:sz w:val="24"/>
        </w:rPr>
        <w:t>OF</w:t>
      </w:r>
      <w:r>
        <w:rPr>
          <w:b/>
          <w:spacing w:val="-11"/>
          <w:sz w:val="24"/>
        </w:rPr>
        <w:t> </w:t>
      </w:r>
      <w:r>
        <w:rPr>
          <w:b/>
          <w:sz w:val="24"/>
        </w:rPr>
        <w:t>TECHNOLOGY</w:t>
      </w:r>
      <w:r>
        <w:rPr>
          <w:b/>
          <w:spacing w:val="-9"/>
          <w:sz w:val="24"/>
        </w:rPr>
        <w:t> </w:t>
      </w:r>
      <w:r>
        <w:rPr>
          <w:b/>
          <w:sz w:val="24"/>
        </w:rPr>
        <w:t>MINNA POSTGRADUATE SCHOOL</w:t>
      </w:r>
    </w:p>
    <w:p>
      <w:pPr>
        <w:spacing w:line="274" w:lineRule="exact" w:before="0"/>
        <w:ind w:left="830" w:right="872" w:firstLine="0"/>
        <w:jc w:val="center"/>
        <w:rPr>
          <w:b/>
          <w:sz w:val="24"/>
        </w:rPr>
      </w:pPr>
      <w:r>
        <w:rPr>
          <w:b/>
          <w:sz w:val="24"/>
        </w:rPr>
        <w:t>SCHOOL</w:t>
      </w:r>
      <w:r>
        <w:rPr>
          <w:b/>
          <w:spacing w:val="-4"/>
          <w:sz w:val="24"/>
        </w:rPr>
        <w:t> </w:t>
      </w:r>
      <w:r>
        <w:rPr>
          <w:b/>
          <w:sz w:val="24"/>
        </w:rPr>
        <w:t>OF</w:t>
      </w:r>
      <w:r>
        <w:rPr>
          <w:b/>
          <w:spacing w:val="-3"/>
          <w:sz w:val="24"/>
        </w:rPr>
        <w:t> </w:t>
      </w:r>
      <w:r>
        <w:rPr>
          <w:b/>
          <w:sz w:val="24"/>
        </w:rPr>
        <w:t>ENVIRONMENTAL</w:t>
      </w:r>
      <w:r>
        <w:rPr>
          <w:b/>
          <w:spacing w:val="-1"/>
          <w:sz w:val="24"/>
        </w:rPr>
        <w:t> </w:t>
      </w:r>
      <w:r>
        <w:rPr>
          <w:b/>
          <w:spacing w:val="-2"/>
          <w:sz w:val="24"/>
        </w:rPr>
        <w:t>TECHNOLOGY</w:t>
      </w:r>
    </w:p>
    <w:p>
      <w:pPr>
        <w:pStyle w:val="BodyText"/>
        <w:rPr>
          <w:b/>
          <w:sz w:val="26"/>
        </w:rPr>
      </w:pPr>
    </w:p>
    <w:p>
      <w:pPr>
        <w:pStyle w:val="BodyText"/>
        <w:spacing w:before="10"/>
        <w:rPr>
          <w:b/>
          <w:sz w:val="32"/>
        </w:rPr>
      </w:pPr>
    </w:p>
    <w:p>
      <w:pPr>
        <w:spacing w:before="0"/>
        <w:ind w:left="240" w:right="0" w:firstLine="0"/>
        <w:jc w:val="left"/>
        <w:rPr>
          <w:b/>
          <w:sz w:val="24"/>
        </w:rPr>
      </w:pPr>
      <w:r>
        <w:rPr>
          <w:b/>
          <w:spacing w:val="-2"/>
          <w:sz w:val="24"/>
        </w:rPr>
        <w:t>Checklist</w:t>
      </w:r>
    </w:p>
    <w:p>
      <w:pPr>
        <w:tabs>
          <w:tab w:pos="2928" w:val="left" w:leader="none"/>
        </w:tabs>
        <w:spacing w:before="199"/>
        <w:ind w:left="240" w:right="0" w:firstLine="0"/>
        <w:jc w:val="left"/>
        <w:rPr>
          <w:b/>
          <w:sz w:val="24"/>
        </w:rPr>
      </w:pPr>
      <w:r>
        <w:rPr>
          <w:b/>
          <w:sz w:val="24"/>
        </w:rPr>
        <w:t>Wards: </w:t>
      </w:r>
      <w:r>
        <w:rPr>
          <w:b/>
          <w:sz w:val="24"/>
          <w:u w:val="single"/>
        </w:rPr>
        <w:tab/>
      </w:r>
    </w:p>
    <w:p>
      <w:pPr>
        <w:pStyle w:val="BodyText"/>
        <w:spacing w:before="5"/>
        <w:rPr>
          <w:b/>
          <w:sz w:val="17"/>
        </w:rPr>
      </w:pPr>
    </w:p>
    <w:tbl>
      <w:tblPr>
        <w:tblW w:w="0" w:type="auto"/>
        <w:jc w:val="left"/>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3"/>
        <w:gridCol w:w="1656"/>
        <w:gridCol w:w="1629"/>
        <w:gridCol w:w="1774"/>
        <w:gridCol w:w="1774"/>
      </w:tblGrid>
      <w:tr>
        <w:trPr>
          <w:trHeight w:val="837" w:hRule="atLeast"/>
        </w:trPr>
        <w:tc>
          <w:tcPr>
            <w:tcW w:w="3869" w:type="dxa"/>
            <w:gridSpan w:val="2"/>
          </w:tcPr>
          <w:p>
            <w:pPr>
              <w:pStyle w:val="TableParagraph"/>
              <w:spacing w:before="6"/>
              <w:jc w:val="left"/>
              <w:rPr>
                <w:b/>
                <w:sz w:val="20"/>
              </w:rPr>
            </w:pPr>
          </w:p>
          <w:p>
            <w:pPr>
              <w:pStyle w:val="TableParagraph"/>
              <w:ind w:left="107"/>
              <w:jc w:val="left"/>
              <w:rPr>
                <w:b/>
                <w:sz w:val="24"/>
              </w:rPr>
            </w:pPr>
            <w:r>
              <w:rPr>
                <w:b/>
                <w:sz w:val="24"/>
              </w:rPr>
              <w:t>Name</w:t>
            </w:r>
            <w:r>
              <w:rPr>
                <w:b/>
                <w:spacing w:val="-3"/>
                <w:sz w:val="24"/>
              </w:rPr>
              <w:t> </w:t>
            </w:r>
            <w:r>
              <w:rPr>
                <w:b/>
                <w:sz w:val="24"/>
              </w:rPr>
              <w:t>of </w:t>
            </w:r>
            <w:r>
              <w:rPr>
                <w:b/>
                <w:spacing w:val="-2"/>
                <w:sz w:val="24"/>
              </w:rPr>
              <w:t>infrastructure</w:t>
            </w:r>
          </w:p>
        </w:tc>
        <w:tc>
          <w:tcPr>
            <w:tcW w:w="1629" w:type="dxa"/>
          </w:tcPr>
          <w:p>
            <w:pPr>
              <w:pStyle w:val="TableParagraph"/>
              <w:spacing w:before="6"/>
              <w:jc w:val="left"/>
              <w:rPr>
                <w:b/>
                <w:sz w:val="20"/>
              </w:rPr>
            </w:pPr>
          </w:p>
          <w:p>
            <w:pPr>
              <w:pStyle w:val="TableParagraph"/>
              <w:ind w:left="108"/>
              <w:jc w:val="left"/>
              <w:rPr>
                <w:b/>
                <w:sz w:val="24"/>
              </w:rPr>
            </w:pPr>
            <w:r>
              <w:rPr>
                <w:b/>
                <w:spacing w:val="-2"/>
                <w:sz w:val="24"/>
              </w:rPr>
              <w:t>Location</w:t>
            </w:r>
          </w:p>
        </w:tc>
        <w:tc>
          <w:tcPr>
            <w:tcW w:w="1774" w:type="dxa"/>
          </w:tcPr>
          <w:p>
            <w:pPr>
              <w:pStyle w:val="TableParagraph"/>
              <w:spacing w:before="6"/>
              <w:jc w:val="left"/>
              <w:rPr>
                <w:b/>
                <w:sz w:val="20"/>
              </w:rPr>
            </w:pPr>
          </w:p>
          <w:p>
            <w:pPr>
              <w:pStyle w:val="TableParagraph"/>
              <w:ind w:left="109"/>
              <w:jc w:val="left"/>
              <w:rPr>
                <w:b/>
                <w:sz w:val="24"/>
              </w:rPr>
            </w:pPr>
            <w:r>
              <w:rPr>
                <w:b/>
                <w:spacing w:val="-2"/>
                <w:sz w:val="24"/>
              </w:rPr>
              <w:t>Latitude</w:t>
            </w:r>
          </w:p>
        </w:tc>
        <w:tc>
          <w:tcPr>
            <w:tcW w:w="1774" w:type="dxa"/>
          </w:tcPr>
          <w:p>
            <w:pPr>
              <w:pStyle w:val="TableParagraph"/>
              <w:spacing w:before="6"/>
              <w:jc w:val="left"/>
              <w:rPr>
                <w:b/>
                <w:sz w:val="20"/>
              </w:rPr>
            </w:pPr>
          </w:p>
          <w:p>
            <w:pPr>
              <w:pStyle w:val="TableParagraph"/>
              <w:ind w:left="109"/>
              <w:jc w:val="left"/>
              <w:rPr>
                <w:b/>
                <w:sz w:val="24"/>
              </w:rPr>
            </w:pPr>
            <w:r>
              <w:rPr>
                <w:b/>
                <w:spacing w:val="-2"/>
                <w:sz w:val="24"/>
              </w:rPr>
              <w:t>Longitude</w:t>
            </w:r>
          </w:p>
        </w:tc>
      </w:tr>
      <w:tr>
        <w:trPr>
          <w:trHeight w:val="721" w:hRule="atLeast"/>
        </w:trPr>
        <w:tc>
          <w:tcPr>
            <w:tcW w:w="3869" w:type="dxa"/>
            <w:gridSpan w:val="2"/>
          </w:tcPr>
          <w:p>
            <w:pPr>
              <w:pStyle w:val="TableParagraph"/>
              <w:jc w:val="left"/>
              <w:rPr>
                <w:sz w:val="22"/>
              </w:rPr>
            </w:pPr>
          </w:p>
        </w:tc>
        <w:tc>
          <w:tcPr>
            <w:tcW w:w="1629" w:type="dxa"/>
          </w:tcPr>
          <w:p>
            <w:pPr>
              <w:pStyle w:val="TableParagraph"/>
              <w:jc w:val="left"/>
              <w:rPr>
                <w:sz w:val="22"/>
              </w:rPr>
            </w:pPr>
          </w:p>
        </w:tc>
        <w:tc>
          <w:tcPr>
            <w:tcW w:w="1774" w:type="dxa"/>
          </w:tcPr>
          <w:p>
            <w:pPr>
              <w:pStyle w:val="TableParagraph"/>
              <w:jc w:val="left"/>
              <w:rPr>
                <w:sz w:val="22"/>
              </w:rPr>
            </w:pPr>
          </w:p>
        </w:tc>
        <w:tc>
          <w:tcPr>
            <w:tcW w:w="1774" w:type="dxa"/>
          </w:tcPr>
          <w:p>
            <w:pPr>
              <w:pStyle w:val="TableParagraph"/>
              <w:jc w:val="left"/>
              <w:rPr>
                <w:sz w:val="22"/>
              </w:rPr>
            </w:pPr>
          </w:p>
        </w:tc>
      </w:tr>
      <w:tr>
        <w:trPr>
          <w:trHeight w:val="688" w:hRule="atLeast"/>
        </w:trPr>
        <w:tc>
          <w:tcPr>
            <w:tcW w:w="9046" w:type="dxa"/>
            <w:gridSpan w:val="5"/>
          </w:tcPr>
          <w:p>
            <w:pPr>
              <w:pStyle w:val="TableParagraph"/>
              <w:spacing w:before="6"/>
              <w:jc w:val="left"/>
              <w:rPr>
                <w:b/>
                <w:sz w:val="20"/>
              </w:rPr>
            </w:pPr>
          </w:p>
          <w:p>
            <w:pPr>
              <w:pStyle w:val="TableParagraph"/>
              <w:ind w:left="8"/>
              <w:rPr>
                <w:b/>
                <w:sz w:val="24"/>
              </w:rPr>
            </w:pPr>
            <w:r>
              <w:rPr>
                <w:b/>
                <w:sz w:val="24"/>
              </w:rPr>
              <w:t>Distance</w:t>
            </w:r>
            <w:r>
              <w:rPr>
                <w:b/>
                <w:spacing w:val="-3"/>
                <w:sz w:val="24"/>
              </w:rPr>
              <w:t> </w:t>
            </w:r>
            <w:r>
              <w:rPr>
                <w:b/>
                <w:sz w:val="24"/>
              </w:rPr>
              <w:t>travelled</w:t>
            </w:r>
            <w:r>
              <w:rPr>
                <w:b/>
                <w:spacing w:val="-1"/>
                <w:sz w:val="24"/>
              </w:rPr>
              <w:t> </w:t>
            </w:r>
            <w:r>
              <w:rPr>
                <w:b/>
                <w:sz w:val="24"/>
              </w:rPr>
              <w:t>by household to</w:t>
            </w:r>
            <w:r>
              <w:rPr>
                <w:b/>
                <w:spacing w:val="1"/>
                <w:sz w:val="24"/>
              </w:rPr>
              <w:t> </w:t>
            </w:r>
            <w:r>
              <w:rPr>
                <w:b/>
                <w:spacing w:val="-2"/>
                <w:sz w:val="24"/>
              </w:rPr>
              <w:t>Infrastructure</w:t>
            </w:r>
          </w:p>
        </w:tc>
      </w:tr>
      <w:tr>
        <w:trPr>
          <w:trHeight w:val="1019" w:hRule="atLeast"/>
        </w:trPr>
        <w:tc>
          <w:tcPr>
            <w:tcW w:w="2213" w:type="dxa"/>
          </w:tcPr>
          <w:p>
            <w:pPr>
              <w:pStyle w:val="TableParagraph"/>
              <w:spacing w:before="4"/>
              <w:jc w:val="left"/>
              <w:rPr>
                <w:b/>
                <w:sz w:val="20"/>
              </w:rPr>
            </w:pPr>
          </w:p>
          <w:p>
            <w:pPr>
              <w:pStyle w:val="TableParagraph"/>
              <w:ind w:left="599" w:right="586" w:hanging="3"/>
              <w:jc w:val="left"/>
              <w:rPr>
                <w:sz w:val="24"/>
              </w:rPr>
            </w:pPr>
            <w:r>
              <w:rPr>
                <w:sz w:val="24"/>
              </w:rPr>
              <w:t>From</w:t>
            </w:r>
            <w:r>
              <w:rPr>
                <w:spacing w:val="-13"/>
                <w:sz w:val="24"/>
              </w:rPr>
              <w:t> </w:t>
            </w:r>
            <w:r>
              <w:rPr>
                <w:sz w:val="24"/>
              </w:rPr>
              <w:t>0</w:t>
            </w:r>
            <w:r>
              <w:rPr>
                <w:spacing w:val="-14"/>
                <w:sz w:val="24"/>
              </w:rPr>
              <w:t> </w:t>
            </w:r>
            <w:r>
              <w:rPr>
                <w:sz w:val="24"/>
              </w:rPr>
              <w:t>-</w:t>
            </w:r>
            <w:r>
              <w:rPr>
                <w:spacing w:val="-14"/>
                <w:sz w:val="24"/>
              </w:rPr>
              <w:t> </w:t>
            </w:r>
            <w:r>
              <w:rPr>
                <w:sz w:val="24"/>
              </w:rPr>
              <w:t>1 </w:t>
            </w:r>
            <w:r>
              <w:rPr>
                <w:spacing w:val="-2"/>
                <w:sz w:val="24"/>
              </w:rPr>
              <w:t>kilometres</w:t>
            </w:r>
          </w:p>
        </w:tc>
        <w:tc>
          <w:tcPr>
            <w:tcW w:w="1656" w:type="dxa"/>
          </w:tcPr>
          <w:p>
            <w:pPr>
              <w:pStyle w:val="TableParagraph"/>
              <w:spacing w:before="4"/>
              <w:jc w:val="left"/>
              <w:rPr>
                <w:b/>
                <w:sz w:val="20"/>
              </w:rPr>
            </w:pPr>
          </w:p>
          <w:p>
            <w:pPr>
              <w:pStyle w:val="TableParagraph"/>
              <w:ind w:left="321" w:right="158" w:hanging="154"/>
              <w:jc w:val="left"/>
              <w:rPr>
                <w:sz w:val="24"/>
              </w:rPr>
            </w:pPr>
            <w:r>
              <w:rPr>
                <w:sz w:val="24"/>
              </w:rPr>
              <w:t>From</w:t>
            </w:r>
            <w:r>
              <w:rPr>
                <w:spacing w:val="-13"/>
                <w:sz w:val="24"/>
              </w:rPr>
              <w:t> </w:t>
            </w:r>
            <w:r>
              <w:rPr>
                <w:sz w:val="24"/>
              </w:rPr>
              <w:t>1.01</w:t>
            </w:r>
            <w:r>
              <w:rPr>
                <w:spacing w:val="-13"/>
                <w:sz w:val="24"/>
              </w:rPr>
              <w:t> </w:t>
            </w:r>
            <w:r>
              <w:rPr>
                <w:sz w:val="24"/>
              </w:rPr>
              <w:t>-</w:t>
            </w:r>
            <w:r>
              <w:rPr>
                <w:spacing w:val="-14"/>
                <w:sz w:val="24"/>
              </w:rPr>
              <w:t> </w:t>
            </w:r>
            <w:r>
              <w:rPr>
                <w:sz w:val="24"/>
              </w:rPr>
              <w:t>2 </w:t>
            </w:r>
            <w:r>
              <w:rPr>
                <w:spacing w:val="-2"/>
                <w:sz w:val="24"/>
              </w:rPr>
              <w:t>kilometres</w:t>
            </w:r>
          </w:p>
        </w:tc>
        <w:tc>
          <w:tcPr>
            <w:tcW w:w="1629" w:type="dxa"/>
          </w:tcPr>
          <w:p>
            <w:pPr>
              <w:pStyle w:val="TableParagraph"/>
              <w:spacing w:before="4"/>
              <w:jc w:val="left"/>
              <w:rPr>
                <w:b/>
                <w:sz w:val="20"/>
              </w:rPr>
            </w:pPr>
          </w:p>
          <w:p>
            <w:pPr>
              <w:pStyle w:val="TableParagraph"/>
              <w:ind w:left="310" w:hanging="154"/>
              <w:jc w:val="left"/>
              <w:rPr>
                <w:sz w:val="24"/>
              </w:rPr>
            </w:pPr>
            <w:r>
              <w:rPr>
                <w:sz w:val="24"/>
              </w:rPr>
              <w:t>From</w:t>
            </w:r>
            <w:r>
              <w:rPr>
                <w:spacing w:val="-13"/>
                <w:sz w:val="24"/>
              </w:rPr>
              <w:t> </w:t>
            </w:r>
            <w:r>
              <w:rPr>
                <w:sz w:val="24"/>
              </w:rPr>
              <w:t>2.01</w:t>
            </w:r>
            <w:r>
              <w:rPr>
                <w:spacing w:val="-13"/>
                <w:sz w:val="24"/>
              </w:rPr>
              <w:t> </w:t>
            </w:r>
            <w:r>
              <w:rPr>
                <w:sz w:val="24"/>
              </w:rPr>
              <w:t>-</w:t>
            </w:r>
            <w:r>
              <w:rPr>
                <w:spacing w:val="-14"/>
                <w:sz w:val="24"/>
              </w:rPr>
              <w:t> </w:t>
            </w:r>
            <w:r>
              <w:rPr>
                <w:sz w:val="24"/>
              </w:rPr>
              <w:t>3 </w:t>
            </w:r>
            <w:r>
              <w:rPr>
                <w:spacing w:val="-2"/>
                <w:sz w:val="24"/>
              </w:rPr>
              <w:t>kilometres</w:t>
            </w:r>
          </w:p>
        </w:tc>
        <w:tc>
          <w:tcPr>
            <w:tcW w:w="1774" w:type="dxa"/>
          </w:tcPr>
          <w:p>
            <w:pPr>
              <w:pStyle w:val="TableParagraph"/>
              <w:spacing w:before="4"/>
              <w:jc w:val="left"/>
              <w:rPr>
                <w:b/>
                <w:sz w:val="20"/>
              </w:rPr>
            </w:pPr>
          </w:p>
          <w:p>
            <w:pPr>
              <w:pStyle w:val="TableParagraph"/>
              <w:ind w:left="380" w:hanging="152"/>
              <w:jc w:val="left"/>
              <w:rPr>
                <w:sz w:val="24"/>
              </w:rPr>
            </w:pPr>
            <w:r>
              <w:rPr>
                <w:sz w:val="24"/>
              </w:rPr>
              <w:t>From</w:t>
            </w:r>
            <w:r>
              <w:rPr>
                <w:spacing w:val="-13"/>
                <w:sz w:val="24"/>
              </w:rPr>
              <w:t> </w:t>
            </w:r>
            <w:r>
              <w:rPr>
                <w:sz w:val="24"/>
              </w:rPr>
              <w:t>3.01</w:t>
            </w:r>
            <w:r>
              <w:rPr>
                <w:spacing w:val="-13"/>
                <w:sz w:val="24"/>
              </w:rPr>
              <w:t> </w:t>
            </w:r>
            <w:r>
              <w:rPr>
                <w:sz w:val="24"/>
              </w:rPr>
              <w:t>-</w:t>
            </w:r>
            <w:r>
              <w:rPr>
                <w:spacing w:val="-14"/>
                <w:sz w:val="24"/>
              </w:rPr>
              <w:t> </w:t>
            </w:r>
            <w:r>
              <w:rPr>
                <w:sz w:val="24"/>
              </w:rPr>
              <w:t>4 </w:t>
            </w:r>
            <w:r>
              <w:rPr>
                <w:spacing w:val="-2"/>
                <w:sz w:val="24"/>
              </w:rPr>
              <w:t>kilometres</w:t>
            </w:r>
          </w:p>
        </w:tc>
        <w:tc>
          <w:tcPr>
            <w:tcW w:w="1774" w:type="dxa"/>
          </w:tcPr>
          <w:p>
            <w:pPr>
              <w:pStyle w:val="TableParagraph"/>
              <w:spacing w:before="4"/>
              <w:jc w:val="left"/>
              <w:rPr>
                <w:b/>
                <w:sz w:val="20"/>
              </w:rPr>
            </w:pPr>
          </w:p>
          <w:p>
            <w:pPr>
              <w:pStyle w:val="TableParagraph"/>
              <w:ind w:left="380" w:hanging="152"/>
              <w:jc w:val="left"/>
              <w:rPr>
                <w:sz w:val="24"/>
              </w:rPr>
            </w:pPr>
            <w:r>
              <w:rPr>
                <w:sz w:val="24"/>
              </w:rPr>
              <w:t>From</w:t>
            </w:r>
            <w:r>
              <w:rPr>
                <w:spacing w:val="-13"/>
                <w:sz w:val="24"/>
              </w:rPr>
              <w:t> </w:t>
            </w:r>
            <w:r>
              <w:rPr>
                <w:sz w:val="24"/>
              </w:rPr>
              <w:t>4.01</w:t>
            </w:r>
            <w:r>
              <w:rPr>
                <w:spacing w:val="-13"/>
                <w:sz w:val="24"/>
              </w:rPr>
              <w:t> </w:t>
            </w:r>
            <w:r>
              <w:rPr>
                <w:sz w:val="24"/>
              </w:rPr>
              <w:t>-</w:t>
            </w:r>
            <w:r>
              <w:rPr>
                <w:spacing w:val="-14"/>
                <w:sz w:val="24"/>
              </w:rPr>
              <w:t> </w:t>
            </w:r>
            <w:r>
              <w:rPr>
                <w:sz w:val="24"/>
              </w:rPr>
              <w:t>5 </w:t>
            </w:r>
            <w:r>
              <w:rPr>
                <w:spacing w:val="-2"/>
                <w:sz w:val="24"/>
              </w:rPr>
              <w:t>kilometres</w:t>
            </w:r>
          </w:p>
        </w:tc>
      </w:tr>
      <w:tr>
        <w:trPr>
          <w:trHeight w:val="407" w:hRule="atLeast"/>
        </w:trPr>
        <w:tc>
          <w:tcPr>
            <w:tcW w:w="2213" w:type="dxa"/>
          </w:tcPr>
          <w:p>
            <w:pPr>
              <w:pStyle w:val="TableParagraph"/>
              <w:jc w:val="left"/>
              <w:rPr>
                <w:sz w:val="22"/>
              </w:rPr>
            </w:pPr>
          </w:p>
        </w:tc>
        <w:tc>
          <w:tcPr>
            <w:tcW w:w="1656" w:type="dxa"/>
          </w:tcPr>
          <w:p>
            <w:pPr>
              <w:pStyle w:val="TableParagraph"/>
              <w:jc w:val="left"/>
              <w:rPr>
                <w:sz w:val="22"/>
              </w:rPr>
            </w:pPr>
          </w:p>
        </w:tc>
        <w:tc>
          <w:tcPr>
            <w:tcW w:w="1629" w:type="dxa"/>
          </w:tcPr>
          <w:p>
            <w:pPr>
              <w:pStyle w:val="TableParagraph"/>
              <w:jc w:val="left"/>
              <w:rPr>
                <w:sz w:val="22"/>
              </w:rPr>
            </w:pPr>
          </w:p>
        </w:tc>
        <w:tc>
          <w:tcPr>
            <w:tcW w:w="1774" w:type="dxa"/>
          </w:tcPr>
          <w:p>
            <w:pPr>
              <w:pStyle w:val="TableParagraph"/>
              <w:jc w:val="left"/>
              <w:rPr>
                <w:sz w:val="22"/>
              </w:rPr>
            </w:pPr>
          </w:p>
        </w:tc>
        <w:tc>
          <w:tcPr>
            <w:tcW w:w="1774" w:type="dxa"/>
          </w:tcPr>
          <w:p>
            <w:pPr>
              <w:pStyle w:val="TableParagraph"/>
              <w:jc w:val="left"/>
              <w:rPr>
                <w:sz w:val="22"/>
              </w:rPr>
            </w:pPr>
          </w:p>
        </w:tc>
      </w:tr>
      <w:tr>
        <w:trPr>
          <w:trHeight w:val="405" w:hRule="atLeast"/>
        </w:trPr>
        <w:tc>
          <w:tcPr>
            <w:tcW w:w="2213" w:type="dxa"/>
          </w:tcPr>
          <w:p>
            <w:pPr>
              <w:pStyle w:val="TableParagraph"/>
              <w:jc w:val="left"/>
              <w:rPr>
                <w:sz w:val="22"/>
              </w:rPr>
            </w:pPr>
          </w:p>
        </w:tc>
        <w:tc>
          <w:tcPr>
            <w:tcW w:w="1656" w:type="dxa"/>
          </w:tcPr>
          <w:p>
            <w:pPr>
              <w:pStyle w:val="TableParagraph"/>
              <w:jc w:val="left"/>
              <w:rPr>
                <w:sz w:val="22"/>
              </w:rPr>
            </w:pPr>
          </w:p>
        </w:tc>
        <w:tc>
          <w:tcPr>
            <w:tcW w:w="1629" w:type="dxa"/>
          </w:tcPr>
          <w:p>
            <w:pPr>
              <w:pStyle w:val="TableParagraph"/>
              <w:jc w:val="left"/>
              <w:rPr>
                <w:sz w:val="22"/>
              </w:rPr>
            </w:pPr>
          </w:p>
        </w:tc>
        <w:tc>
          <w:tcPr>
            <w:tcW w:w="1774" w:type="dxa"/>
          </w:tcPr>
          <w:p>
            <w:pPr>
              <w:pStyle w:val="TableParagraph"/>
              <w:jc w:val="left"/>
              <w:rPr>
                <w:sz w:val="22"/>
              </w:rPr>
            </w:pPr>
          </w:p>
        </w:tc>
        <w:tc>
          <w:tcPr>
            <w:tcW w:w="1774" w:type="dxa"/>
          </w:tcPr>
          <w:p>
            <w:pPr>
              <w:pStyle w:val="TableParagraph"/>
              <w:jc w:val="left"/>
              <w:rPr>
                <w:sz w:val="22"/>
              </w:rPr>
            </w:pPr>
          </w:p>
        </w:tc>
      </w:tr>
      <w:tr>
        <w:trPr>
          <w:trHeight w:val="407" w:hRule="atLeast"/>
        </w:trPr>
        <w:tc>
          <w:tcPr>
            <w:tcW w:w="2213" w:type="dxa"/>
          </w:tcPr>
          <w:p>
            <w:pPr>
              <w:pStyle w:val="TableParagraph"/>
              <w:jc w:val="left"/>
              <w:rPr>
                <w:sz w:val="22"/>
              </w:rPr>
            </w:pPr>
          </w:p>
        </w:tc>
        <w:tc>
          <w:tcPr>
            <w:tcW w:w="1656" w:type="dxa"/>
          </w:tcPr>
          <w:p>
            <w:pPr>
              <w:pStyle w:val="TableParagraph"/>
              <w:jc w:val="left"/>
              <w:rPr>
                <w:sz w:val="22"/>
              </w:rPr>
            </w:pPr>
          </w:p>
        </w:tc>
        <w:tc>
          <w:tcPr>
            <w:tcW w:w="1629" w:type="dxa"/>
          </w:tcPr>
          <w:p>
            <w:pPr>
              <w:pStyle w:val="TableParagraph"/>
              <w:jc w:val="left"/>
              <w:rPr>
                <w:sz w:val="22"/>
              </w:rPr>
            </w:pPr>
          </w:p>
        </w:tc>
        <w:tc>
          <w:tcPr>
            <w:tcW w:w="1774" w:type="dxa"/>
          </w:tcPr>
          <w:p>
            <w:pPr>
              <w:pStyle w:val="TableParagraph"/>
              <w:jc w:val="left"/>
              <w:rPr>
                <w:sz w:val="22"/>
              </w:rPr>
            </w:pPr>
          </w:p>
        </w:tc>
        <w:tc>
          <w:tcPr>
            <w:tcW w:w="1774" w:type="dxa"/>
          </w:tcPr>
          <w:p>
            <w:pPr>
              <w:pStyle w:val="TableParagraph"/>
              <w:jc w:val="left"/>
              <w:rPr>
                <w:sz w:val="22"/>
              </w:rPr>
            </w:pPr>
          </w:p>
        </w:tc>
      </w:tr>
      <w:tr>
        <w:trPr>
          <w:trHeight w:val="407" w:hRule="atLeast"/>
        </w:trPr>
        <w:tc>
          <w:tcPr>
            <w:tcW w:w="2213" w:type="dxa"/>
          </w:tcPr>
          <w:p>
            <w:pPr>
              <w:pStyle w:val="TableParagraph"/>
              <w:jc w:val="left"/>
              <w:rPr>
                <w:sz w:val="22"/>
              </w:rPr>
            </w:pPr>
          </w:p>
        </w:tc>
        <w:tc>
          <w:tcPr>
            <w:tcW w:w="1656" w:type="dxa"/>
          </w:tcPr>
          <w:p>
            <w:pPr>
              <w:pStyle w:val="TableParagraph"/>
              <w:jc w:val="left"/>
              <w:rPr>
                <w:sz w:val="22"/>
              </w:rPr>
            </w:pPr>
          </w:p>
        </w:tc>
        <w:tc>
          <w:tcPr>
            <w:tcW w:w="1629" w:type="dxa"/>
          </w:tcPr>
          <w:p>
            <w:pPr>
              <w:pStyle w:val="TableParagraph"/>
              <w:jc w:val="left"/>
              <w:rPr>
                <w:sz w:val="22"/>
              </w:rPr>
            </w:pPr>
          </w:p>
        </w:tc>
        <w:tc>
          <w:tcPr>
            <w:tcW w:w="1774" w:type="dxa"/>
          </w:tcPr>
          <w:p>
            <w:pPr>
              <w:pStyle w:val="TableParagraph"/>
              <w:jc w:val="left"/>
              <w:rPr>
                <w:sz w:val="22"/>
              </w:rPr>
            </w:pPr>
          </w:p>
        </w:tc>
        <w:tc>
          <w:tcPr>
            <w:tcW w:w="1774" w:type="dxa"/>
          </w:tcPr>
          <w:p>
            <w:pPr>
              <w:pStyle w:val="TableParagraph"/>
              <w:jc w:val="left"/>
              <w:rPr>
                <w:sz w:val="22"/>
              </w:rPr>
            </w:pPr>
          </w:p>
        </w:tc>
      </w:tr>
      <w:tr>
        <w:trPr>
          <w:trHeight w:val="407" w:hRule="atLeast"/>
        </w:trPr>
        <w:tc>
          <w:tcPr>
            <w:tcW w:w="2213" w:type="dxa"/>
          </w:tcPr>
          <w:p>
            <w:pPr>
              <w:pStyle w:val="TableParagraph"/>
              <w:jc w:val="left"/>
              <w:rPr>
                <w:sz w:val="22"/>
              </w:rPr>
            </w:pPr>
          </w:p>
        </w:tc>
        <w:tc>
          <w:tcPr>
            <w:tcW w:w="1656" w:type="dxa"/>
          </w:tcPr>
          <w:p>
            <w:pPr>
              <w:pStyle w:val="TableParagraph"/>
              <w:jc w:val="left"/>
              <w:rPr>
                <w:sz w:val="22"/>
              </w:rPr>
            </w:pPr>
          </w:p>
        </w:tc>
        <w:tc>
          <w:tcPr>
            <w:tcW w:w="1629" w:type="dxa"/>
          </w:tcPr>
          <w:p>
            <w:pPr>
              <w:pStyle w:val="TableParagraph"/>
              <w:jc w:val="left"/>
              <w:rPr>
                <w:sz w:val="22"/>
              </w:rPr>
            </w:pPr>
          </w:p>
        </w:tc>
        <w:tc>
          <w:tcPr>
            <w:tcW w:w="1774" w:type="dxa"/>
          </w:tcPr>
          <w:p>
            <w:pPr>
              <w:pStyle w:val="TableParagraph"/>
              <w:jc w:val="left"/>
              <w:rPr>
                <w:sz w:val="22"/>
              </w:rPr>
            </w:pPr>
          </w:p>
        </w:tc>
        <w:tc>
          <w:tcPr>
            <w:tcW w:w="1774" w:type="dxa"/>
          </w:tcPr>
          <w:p>
            <w:pPr>
              <w:pStyle w:val="TableParagraph"/>
              <w:jc w:val="left"/>
              <w:rPr>
                <w:sz w:val="22"/>
              </w:rPr>
            </w:pPr>
          </w:p>
        </w:tc>
      </w:tr>
      <w:tr>
        <w:trPr>
          <w:trHeight w:val="426" w:hRule="atLeast"/>
        </w:trPr>
        <w:tc>
          <w:tcPr>
            <w:tcW w:w="2213" w:type="dxa"/>
          </w:tcPr>
          <w:p>
            <w:pPr>
              <w:pStyle w:val="TableParagraph"/>
              <w:jc w:val="left"/>
              <w:rPr>
                <w:sz w:val="22"/>
              </w:rPr>
            </w:pPr>
          </w:p>
        </w:tc>
        <w:tc>
          <w:tcPr>
            <w:tcW w:w="1656" w:type="dxa"/>
          </w:tcPr>
          <w:p>
            <w:pPr>
              <w:pStyle w:val="TableParagraph"/>
              <w:jc w:val="left"/>
              <w:rPr>
                <w:sz w:val="22"/>
              </w:rPr>
            </w:pPr>
          </w:p>
        </w:tc>
        <w:tc>
          <w:tcPr>
            <w:tcW w:w="1629" w:type="dxa"/>
          </w:tcPr>
          <w:p>
            <w:pPr>
              <w:pStyle w:val="TableParagraph"/>
              <w:jc w:val="left"/>
              <w:rPr>
                <w:sz w:val="22"/>
              </w:rPr>
            </w:pPr>
          </w:p>
        </w:tc>
        <w:tc>
          <w:tcPr>
            <w:tcW w:w="1774" w:type="dxa"/>
          </w:tcPr>
          <w:p>
            <w:pPr>
              <w:pStyle w:val="TableParagraph"/>
              <w:jc w:val="left"/>
              <w:rPr>
                <w:sz w:val="22"/>
              </w:rPr>
            </w:pPr>
          </w:p>
        </w:tc>
        <w:tc>
          <w:tcPr>
            <w:tcW w:w="1774" w:type="dxa"/>
          </w:tcPr>
          <w:p>
            <w:pPr>
              <w:pStyle w:val="TableParagraph"/>
              <w:jc w:val="left"/>
              <w:rPr>
                <w:sz w:val="22"/>
              </w:rPr>
            </w:pPr>
          </w:p>
        </w:tc>
      </w:tr>
      <w:tr>
        <w:trPr>
          <w:trHeight w:val="429" w:hRule="atLeast"/>
        </w:trPr>
        <w:tc>
          <w:tcPr>
            <w:tcW w:w="2213" w:type="dxa"/>
          </w:tcPr>
          <w:p>
            <w:pPr>
              <w:pStyle w:val="TableParagraph"/>
              <w:jc w:val="left"/>
              <w:rPr>
                <w:sz w:val="22"/>
              </w:rPr>
            </w:pPr>
          </w:p>
        </w:tc>
        <w:tc>
          <w:tcPr>
            <w:tcW w:w="1656" w:type="dxa"/>
          </w:tcPr>
          <w:p>
            <w:pPr>
              <w:pStyle w:val="TableParagraph"/>
              <w:jc w:val="left"/>
              <w:rPr>
                <w:sz w:val="22"/>
              </w:rPr>
            </w:pPr>
          </w:p>
        </w:tc>
        <w:tc>
          <w:tcPr>
            <w:tcW w:w="1629" w:type="dxa"/>
          </w:tcPr>
          <w:p>
            <w:pPr>
              <w:pStyle w:val="TableParagraph"/>
              <w:jc w:val="left"/>
              <w:rPr>
                <w:sz w:val="22"/>
              </w:rPr>
            </w:pPr>
          </w:p>
        </w:tc>
        <w:tc>
          <w:tcPr>
            <w:tcW w:w="1774" w:type="dxa"/>
          </w:tcPr>
          <w:p>
            <w:pPr>
              <w:pStyle w:val="TableParagraph"/>
              <w:jc w:val="left"/>
              <w:rPr>
                <w:sz w:val="22"/>
              </w:rPr>
            </w:pPr>
          </w:p>
        </w:tc>
        <w:tc>
          <w:tcPr>
            <w:tcW w:w="1774" w:type="dxa"/>
          </w:tcPr>
          <w:p>
            <w:pPr>
              <w:pStyle w:val="TableParagraph"/>
              <w:jc w:val="left"/>
              <w:rPr>
                <w:sz w:val="22"/>
              </w:rPr>
            </w:pPr>
          </w:p>
        </w:tc>
      </w:tr>
      <w:tr>
        <w:trPr>
          <w:trHeight w:val="429" w:hRule="atLeast"/>
        </w:trPr>
        <w:tc>
          <w:tcPr>
            <w:tcW w:w="2213" w:type="dxa"/>
          </w:tcPr>
          <w:p>
            <w:pPr>
              <w:pStyle w:val="TableParagraph"/>
              <w:jc w:val="left"/>
              <w:rPr>
                <w:sz w:val="22"/>
              </w:rPr>
            </w:pPr>
          </w:p>
        </w:tc>
        <w:tc>
          <w:tcPr>
            <w:tcW w:w="1656" w:type="dxa"/>
          </w:tcPr>
          <w:p>
            <w:pPr>
              <w:pStyle w:val="TableParagraph"/>
              <w:jc w:val="left"/>
              <w:rPr>
                <w:sz w:val="22"/>
              </w:rPr>
            </w:pPr>
          </w:p>
        </w:tc>
        <w:tc>
          <w:tcPr>
            <w:tcW w:w="1629" w:type="dxa"/>
          </w:tcPr>
          <w:p>
            <w:pPr>
              <w:pStyle w:val="TableParagraph"/>
              <w:jc w:val="left"/>
              <w:rPr>
                <w:sz w:val="22"/>
              </w:rPr>
            </w:pPr>
          </w:p>
        </w:tc>
        <w:tc>
          <w:tcPr>
            <w:tcW w:w="1774" w:type="dxa"/>
          </w:tcPr>
          <w:p>
            <w:pPr>
              <w:pStyle w:val="TableParagraph"/>
              <w:jc w:val="left"/>
              <w:rPr>
                <w:sz w:val="22"/>
              </w:rPr>
            </w:pPr>
          </w:p>
        </w:tc>
        <w:tc>
          <w:tcPr>
            <w:tcW w:w="1774" w:type="dxa"/>
          </w:tcPr>
          <w:p>
            <w:pPr>
              <w:pStyle w:val="TableParagraph"/>
              <w:jc w:val="left"/>
              <w:rPr>
                <w:sz w:val="22"/>
              </w:rPr>
            </w:pPr>
          </w:p>
        </w:tc>
      </w:tr>
      <w:tr>
        <w:trPr>
          <w:trHeight w:val="429" w:hRule="atLeast"/>
        </w:trPr>
        <w:tc>
          <w:tcPr>
            <w:tcW w:w="2213" w:type="dxa"/>
          </w:tcPr>
          <w:p>
            <w:pPr>
              <w:pStyle w:val="TableParagraph"/>
              <w:jc w:val="left"/>
              <w:rPr>
                <w:sz w:val="22"/>
              </w:rPr>
            </w:pPr>
          </w:p>
        </w:tc>
        <w:tc>
          <w:tcPr>
            <w:tcW w:w="1656" w:type="dxa"/>
          </w:tcPr>
          <w:p>
            <w:pPr>
              <w:pStyle w:val="TableParagraph"/>
              <w:jc w:val="left"/>
              <w:rPr>
                <w:sz w:val="22"/>
              </w:rPr>
            </w:pPr>
          </w:p>
        </w:tc>
        <w:tc>
          <w:tcPr>
            <w:tcW w:w="1629" w:type="dxa"/>
          </w:tcPr>
          <w:p>
            <w:pPr>
              <w:pStyle w:val="TableParagraph"/>
              <w:jc w:val="left"/>
              <w:rPr>
                <w:sz w:val="22"/>
              </w:rPr>
            </w:pPr>
          </w:p>
        </w:tc>
        <w:tc>
          <w:tcPr>
            <w:tcW w:w="1774" w:type="dxa"/>
          </w:tcPr>
          <w:p>
            <w:pPr>
              <w:pStyle w:val="TableParagraph"/>
              <w:jc w:val="left"/>
              <w:rPr>
                <w:sz w:val="22"/>
              </w:rPr>
            </w:pPr>
          </w:p>
        </w:tc>
        <w:tc>
          <w:tcPr>
            <w:tcW w:w="1774" w:type="dxa"/>
          </w:tcPr>
          <w:p>
            <w:pPr>
              <w:pStyle w:val="TableParagraph"/>
              <w:jc w:val="left"/>
              <w:rPr>
                <w:sz w:val="22"/>
              </w:rPr>
            </w:pPr>
          </w:p>
        </w:tc>
      </w:tr>
      <w:tr>
        <w:trPr>
          <w:trHeight w:val="429" w:hRule="atLeast"/>
        </w:trPr>
        <w:tc>
          <w:tcPr>
            <w:tcW w:w="2213" w:type="dxa"/>
          </w:tcPr>
          <w:p>
            <w:pPr>
              <w:pStyle w:val="TableParagraph"/>
              <w:jc w:val="left"/>
              <w:rPr>
                <w:sz w:val="22"/>
              </w:rPr>
            </w:pPr>
          </w:p>
        </w:tc>
        <w:tc>
          <w:tcPr>
            <w:tcW w:w="1656" w:type="dxa"/>
          </w:tcPr>
          <w:p>
            <w:pPr>
              <w:pStyle w:val="TableParagraph"/>
              <w:jc w:val="left"/>
              <w:rPr>
                <w:sz w:val="22"/>
              </w:rPr>
            </w:pPr>
          </w:p>
        </w:tc>
        <w:tc>
          <w:tcPr>
            <w:tcW w:w="1629" w:type="dxa"/>
          </w:tcPr>
          <w:p>
            <w:pPr>
              <w:pStyle w:val="TableParagraph"/>
              <w:jc w:val="left"/>
              <w:rPr>
                <w:sz w:val="22"/>
              </w:rPr>
            </w:pPr>
          </w:p>
        </w:tc>
        <w:tc>
          <w:tcPr>
            <w:tcW w:w="1774" w:type="dxa"/>
          </w:tcPr>
          <w:p>
            <w:pPr>
              <w:pStyle w:val="TableParagraph"/>
              <w:jc w:val="left"/>
              <w:rPr>
                <w:sz w:val="22"/>
              </w:rPr>
            </w:pPr>
          </w:p>
        </w:tc>
        <w:tc>
          <w:tcPr>
            <w:tcW w:w="1774" w:type="dxa"/>
          </w:tcPr>
          <w:p>
            <w:pPr>
              <w:pStyle w:val="TableParagraph"/>
              <w:jc w:val="left"/>
              <w:rPr>
                <w:sz w:val="22"/>
              </w:rPr>
            </w:pPr>
          </w:p>
        </w:tc>
      </w:tr>
      <w:tr>
        <w:trPr>
          <w:trHeight w:val="429" w:hRule="atLeast"/>
        </w:trPr>
        <w:tc>
          <w:tcPr>
            <w:tcW w:w="2213" w:type="dxa"/>
          </w:tcPr>
          <w:p>
            <w:pPr>
              <w:pStyle w:val="TableParagraph"/>
              <w:jc w:val="left"/>
              <w:rPr>
                <w:sz w:val="22"/>
              </w:rPr>
            </w:pPr>
          </w:p>
        </w:tc>
        <w:tc>
          <w:tcPr>
            <w:tcW w:w="1656" w:type="dxa"/>
          </w:tcPr>
          <w:p>
            <w:pPr>
              <w:pStyle w:val="TableParagraph"/>
              <w:jc w:val="left"/>
              <w:rPr>
                <w:sz w:val="22"/>
              </w:rPr>
            </w:pPr>
          </w:p>
        </w:tc>
        <w:tc>
          <w:tcPr>
            <w:tcW w:w="1629" w:type="dxa"/>
          </w:tcPr>
          <w:p>
            <w:pPr>
              <w:pStyle w:val="TableParagraph"/>
              <w:jc w:val="left"/>
              <w:rPr>
                <w:sz w:val="22"/>
              </w:rPr>
            </w:pPr>
          </w:p>
        </w:tc>
        <w:tc>
          <w:tcPr>
            <w:tcW w:w="1774" w:type="dxa"/>
          </w:tcPr>
          <w:p>
            <w:pPr>
              <w:pStyle w:val="TableParagraph"/>
              <w:jc w:val="left"/>
              <w:rPr>
                <w:sz w:val="22"/>
              </w:rPr>
            </w:pPr>
          </w:p>
        </w:tc>
        <w:tc>
          <w:tcPr>
            <w:tcW w:w="1774" w:type="dxa"/>
          </w:tcPr>
          <w:p>
            <w:pPr>
              <w:pStyle w:val="TableParagraph"/>
              <w:jc w:val="left"/>
              <w:rPr>
                <w:sz w:val="22"/>
              </w:rPr>
            </w:pPr>
          </w:p>
        </w:tc>
      </w:tr>
      <w:tr>
        <w:trPr>
          <w:trHeight w:val="429" w:hRule="atLeast"/>
        </w:trPr>
        <w:tc>
          <w:tcPr>
            <w:tcW w:w="2213" w:type="dxa"/>
          </w:tcPr>
          <w:p>
            <w:pPr>
              <w:pStyle w:val="TableParagraph"/>
              <w:jc w:val="left"/>
              <w:rPr>
                <w:sz w:val="22"/>
              </w:rPr>
            </w:pPr>
          </w:p>
        </w:tc>
        <w:tc>
          <w:tcPr>
            <w:tcW w:w="1656" w:type="dxa"/>
          </w:tcPr>
          <w:p>
            <w:pPr>
              <w:pStyle w:val="TableParagraph"/>
              <w:jc w:val="left"/>
              <w:rPr>
                <w:sz w:val="22"/>
              </w:rPr>
            </w:pPr>
          </w:p>
        </w:tc>
        <w:tc>
          <w:tcPr>
            <w:tcW w:w="1629" w:type="dxa"/>
          </w:tcPr>
          <w:p>
            <w:pPr>
              <w:pStyle w:val="TableParagraph"/>
              <w:jc w:val="left"/>
              <w:rPr>
                <w:sz w:val="22"/>
              </w:rPr>
            </w:pPr>
          </w:p>
        </w:tc>
        <w:tc>
          <w:tcPr>
            <w:tcW w:w="1774" w:type="dxa"/>
          </w:tcPr>
          <w:p>
            <w:pPr>
              <w:pStyle w:val="TableParagraph"/>
              <w:jc w:val="left"/>
              <w:rPr>
                <w:sz w:val="22"/>
              </w:rPr>
            </w:pPr>
          </w:p>
        </w:tc>
        <w:tc>
          <w:tcPr>
            <w:tcW w:w="1774" w:type="dxa"/>
          </w:tcPr>
          <w:p>
            <w:pPr>
              <w:pStyle w:val="TableParagraph"/>
              <w:jc w:val="left"/>
              <w:rPr>
                <w:sz w:val="22"/>
              </w:rPr>
            </w:pPr>
          </w:p>
        </w:tc>
      </w:tr>
      <w:tr>
        <w:trPr>
          <w:trHeight w:val="429" w:hRule="atLeast"/>
        </w:trPr>
        <w:tc>
          <w:tcPr>
            <w:tcW w:w="2213" w:type="dxa"/>
          </w:tcPr>
          <w:p>
            <w:pPr>
              <w:pStyle w:val="TableParagraph"/>
              <w:jc w:val="left"/>
              <w:rPr>
                <w:sz w:val="22"/>
              </w:rPr>
            </w:pPr>
          </w:p>
        </w:tc>
        <w:tc>
          <w:tcPr>
            <w:tcW w:w="1656" w:type="dxa"/>
          </w:tcPr>
          <w:p>
            <w:pPr>
              <w:pStyle w:val="TableParagraph"/>
              <w:jc w:val="left"/>
              <w:rPr>
                <w:sz w:val="22"/>
              </w:rPr>
            </w:pPr>
          </w:p>
        </w:tc>
        <w:tc>
          <w:tcPr>
            <w:tcW w:w="1629" w:type="dxa"/>
          </w:tcPr>
          <w:p>
            <w:pPr>
              <w:pStyle w:val="TableParagraph"/>
              <w:jc w:val="left"/>
              <w:rPr>
                <w:sz w:val="22"/>
              </w:rPr>
            </w:pPr>
          </w:p>
        </w:tc>
        <w:tc>
          <w:tcPr>
            <w:tcW w:w="1774" w:type="dxa"/>
          </w:tcPr>
          <w:p>
            <w:pPr>
              <w:pStyle w:val="TableParagraph"/>
              <w:jc w:val="left"/>
              <w:rPr>
                <w:sz w:val="22"/>
              </w:rPr>
            </w:pPr>
          </w:p>
        </w:tc>
        <w:tc>
          <w:tcPr>
            <w:tcW w:w="1774" w:type="dxa"/>
          </w:tcPr>
          <w:p>
            <w:pPr>
              <w:pStyle w:val="TableParagraph"/>
              <w:jc w:val="left"/>
              <w:rPr>
                <w:sz w:val="22"/>
              </w:rPr>
            </w:pPr>
          </w:p>
        </w:tc>
      </w:tr>
    </w:tbl>
    <w:sectPr>
      <w:pgSz w:w="11910" w:h="16840"/>
      <w:pgMar w:header="0" w:footer="1003" w:top="1360" w:bottom="1200" w:left="120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23200">
              <wp:simplePos x="0" y="0"/>
              <wp:positionH relativeFrom="page">
                <wp:posOffset>3852036</wp:posOffset>
              </wp:positionH>
              <wp:positionV relativeFrom="page">
                <wp:posOffset>9915855</wp:posOffset>
              </wp:positionV>
              <wp:extent cx="23241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3.309998pt;margin-top:780.776001pt;width:18.3pt;height:13.05pt;mso-position-horizontal-relative:page;mso-position-vertical-relative:page;z-index:-16993280" type="#_x0000_t202" id="docshape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23712">
              <wp:simplePos x="0" y="0"/>
              <wp:positionH relativeFrom="page">
                <wp:posOffset>3672204</wp:posOffset>
              </wp:positionH>
              <wp:positionV relativeFrom="page">
                <wp:posOffset>9915855</wp:posOffset>
              </wp:positionV>
              <wp:extent cx="232410" cy="16573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89.149994pt;margin-top:780.776001pt;width:18.3pt;height:13.05pt;mso-position-horizontal-relative:page;mso-position-vertical-relative:page;z-index:-16992768" type="#_x0000_t202" id="docshape2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38</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5"/>
      <w:numFmt w:val="decimal"/>
      <w:lvlText w:val="%1"/>
      <w:lvlJc w:val="left"/>
      <w:pPr>
        <w:ind w:left="2401" w:hanging="2161"/>
        <w:jc w:val="left"/>
      </w:pPr>
      <w:rPr>
        <w:rFonts w:hint="default"/>
        <w:lang w:val="en-US" w:eastAsia="en-US" w:bidi="ar-SA"/>
      </w:rPr>
    </w:lvl>
    <w:lvl w:ilvl="1">
      <w:start w:val="0"/>
      <w:numFmt w:val="decimal"/>
      <w:lvlText w:val="%1.%2"/>
      <w:lvlJc w:val="left"/>
      <w:pPr>
        <w:ind w:left="2401" w:hanging="216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87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988" w:hanging="360"/>
      </w:pPr>
      <w:rPr>
        <w:rFonts w:hint="default"/>
        <w:lang w:val="en-US" w:eastAsia="en-US" w:bidi="ar-SA"/>
      </w:rPr>
    </w:lvl>
    <w:lvl w:ilvl="4">
      <w:start w:val="0"/>
      <w:numFmt w:val="bullet"/>
      <w:lvlText w:val="•"/>
      <w:lvlJc w:val="left"/>
      <w:pPr>
        <w:ind w:left="4782" w:hanging="360"/>
      </w:pPr>
      <w:rPr>
        <w:rFonts w:hint="default"/>
        <w:lang w:val="en-US" w:eastAsia="en-US" w:bidi="ar-SA"/>
      </w:rPr>
    </w:lvl>
    <w:lvl w:ilvl="5">
      <w:start w:val="0"/>
      <w:numFmt w:val="bullet"/>
      <w:lvlText w:val="•"/>
      <w:lvlJc w:val="left"/>
      <w:pPr>
        <w:ind w:left="5576" w:hanging="360"/>
      </w:pPr>
      <w:rPr>
        <w:rFonts w:hint="default"/>
        <w:lang w:val="en-US" w:eastAsia="en-US" w:bidi="ar-SA"/>
      </w:rPr>
    </w:lvl>
    <w:lvl w:ilvl="6">
      <w:start w:val="0"/>
      <w:numFmt w:val="bullet"/>
      <w:lvlText w:val="•"/>
      <w:lvlJc w:val="left"/>
      <w:pPr>
        <w:ind w:left="6370" w:hanging="360"/>
      </w:pPr>
      <w:rPr>
        <w:rFonts w:hint="default"/>
        <w:lang w:val="en-US" w:eastAsia="en-US" w:bidi="ar-SA"/>
      </w:rPr>
    </w:lvl>
    <w:lvl w:ilvl="7">
      <w:start w:val="0"/>
      <w:numFmt w:val="bullet"/>
      <w:lvlText w:val="•"/>
      <w:lvlJc w:val="left"/>
      <w:pPr>
        <w:ind w:left="7164" w:hanging="360"/>
      </w:pPr>
      <w:rPr>
        <w:rFonts w:hint="default"/>
        <w:lang w:val="en-US" w:eastAsia="en-US" w:bidi="ar-SA"/>
      </w:rPr>
    </w:lvl>
    <w:lvl w:ilvl="8">
      <w:start w:val="0"/>
      <w:numFmt w:val="bullet"/>
      <w:lvlText w:val="•"/>
      <w:lvlJc w:val="left"/>
      <w:pPr>
        <w:ind w:left="7958" w:hanging="360"/>
      </w:pPr>
      <w:rPr>
        <w:rFonts w:hint="default"/>
        <w:lang w:val="en-US" w:eastAsia="en-US" w:bidi="ar-SA"/>
      </w:rPr>
    </w:lvl>
  </w:abstractNum>
  <w:abstractNum w:abstractNumId="7">
    <w:multiLevelType w:val="hybridMultilevel"/>
    <w:lvl w:ilvl="0">
      <w:start w:val="4"/>
      <w:numFmt w:val="decimal"/>
      <w:lvlText w:val="%1"/>
      <w:lvlJc w:val="left"/>
      <w:pPr>
        <w:ind w:left="960" w:hanging="720"/>
        <w:jc w:val="left"/>
      </w:pPr>
      <w:rPr>
        <w:rFonts w:hint="default"/>
        <w:lang w:val="en-US" w:eastAsia="en-US" w:bidi="ar-SA"/>
      </w:rPr>
    </w:lvl>
    <w:lvl w:ilvl="1">
      <w:start w:val="4"/>
      <w:numFmt w:val="decimal"/>
      <w:lvlText w:val="%1.%2"/>
      <w:lvlJc w:val="left"/>
      <w:pPr>
        <w:ind w:left="960" w:hanging="720"/>
        <w:jc w:val="left"/>
      </w:pPr>
      <w:rPr>
        <w:rFonts w:hint="default"/>
        <w:lang w:val="en-US" w:eastAsia="en-US" w:bidi="ar-SA"/>
      </w:rPr>
    </w:lvl>
    <w:lvl w:ilvl="2">
      <w:start w:val="0"/>
      <w:numFmt w:val="decimal"/>
      <w:lvlText w:val="%1.%2.%3"/>
      <w:lvlJc w:val="left"/>
      <w:pPr>
        <w:ind w:left="9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535" w:hanging="720"/>
      </w:pPr>
      <w:rPr>
        <w:rFonts w:hint="default"/>
        <w:lang w:val="en-US" w:eastAsia="en-US" w:bidi="ar-SA"/>
      </w:rPr>
    </w:lvl>
    <w:lvl w:ilvl="4">
      <w:start w:val="0"/>
      <w:numFmt w:val="bullet"/>
      <w:lvlText w:val="•"/>
      <w:lvlJc w:val="left"/>
      <w:pPr>
        <w:ind w:left="4394" w:hanging="720"/>
      </w:pPr>
      <w:rPr>
        <w:rFonts w:hint="default"/>
        <w:lang w:val="en-US" w:eastAsia="en-US" w:bidi="ar-SA"/>
      </w:rPr>
    </w:lvl>
    <w:lvl w:ilvl="5">
      <w:start w:val="0"/>
      <w:numFmt w:val="bullet"/>
      <w:lvlText w:val="•"/>
      <w:lvlJc w:val="left"/>
      <w:pPr>
        <w:ind w:left="5253" w:hanging="720"/>
      </w:pPr>
      <w:rPr>
        <w:rFonts w:hint="default"/>
        <w:lang w:val="en-US" w:eastAsia="en-US" w:bidi="ar-SA"/>
      </w:rPr>
    </w:lvl>
    <w:lvl w:ilvl="6">
      <w:start w:val="0"/>
      <w:numFmt w:val="bullet"/>
      <w:lvlText w:val="•"/>
      <w:lvlJc w:val="left"/>
      <w:pPr>
        <w:ind w:left="6111" w:hanging="720"/>
      </w:pPr>
      <w:rPr>
        <w:rFonts w:hint="default"/>
        <w:lang w:val="en-US" w:eastAsia="en-US" w:bidi="ar-SA"/>
      </w:rPr>
    </w:lvl>
    <w:lvl w:ilvl="7">
      <w:start w:val="0"/>
      <w:numFmt w:val="bullet"/>
      <w:lvlText w:val="•"/>
      <w:lvlJc w:val="left"/>
      <w:pPr>
        <w:ind w:left="6970" w:hanging="720"/>
      </w:pPr>
      <w:rPr>
        <w:rFonts w:hint="default"/>
        <w:lang w:val="en-US" w:eastAsia="en-US" w:bidi="ar-SA"/>
      </w:rPr>
    </w:lvl>
    <w:lvl w:ilvl="8">
      <w:start w:val="0"/>
      <w:numFmt w:val="bullet"/>
      <w:lvlText w:val="•"/>
      <w:lvlJc w:val="left"/>
      <w:pPr>
        <w:ind w:left="7829" w:hanging="720"/>
      </w:pPr>
      <w:rPr>
        <w:rFonts w:hint="default"/>
        <w:lang w:val="en-US" w:eastAsia="en-US" w:bidi="ar-SA"/>
      </w:rPr>
    </w:lvl>
  </w:abstractNum>
  <w:abstractNum w:abstractNumId="6">
    <w:multiLevelType w:val="hybridMultilevel"/>
    <w:lvl w:ilvl="0">
      <w:start w:val="4"/>
      <w:numFmt w:val="decimal"/>
      <w:lvlText w:val="%1"/>
      <w:lvlJc w:val="left"/>
      <w:pPr>
        <w:ind w:left="3121" w:hanging="2881"/>
        <w:jc w:val="left"/>
      </w:pPr>
      <w:rPr>
        <w:rFonts w:hint="default"/>
        <w:lang w:val="en-US" w:eastAsia="en-US" w:bidi="ar-SA"/>
      </w:rPr>
    </w:lvl>
    <w:lvl w:ilvl="1">
      <w:start w:val="0"/>
      <w:numFmt w:val="decimal"/>
      <w:lvlText w:val="%1.%2"/>
      <w:lvlJc w:val="left"/>
      <w:pPr>
        <w:ind w:left="3121" w:hanging="288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548" w:hanging="720"/>
      </w:pPr>
      <w:rPr>
        <w:rFonts w:hint="default"/>
        <w:lang w:val="en-US" w:eastAsia="en-US" w:bidi="ar-SA"/>
      </w:rPr>
    </w:lvl>
    <w:lvl w:ilvl="4">
      <w:start w:val="0"/>
      <w:numFmt w:val="bullet"/>
      <w:lvlText w:val="•"/>
      <w:lvlJc w:val="left"/>
      <w:pPr>
        <w:ind w:left="5262" w:hanging="720"/>
      </w:pPr>
      <w:rPr>
        <w:rFonts w:hint="default"/>
        <w:lang w:val="en-US" w:eastAsia="en-US" w:bidi="ar-SA"/>
      </w:rPr>
    </w:lvl>
    <w:lvl w:ilvl="5">
      <w:start w:val="0"/>
      <w:numFmt w:val="bullet"/>
      <w:lvlText w:val="•"/>
      <w:lvlJc w:val="left"/>
      <w:pPr>
        <w:ind w:left="5976" w:hanging="720"/>
      </w:pPr>
      <w:rPr>
        <w:rFonts w:hint="default"/>
        <w:lang w:val="en-US" w:eastAsia="en-US" w:bidi="ar-SA"/>
      </w:rPr>
    </w:lvl>
    <w:lvl w:ilvl="6">
      <w:start w:val="0"/>
      <w:numFmt w:val="bullet"/>
      <w:lvlText w:val="•"/>
      <w:lvlJc w:val="left"/>
      <w:pPr>
        <w:ind w:left="6690" w:hanging="720"/>
      </w:pPr>
      <w:rPr>
        <w:rFonts w:hint="default"/>
        <w:lang w:val="en-US" w:eastAsia="en-US" w:bidi="ar-SA"/>
      </w:rPr>
    </w:lvl>
    <w:lvl w:ilvl="7">
      <w:start w:val="0"/>
      <w:numFmt w:val="bullet"/>
      <w:lvlText w:val="•"/>
      <w:lvlJc w:val="left"/>
      <w:pPr>
        <w:ind w:left="7404" w:hanging="720"/>
      </w:pPr>
      <w:rPr>
        <w:rFonts w:hint="default"/>
        <w:lang w:val="en-US" w:eastAsia="en-US" w:bidi="ar-SA"/>
      </w:rPr>
    </w:lvl>
    <w:lvl w:ilvl="8">
      <w:start w:val="0"/>
      <w:numFmt w:val="bullet"/>
      <w:lvlText w:val="•"/>
      <w:lvlJc w:val="left"/>
      <w:pPr>
        <w:ind w:left="8118" w:hanging="720"/>
      </w:pPr>
      <w:rPr>
        <w:rFonts w:hint="default"/>
        <w:lang w:val="en-US" w:eastAsia="en-US" w:bidi="ar-SA"/>
      </w:rPr>
    </w:lvl>
  </w:abstractNum>
  <w:abstractNum w:abstractNumId="5">
    <w:multiLevelType w:val="hybridMultilevel"/>
    <w:lvl w:ilvl="0">
      <w:start w:val="3"/>
      <w:numFmt w:val="decimal"/>
      <w:lvlText w:val="%1"/>
      <w:lvlJc w:val="left"/>
      <w:pPr>
        <w:ind w:left="3365" w:hanging="2581"/>
        <w:jc w:val="left"/>
      </w:pPr>
      <w:rPr>
        <w:rFonts w:hint="default"/>
        <w:lang w:val="en-US" w:eastAsia="en-US" w:bidi="ar-SA"/>
      </w:rPr>
    </w:lvl>
    <w:lvl w:ilvl="1">
      <w:start w:val="0"/>
      <w:numFmt w:val="decimal"/>
      <w:lvlText w:val="%1.%2"/>
      <w:lvlJc w:val="left"/>
      <w:pPr>
        <w:ind w:left="3365" w:hanging="258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734" w:hanging="720"/>
      </w:pPr>
      <w:rPr>
        <w:rFonts w:hint="default"/>
        <w:lang w:val="en-US" w:eastAsia="en-US" w:bidi="ar-SA"/>
      </w:rPr>
    </w:lvl>
    <w:lvl w:ilvl="4">
      <w:start w:val="0"/>
      <w:numFmt w:val="bullet"/>
      <w:lvlText w:val="•"/>
      <w:lvlJc w:val="left"/>
      <w:pPr>
        <w:ind w:left="5422" w:hanging="720"/>
      </w:pPr>
      <w:rPr>
        <w:rFonts w:hint="default"/>
        <w:lang w:val="en-US" w:eastAsia="en-US" w:bidi="ar-SA"/>
      </w:rPr>
    </w:lvl>
    <w:lvl w:ilvl="5">
      <w:start w:val="0"/>
      <w:numFmt w:val="bullet"/>
      <w:lvlText w:val="•"/>
      <w:lvlJc w:val="left"/>
      <w:pPr>
        <w:ind w:left="6109" w:hanging="720"/>
      </w:pPr>
      <w:rPr>
        <w:rFonts w:hint="default"/>
        <w:lang w:val="en-US" w:eastAsia="en-US" w:bidi="ar-SA"/>
      </w:rPr>
    </w:lvl>
    <w:lvl w:ilvl="6">
      <w:start w:val="0"/>
      <w:numFmt w:val="bullet"/>
      <w:lvlText w:val="•"/>
      <w:lvlJc w:val="left"/>
      <w:pPr>
        <w:ind w:left="6796" w:hanging="720"/>
      </w:pPr>
      <w:rPr>
        <w:rFonts w:hint="default"/>
        <w:lang w:val="en-US" w:eastAsia="en-US" w:bidi="ar-SA"/>
      </w:rPr>
    </w:lvl>
    <w:lvl w:ilvl="7">
      <w:start w:val="0"/>
      <w:numFmt w:val="bullet"/>
      <w:lvlText w:val="•"/>
      <w:lvlJc w:val="left"/>
      <w:pPr>
        <w:ind w:left="7484" w:hanging="720"/>
      </w:pPr>
      <w:rPr>
        <w:rFonts w:hint="default"/>
        <w:lang w:val="en-US" w:eastAsia="en-US" w:bidi="ar-SA"/>
      </w:rPr>
    </w:lvl>
    <w:lvl w:ilvl="8">
      <w:start w:val="0"/>
      <w:numFmt w:val="bullet"/>
      <w:lvlText w:val="•"/>
      <w:lvlJc w:val="left"/>
      <w:pPr>
        <w:ind w:left="8171" w:hanging="720"/>
      </w:pPr>
      <w:rPr>
        <w:rFonts w:hint="default"/>
        <w:lang w:val="en-US" w:eastAsia="en-US" w:bidi="ar-SA"/>
      </w:rPr>
    </w:lvl>
  </w:abstractNum>
  <w:abstractNum w:abstractNumId="4">
    <w:multiLevelType w:val="hybridMultilevel"/>
    <w:lvl w:ilvl="0">
      <w:start w:val="1"/>
      <w:numFmt w:val="lowerRoman"/>
      <w:lvlText w:val="%1."/>
      <w:lvlJc w:val="left"/>
      <w:pPr>
        <w:ind w:left="150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lowerRoman"/>
      <w:lvlText w:val="%2."/>
      <w:lvlJc w:val="left"/>
      <w:pPr>
        <w:ind w:left="1711"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89" w:hanging="488"/>
      </w:pPr>
      <w:rPr>
        <w:rFonts w:hint="default"/>
        <w:lang w:val="en-US" w:eastAsia="en-US" w:bidi="ar-SA"/>
      </w:rPr>
    </w:lvl>
    <w:lvl w:ilvl="3">
      <w:start w:val="0"/>
      <w:numFmt w:val="bullet"/>
      <w:lvlText w:val="•"/>
      <w:lvlJc w:val="left"/>
      <w:pPr>
        <w:ind w:left="3459" w:hanging="488"/>
      </w:pPr>
      <w:rPr>
        <w:rFonts w:hint="default"/>
        <w:lang w:val="en-US" w:eastAsia="en-US" w:bidi="ar-SA"/>
      </w:rPr>
    </w:lvl>
    <w:lvl w:ilvl="4">
      <w:start w:val="0"/>
      <w:numFmt w:val="bullet"/>
      <w:lvlText w:val="•"/>
      <w:lvlJc w:val="left"/>
      <w:pPr>
        <w:ind w:left="4328" w:hanging="488"/>
      </w:pPr>
      <w:rPr>
        <w:rFonts w:hint="default"/>
        <w:lang w:val="en-US" w:eastAsia="en-US" w:bidi="ar-SA"/>
      </w:rPr>
    </w:lvl>
    <w:lvl w:ilvl="5">
      <w:start w:val="0"/>
      <w:numFmt w:val="bullet"/>
      <w:lvlText w:val="•"/>
      <w:lvlJc w:val="left"/>
      <w:pPr>
        <w:ind w:left="5198" w:hanging="488"/>
      </w:pPr>
      <w:rPr>
        <w:rFonts w:hint="default"/>
        <w:lang w:val="en-US" w:eastAsia="en-US" w:bidi="ar-SA"/>
      </w:rPr>
    </w:lvl>
    <w:lvl w:ilvl="6">
      <w:start w:val="0"/>
      <w:numFmt w:val="bullet"/>
      <w:lvlText w:val="•"/>
      <w:lvlJc w:val="left"/>
      <w:pPr>
        <w:ind w:left="6068" w:hanging="488"/>
      </w:pPr>
      <w:rPr>
        <w:rFonts w:hint="default"/>
        <w:lang w:val="en-US" w:eastAsia="en-US" w:bidi="ar-SA"/>
      </w:rPr>
    </w:lvl>
    <w:lvl w:ilvl="7">
      <w:start w:val="0"/>
      <w:numFmt w:val="bullet"/>
      <w:lvlText w:val="•"/>
      <w:lvlJc w:val="left"/>
      <w:pPr>
        <w:ind w:left="6937" w:hanging="488"/>
      </w:pPr>
      <w:rPr>
        <w:rFonts w:hint="default"/>
        <w:lang w:val="en-US" w:eastAsia="en-US" w:bidi="ar-SA"/>
      </w:rPr>
    </w:lvl>
    <w:lvl w:ilvl="8">
      <w:start w:val="0"/>
      <w:numFmt w:val="bullet"/>
      <w:lvlText w:val="•"/>
      <w:lvlJc w:val="left"/>
      <w:pPr>
        <w:ind w:left="7807" w:hanging="488"/>
      </w:pPr>
      <w:rPr>
        <w:rFonts w:hint="default"/>
        <w:lang w:val="en-US" w:eastAsia="en-US" w:bidi="ar-SA"/>
      </w:rPr>
    </w:lvl>
  </w:abstractNum>
  <w:abstractNum w:abstractNumId="3">
    <w:multiLevelType w:val="hybridMultilevel"/>
    <w:lvl w:ilvl="0">
      <w:start w:val="2"/>
      <w:numFmt w:val="decimal"/>
      <w:lvlText w:val="%1"/>
      <w:lvlJc w:val="left"/>
      <w:pPr>
        <w:ind w:left="3725" w:hanging="2941"/>
        <w:jc w:val="left"/>
      </w:pPr>
      <w:rPr>
        <w:rFonts w:hint="default"/>
        <w:lang w:val="en-US" w:eastAsia="en-US" w:bidi="ar-SA"/>
      </w:rPr>
    </w:lvl>
    <w:lvl w:ilvl="1">
      <w:start w:val="0"/>
      <w:numFmt w:val="decimal"/>
      <w:lvlText w:val="%1.%2"/>
      <w:lvlJc w:val="left"/>
      <w:pPr>
        <w:ind w:left="3725" w:hanging="294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505"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1"/>
      <w:numFmt w:val="lowerRoman"/>
      <w:lvlText w:val="%4."/>
      <w:lvlJc w:val="left"/>
      <w:pPr>
        <w:ind w:left="1505"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5662" w:hanging="488"/>
      </w:pPr>
      <w:rPr>
        <w:rFonts w:hint="default"/>
        <w:lang w:val="en-US" w:eastAsia="en-US" w:bidi="ar-SA"/>
      </w:rPr>
    </w:lvl>
    <w:lvl w:ilvl="5">
      <w:start w:val="0"/>
      <w:numFmt w:val="bullet"/>
      <w:lvlText w:val="•"/>
      <w:lvlJc w:val="left"/>
      <w:pPr>
        <w:ind w:left="6309" w:hanging="488"/>
      </w:pPr>
      <w:rPr>
        <w:rFonts w:hint="default"/>
        <w:lang w:val="en-US" w:eastAsia="en-US" w:bidi="ar-SA"/>
      </w:rPr>
    </w:lvl>
    <w:lvl w:ilvl="6">
      <w:start w:val="0"/>
      <w:numFmt w:val="bullet"/>
      <w:lvlText w:val="•"/>
      <w:lvlJc w:val="left"/>
      <w:pPr>
        <w:ind w:left="6956" w:hanging="488"/>
      </w:pPr>
      <w:rPr>
        <w:rFonts w:hint="default"/>
        <w:lang w:val="en-US" w:eastAsia="en-US" w:bidi="ar-SA"/>
      </w:rPr>
    </w:lvl>
    <w:lvl w:ilvl="7">
      <w:start w:val="0"/>
      <w:numFmt w:val="bullet"/>
      <w:lvlText w:val="•"/>
      <w:lvlJc w:val="left"/>
      <w:pPr>
        <w:ind w:left="7604" w:hanging="488"/>
      </w:pPr>
      <w:rPr>
        <w:rFonts w:hint="default"/>
        <w:lang w:val="en-US" w:eastAsia="en-US" w:bidi="ar-SA"/>
      </w:rPr>
    </w:lvl>
    <w:lvl w:ilvl="8">
      <w:start w:val="0"/>
      <w:numFmt w:val="bullet"/>
      <w:lvlText w:val="•"/>
      <w:lvlJc w:val="left"/>
      <w:pPr>
        <w:ind w:left="8251" w:hanging="488"/>
      </w:pPr>
      <w:rPr>
        <w:rFonts w:hint="default"/>
        <w:lang w:val="en-US" w:eastAsia="en-US" w:bidi="ar-SA"/>
      </w:rPr>
    </w:lvl>
  </w:abstractNum>
  <w:abstractNum w:abstractNumId="1">
    <w:multiLevelType w:val="hybridMultilevel"/>
    <w:lvl w:ilvl="0">
      <w:start w:val="1"/>
      <w:numFmt w:val="lowerRoman"/>
      <w:lvlText w:val="%1."/>
      <w:lvlJc w:val="left"/>
      <w:pPr>
        <w:ind w:left="1505" w:hanging="466"/>
        <w:jc w:val="right"/>
      </w:pPr>
      <w:rPr>
        <w:rFonts w:hint="default"/>
        <w:spacing w:val="-1"/>
        <w:w w:val="100"/>
        <w:lang w:val="en-US" w:eastAsia="en-US" w:bidi="ar-SA"/>
      </w:rPr>
    </w:lvl>
    <w:lvl w:ilvl="1">
      <w:start w:val="0"/>
      <w:numFmt w:val="bullet"/>
      <w:lvlText w:val="•"/>
      <w:lvlJc w:val="left"/>
      <w:pPr>
        <w:ind w:left="2304" w:hanging="466"/>
      </w:pPr>
      <w:rPr>
        <w:rFonts w:hint="default"/>
        <w:lang w:val="en-US" w:eastAsia="en-US" w:bidi="ar-SA"/>
      </w:rPr>
    </w:lvl>
    <w:lvl w:ilvl="2">
      <w:start w:val="0"/>
      <w:numFmt w:val="bullet"/>
      <w:lvlText w:val="•"/>
      <w:lvlJc w:val="left"/>
      <w:pPr>
        <w:ind w:left="3109" w:hanging="466"/>
      </w:pPr>
      <w:rPr>
        <w:rFonts w:hint="default"/>
        <w:lang w:val="en-US" w:eastAsia="en-US" w:bidi="ar-SA"/>
      </w:rPr>
    </w:lvl>
    <w:lvl w:ilvl="3">
      <w:start w:val="0"/>
      <w:numFmt w:val="bullet"/>
      <w:lvlText w:val="•"/>
      <w:lvlJc w:val="left"/>
      <w:pPr>
        <w:ind w:left="3913" w:hanging="466"/>
      </w:pPr>
      <w:rPr>
        <w:rFonts w:hint="default"/>
        <w:lang w:val="en-US" w:eastAsia="en-US" w:bidi="ar-SA"/>
      </w:rPr>
    </w:lvl>
    <w:lvl w:ilvl="4">
      <w:start w:val="0"/>
      <w:numFmt w:val="bullet"/>
      <w:lvlText w:val="•"/>
      <w:lvlJc w:val="left"/>
      <w:pPr>
        <w:ind w:left="4718" w:hanging="466"/>
      </w:pPr>
      <w:rPr>
        <w:rFonts w:hint="default"/>
        <w:lang w:val="en-US" w:eastAsia="en-US" w:bidi="ar-SA"/>
      </w:rPr>
    </w:lvl>
    <w:lvl w:ilvl="5">
      <w:start w:val="0"/>
      <w:numFmt w:val="bullet"/>
      <w:lvlText w:val="•"/>
      <w:lvlJc w:val="left"/>
      <w:pPr>
        <w:ind w:left="5523" w:hanging="466"/>
      </w:pPr>
      <w:rPr>
        <w:rFonts w:hint="default"/>
        <w:lang w:val="en-US" w:eastAsia="en-US" w:bidi="ar-SA"/>
      </w:rPr>
    </w:lvl>
    <w:lvl w:ilvl="6">
      <w:start w:val="0"/>
      <w:numFmt w:val="bullet"/>
      <w:lvlText w:val="•"/>
      <w:lvlJc w:val="left"/>
      <w:pPr>
        <w:ind w:left="6327" w:hanging="466"/>
      </w:pPr>
      <w:rPr>
        <w:rFonts w:hint="default"/>
        <w:lang w:val="en-US" w:eastAsia="en-US" w:bidi="ar-SA"/>
      </w:rPr>
    </w:lvl>
    <w:lvl w:ilvl="7">
      <w:start w:val="0"/>
      <w:numFmt w:val="bullet"/>
      <w:lvlText w:val="•"/>
      <w:lvlJc w:val="left"/>
      <w:pPr>
        <w:ind w:left="7132" w:hanging="466"/>
      </w:pPr>
      <w:rPr>
        <w:rFonts w:hint="default"/>
        <w:lang w:val="en-US" w:eastAsia="en-US" w:bidi="ar-SA"/>
      </w:rPr>
    </w:lvl>
    <w:lvl w:ilvl="8">
      <w:start w:val="0"/>
      <w:numFmt w:val="bullet"/>
      <w:lvlText w:val="•"/>
      <w:lvlJc w:val="left"/>
      <w:pPr>
        <w:ind w:left="7937" w:hanging="466"/>
      </w:pPr>
      <w:rPr>
        <w:rFonts w:hint="default"/>
        <w:lang w:val="en-US" w:eastAsia="en-US" w:bidi="ar-SA"/>
      </w:rPr>
    </w:lvl>
  </w:abstractNum>
  <w:abstractNum w:abstractNumId="2">
    <w:multiLevelType w:val="hybridMultilevel"/>
    <w:lvl w:ilvl="0">
      <w:start w:val="1"/>
      <w:numFmt w:val="lowerRoman"/>
      <w:lvlText w:val="%1."/>
      <w:lvlJc w:val="left"/>
      <w:pPr>
        <w:ind w:left="1572" w:hanging="488"/>
        <w:jc w:val="right"/>
      </w:pPr>
      <w:rPr>
        <w:rFonts w:hint="default"/>
        <w:spacing w:val="0"/>
        <w:w w:val="100"/>
        <w:lang w:val="en-US" w:eastAsia="en-US" w:bidi="ar-SA"/>
      </w:rPr>
    </w:lvl>
    <w:lvl w:ilvl="1">
      <w:start w:val="0"/>
      <w:numFmt w:val="bullet"/>
      <w:lvlText w:val="•"/>
      <w:lvlJc w:val="left"/>
      <w:pPr>
        <w:ind w:left="2376" w:hanging="488"/>
      </w:pPr>
      <w:rPr>
        <w:rFonts w:hint="default"/>
        <w:lang w:val="en-US" w:eastAsia="en-US" w:bidi="ar-SA"/>
      </w:rPr>
    </w:lvl>
    <w:lvl w:ilvl="2">
      <w:start w:val="0"/>
      <w:numFmt w:val="bullet"/>
      <w:lvlText w:val="•"/>
      <w:lvlJc w:val="left"/>
      <w:pPr>
        <w:ind w:left="3173" w:hanging="488"/>
      </w:pPr>
      <w:rPr>
        <w:rFonts w:hint="default"/>
        <w:lang w:val="en-US" w:eastAsia="en-US" w:bidi="ar-SA"/>
      </w:rPr>
    </w:lvl>
    <w:lvl w:ilvl="3">
      <w:start w:val="0"/>
      <w:numFmt w:val="bullet"/>
      <w:lvlText w:val="•"/>
      <w:lvlJc w:val="left"/>
      <w:pPr>
        <w:ind w:left="3969" w:hanging="488"/>
      </w:pPr>
      <w:rPr>
        <w:rFonts w:hint="default"/>
        <w:lang w:val="en-US" w:eastAsia="en-US" w:bidi="ar-SA"/>
      </w:rPr>
    </w:lvl>
    <w:lvl w:ilvl="4">
      <w:start w:val="0"/>
      <w:numFmt w:val="bullet"/>
      <w:lvlText w:val="•"/>
      <w:lvlJc w:val="left"/>
      <w:pPr>
        <w:ind w:left="4766" w:hanging="488"/>
      </w:pPr>
      <w:rPr>
        <w:rFonts w:hint="default"/>
        <w:lang w:val="en-US" w:eastAsia="en-US" w:bidi="ar-SA"/>
      </w:rPr>
    </w:lvl>
    <w:lvl w:ilvl="5">
      <w:start w:val="0"/>
      <w:numFmt w:val="bullet"/>
      <w:lvlText w:val="•"/>
      <w:lvlJc w:val="left"/>
      <w:pPr>
        <w:ind w:left="5563" w:hanging="488"/>
      </w:pPr>
      <w:rPr>
        <w:rFonts w:hint="default"/>
        <w:lang w:val="en-US" w:eastAsia="en-US" w:bidi="ar-SA"/>
      </w:rPr>
    </w:lvl>
    <w:lvl w:ilvl="6">
      <w:start w:val="0"/>
      <w:numFmt w:val="bullet"/>
      <w:lvlText w:val="•"/>
      <w:lvlJc w:val="left"/>
      <w:pPr>
        <w:ind w:left="6359" w:hanging="488"/>
      </w:pPr>
      <w:rPr>
        <w:rFonts w:hint="default"/>
        <w:lang w:val="en-US" w:eastAsia="en-US" w:bidi="ar-SA"/>
      </w:rPr>
    </w:lvl>
    <w:lvl w:ilvl="7">
      <w:start w:val="0"/>
      <w:numFmt w:val="bullet"/>
      <w:lvlText w:val="•"/>
      <w:lvlJc w:val="left"/>
      <w:pPr>
        <w:ind w:left="7156" w:hanging="488"/>
      </w:pPr>
      <w:rPr>
        <w:rFonts w:hint="default"/>
        <w:lang w:val="en-US" w:eastAsia="en-US" w:bidi="ar-SA"/>
      </w:rPr>
    </w:lvl>
    <w:lvl w:ilvl="8">
      <w:start w:val="0"/>
      <w:numFmt w:val="bullet"/>
      <w:lvlText w:val="•"/>
      <w:lvlJc w:val="left"/>
      <w:pPr>
        <w:ind w:left="7953" w:hanging="488"/>
      </w:pPr>
      <w:rPr>
        <w:rFonts w:hint="default"/>
        <w:lang w:val="en-US" w:eastAsia="en-US" w:bidi="ar-SA"/>
      </w:rPr>
    </w:lvl>
  </w:abstractNum>
  <w:abstractNum w:abstractNumId="0">
    <w:multiLevelType w:val="hybridMultilevel"/>
    <w:lvl w:ilvl="0">
      <w:start w:val="1"/>
      <w:numFmt w:val="decimal"/>
      <w:lvlText w:val="%1"/>
      <w:lvlJc w:val="left"/>
      <w:pPr>
        <w:ind w:left="4145" w:hanging="3361"/>
        <w:jc w:val="left"/>
      </w:pPr>
      <w:rPr>
        <w:rFonts w:hint="default"/>
        <w:lang w:val="en-US" w:eastAsia="en-US" w:bidi="ar-SA"/>
      </w:rPr>
    </w:lvl>
    <w:lvl w:ilvl="1">
      <w:start w:val="0"/>
      <w:numFmt w:val="decimal"/>
      <w:lvlText w:val="%1.%2"/>
      <w:lvlJc w:val="left"/>
      <w:pPr>
        <w:ind w:left="4145" w:hanging="336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505" w:hanging="720"/>
        <w:jc w:val="left"/>
      </w:pPr>
      <w:rPr>
        <w:rFonts w:hint="default"/>
        <w:spacing w:val="-1"/>
        <w:w w:val="100"/>
        <w:lang w:val="en-US" w:eastAsia="en-US" w:bidi="ar-SA"/>
      </w:rPr>
    </w:lvl>
    <w:lvl w:ilvl="3">
      <w:start w:val="0"/>
      <w:numFmt w:val="bullet"/>
      <w:lvlText w:val="•"/>
      <w:lvlJc w:val="left"/>
      <w:pPr>
        <w:ind w:left="5341" w:hanging="720"/>
      </w:pPr>
      <w:rPr>
        <w:rFonts w:hint="default"/>
        <w:lang w:val="en-US" w:eastAsia="en-US" w:bidi="ar-SA"/>
      </w:rPr>
    </w:lvl>
    <w:lvl w:ilvl="4">
      <w:start w:val="0"/>
      <w:numFmt w:val="bullet"/>
      <w:lvlText w:val="•"/>
      <w:lvlJc w:val="left"/>
      <w:pPr>
        <w:ind w:left="5942" w:hanging="720"/>
      </w:pPr>
      <w:rPr>
        <w:rFonts w:hint="default"/>
        <w:lang w:val="en-US" w:eastAsia="en-US" w:bidi="ar-SA"/>
      </w:rPr>
    </w:lvl>
    <w:lvl w:ilvl="5">
      <w:start w:val="0"/>
      <w:numFmt w:val="bullet"/>
      <w:lvlText w:val="•"/>
      <w:lvlJc w:val="left"/>
      <w:pPr>
        <w:ind w:left="6542" w:hanging="720"/>
      </w:pPr>
      <w:rPr>
        <w:rFonts w:hint="default"/>
        <w:lang w:val="en-US" w:eastAsia="en-US" w:bidi="ar-SA"/>
      </w:rPr>
    </w:lvl>
    <w:lvl w:ilvl="6">
      <w:start w:val="0"/>
      <w:numFmt w:val="bullet"/>
      <w:lvlText w:val="•"/>
      <w:lvlJc w:val="left"/>
      <w:pPr>
        <w:ind w:left="7143" w:hanging="720"/>
      </w:pPr>
      <w:rPr>
        <w:rFonts w:hint="default"/>
        <w:lang w:val="en-US" w:eastAsia="en-US" w:bidi="ar-SA"/>
      </w:rPr>
    </w:lvl>
    <w:lvl w:ilvl="7">
      <w:start w:val="0"/>
      <w:numFmt w:val="bullet"/>
      <w:lvlText w:val="•"/>
      <w:lvlJc w:val="left"/>
      <w:pPr>
        <w:ind w:left="7744" w:hanging="720"/>
      </w:pPr>
      <w:rPr>
        <w:rFonts w:hint="default"/>
        <w:lang w:val="en-US" w:eastAsia="en-US" w:bidi="ar-SA"/>
      </w:rPr>
    </w:lvl>
    <w:lvl w:ilvl="8">
      <w:start w:val="0"/>
      <w:numFmt w:val="bullet"/>
      <w:lvlText w:val="•"/>
      <w:lvlJc w:val="left"/>
      <w:pPr>
        <w:ind w:left="8344" w:hanging="720"/>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205"/>
      <w:ind w:left="959" w:hanging="719"/>
      <w:jc w:val="both"/>
      <w:outlineLvl w:val="1"/>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959" w:hanging="719"/>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oter" Target="footer2.xml"/><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hyperlink" Target="http://www.ruraledu.org/user_uploads/file/Dollars_and_Sense.pdf" TargetMode="External"/><Relationship Id="rId28" Type="http://schemas.openxmlformats.org/officeDocument/2006/relationships/hyperlink" Target="https://doi.org/10.1007/s41324-018-0227-6" TargetMode="External"/><Relationship Id="rId29" Type="http://schemas.openxmlformats.org/officeDocument/2006/relationships/hyperlink" Target="https://doi.org/10.3390/land7030086" TargetMode="External"/><Relationship Id="rId30" Type="http://schemas.openxmlformats.org/officeDocument/2006/relationships/hyperlink" Target="https://hdl.handle.net/10419/30145" TargetMode="External"/><Relationship Id="rId31" Type="http://schemas.openxmlformats.org/officeDocument/2006/relationships/hyperlink" Target="https://doi.org/10.1111/Gec3.12444" TargetMode="External"/><Relationship Id="rId32" Type="http://schemas.openxmlformats.org/officeDocument/2006/relationships/hyperlink" Target="http://dhsprogram.com/pubs/pdf/FR359/FR359.pdf" TargetMode="External"/><Relationship Id="rId33" Type="http://schemas.openxmlformats.org/officeDocument/2006/relationships/hyperlink" Target="https://www.rspatial.org/index.html" TargetMode="External"/><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2023-11-01T16:00:49Z</dcterms:created>
  <dcterms:modified xsi:type="dcterms:W3CDTF">2023-11-01T16:00:49Z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2022-03-16T00:00:00Z</vt:filetime>
  </property>
  <property fmtid="{D5CDD505-2E9C-101B-9397-08002B2CF9AE}" pid="3" name="Creator">
    <vt:lpwstr>Microsoft® Word 2013</vt:lpwstr>
  </property>
  <property fmtid="{D5CDD505-2E9C-101B-9397-08002B2CF9AE}" pid="4" name="LastSaved">
    <vt:filetime>2023-11-01T00:00:00Z</vt:filetime>
  </property>
  <property fmtid="{D5CDD505-2E9C-101B-9397-08002B2CF9AE}" pid="5" name="Producer">
    <vt:lpwstr>Microsoft® Word 2013</vt:lpwstr>
  </property>
</Properties>
</file>