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7"/>
        <w:ind w:left="605" w:right="1276" w:hanging="7"/>
        <w:jc w:val="center"/>
        <w:rPr>
          <w:b/>
          <w:sz w:val="24"/>
        </w:rPr>
      </w:pPr>
      <w:r>
        <w:rPr>
          <w:b/>
          <w:sz w:val="24"/>
        </w:rPr>
        <w:t>ANALYSIS OF FACTORS INFLUENCING PRIVATE REAL ESTATE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BIDA,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2742" w:right="341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276" w:lineRule="auto" w:before="0"/>
        <w:ind w:left="2742" w:right="3417" w:firstLine="0"/>
        <w:jc w:val="center"/>
        <w:rPr>
          <w:b/>
          <w:sz w:val="24"/>
        </w:rPr>
      </w:pPr>
      <w:r>
        <w:rPr>
          <w:b/>
          <w:sz w:val="24"/>
        </w:rPr>
        <w:t>MOHAMMED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MAISHERA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USMAN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MTECH/SET/2017/7548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177"/>
        <w:ind w:left="1138" w:right="1817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ESTATE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</w:t>
      </w:r>
    </w:p>
    <w:p>
      <w:pPr>
        <w:spacing w:line="275" w:lineRule="exact" w:before="0"/>
        <w:ind w:left="2742" w:right="3412" w:firstLine="0"/>
        <w:jc w:val="center"/>
        <w:rPr>
          <w:b/>
          <w:sz w:val="24"/>
        </w:rPr>
      </w:pP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2742" w:right="3417" w:firstLine="0"/>
        <w:jc w:val="center"/>
        <w:rPr>
          <w:b/>
          <w:sz w:val="24"/>
        </w:rPr>
      </w:pPr>
      <w:r>
        <w:rPr>
          <w:b/>
          <w:sz w:val="24"/>
        </w:rPr>
        <w:t>MARCH,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935" w:top="1340" w:bottom="1120" w:left="1720" w:right="480"/>
          <w:pgNumType w:start="1"/>
        </w:sectPr>
      </w:pPr>
    </w:p>
    <w:p>
      <w:pPr>
        <w:spacing w:line="276" w:lineRule="auto" w:before="77"/>
        <w:ind w:left="265" w:right="1612" w:firstLine="0"/>
        <w:jc w:val="left"/>
        <w:rPr>
          <w:b/>
          <w:sz w:val="24"/>
        </w:rPr>
      </w:pPr>
      <w:r>
        <w:rPr>
          <w:b/>
          <w:sz w:val="24"/>
        </w:rPr>
        <w:t>ANALYSIS OF FACTORS INFLUENCING PRIVATE REAL ESTATE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BIDA,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2742" w:right="341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276" w:lineRule="auto" w:before="0"/>
        <w:ind w:left="2742" w:right="3417" w:firstLine="0"/>
        <w:jc w:val="center"/>
        <w:rPr>
          <w:b/>
          <w:sz w:val="24"/>
        </w:rPr>
      </w:pPr>
      <w:r>
        <w:rPr>
          <w:b/>
          <w:sz w:val="24"/>
        </w:rPr>
        <w:t>MOHAMMED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MAISHERA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USMAN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MTECH/SET/2017/7548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177"/>
        <w:ind w:left="305" w:right="976" w:hanging="9"/>
        <w:jc w:val="center"/>
        <w:rPr>
          <w:b/>
          <w:sz w:val="24"/>
        </w:rPr>
      </w:pPr>
      <w:r>
        <w:rPr>
          <w:b/>
          <w:sz w:val="24"/>
        </w:rPr>
        <w:t>A THESIS SUBMITTED TO THE POSTGRADUATE SCHOOL, FEDERAL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FULFILMENT OF THE REQUIREMENTS FOR THE AWARD OF THE DEGREE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MASTER OF TECHNOLOGY (M.TECH) IN ESTATE MANAGEMENT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VALUATION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5"/>
        <w:ind w:left="2742" w:right="3417" w:firstLine="0"/>
        <w:jc w:val="center"/>
        <w:rPr>
          <w:b/>
          <w:sz w:val="24"/>
        </w:rPr>
      </w:pPr>
      <w:r>
        <w:rPr>
          <w:b/>
          <w:sz w:val="24"/>
        </w:rPr>
        <w:t>MARCH,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5" w:top="1340" w:bottom="1200" w:left="1720" w:right="480"/>
        </w:sectPr>
      </w:pPr>
    </w:p>
    <w:p>
      <w:pPr>
        <w:spacing w:before="75"/>
        <w:ind w:left="2742" w:right="3413" w:firstLine="0"/>
        <w:jc w:val="center"/>
        <w:rPr>
          <w:b/>
          <w:sz w:val="24"/>
        </w:rPr>
      </w:pPr>
      <w:bookmarkStart w:name="_bookmark0" w:id="1"/>
      <w:bookmarkEnd w:id="1"/>
      <w:r>
        <w:rPr/>
      </w:r>
      <w:r>
        <w:rPr>
          <w:b/>
          <w:sz w:val="24"/>
        </w:rPr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265" w:right="932"/>
        <w:jc w:val="both"/>
      </w:pPr>
      <w:r>
        <w:rPr/>
        <w:t>Peri-urban is the transition zone between well organized, recognized urban land uses and</w:t>
      </w:r>
      <w:r>
        <w:rPr>
          <w:spacing w:val="1"/>
        </w:rPr>
        <w:t> </w:t>
      </w:r>
      <w:r>
        <w:rPr/>
        <w:t>areas devoted to agriculture. The study examined the trend of private development across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peri-urban</w:t>
      </w:r>
      <w:r>
        <w:rPr>
          <w:spacing w:val="33"/>
        </w:rPr>
        <w:t> </w:t>
      </w:r>
      <w:r>
        <w:rPr/>
        <w:t>area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town.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study</w:t>
      </w:r>
      <w:r>
        <w:rPr>
          <w:spacing w:val="28"/>
        </w:rPr>
        <w:t> </w:t>
      </w:r>
      <w:r>
        <w:rPr/>
        <w:t>administered</w:t>
      </w:r>
      <w:r>
        <w:rPr>
          <w:spacing w:val="33"/>
        </w:rPr>
        <w:t> </w:t>
      </w:r>
      <w:r>
        <w:rPr/>
        <w:t>400</w:t>
      </w:r>
      <w:r>
        <w:rPr>
          <w:spacing w:val="33"/>
        </w:rPr>
        <w:t> </w:t>
      </w:r>
      <w:r>
        <w:rPr/>
        <w:t>closed</w:t>
      </w:r>
      <w:r>
        <w:rPr>
          <w:spacing w:val="35"/>
        </w:rPr>
        <w:t> </w:t>
      </w:r>
      <w:r>
        <w:rPr/>
        <w:t>ended</w:t>
      </w:r>
      <w:r>
        <w:rPr>
          <w:spacing w:val="32"/>
        </w:rPr>
        <w:t> </w:t>
      </w:r>
      <w:r>
        <w:rPr/>
        <w:t>questionnaires</w:t>
      </w:r>
      <w:r>
        <w:rPr>
          <w:spacing w:val="-57"/>
        </w:rPr>
        <w:t> </w:t>
      </w:r>
      <w:r>
        <w:rPr/>
        <w:t>and the total of 235 questionnaires were retrieved through random sampling technique. The</w:t>
      </w:r>
      <w:r>
        <w:rPr>
          <w:spacing w:val="1"/>
        </w:rPr>
        <w:t> </w:t>
      </w:r>
      <w:r>
        <w:rPr/>
        <w:t>study utilized both descriptive and inferential method of data analysis as well GIS tool. The</w:t>
      </w:r>
      <w:r>
        <w:rPr>
          <w:spacing w:val="-57"/>
        </w:rPr>
        <w:t> </w:t>
      </w:r>
      <w:r>
        <w:rPr/>
        <w:t>result of analysis of GIS revealed that there is continuous sprawling in residential land use</w:t>
      </w:r>
      <w:r>
        <w:rPr>
          <w:spacing w:val="1"/>
        </w:rPr>
        <w:t> </w:t>
      </w:r>
      <w:r>
        <w:rPr/>
        <w:t>development in peri-urban area of Bida. Also the spatial analysis of the area revealed that</w:t>
      </w:r>
      <w:r>
        <w:rPr>
          <w:spacing w:val="1"/>
        </w:rPr>
        <w:t> </w:t>
      </w:r>
      <w:r>
        <w:rPr/>
        <w:t>there is an overlapping function in land use where agricultural land use area continues to be</w:t>
      </w:r>
      <w:r>
        <w:rPr>
          <w:spacing w:val="-57"/>
        </w:rPr>
        <w:t> </w:t>
      </w:r>
      <w:r>
        <w:rPr/>
        <w:t>substituted for residential land use. the result of mean revealed that three major drivers of</w:t>
      </w:r>
      <w:r>
        <w:rPr>
          <w:spacing w:val="1"/>
        </w:rPr>
        <w:t> </w:t>
      </w:r>
      <w:r>
        <w:rPr/>
        <w:t>peri-urban development</w:t>
      </w:r>
      <w:r>
        <w:rPr>
          <w:spacing w:val="1"/>
        </w:rPr>
        <w:t> </w:t>
      </w:r>
      <w:r>
        <w:rPr/>
        <w:t>to includes urban expansion, large scale public investment and</w:t>
      </w:r>
      <w:r>
        <w:rPr>
          <w:spacing w:val="1"/>
        </w:rPr>
        <w:t> </w:t>
      </w:r>
      <w:r>
        <w:rPr/>
        <w:t>availability of social amenities and were ranked in order of relative importance 94%, 93.6%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92.6% respectively and</w:t>
      </w:r>
      <w:r>
        <w:rPr>
          <w:spacing w:val="1"/>
        </w:rPr>
        <w:t> </w:t>
      </w:r>
      <w:r>
        <w:rPr/>
        <w:t>the factor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revealed 76.145% of</w:t>
      </w:r>
      <w:r>
        <w:rPr>
          <w:spacing w:val="1"/>
        </w:rPr>
        <w:t> </w:t>
      </w:r>
      <w:r>
        <w:rPr/>
        <w:t>variability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identified twenty-two (22) factors influencing peri-urban development comprised of eight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environmental and market factor, physical infrastructure factors, communication networks</w:t>
      </w:r>
      <w:r>
        <w:rPr>
          <w:spacing w:val="1"/>
        </w:rPr>
        <w:t> </w:t>
      </w:r>
      <w:r>
        <w:rPr/>
        <w:t>and security, urban factors, migration and low labor price, community service factor and</w:t>
      </w:r>
      <w:r>
        <w:rPr>
          <w:spacing w:val="1"/>
        </w:rPr>
        <w:t> </w:t>
      </w:r>
      <w:r>
        <w:rPr/>
        <w:t>climate and planning factor. The study concludes that urban sprawl will continue to emerge</w:t>
      </w:r>
      <w:r>
        <w:rPr>
          <w:spacing w:val="-57"/>
        </w:rPr>
        <w:t> </w:t>
      </w:r>
      <w:r>
        <w:rPr/>
        <w:t>unless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recommends that</w:t>
      </w:r>
      <w:r>
        <w:rPr>
          <w:spacing w:val="1"/>
        </w:rPr>
        <w:t> </w:t>
      </w:r>
      <w:r>
        <w:rPr/>
        <w:t>building specification and development of master plan that specified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land uses should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embarked upon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</w:p>
    <w:p>
      <w:pPr>
        <w:spacing w:after="0"/>
        <w:jc w:val="both"/>
        <w:sectPr>
          <w:pgSz w:w="12240" w:h="15840"/>
          <w:pgMar w:header="0" w:footer="935" w:top="1340" w:bottom="1200" w:left="1720" w:right="480"/>
        </w:sect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3145"/>
        <w:gridCol w:w="3593"/>
      </w:tblGrid>
      <w:tr>
        <w:trPr>
          <w:trHeight w:val="527" w:hRule="atLeast"/>
        </w:trPr>
        <w:tc>
          <w:tcPr>
            <w:tcW w:w="29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45" w:type="dxa"/>
          </w:tcPr>
          <w:p>
            <w:pPr>
              <w:pStyle w:val="TableParagraph"/>
              <w:spacing w:line="266" w:lineRule="exact"/>
              <w:ind w:left="256"/>
              <w:rPr>
                <w:b/>
                <w:sz w:val="24"/>
              </w:rPr>
            </w:pPr>
            <w:bookmarkStart w:name="_bookmark1" w:id="2"/>
            <w:bookmarkEnd w:id="2"/>
            <w:r>
              <w:rPr/>
            </w: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</w:tc>
        <w:tc>
          <w:tcPr>
            <w:tcW w:w="35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6" w:hRule="atLeast"/>
        </w:trPr>
        <w:tc>
          <w:tcPr>
            <w:tcW w:w="298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446" w:lineRule="auto"/>
              <w:ind w:left="50" w:right="236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ACKNOWLEDGEMENTS</w:t>
            </w:r>
            <w:r>
              <w:rPr>
                <w:spacing w:val="-58"/>
                <w:sz w:val="24"/>
              </w:rPr>
              <w:t> </w:t>
            </w:r>
            <w:hyperlink w:history="true" w:anchor="_bookmark0">
              <w:r>
                <w:rPr>
                  <w:sz w:val="24"/>
                </w:rPr>
                <w:t>ABSTRACT</w:t>
              </w:r>
            </w:hyperlink>
          </w:p>
          <w:p>
            <w:pPr>
              <w:pStyle w:val="TableParagraph"/>
              <w:spacing w:line="446" w:lineRule="auto" w:before="4"/>
              <w:ind w:left="50" w:right="613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TABLE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9"/>
                  <w:sz w:val="24"/>
                </w:rPr>
                <w:t> </w:t>
              </w:r>
              <w:r>
                <w:rPr>
                  <w:sz w:val="24"/>
                </w:rPr>
                <w:t>CONTENT</w:t>
              </w:r>
            </w:hyperlink>
            <w:r>
              <w:rPr>
                <w:spacing w:val="-57"/>
                <w:sz w:val="24"/>
              </w:rPr>
              <w:t> </w:t>
            </w:r>
            <w:hyperlink w:history="true" w:anchor="_bookmark2">
              <w:r>
                <w:rPr>
                  <w:sz w:val="24"/>
                </w:rPr>
                <w:t>LIST OF TABLES</w:t>
              </w:r>
            </w:hyperlink>
            <w:r>
              <w:rPr>
                <w:spacing w:val="1"/>
                <w:sz w:val="24"/>
              </w:rPr>
              <w:t> </w:t>
            </w:r>
            <w:hyperlink w:history="true" w:anchor="_bookmark3">
              <w:r>
                <w:rPr>
                  <w:sz w:val="24"/>
                </w:rPr>
                <w:t>LIST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FIGURES</w:t>
              </w:r>
            </w:hyperlink>
          </w:p>
        </w:tc>
        <w:tc>
          <w:tcPr>
            <w:tcW w:w="31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3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446" w:lineRule="auto"/>
              <w:ind w:left="434" w:right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Error! Bookmark not defined.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Error! Bookmark not defined.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Error! Bookmark not defined.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Error!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Bookmark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defined.</w:t>
            </w:r>
          </w:p>
          <w:p>
            <w:pPr>
              <w:pStyle w:val="TableParagraph"/>
              <w:spacing w:line="446" w:lineRule="auto" w:before="1"/>
              <w:ind w:left="3220" w:right="48" w:firstLine="120"/>
              <w:jc w:val="both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iii</w:t>
              </w:r>
            </w:hyperlink>
            <w:r>
              <w:rPr>
                <w:spacing w:val="-58"/>
                <w:sz w:val="24"/>
              </w:rPr>
              <w:t> </w:t>
            </w:r>
            <w:hyperlink w:history="true" w:anchor="_bookmark1">
              <w:r>
                <w:rPr>
                  <w:sz w:val="24"/>
                </w:rPr>
                <w:t>iv</w:t>
              </w:r>
            </w:hyperlink>
            <w:r>
              <w:rPr>
                <w:spacing w:val="1"/>
                <w:sz w:val="24"/>
              </w:rPr>
              <w:t> </w:t>
            </w:r>
            <w:hyperlink w:history="true" w:anchor="_bookmark2">
              <w:r>
                <w:rPr>
                  <w:sz w:val="24"/>
                </w:rPr>
                <w:t>viii</w:t>
              </w:r>
            </w:hyperlink>
            <w:r>
              <w:rPr>
                <w:spacing w:val="-58"/>
                <w:sz w:val="24"/>
              </w:rPr>
              <w:t> </w:t>
            </w:r>
            <w:hyperlink w:history="true" w:anchor="_bookmark3">
              <w:r>
                <w:rPr>
                  <w:sz w:val="24"/>
                </w:rPr>
                <w:t>ix</w:t>
              </w:r>
            </w:hyperlink>
          </w:p>
        </w:tc>
      </w:tr>
      <w:tr>
        <w:trPr>
          <w:trHeight w:val="646" w:hRule="atLeast"/>
        </w:trPr>
        <w:tc>
          <w:tcPr>
            <w:tcW w:w="2986" w:type="dxa"/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hyperlink w:history="true" w:anchor="_bookmark4">
              <w:r>
                <w:rPr>
                  <w:sz w:val="24"/>
                </w:rPr>
                <w:t>CHAPTER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ONE</w:t>
              </w:r>
            </w:hyperlink>
          </w:p>
        </w:tc>
        <w:tc>
          <w:tcPr>
            <w:tcW w:w="31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3" w:type="dxa"/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line="256" w:lineRule="exact"/>
              <w:ind w:right="50"/>
              <w:jc w:val="right"/>
              <w:rPr>
                <w:sz w:val="24"/>
              </w:rPr>
            </w:pPr>
            <w:hyperlink w:history="true" w:anchor="_bookmark4">
              <w:r>
                <w:rPr>
                  <w:sz w:val="24"/>
                </w:rPr>
                <w:t>1</w:t>
              </w:r>
            </w:hyperlink>
          </w:p>
        </w:tc>
      </w:tr>
    </w:tbl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935" w:top="1420" w:bottom="1675" w:left="1720" w:right="4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90" w:after="0"/>
            <w:ind w:left="805" w:right="0" w:hanging="541"/>
            <w:jc w:val="left"/>
          </w:pPr>
          <w:hyperlink w:history="true" w:anchor="_bookmark5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38" w:after="0"/>
            <w:ind w:left="805" w:right="0" w:hanging="541"/>
            <w:jc w:val="left"/>
          </w:pPr>
          <w:hyperlink w:history="true" w:anchor="_bookmark6">
            <w:r>
              <w:rPr/>
              <w:t>Background 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40" w:after="0"/>
            <w:ind w:left="805" w:right="0" w:hanging="541"/>
            <w:jc w:val="left"/>
          </w:pPr>
          <w:hyperlink w:history="true" w:anchor="_bookmark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38" w:after="0"/>
            <w:ind w:left="805" w:right="0" w:hanging="541"/>
            <w:jc w:val="left"/>
          </w:pPr>
          <w:hyperlink w:history="true" w:anchor="_bookmark8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37" w:after="0"/>
            <w:ind w:left="805" w:right="0" w:hanging="541"/>
            <w:jc w:val="left"/>
          </w:pPr>
          <w:hyperlink w:history="true" w:anchor="_bookmark9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38" w:after="0"/>
            <w:ind w:left="805" w:right="0" w:hanging="541"/>
            <w:jc w:val="left"/>
          </w:pPr>
          <w:hyperlink w:history="true" w:anchor="_bookmark10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</w:r>
          </w:hyperlink>
          <w:r>
            <w:rPr/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38" w:after="0"/>
            <w:ind w:left="805" w:right="0" w:hanging="541"/>
            <w:jc w:val="left"/>
          </w:pPr>
          <w:hyperlink w:history="true" w:anchor="_bookmark11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05" w:val="left" w:leader="none"/>
              <w:tab w:pos="806" w:val="left" w:leader="none"/>
              <w:tab w:pos="9886" w:val="right" w:leader="none"/>
            </w:tabs>
            <w:spacing w:line="240" w:lineRule="auto" w:before="237" w:after="0"/>
            <w:ind w:left="805" w:right="0" w:hanging="541"/>
            <w:jc w:val="left"/>
          </w:pPr>
          <w:hyperlink w:history="true" w:anchor="_bookmark12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65" w:val="left" w:leader="none"/>
              <w:tab w:pos="866" w:val="left" w:leader="none"/>
              <w:tab w:pos="9886" w:val="right" w:leader="none"/>
            </w:tabs>
            <w:spacing w:line="240" w:lineRule="auto" w:before="240" w:after="0"/>
            <w:ind w:left="865" w:right="0" w:hanging="601"/>
            <w:jc w:val="left"/>
          </w:pPr>
          <w:hyperlink w:history="true" w:anchor="_bookmark13"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926" w:val="left" w:leader="none"/>
              <w:tab w:pos="9886" w:val="right" w:leader="none"/>
            </w:tabs>
            <w:spacing w:line="240" w:lineRule="auto" w:before="239" w:after="0"/>
            <w:ind w:left="925" w:right="0" w:hanging="661"/>
            <w:jc w:val="left"/>
          </w:pPr>
          <w:hyperlink w:history="true" w:anchor="_bookmark14">
            <w:r>
              <w:rPr/>
              <w:t>Historical</w:t>
            </w:r>
            <w:r>
              <w:rPr>
                <w:spacing w:val="-1"/>
              </w:rPr>
              <w:t> </w:t>
            </w:r>
            <w:r>
              <w:rPr/>
              <w:t>Development of</w:t>
            </w:r>
            <w:r>
              <w:rPr>
                <w:spacing w:val="-1"/>
              </w:rPr>
              <w:t> </w:t>
            </w:r>
            <w:r>
              <w:rPr/>
              <w:t>the Study</w:t>
            </w:r>
            <w:r>
              <w:rPr>
                <w:spacing w:val="-5"/>
              </w:rPr>
              <w:t> </w:t>
            </w:r>
            <w:r>
              <w:rPr/>
              <w:t>Area</w:t>
            </w:r>
          </w:hyperlink>
          <w:r>
            <w:rPr/>
            <w:tab/>
            <w:t>9</w:t>
          </w:r>
        </w:p>
        <w:p>
          <w:pPr>
            <w:pStyle w:val="TOC1"/>
            <w:tabs>
              <w:tab w:pos="985" w:val="left" w:leader="none"/>
              <w:tab w:pos="9887" w:val="right" w:leader="none"/>
            </w:tabs>
            <w:spacing w:before="381"/>
            <w:ind w:left="265" w:firstLine="0"/>
            <w:rPr>
              <w:rFonts w:ascii="Calibri"/>
              <w:sz w:val="22"/>
            </w:rPr>
          </w:pPr>
          <w:hyperlink w:history="true" w:anchor="_bookmark15">
            <w:r>
              <w:rPr/>
              <w:t>1.8.3</w:t>
              <w:tab/>
              <w:t>Geographical</w:t>
            </w:r>
            <w:r>
              <w:rPr>
                <w:spacing w:val="1"/>
              </w:rPr>
              <w:t> </w:t>
            </w:r>
            <w:r>
              <w:rPr/>
              <w:t>Location</w:t>
              <w:tab/>
              <w:t>1</w:t>
            </w:r>
          </w:hyperlink>
          <w:r>
            <w:rPr>
              <w:rFonts w:ascii="Calibri"/>
              <w:sz w:val="22"/>
            </w:rPr>
            <w:t>0</w:t>
          </w:r>
        </w:p>
        <w:p>
          <w:pPr>
            <w:pStyle w:val="TOC1"/>
            <w:tabs>
              <w:tab w:pos="985" w:val="left" w:leader="none"/>
              <w:tab w:pos="9887" w:val="right" w:leader="none"/>
            </w:tabs>
            <w:ind w:left="265" w:firstLine="0"/>
            <w:rPr>
              <w:rFonts w:ascii="Calibri"/>
              <w:sz w:val="22"/>
            </w:rPr>
          </w:pPr>
          <w:hyperlink w:history="true" w:anchor="_bookmark16">
            <w:r>
              <w:rPr/>
              <w:t>1.8.2</w:t>
              <w:tab/>
              <w:t>Population</w:t>
              <w:tab/>
              <w:t>11</w:t>
            </w:r>
          </w:hyperlink>
          <w:r>
            <w:rPr>
              <w:rFonts w:ascii="Calibri"/>
              <w:sz w:val="22"/>
            </w:rPr>
            <w:t>1</w:t>
          </w:r>
        </w:p>
        <w:p>
          <w:pPr>
            <w:pStyle w:val="TOC1"/>
            <w:tabs>
              <w:tab w:pos="1045" w:val="left" w:leader="none"/>
              <w:tab w:pos="9887" w:val="right" w:leader="none"/>
            </w:tabs>
            <w:spacing w:before="237" w:after="209"/>
            <w:ind w:left="265" w:firstLine="0"/>
            <w:rPr>
              <w:rFonts w:ascii="Calibri"/>
              <w:sz w:val="22"/>
            </w:rPr>
          </w:pPr>
          <w:hyperlink w:history="true" w:anchor="_bookmark17">
            <w:r>
              <w:rPr/>
              <w:t>1.8.4</w:t>
              <w:tab/>
              <w:t>Administration</w:t>
              <w:tab/>
              <w:t>11</w:t>
            </w:r>
          </w:hyperlink>
          <w:r>
            <w:rPr>
              <w:rFonts w:ascii="Calibri"/>
              <w:sz w:val="22"/>
            </w:rPr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865" w:val="left" w:leader="none"/>
              <w:tab w:pos="866" w:val="left" w:leader="none"/>
              <w:tab w:pos="9887" w:val="right" w:leader="none"/>
            </w:tabs>
            <w:spacing w:line="240" w:lineRule="auto" w:before="77" w:after="0"/>
            <w:ind w:left="865" w:right="0" w:hanging="601"/>
            <w:jc w:val="left"/>
            <w:rPr>
              <w:rFonts w:ascii="Calibri"/>
              <w:sz w:val="22"/>
            </w:rPr>
          </w:pPr>
          <w:hyperlink w:history="true" w:anchor="_bookmark17">
            <w:r>
              <w:rPr/>
              <w:t>Administration</w:t>
              <w:tab/>
              <w:t>11</w:t>
            </w:r>
          </w:hyperlink>
          <w:r>
            <w:rPr>
              <w:rFonts w:ascii="Calibri"/>
              <w:sz w:val="22"/>
            </w:rPr>
            <w:t>2</w:t>
          </w:r>
        </w:p>
      </w:sdtContent>
    </w:sdt>
    <w:p>
      <w:pPr>
        <w:spacing w:after="0" w:line="240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40" w:bottom="1675" w:left="1720" w:right="4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2"/>
        </w:r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9"/>
        <w:gridCol w:w="1574"/>
      </w:tblGrid>
      <w:tr>
        <w:trPr>
          <w:trHeight w:val="394" w:hRule="atLeast"/>
        </w:trPr>
        <w:tc>
          <w:tcPr>
            <w:tcW w:w="814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hyperlink w:history="true" w:anchor="_bookmark21">
              <w:r>
                <w:rPr>
                  <w:sz w:val="24"/>
                </w:rPr>
                <w:t>CHAPTER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TWO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line="273" w:lineRule="exact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1">
              <w:r>
                <w:rPr>
                  <w:sz w:val="24"/>
                </w:rPr>
                <w:t>16</w:t>
              </w:r>
            </w:hyperlink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22">
              <w:r>
                <w:rPr>
                  <w:sz w:val="24"/>
                </w:rPr>
                <w:t>2.0</w:t>
                <w:tab/>
                <w:t>LITERATURE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REVIEW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2">
              <w:r>
                <w:rPr>
                  <w:sz w:val="24"/>
                </w:rPr>
                <w:t>16</w:t>
              </w:r>
            </w:hyperlink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23">
              <w:r>
                <w:rPr>
                  <w:sz w:val="24"/>
                </w:rPr>
                <w:t>2.1</w:t>
                <w:tab/>
                <w:t>Theoretical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Framework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the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Study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3">
              <w:r>
                <w:rPr>
                  <w:sz w:val="24"/>
                </w:rPr>
                <w:t>16</w:t>
              </w:r>
            </w:hyperlink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522" w:hRule="atLeast"/>
        </w:trPr>
        <w:tc>
          <w:tcPr>
            <w:tcW w:w="814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hyperlink w:history="true" w:anchor="_bookmark24">
              <w:r>
                <w:rPr>
                  <w:sz w:val="24"/>
                </w:rPr>
                <w:t>2.1.1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Travel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Cost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Minimization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Theory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4">
              <w:r>
                <w:rPr>
                  <w:sz w:val="24"/>
                </w:rPr>
                <w:t>16</w:t>
              </w:r>
            </w:hyperlink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522" w:hRule="atLeast"/>
        </w:trPr>
        <w:tc>
          <w:tcPr>
            <w:tcW w:w="8149" w:type="dxa"/>
          </w:tcPr>
          <w:p>
            <w:pPr>
              <w:pStyle w:val="TableParagraph"/>
              <w:spacing w:before="117"/>
              <w:ind w:left="50"/>
              <w:rPr>
                <w:sz w:val="24"/>
              </w:rPr>
            </w:pPr>
            <w:hyperlink w:history="true" w:anchor="_bookmark25">
              <w:r>
                <w:rPr>
                  <w:sz w:val="24"/>
                </w:rPr>
                <w:t>2.1.2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Travel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Cost and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Housing Cost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Trade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Off Theory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5">
              <w:r>
                <w:rPr>
                  <w:sz w:val="24"/>
                </w:rPr>
                <w:t>17</w:t>
              </w:r>
            </w:hyperlink>
            <w:r>
              <w:rPr>
                <w:rFonts w:ascii="Calibri"/>
                <w:sz w:val="22"/>
              </w:rPr>
              <w:t>7</w:t>
            </w:r>
          </w:p>
        </w:tc>
      </w:tr>
      <w:tr>
        <w:trPr>
          <w:trHeight w:val="521" w:hRule="atLeast"/>
        </w:trPr>
        <w:tc>
          <w:tcPr>
            <w:tcW w:w="814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hyperlink w:history="true" w:anchor="_bookmark26">
              <w:r>
                <w:rPr>
                  <w:sz w:val="24"/>
                </w:rPr>
                <w:t>2.1.3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Maximum housing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expenditure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theory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6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6">
              <w:r>
                <w:rPr>
                  <w:sz w:val="24"/>
                </w:rPr>
                <w:t>18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27">
              <w:r>
                <w:rPr>
                  <w:sz w:val="24"/>
                </w:rPr>
                <w:t>2.2</w:t>
                <w:tab/>
                <w:t>Concept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Property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7">
              <w:r>
                <w:rPr>
                  <w:sz w:val="24"/>
                </w:rPr>
                <w:t>19</w:t>
              </w:r>
            </w:hyperlink>
            <w:r>
              <w:rPr>
                <w:rFonts w:ascii="Calibri"/>
                <w:sz w:val="22"/>
              </w:rPr>
              <w:t>9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29">
              <w:r>
                <w:rPr>
                  <w:sz w:val="24"/>
                </w:rPr>
                <w:t>2.3</w:t>
                <w:tab/>
                <w:t>Concept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Areas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29">
              <w:r>
                <w:rPr>
                  <w:sz w:val="24"/>
                </w:rPr>
                <w:t>22</w:t>
              </w:r>
            </w:hyperlink>
            <w:r>
              <w:rPr>
                <w:rFonts w:ascii="Calibri"/>
                <w:sz w:val="22"/>
              </w:rPr>
              <w:t>2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30">
              <w:r>
                <w:rPr>
                  <w:sz w:val="24"/>
                </w:rPr>
                <w:t>2.4</w:t>
                <w:tab/>
                <w:t>Concept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 Land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0">
              <w:r>
                <w:rPr>
                  <w:sz w:val="24"/>
                </w:rPr>
                <w:t>24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31">
              <w:r>
                <w:rPr>
                  <w:sz w:val="24"/>
                </w:rPr>
                <w:t>2.5</w:t>
                <w:tab/>
                <w:t>Relationship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between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Areas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Physical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1">
              <w:r>
                <w:rPr>
                  <w:sz w:val="24"/>
                </w:rPr>
                <w:t>29</w:t>
              </w:r>
            </w:hyperlink>
            <w:r>
              <w:rPr>
                <w:rFonts w:ascii="Calibri"/>
                <w:sz w:val="22"/>
              </w:rPr>
              <w:t>9</w:t>
            </w:r>
          </w:p>
        </w:tc>
      </w:tr>
      <w:tr>
        <w:trPr>
          <w:trHeight w:val="519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32">
              <w:r>
                <w:rPr>
                  <w:sz w:val="24"/>
                </w:rPr>
                <w:t>2.6</w:t>
                <w:tab/>
                <w:t>Drivers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2">
              <w:r>
                <w:rPr>
                  <w:sz w:val="24"/>
                </w:rPr>
                <w:t>31</w:t>
              </w:r>
            </w:hyperlink>
            <w:r>
              <w:rPr>
                <w:rFonts w:ascii="Calibri"/>
                <w:sz w:val="22"/>
              </w:rPr>
              <w:t>1</w:t>
            </w:r>
          </w:p>
        </w:tc>
      </w:tr>
      <w:tr>
        <w:trPr>
          <w:trHeight w:val="514" w:hRule="atLeast"/>
        </w:trPr>
        <w:tc>
          <w:tcPr>
            <w:tcW w:w="8149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hyperlink w:history="true" w:anchor="_bookmark33">
              <w:r>
                <w:rPr>
                  <w:sz w:val="24"/>
                </w:rPr>
                <w:t>2.6.1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Large-scale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investment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16" w:hRule="atLeast"/>
        </w:trPr>
        <w:tc>
          <w:tcPr>
            <w:tcW w:w="8149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hyperlink w:history="true" w:anchor="_bookmark34">
              <w:r>
                <w:rPr>
                  <w:sz w:val="24"/>
                </w:rPr>
                <w:t>2.6.2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Public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Policy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4"/>
              <w:ind w:right="49"/>
              <w:jc w:val="right"/>
              <w:rPr>
                <w:sz w:val="24"/>
              </w:rPr>
            </w:pPr>
            <w:hyperlink w:history="true" w:anchor="_bookmark34">
              <w:r>
                <w:rPr>
                  <w:sz w:val="24"/>
                </w:rPr>
                <w:t>32</w:t>
              </w:r>
            </w:hyperlink>
            <w:r>
              <w:rPr>
                <w:sz w:val="24"/>
              </w:rPr>
              <w:t>32</w:t>
            </w:r>
          </w:p>
        </w:tc>
      </w:tr>
      <w:tr>
        <w:trPr>
          <w:trHeight w:val="521" w:hRule="atLeast"/>
        </w:trPr>
        <w:tc>
          <w:tcPr>
            <w:tcW w:w="814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hyperlink w:history="true" w:anchor="_bookmark35">
              <w:r>
                <w:rPr>
                  <w:sz w:val="24"/>
                </w:rPr>
                <w:t>2.6.3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Availability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Relatively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Inexpensive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Labor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6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5">
              <w:r>
                <w:rPr>
                  <w:sz w:val="24"/>
                </w:rPr>
                <w:t>34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hyperlink w:history="true" w:anchor="_bookmark36">
              <w:r>
                <w:rPr>
                  <w:sz w:val="24"/>
                </w:rPr>
                <w:t>2.6.4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Residential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6">
              <w:r>
                <w:rPr>
                  <w:sz w:val="24"/>
                </w:rPr>
                <w:t>34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hyperlink w:history="true" w:anchor="_bookmark37">
              <w:r>
                <w:rPr>
                  <w:sz w:val="24"/>
                </w:rPr>
                <w:t>2.6.5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Migration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7">
              <w:r>
                <w:rPr>
                  <w:sz w:val="24"/>
                </w:rPr>
                <w:t>35</w:t>
              </w:r>
            </w:hyperlink>
            <w:r>
              <w:rPr>
                <w:rFonts w:ascii="Calibri"/>
                <w:sz w:val="22"/>
              </w:rPr>
              <w:t>5</w:t>
            </w:r>
          </w:p>
        </w:tc>
      </w:tr>
      <w:tr>
        <w:trPr>
          <w:trHeight w:val="518" w:hRule="atLeast"/>
        </w:trPr>
        <w:tc>
          <w:tcPr>
            <w:tcW w:w="814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hyperlink w:history="true" w:anchor="_bookmark38">
              <w:r>
                <w:rPr>
                  <w:sz w:val="24"/>
                </w:rPr>
                <w:t>2.6.6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expansion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38">
              <w:r>
                <w:rPr>
                  <w:sz w:val="24"/>
                </w:rPr>
                <w:t>35</w:t>
              </w:r>
            </w:hyperlink>
            <w:r>
              <w:rPr>
                <w:rFonts w:ascii="Calibri"/>
                <w:sz w:val="22"/>
              </w:rPr>
              <w:t>5</w:t>
            </w:r>
          </w:p>
        </w:tc>
      </w:tr>
      <w:tr>
        <w:trPr>
          <w:trHeight w:val="773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3"/>
              <w:ind w:left="50"/>
              <w:rPr>
                <w:sz w:val="24"/>
              </w:rPr>
            </w:pPr>
            <w:hyperlink w:history="true" w:anchor="_bookmark39">
              <w:r>
                <w:rPr>
                  <w:sz w:val="24"/>
                </w:rPr>
                <w:t>2.7</w:t>
                <w:tab/>
                <w:t>Factors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Influencing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Physical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Development In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Areas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3"/>
              <w:ind w:right="49"/>
              <w:jc w:val="right"/>
              <w:rPr>
                <w:sz w:val="24"/>
              </w:rPr>
            </w:pPr>
            <w:hyperlink w:history="true" w:anchor="_bookmark39">
              <w:r>
                <w:rPr>
                  <w:sz w:val="24"/>
                </w:rPr>
                <w:t>36</w:t>
              </w:r>
            </w:hyperlink>
            <w:r>
              <w:rPr>
                <w:sz w:val="24"/>
              </w:rPr>
              <w:t>5</w:t>
            </w:r>
          </w:p>
        </w:tc>
      </w:tr>
      <w:tr>
        <w:trPr>
          <w:trHeight w:val="779" w:hRule="atLeast"/>
        </w:trPr>
        <w:tc>
          <w:tcPr>
            <w:tcW w:w="8149" w:type="dxa"/>
          </w:tcPr>
          <w:p>
            <w:pPr>
              <w:pStyle w:val="TableParagraph"/>
              <w:spacing w:before="8"/>
              <w:rPr>
                <w:rFonts w:ascii="Calibri"/>
                <w:sz w:val="3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hyperlink w:history="true" w:anchor="_bookmark40">
              <w:r>
                <w:rPr>
                  <w:sz w:val="24"/>
                </w:rPr>
                <w:t>CHAPTER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THREE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8"/>
              <w:rPr>
                <w:rFonts w:ascii="Calibri"/>
                <w:sz w:val="30"/>
              </w:rPr>
            </w:pPr>
          </w:p>
          <w:p>
            <w:pPr>
              <w:pStyle w:val="TableParagraph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40">
              <w:r>
                <w:rPr>
                  <w:sz w:val="24"/>
                </w:rPr>
                <w:t>38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41">
              <w:r>
                <w:rPr>
                  <w:sz w:val="24"/>
                </w:rPr>
                <w:t>3.0</w:t>
                <w:tab/>
                <w:t>RESEARCH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METHODOLOGY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41">
              <w:r>
                <w:rPr>
                  <w:sz w:val="24"/>
                </w:rPr>
                <w:t>38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42">
              <w:r>
                <w:rPr>
                  <w:sz w:val="24"/>
                </w:rPr>
                <w:t>3.1</w:t>
                <w:tab/>
                <w:t>Research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Design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42">
              <w:r>
                <w:rPr>
                  <w:sz w:val="24"/>
                </w:rPr>
                <w:t>38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394" w:hRule="atLeast"/>
        </w:trPr>
        <w:tc>
          <w:tcPr>
            <w:tcW w:w="8149" w:type="dxa"/>
          </w:tcPr>
          <w:p>
            <w:pPr>
              <w:pStyle w:val="TableParagraph"/>
              <w:tabs>
                <w:tab w:pos="589" w:val="left" w:leader="none"/>
              </w:tabs>
              <w:spacing w:line="259" w:lineRule="exact" w:before="115"/>
              <w:ind w:left="50"/>
              <w:rPr>
                <w:sz w:val="24"/>
              </w:rPr>
            </w:pPr>
            <w:hyperlink w:history="true" w:anchor="_bookmark43">
              <w:r>
                <w:rPr>
                  <w:sz w:val="24"/>
                </w:rPr>
                <w:t>3.2</w:t>
                <w:tab/>
                <w:t>Population of the Study</w:t>
              </w:r>
            </w:hyperlink>
          </w:p>
        </w:tc>
        <w:tc>
          <w:tcPr>
            <w:tcW w:w="1574" w:type="dxa"/>
          </w:tcPr>
          <w:p>
            <w:pPr>
              <w:pStyle w:val="TableParagraph"/>
              <w:spacing w:line="259" w:lineRule="exact" w:before="115"/>
              <w:ind w:right="48"/>
              <w:jc w:val="right"/>
              <w:rPr>
                <w:rFonts w:ascii="Calibri"/>
                <w:sz w:val="22"/>
              </w:rPr>
            </w:pPr>
            <w:hyperlink w:history="true" w:anchor="_bookmark43">
              <w:r>
                <w:rPr>
                  <w:sz w:val="24"/>
                </w:rPr>
                <w:t>38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</w:tbl>
    <w:p>
      <w:pPr>
        <w:spacing w:after="0" w:line="259" w:lineRule="exact"/>
        <w:jc w:val="right"/>
        <w:rPr>
          <w:rFonts w:ascii="Calibri"/>
          <w:sz w:val="22"/>
        </w:rPr>
        <w:sectPr>
          <w:type w:val="continuous"/>
          <w:pgSz w:w="12240" w:h="15840"/>
          <w:pgMar w:top="1340" w:bottom="1200" w:left="1720" w:right="480"/>
        </w:sect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3"/>
        <w:gridCol w:w="851"/>
      </w:tblGrid>
      <w:tr>
        <w:trPr>
          <w:trHeight w:val="395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line="266" w:lineRule="exact"/>
              <w:ind w:left="50"/>
              <w:rPr>
                <w:sz w:val="24"/>
              </w:rPr>
            </w:pPr>
            <w:hyperlink w:history="true" w:anchor="_bookmark44">
              <w:r>
                <w:rPr>
                  <w:sz w:val="24"/>
                </w:rPr>
                <w:t>3.3</w:t>
                <w:tab/>
                <w:t>Sources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Data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44">
              <w:r>
                <w:rPr>
                  <w:sz w:val="24"/>
                </w:rPr>
                <w:t>38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hyperlink w:history="true" w:anchor="_bookmark45">
              <w:r>
                <w:rPr>
                  <w:sz w:val="24"/>
                </w:rPr>
                <w:t>3.3.1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Primary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sources of data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6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45">
              <w:r>
                <w:rPr>
                  <w:sz w:val="24"/>
                </w:rPr>
                <w:t>38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hyperlink w:history="true" w:anchor="_bookmark46">
              <w:r>
                <w:rPr>
                  <w:sz w:val="24"/>
                </w:rPr>
                <w:t>3.3.2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Secondary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source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data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46">
              <w:r>
                <w:rPr>
                  <w:sz w:val="24"/>
                </w:rPr>
                <w:t>39</w:t>
              </w:r>
            </w:hyperlink>
            <w:r>
              <w:rPr>
                <w:rFonts w:ascii="Calibri"/>
                <w:sz w:val="22"/>
              </w:rPr>
              <w:t>9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47">
              <w:r>
                <w:rPr>
                  <w:sz w:val="24"/>
                </w:rPr>
                <w:t>3.4</w:t>
                <w:tab/>
                <w:t>Sampling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Techniques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47">
              <w:r>
                <w:rPr>
                  <w:sz w:val="24"/>
                </w:rPr>
                <w:t>39</w:t>
              </w:r>
            </w:hyperlink>
            <w:r>
              <w:rPr>
                <w:rFonts w:ascii="Calibri"/>
                <w:sz w:val="22"/>
              </w:rPr>
              <w:t>9</w:t>
            </w:r>
          </w:p>
        </w:tc>
      </w:tr>
      <w:tr>
        <w:trPr>
          <w:trHeight w:val="522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48">
              <w:r>
                <w:rPr>
                  <w:sz w:val="24"/>
                </w:rPr>
                <w:t>3.5</w:t>
                <w:tab/>
                <w:t>Method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Data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Collection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30"/>
              <w:ind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</w:t>
            </w:r>
          </w:p>
        </w:tc>
      </w:tr>
      <w:tr>
        <w:trPr>
          <w:trHeight w:val="779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7"/>
              <w:ind w:left="50"/>
              <w:rPr>
                <w:sz w:val="24"/>
              </w:rPr>
            </w:pPr>
            <w:hyperlink w:history="true" w:anchor="_bookmark49">
              <w:r>
                <w:rPr>
                  <w:sz w:val="24"/>
                </w:rPr>
                <w:t>3.6</w:t>
                <w:tab/>
                <w:t>Method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Data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Analysis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analytical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techniques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7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49">
              <w:r>
                <w:rPr>
                  <w:sz w:val="24"/>
                </w:rPr>
                <w:t>41</w:t>
              </w:r>
            </w:hyperlink>
            <w:r>
              <w:rPr>
                <w:rFonts w:ascii="Calibri"/>
                <w:sz w:val="22"/>
              </w:rPr>
              <w:t>1</w:t>
            </w:r>
          </w:p>
        </w:tc>
      </w:tr>
      <w:tr>
        <w:trPr>
          <w:trHeight w:val="777" w:hRule="atLeast"/>
        </w:trPr>
        <w:tc>
          <w:tcPr>
            <w:tcW w:w="8873" w:type="dxa"/>
          </w:tcPr>
          <w:p>
            <w:pPr>
              <w:pStyle w:val="TableParagraph"/>
              <w:spacing w:before="6"/>
              <w:rPr>
                <w:rFonts w:ascii="Calibri"/>
                <w:sz w:val="3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hyperlink w:history="true" w:anchor="_bookmark51">
              <w:r>
                <w:rPr>
                  <w:sz w:val="24"/>
                </w:rPr>
                <w:t>CHAPTER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FOUR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6"/>
              <w:rPr>
                <w:rFonts w:ascii="Calibri"/>
                <w:sz w:val="30"/>
              </w:rPr>
            </w:pPr>
          </w:p>
          <w:p>
            <w:pPr>
              <w:pStyle w:val="TableParagraph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1">
              <w:r>
                <w:rPr>
                  <w:sz w:val="24"/>
                </w:rPr>
                <w:t>44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52">
              <w:r>
                <w:rPr>
                  <w:sz w:val="24"/>
                </w:rPr>
                <w:t>4.0</w:t>
                <w:tab/>
                <w:t>RESULTS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DISCUSSION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2">
              <w:r>
                <w:rPr>
                  <w:sz w:val="24"/>
                </w:rPr>
                <w:t>44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53">
              <w:r>
                <w:rPr>
                  <w:sz w:val="24"/>
                </w:rPr>
                <w:t>4.1</w:t>
                <w:tab/>
                <w:t>Introduction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3">
              <w:r>
                <w:rPr>
                  <w:sz w:val="24"/>
                </w:rPr>
                <w:t>44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54">
              <w:r>
                <w:rPr>
                  <w:sz w:val="24"/>
                </w:rPr>
                <w:t>4.2</w:t>
                <w:tab/>
                <w:t>Socioeconomic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Characteristics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Dwellers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4">
              <w:r>
                <w:rPr>
                  <w:sz w:val="24"/>
                </w:rPr>
                <w:t>44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1" w:hRule="atLeast"/>
        </w:trPr>
        <w:tc>
          <w:tcPr>
            <w:tcW w:w="887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hyperlink w:history="true" w:anchor="_bookmark55">
              <w:r>
                <w:rPr>
                  <w:sz w:val="24"/>
                </w:rPr>
                <w:t>4.2.1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Demographic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Characteristics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5">
              <w:r>
                <w:rPr>
                  <w:sz w:val="24"/>
                </w:rPr>
                <w:t>44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22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7"/>
              <w:ind w:left="50"/>
              <w:rPr>
                <w:sz w:val="24"/>
              </w:rPr>
            </w:pPr>
            <w:hyperlink w:history="true" w:anchor="_bookmark57">
              <w:r>
                <w:rPr>
                  <w:sz w:val="24"/>
                </w:rPr>
                <w:t>4.3</w:t>
                <w:tab/>
                <w:t>Types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private real estate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7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7">
              <w:r>
                <w:rPr>
                  <w:sz w:val="24"/>
                </w:rPr>
                <w:t>45</w:t>
              </w:r>
            </w:hyperlink>
            <w:r>
              <w:rPr>
                <w:rFonts w:ascii="Calibri"/>
                <w:sz w:val="22"/>
              </w:rPr>
              <w:t>5</w:t>
            </w:r>
          </w:p>
        </w:tc>
      </w:tr>
      <w:tr>
        <w:trPr>
          <w:trHeight w:val="521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6"/>
              <w:ind w:left="50"/>
              <w:rPr>
                <w:sz w:val="24"/>
              </w:rPr>
            </w:pPr>
            <w:hyperlink w:history="true" w:anchor="_bookmark63">
              <w:r>
                <w:rPr>
                  <w:sz w:val="24"/>
                </w:rPr>
                <w:t>4.4</w:t>
                <w:tab/>
                <w:t>The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Drivers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30"/>
              <w:ind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66">
              <w:r>
                <w:rPr>
                  <w:sz w:val="24"/>
                </w:rPr>
                <w:t>4.5</w:t>
                <w:tab/>
                <w:t>Factor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Influencing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66">
              <w:r>
                <w:rPr>
                  <w:sz w:val="24"/>
                </w:rPr>
                <w:t>52</w:t>
              </w:r>
            </w:hyperlink>
            <w:r>
              <w:rPr>
                <w:rFonts w:ascii="Calibri"/>
                <w:sz w:val="22"/>
              </w:rPr>
              <w:t>2</w:t>
            </w:r>
          </w:p>
        </w:tc>
      </w:tr>
      <w:tr>
        <w:trPr>
          <w:trHeight w:val="52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71">
              <w:r>
                <w:rPr>
                  <w:sz w:val="24"/>
                </w:rPr>
                <w:t>4.6</w:t>
                <w:tab/>
                <w:t>Spatial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Distribution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Private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Real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Estate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 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71">
              <w:r>
                <w:rPr>
                  <w:sz w:val="24"/>
                </w:rPr>
                <w:t>58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775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79">
              <w:r>
                <w:rPr>
                  <w:sz w:val="24"/>
                </w:rPr>
                <w:t>4.7</w:t>
                <w:tab/>
                <w:t>Summary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of findings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79">
              <w:r>
                <w:rPr>
                  <w:sz w:val="24"/>
                </w:rPr>
                <w:t>64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771" w:hRule="atLeast"/>
        </w:trPr>
        <w:tc>
          <w:tcPr>
            <w:tcW w:w="8873" w:type="dxa"/>
          </w:tcPr>
          <w:p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hyperlink w:history="true" w:anchor="_bookmark80">
              <w:r>
                <w:rPr>
                  <w:sz w:val="24"/>
                </w:rPr>
                <w:t>CHAPPTER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FIVE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hyperlink w:history="true" w:anchor="_bookmark80">
              <w:r>
                <w:rPr>
                  <w:sz w:val="24"/>
                </w:rPr>
                <w:t>66</w:t>
              </w:r>
            </w:hyperlink>
            <w:r>
              <w:rPr>
                <w:sz w:val="24"/>
              </w:rPr>
              <w:t>6</w:t>
            </w:r>
          </w:p>
        </w:tc>
      </w:tr>
      <w:tr>
        <w:trPr>
          <w:trHeight w:val="515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5"/>
              <w:ind w:left="50"/>
              <w:rPr>
                <w:sz w:val="24"/>
              </w:rPr>
            </w:pPr>
            <w:hyperlink w:history="true" w:anchor="_bookmark81">
              <w:r>
                <w:rPr>
                  <w:sz w:val="24"/>
                </w:rPr>
                <w:t>5.0</w:t>
                <w:tab/>
                <w:t>CONCLUSION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RECOMMENDATION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jc w:val="right"/>
              <w:rPr>
                <w:sz w:val="24"/>
              </w:rPr>
            </w:pPr>
            <w:hyperlink w:history="true" w:anchor="_bookmark81">
              <w:r>
                <w:rPr>
                  <w:sz w:val="24"/>
                </w:rPr>
                <w:t>66</w:t>
              </w:r>
            </w:hyperlink>
            <w:r>
              <w:rPr>
                <w:sz w:val="24"/>
              </w:rPr>
              <w:t>6</w:t>
            </w:r>
          </w:p>
        </w:tc>
      </w:tr>
      <w:tr>
        <w:trPr>
          <w:trHeight w:val="513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4"/>
              <w:ind w:left="50"/>
              <w:rPr>
                <w:sz w:val="24"/>
              </w:rPr>
            </w:pPr>
            <w:hyperlink w:history="true" w:anchor="_bookmark82">
              <w:r>
                <w:rPr>
                  <w:sz w:val="24"/>
                </w:rPr>
                <w:t>5.1</w:t>
                <w:tab/>
                <w:t>Conclusion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4"/>
              <w:ind w:right="50"/>
              <w:jc w:val="right"/>
              <w:rPr>
                <w:sz w:val="24"/>
              </w:rPr>
            </w:pPr>
            <w:hyperlink w:history="true" w:anchor="_bookmark82">
              <w:r>
                <w:rPr>
                  <w:sz w:val="24"/>
                </w:rPr>
                <w:t>66</w:t>
              </w:r>
            </w:hyperlink>
            <w:r>
              <w:rPr>
                <w:sz w:val="24"/>
              </w:rPr>
              <w:t>6</w:t>
            </w:r>
          </w:p>
        </w:tc>
      </w:tr>
      <w:tr>
        <w:trPr>
          <w:trHeight w:val="770" w:hRule="atLeast"/>
        </w:trPr>
        <w:tc>
          <w:tcPr>
            <w:tcW w:w="8873" w:type="dxa"/>
          </w:tcPr>
          <w:p>
            <w:pPr>
              <w:pStyle w:val="TableParagraph"/>
              <w:tabs>
                <w:tab w:pos="589" w:val="left" w:leader="none"/>
              </w:tabs>
              <w:spacing w:before="113"/>
              <w:ind w:left="50"/>
              <w:rPr>
                <w:sz w:val="24"/>
              </w:rPr>
            </w:pPr>
            <w:hyperlink w:history="true" w:anchor="_bookmark83">
              <w:r>
                <w:rPr>
                  <w:sz w:val="24"/>
                </w:rPr>
                <w:t>5.2</w:t>
                <w:tab/>
                <w:t>Recommendations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4"/>
              </w:rPr>
            </w:pPr>
            <w:hyperlink w:history="true" w:anchor="_bookmark83">
              <w:r>
                <w:rPr>
                  <w:sz w:val="24"/>
                </w:rPr>
                <w:t>67</w:t>
              </w:r>
            </w:hyperlink>
            <w:r>
              <w:rPr>
                <w:sz w:val="24"/>
              </w:rPr>
              <w:t>7</w:t>
            </w:r>
          </w:p>
        </w:tc>
      </w:tr>
      <w:tr>
        <w:trPr>
          <w:trHeight w:val="770" w:hRule="atLeast"/>
        </w:trPr>
        <w:tc>
          <w:tcPr>
            <w:tcW w:w="8873" w:type="dxa"/>
          </w:tcPr>
          <w:p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hyperlink w:history="true" w:anchor="_bookmark84">
              <w:r>
                <w:rPr>
                  <w:sz w:val="24"/>
                </w:rPr>
                <w:t>REFERENCE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>
            <w:pPr>
              <w:pStyle w:val="TableParagraph"/>
              <w:ind w:right="50"/>
              <w:jc w:val="right"/>
              <w:rPr>
                <w:sz w:val="24"/>
              </w:rPr>
            </w:pPr>
            <w:hyperlink w:history="true" w:anchor="_bookmark84">
              <w:r>
                <w:rPr>
                  <w:sz w:val="24"/>
                </w:rPr>
                <w:t>68</w:t>
              </w:r>
            </w:hyperlink>
            <w:r>
              <w:rPr>
                <w:sz w:val="24"/>
              </w:rPr>
              <w:t>8</w:t>
            </w:r>
          </w:p>
        </w:tc>
      </w:tr>
      <w:tr>
        <w:trPr>
          <w:trHeight w:val="389" w:hRule="atLeast"/>
        </w:trPr>
        <w:tc>
          <w:tcPr>
            <w:tcW w:w="8873" w:type="dxa"/>
          </w:tcPr>
          <w:p>
            <w:pPr>
              <w:pStyle w:val="TableParagraph"/>
              <w:spacing w:line="256" w:lineRule="exact" w:before="113"/>
              <w:ind w:left="50"/>
              <w:rPr>
                <w:sz w:val="24"/>
              </w:rPr>
            </w:pPr>
            <w:hyperlink w:history="true" w:anchor="_bookmark85">
              <w:r>
                <w:rPr>
                  <w:sz w:val="24"/>
                </w:rPr>
                <w:t>APPENDIX</w:t>
              </w:r>
            </w:hyperlink>
          </w:p>
        </w:tc>
        <w:tc>
          <w:tcPr>
            <w:tcW w:w="851" w:type="dxa"/>
          </w:tcPr>
          <w:p>
            <w:pPr>
              <w:pStyle w:val="TableParagraph"/>
              <w:spacing w:line="256" w:lineRule="exact" w:before="113"/>
              <w:ind w:right="50"/>
              <w:jc w:val="right"/>
              <w:rPr>
                <w:sz w:val="24"/>
              </w:rPr>
            </w:pPr>
            <w:hyperlink w:history="true" w:anchor="_bookmark85">
              <w:r>
                <w:rPr>
                  <w:sz w:val="24"/>
                </w:rPr>
                <w:t>71</w:t>
              </w:r>
            </w:hyperlink>
            <w:r>
              <w:rPr>
                <w:sz w:val="24"/>
              </w:rPr>
              <w:t>71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420" w:bottom="1200" w:left="1720" w:right="480"/>
        </w:sectPr>
      </w:pP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pgSz w:w="12240" w:h="15840"/>
          <w:pgMar w:header="0" w:footer="935" w:top="1500" w:bottom="1120" w:left="1720" w:right="480"/>
        </w:sectPr>
      </w:pPr>
    </w:p>
    <w:p>
      <w:pPr>
        <w:spacing w:before="75"/>
        <w:ind w:left="2742" w:right="3413" w:firstLine="0"/>
        <w:jc w:val="center"/>
        <w:rPr>
          <w:b/>
          <w:sz w:val="24"/>
        </w:rPr>
      </w:pPr>
      <w:bookmarkStart w:name="_bookmark2" w:id="3"/>
      <w:bookmarkEnd w:id="3"/>
      <w:r>
        <w:rPr/>
      </w: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8"/>
        <w:gridCol w:w="864"/>
      </w:tblGrid>
      <w:tr>
        <w:trPr>
          <w:trHeight w:val="411" w:hRule="atLeast"/>
        </w:trPr>
        <w:tc>
          <w:tcPr>
            <w:tcW w:w="885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hyperlink w:history="true" w:anchor="_bookmark50">
              <w:r>
                <w:rPr>
                  <w:sz w:val="24"/>
                </w:rPr>
                <w:t>Table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3.1: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Data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Requirements,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Sources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Methods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hyperlink w:history="true" w:anchor="_bookmark50">
              <w:r>
                <w:rPr>
                  <w:sz w:val="24"/>
                </w:rPr>
                <w:t>43</w:t>
              </w:r>
            </w:hyperlink>
            <w:r>
              <w:rPr>
                <w:sz w:val="24"/>
              </w:rPr>
              <w:t>3</w:t>
            </w:r>
          </w:p>
        </w:tc>
      </w:tr>
      <w:tr>
        <w:trPr>
          <w:trHeight w:val="559" w:hRule="atLeast"/>
        </w:trPr>
        <w:tc>
          <w:tcPr>
            <w:tcW w:w="88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56">
              <w:r>
                <w:rPr>
                  <w:sz w:val="24"/>
                </w:rPr>
                <w:t>Table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4.1: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Demographic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Information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Respondents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before="135"/>
              <w:ind w:right="47"/>
              <w:jc w:val="right"/>
              <w:rPr>
                <w:rFonts w:ascii="Calibri"/>
                <w:sz w:val="22"/>
              </w:rPr>
            </w:pPr>
            <w:hyperlink w:history="true" w:anchor="_bookmark56">
              <w:r>
                <w:rPr>
                  <w:sz w:val="24"/>
                </w:rPr>
                <w:t>44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59" w:hRule="atLeast"/>
        </w:trPr>
        <w:tc>
          <w:tcPr>
            <w:tcW w:w="88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62">
              <w:r>
                <w:rPr>
                  <w:sz w:val="24"/>
                </w:rPr>
                <w:t>Table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4.2: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Conditions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 Development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Area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before="135"/>
              <w:ind w:right="47"/>
              <w:jc w:val="right"/>
              <w:rPr>
                <w:rFonts w:ascii="Calibri"/>
                <w:sz w:val="22"/>
              </w:rPr>
            </w:pPr>
            <w:hyperlink w:history="true" w:anchor="_bookmark62">
              <w:r>
                <w:rPr>
                  <w:sz w:val="24"/>
                </w:rPr>
                <w:t>49</w:t>
              </w:r>
            </w:hyperlink>
            <w:r>
              <w:rPr>
                <w:rFonts w:ascii="Calibri"/>
                <w:sz w:val="22"/>
              </w:rPr>
              <w:t>9</w:t>
            </w:r>
          </w:p>
        </w:tc>
      </w:tr>
      <w:tr>
        <w:trPr>
          <w:trHeight w:val="556" w:hRule="atLeast"/>
        </w:trPr>
        <w:tc>
          <w:tcPr>
            <w:tcW w:w="88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65">
              <w:r>
                <w:rPr>
                  <w:sz w:val="24"/>
                </w:rPr>
                <w:t>Table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4.3: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Drivers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Movement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before="135"/>
              <w:ind w:right="47"/>
              <w:jc w:val="right"/>
              <w:rPr>
                <w:rFonts w:ascii="Calibri"/>
                <w:sz w:val="22"/>
              </w:rPr>
            </w:pPr>
            <w:hyperlink w:history="true" w:anchor="_bookmark65">
              <w:r>
                <w:rPr>
                  <w:sz w:val="24"/>
                </w:rPr>
                <w:t>51</w:t>
              </w:r>
            </w:hyperlink>
            <w:r>
              <w:rPr>
                <w:rFonts w:ascii="Calibri"/>
                <w:sz w:val="22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8858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hyperlink w:history="true" w:anchor="_bookmark67">
              <w:r>
                <w:rPr>
                  <w:sz w:val="24"/>
                </w:rPr>
                <w:t>Table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4.4: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Factor Influencing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before="132"/>
              <w:ind w:right="48"/>
              <w:jc w:val="right"/>
              <w:rPr>
                <w:sz w:val="24"/>
              </w:rPr>
            </w:pPr>
            <w:hyperlink w:history="true" w:anchor="_bookmark67">
              <w:r>
                <w:rPr>
                  <w:sz w:val="24"/>
                </w:rPr>
                <w:t>52</w:t>
              </w:r>
            </w:hyperlink>
            <w:r>
              <w:rPr>
                <w:sz w:val="24"/>
              </w:rPr>
              <w:t>52</w:t>
            </w:r>
          </w:p>
        </w:tc>
      </w:tr>
      <w:tr>
        <w:trPr>
          <w:trHeight w:val="554" w:hRule="atLeast"/>
        </w:trPr>
        <w:tc>
          <w:tcPr>
            <w:tcW w:w="88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hyperlink w:history="true" w:anchor="_bookmark68">
              <w:r>
                <w:rPr>
                  <w:sz w:val="24"/>
                </w:rPr>
                <w:t>Table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4.5: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Total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Variance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Analysis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factors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Influencing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Peri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hyperlink w:history="true" w:anchor="_bookmark68">
              <w:r>
                <w:rPr>
                  <w:sz w:val="24"/>
                </w:rPr>
                <w:t>53</w:t>
              </w:r>
            </w:hyperlink>
            <w:r>
              <w:rPr>
                <w:sz w:val="24"/>
              </w:rPr>
              <w:t>3</w:t>
            </w:r>
          </w:p>
        </w:tc>
      </w:tr>
      <w:tr>
        <w:trPr>
          <w:trHeight w:val="559" w:hRule="atLeast"/>
        </w:trPr>
        <w:tc>
          <w:tcPr>
            <w:tcW w:w="8858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70">
              <w:r>
                <w:rPr>
                  <w:sz w:val="24"/>
                </w:rPr>
                <w:t>Table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4.6: Loading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Analysis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 Factors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Influencing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Peri-Urban Development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before="135"/>
              <w:ind w:right="47"/>
              <w:jc w:val="right"/>
              <w:rPr>
                <w:rFonts w:ascii="Calibri"/>
                <w:sz w:val="22"/>
              </w:rPr>
            </w:pPr>
            <w:hyperlink w:history="true" w:anchor="_bookmark70">
              <w:r>
                <w:rPr>
                  <w:sz w:val="24"/>
                </w:rPr>
                <w:t>56</w:t>
              </w:r>
            </w:hyperlink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414" w:hRule="atLeast"/>
        </w:trPr>
        <w:tc>
          <w:tcPr>
            <w:tcW w:w="8858" w:type="dxa"/>
          </w:tcPr>
          <w:p>
            <w:pPr>
              <w:pStyle w:val="TableParagraph"/>
              <w:spacing w:line="259" w:lineRule="exact" w:before="135"/>
              <w:ind w:left="50"/>
              <w:rPr>
                <w:sz w:val="24"/>
              </w:rPr>
            </w:pPr>
            <w:hyperlink w:history="true" w:anchor="_bookmark78">
              <w:r>
                <w:rPr>
                  <w:sz w:val="24"/>
                </w:rPr>
                <w:t>Table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4.7: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Growth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Rate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Private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Estate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Bida</w:t>
              </w:r>
            </w:hyperlink>
          </w:p>
        </w:tc>
        <w:tc>
          <w:tcPr>
            <w:tcW w:w="864" w:type="dxa"/>
          </w:tcPr>
          <w:p>
            <w:pPr>
              <w:pStyle w:val="TableParagraph"/>
              <w:spacing w:line="259" w:lineRule="exact" w:before="135"/>
              <w:ind w:right="47"/>
              <w:jc w:val="right"/>
              <w:rPr>
                <w:rFonts w:ascii="Calibri"/>
                <w:sz w:val="22"/>
              </w:rPr>
            </w:pPr>
            <w:hyperlink w:history="true" w:anchor="_bookmark78">
              <w:r>
                <w:rPr>
                  <w:sz w:val="24"/>
                </w:rPr>
                <w:t>64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</w:tbl>
    <w:p>
      <w:pPr>
        <w:spacing w:after="0" w:line="259" w:lineRule="exact"/>
        <w:jc w:val="right"/>
        <w:rPr>
          <w:rFonts w:ascii="Calibri"/>
          <w:sz w:val="22"/>
        </w:rPr>
        <w:sectPr>
          <w:pgSz w:w="12240" w:h="15840"/>
          <w:pgMar w:header="0" w:footer="935" w:top="1340" w:bottom="1120" w:left="1720" w:right="480"/>
        </w:sectPr>
      </w:pPr>
    </w:p>
    <w:p>
      <w:pPr>
        <w:spacing w:before="75"/>
        <w:ind w:left="3633" w:right="4307" w:firstLine="0"/>
        <w:jc w:val="center"/>
        <w:rPr>
          <w:b/>
          <w:sz w:val="24"/>
        </w:rPr>
      </w:pPr>
      <w:bookmarkStart w:name="_bookmark3" w:id="4"/>
      <w:bookmarkEnd w:id="4"/>
      <w:r>
        <w:rPr/>
      </w: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3"/>
        <w:gridCol w:w="1121"/>
      </w:tblGrid>
      <w:tr>
        <w:trPr>
          <w:trHeight w:val="411" w:hRule="atLeast"/>
        </w:trPr>
        <w:tc>
          <w:tcPr>
            <w:tcW w:w="860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1.2: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Map 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Nigeria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Showing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Niger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State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13</w:t>
              </w:r>
            </w:hyperlink>
            <w:r>
              <w:rPr>
                <w:sz w:val="24"/>
              </w:rPr>
              <w:t>3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1.2: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Location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Bida,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Niger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State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19">
              <w:r>
                <w:rPr>
                  <w:sz w:val="24"/>
                </w:rPr>
                <w:t>14</w:t>
              </w:r>
            </w:hyperlink>
            <w:r>
              <w:rPr>
                <w:rFonts w:ascii="Calibri"/>
                <w:sz w:val="22"/>
              </w:rPr>
              <w:t>4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20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1.3:</w:t>
              </w:r>
              <w:r>
                <w:rPr>
                  <w:spacing w:val="2"/>
                  <w:sz w:val="24"/>
                </w:rPr>
                <w:t> </w:t>
              </w:r>
              <w:r>
                <w:rPr>
                  <w:sz w:val="24"/>
                </w:rPr>
                <w:t>Bida Showing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the Study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Areas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20">
              <w:r>
                <w:rPr>
                  <w:sz w:val="24"/>
                </w:rPr>
                <w:t>15</w:t>
              </w:r>
            </w:hyperlink>
            <w:r>
              <w:rPr>
                <w:rFonts w:ascii="Calibri"/>
                <w:sz w:val="22"/>
              </w:rPr>
              <w:t>5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28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2.1: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Stage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Property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49"/>
              <w:ind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58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4.1: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Major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Type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Real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Estate Land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Use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8">
              <w:r>
                <w:rPr>
                  <w:sz w:val="24"/>
                </w:rPr>
                <w:t>45</w:t>
              </w:r>
            </w:hyperlink>
            <w:r>
              <w:rPr>
                <w:rFonts w:ascii="Calibri"/>
                <w:sz w:val="22"/>
              </w:rPr>
              <w:t>5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59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4.2: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Main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Occupation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Dwellers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59">
              <w:r>
                <w:rPr>
                  <w:sz w:val="24"/>
                </w:rPr>
                <w:t>46</w:t>
              </w:r>
            </w:hyperlink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60">
              <w:r>
                <w:rPr>
                  <w:sz w:val="24"/>
                </w:rPr>
                <w:t>Figure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4.3: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Income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level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Dwellers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60">
              <w:r>
                <w:rPr>
                  <w:sz w:val="24"/>
                </w:rPr>
                <w:t>47</w:t>
              </w:r>
            </w:hyperlink>
            <w:r>
              <w:rPr>
                <w:rFonts w:ascii="Calibri"/>
                <w:sz w:val="22"/>
              </w:rPr>
              <w:t>7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61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4.4: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Nature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of land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ownership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developer in Per-Urban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Bida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61">
              <w:r>
                <w:rPr>
                  <w:sz w:val="24"/>
                </w:rPr>
                <w:t>48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56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64">
              <w:r>
                <w:rPr>
                  <w:sz w:val="24"/>
                </w:rPr>
                <w:t>Figure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4.5: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Major Drivers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Bida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49"/>
              <w:ind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</w:t>
            </w:r>
          </w:p>
        </w:tc>
      </w:tr>
      <w:tr>
        <w:trPr>
          <w:trHeight w:val="553" w:hRule="atLeast"/>
        </w:trPr>
        <w:tc>
          <w:tcPr>
            <w:tcW w:w="8603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hyperlink w:history="true" w:anchor="_bookmark69">
              <w:r>
                <w:rPr>
                  <w:sz w:val="24"/>
                </w:rPr>
                <w:t>Figure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4.6: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Scree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Plot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Components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Analysis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of Factors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Influencing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8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69"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69">
              <w:r>
                <w:rPr>
                  <w:sz w:val="24"/>
                </w:rPr>
                <w:t>55</w:t>
              </w:r>
            </w:hyperlink>
            <w:r>
              <w:rPr>
                <w:rFonts w:ascii="Calibri"/>
                <w:sz w:val="22"/>
              </w:rPr>
              <w:t>5</w:t>
            </w:r>
          </w:p>
        </w:tc>
      </w:tr>
      <w:tr>
        <w:trPr>
          <w:trHeight w:val="558" w:hRule="atLeast"/>
        </w:trPr>
        <w:tc>
          <w:tcPr>
            <w:tcW w:w="8603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hyperlink w:history="true" w:anchor="_bookmark72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4.5: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Sachi 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Bida,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2007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4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72">
              <w:r>
                <w:rPr>
                  <w:sz w:val="24"/>
                </w:rPr>
                <w:t>58</w:t>
              </w:r>
            </w:hyperlink>
            <w:r>
              <w:rPr>
                <w:rFonts w:ascii="Calibri"/>
                <w:sz w:val="22"/>
              </w:rPr>
              <w:t>8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73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4.6: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Sachi 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of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Bida,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2018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73">
              <w:r>
                <w:rPr>
                  <w:sz w:val="24"/>
                </w:rPr>
                <w:t>59</w:t>
              </w:r>
            </w:hyperlink>
            <w:r>
              <w:rPr>
                <w:rFonts w:ascii="Calibri"/>
                <w:sz w:val="22"/>
              </w:rPr>
              <w:t>9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74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4.7: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Pichi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Road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2007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49"/>
              <w:ind w:right="4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</w:t>
            </w:r>
          </w:p>
        </w:tc>
      </w:tr>
      <w:tr>
        <w:trPr>
          <w:trHeight w:val="559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75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4.8: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Pichi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Road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2018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75">
              <w:r>
                <w:rPr>
                  <w:sz w:val="24"/>
                </w:rPr>
                <w:t>61</w:t>
              </w:r>
            </w:hyperlink>
            <w:r>
              <w:rPr>
                <w:rFonts w:ascii="Calibri"/>
                <w:sz w:val="22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8603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hyperlink w:history="true" w:anchor="_bookmark76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4.9: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Project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Quarters 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2007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before="135"/>
              <w:ind w:right="49"/>
              <w:jc w:val="right"/>
              <w:rPr>
                <w:rFonts w:ascii="Calibri"/>
                <w:sz w:val="22"/>
              </w:rPr>
            </w:pPr>
            <w:hyperlink w:history="true" w:anchor="_bookmark76">
              <w:r>
                <w:rPr>
                  <w:sz w:val="24"/>
                </w:rPr>
                <w:t>62</w:t>
              </w:r>
            </w:hyperlink>
            <w:r>
              <w:rPr>
                <w:rFonts w:ascii="Calibri"/>
                <w:sz w:val="22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8603" w:type="dxa"/>
          </w:tcPr>
          <w:p>
            <w:pPr>
              <w:pStyle w:val="TableParagraph"/>
              <w:spacing w:line="256" w:lineRule="exact" w:before="132"/>
              <w:ind w:left="50"/>
              <w:rPr>
                <w:sz w:val="24"/>
              </w:rPr>
            </w:pPr>
            <w:hyperlink w:history="true" w:anchor="_bookmark77">
              <w:r>
                <w:rPr>
                  <w:sz w:val="24"/>
                </w:rPr>
                <w:t>Figure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4.10: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Project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Quarters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Peri-Urban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Area,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2018</w:t>
              </w:r>
            </w:hyperlink>
          </w:p>
        </w:tc>
        <w:tc>
          <w:tcPr>
            <w:tcW w:w="1121" w:type="dxa"/>
          </w:tcPr>
          <w:p>
            <w:pPr>
              <w:pStyle w:val="TableParagraph"/>
              <w:spacing w:line="256" w:lineRule="exact" w:before="132"/>
              <w:ind w:right="50"/>
              <w:jc w:val="right"/>
              <w:rPr>
                <w:sz w:val="24"/>
              </w:rPr>
            </w:pPr>
            <w:hyperlink w:history="true" w:anchor="_bookmark77">
              <w:r>
                <w:rPr>
                  <w:sz w:val="24"/>
                </w:rPr>
                <w:t>63</w:t>
              </w:r>
            </w:hyperlink>
            <w:r>
              <w:rPr>
                <w:sz w:val="24"/>
              </w:rPr>
              <w:t>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35" w:top="1340" w:bottom="1200" w:left="1720" w:right="480"/>
        </w:sectPr>
      </w:pPr>
    </w:p>
    <w:p>
      <w:pPr>
        <w:spacing w:before="75"/>
        <w:ind w:left="2742" w:right="3417" w:firstLine="0"/>
        <w:jc w:val="center"/>
        <w:rPr>
          <w:b/>
          <w:sz w:val="24"/>
        </w:rPr>
      </w:pPr>
      <w:bookmarkStart w:name="_bookmark4" w:id="5"/>
      <w:bookmarkEnd w:id="5"/>
      <w:r>
        <w:rPr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"/>
        </w:numPr>
        <w:tabs>
          <w:tab w:pos="3805" w:val="left" w:leader="none"/>
          <w:tab w:pos="3806" w:val="left" w:leader="none"/>
        </w:tabs>
        <w:spacing w:line="240" w:lineRule="auto" w:before="217" w:after="0"/>
        <w:ind w:left="3805" w:right="0" w:hanging="3541"/>
        <w:jc w:val="left"/>
      </w:pPr>
      <w:bookmarkStart w:name="_bookmark5" w:id="6"/>
      <w:bookmarkEnd w:id="6"/>
      <w:r>
        <w:rPr>
          <w:b w:val="0"/>
        </w:rPr>
      </w:r>
      <w:bookmarkStart w:name="_bookmark5" w:id="7"/>
      <w:bookmarkEnd w:id="7"/>
      <w:r>
        <w:rPr/>
        <w:t>INTRODU</w:t>
      </w:r>
      <w:r>
        <w:rPr/>
        <w:t>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217" w:after="0"/>
        <w:ind w:left="985" w:right="0" w:hanging="721"/>
        <w:jc w:val="left"/>
      </w:pPr>
      <w:bookmarkStart w:name="_bookmark6" w:id="8"/>
      <w:bookmarkEnd w:id="8"/>
      <w:r>
        <w:rPr>
          <w:b w:val="0"/>
        </w:rPr>
      </w:r>
      <w:bookmarkStart w:name="_bookmark6" w:id="9"/>
      <w:bookmarkEnd w:id="9"/>
      <w:r>
        <w:rPr/>
        <w:t>Ba</w:t>
      </w:r>
      <w:r>
        <w:rPr/>
        <w:t>ckground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5"/>
        <w:jc w:val="both"/>
      </w:pPr>
      <w:r>
        <w:rPr/>
        <w:t>Peri-urban is the space in which the town extends as a result of the process of urbanization.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refers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zone between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organized, recognized urban land uses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areas devoted to agriculture (Ayorinde,2009). Most agricultural activities are carried out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unreliable. In the truest sense of a peri-urban area, an area into which there is an overlap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pastoral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suppliers of land for sale and the fact that they too are embracing property development as</w:t>
      </w:r>
      <w:r>
        <w:rPr>
          <w:spacing w:val="1"/>
        </w:rPr>
        <w:t> </w:t>
      </w:r>
      <w:r>
        <w:rPr/>
        <w:t>an alternative economic activity through availing land for sale and being involved in private</w:t>
      </w:r>
      <w:r>
        <w:rPr>
          <w:spacing w:val="-57"/>
        </w:rPr>
        <w:t> </w:t>
      </w:r>
      <w:r>
        <w:rPr/>
        <w:t>property development in the occupier capacity is proof that construction activities are not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preserve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incoming</w:t>
      </w:r>
      <w:r>
        <w:rPr>
          <w:spacing w:val="-3"/>
        </w:rPr>
        <w:t> </w:t>
      </w:r>
      <w:r>
        <w:rPr/>
        <w:t>settlers only</w:t>
      </w:r>
      <w:r>
        <w:rPr>
          <w:spacing w:val="-3"/>
        </w:rPr>
        <w:t> </w:t>
      </w:r>
      <w:r>
        <w:rPr/>
        <w:t>(Adair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65" w:right="932"/>
        <w:jc w:val="both"/>
      </w:pPr>
      <w:r>
        <w:rPr/>
        <w:t>Adjekumhene (2002) the concept of ‘development’ is a multidimensional one which can be</w:t>
      </w:r>
      <w:r>
        <w:rPr>
          <w:spacing w:val="-57"/>
        </w:rPr>
        <w:t> </w:t>
      </w:r>
      <w:r>
        <w:rPr/>
        <w:t>viewed from many perspectives. The study explained “land development” to mean ‘a broad</w:t>
      </w:r>
      <w:r>
        <w:rPr>
          <w:spacing w:val="-57"/>
        </w:rPr>
        <w:t> </w:t>
      </w:r>
      <w:r>
        <w:rPr/>
        <w:t>subject encompassing the development of natural areas to redevelopment of occupied land</w:t>
      </w:r>
      <w:r>
        <w:rPr>
          <w:spacing w:val="1"/>
        </w:rPr>
        <w:t> </w:t>
      </w:r>
      <w:r>
        <w:rPr/>
        <w:t>or derelict sites’. In his view development in this context means any kind of engineering or</w:t>
      </w:r>
      <w:r>
        <w:rPr>
          <w:spacing w:val="1"/>
        </w:rPr>
        <w:t> </w:t>
      </w:r>
      <w:r>
        <w:rPr/>
        <w:t>building work carried out in, on or over land or any material change of use of land. In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‘land</w:t>
      </w:r>
      <w:r>
        <w:rPr>
          <w:spacing w:val="1"/>
        </w:rPr>
        <w:t> </w:t>
      </w:r>
      <w:r>
        <w:rPr/>
        <w:t>development’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 as any kind of physical developments that change the original use of the land</w:t>
      </w:r>
      <w:r>
        <w:rPr>
          <w:spacing w:val="1"/>
        </w:rPr>
        <w:t> </w:t>
      </w:r>
      <w:r>
        <w:rPr/>
        <w:t>(Broni,</w:t>
      </w:r>
      <w:r>
        <w:rPr>
          <w:spacing w:val="-1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5" w:header="0" w:top="1340" w:bottom="1200" w:left="1720" w:right="480"/>
          <w:pgNumType w:start="1"/>
        </w:sectPr>
      </w:pPr>
    </w:p>
    <w:p>
      <w:pPr>
        <w:pStyle w:val="BodyText"/>
        <w:spacing w:line="480" w:lineRule="auto" w:before="70"/>
        <w:ind w:left="265" w:right="932"/>
        <w:jc w:val="both"/>
      </w:pPr>
      <w:r>
        <w:rPr/>
        <w:t>Property development is process that involves change in intensifying the use of land to</w:t>
      </w:r>
      <w:r>
        <w:rPr>
          <w:spacing w:val="1"/>
        </w:rPr>
        <w:t> </w:t>
      </w:r>
      <w:r>
        <w:rPr/>
        <w:t>produce buildings and such an undertaking requires land. Balchin </w:t>
      </w:r>
      <w:r>
        <w:rPr>
          <w:i/>
        </w:rPr>
        <w:t>et al. </w:t>
      </w:r>
      <w:r>
        <w:rPr/>
        <w:t>(2001) profitability</w:t>
      </w:r>
      <w:r>
        <w:rPr>
          <w:spacing w:val="1"/>
        </w:rPr>
        <w:t> </w:t>
      </w:r>
      <w:r>
        <w:rPr/>
        <w:t>and utility are largely determined by accessibility such that the greater the accessibility of a</w:t>
      </w:r>
      <w:r>
        <w:rPr>
          <w:spacing w:val="1"/>
        </w:rPr>
        <w:t> </w:t>
      </w:r>
      <w:r>
        <w:rPr/>
        <w:t>location (and the lower the net economic cost of movement in terms of distance, time and</w:t>
      </w:r>
      <w:r>
        <w:rPr>
          <w:spacing w:val="1"/>
        </w:rPr>
        <w:t> </w:t>
      </w:r>
      <w:r>
        <w:rPr/>
        <w:t>convenience)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in that location</w:t>
      </w:r>
      <w:r>
        <w:rPr>
          <w:spacing w:val="3"/>
        </w:rPr>
        <w:t> </w:t>
      </w:r>
      <w:r>
        <w:rPr/>
        <w:t>and the higher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(Ebohon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The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Township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solely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commercial activities and are in total disregard of social, aesthetic and environmental long-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areas’</w:t>
      </w:r>
      <w:r>
        <w:rPr>
          <w:spacing w:val="1"/>
        </w:rPr>
        <w:t> </w:t>
      </w:r>
      <w:r>
        <w:rPr/>
        <w:t>inhabitants.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dictate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developments in this township. This has resulted in high densities, overcrowded housing,</w:t>
      </w:r>
      <w:r>
        <w:rPr>
          <w:spacing w:val="1"/>
        </w:rPr>
        <w:t> </w:t>
      </w:r>
      <w:r>
        <w:rPr/>
        <w:t>insanitary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diminishing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haphazard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(Kazungu</w:t>
      </w:r>
      <w:r>
        <w:rPr>
          <w:spacing w:val="1"/>
        </w:rPr>
        <w:t> </w:t>
      </w:r>
      <w:r>
        <w:rPr>
          <w:i/>
        </w:rPr>
        <w:t>et.al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Changes in peri-urban areas is majorly constituted of real property development, which</w:t>
      </w:r>
      <w:r>
        <w:rPr>
          <w:spacing w:val="1"/>
        </w:rPr>
        <w:t> </w:t>
      </w:r>
      <w:r>
        <w:rPr/>
        <w:t>formally is a predominant agricultural town now turned into a real estate town where such</w:t>
      </w:r>
      <w:r>
        <w:rPr>
          <w:spacing w:val="1"/>
        </w:rPr>
        <w:t> </w:t>
      </w:r>
      <w:r>
        <w:rPr/>
        <w:t>aspects concerning the unrestricted development of commercial and residential</w:t>
      </w:r>
      <w:r>
        <w:rPr>
          <w:spacing w:val="60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contravention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urban</w:t>
      </w:r>
      <w:r>
        <w:rPr>
          <w:spacing w:val="1"/>
        </w:rPr>
        <w:t> </w:t>
      </w:r>
      <w:r>
        <w:rPr/>
        <w:t>planning procedures.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 of waste</w:t>
      </w:r>
      <w:r>
        <w:rPr>
          <w:spacing w:val="1"/>
        </w:rPr>
        <w:t> </w:t>
      </w:r>
      <w:r>
        <w:rPr/>
        <w:t>management procedures, public water and well maintained access roads network was found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inadequate largely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freehold ownership of</w:t>
      </w:r>
      <w:r>
        <w:rPr>
          <w:spacing w:val="-1"/>
        </w:rPr>
        <w:t> </w:t>
      </w:r>
      <w:r>
        <w:rPr/>
        <w:t>land in the</w:t>
      </w:r>
      <w:r>
        <w:rPr>
          <w:spacing w:val="-1"/>
        </w:rPr>
        <w:t> </w:t>
      </w:r>
      <w:r>
        <w:rPr/>
        <w:t>area</w:t>
      </w:r>
      <w:r>
        <w:rPr>
          <w:spacing w:val="2"/>
        </w:rPr>
        <w:t> </w:t>
      </w:r>
      <w:r>
        <w:rPr/>
        <w:t>(Muiruri, 2001).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5" w:right="935"/>
        <w:jc w:val="both"/>
      </w:pPr>
      <w:r>
        <w:rPr/>
        <w:t>Middle income earners either develop their own residential property or rely on private</w:t>
      </w:r>
      <w:r>
        <w:rPr>
          <w:spacing w:val="1"/>
        </w:rPr>
        <w:t> </w:t>
      </w:r>
      <w:r>
        <w:rPr/>
        <w:t>residential property developers to build rental apartments and homes which they buy or rent</w:t>
      </w:r>
      <w:r>
        <w:rPr>
          <w:spacing w:val="-57"/>
        </w:rPr>
        <w:t> </w:t>
      </w:r>
      <w:r>
        <w:rPr/>
        <w:t>at the market selling rate (Brook &amp; Davila, 2000). These individuals are able to live in a</w:t>
      </w:r>
      <w:r>
        <w:rPr>
          <w:spacing w:val="1"/>
        </w:rPr>
        <w:t> </w:t>
      </w:r>
      <w:r>
        <w:rPr/>
        <w:t>peri-urban</w:t>
      </w:r>
      <w:r>
        <w:rPr>
          <w:spacing w:val="26"/>
        </w:rPr>
        <w:t> </w:t>
      </w:r>
      <w:r>
        <w:rPr/>
        <w:t>town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work</w:t>
      </w:r>
      <w:r>
        <w:rPr>
          <w:spacing w:val="23"/>
        </w:rPr>
        <w:t> </w:t>
      </w:r>
      <w:r>
        <w:rPr/>
        <w:t>within</w:t>
      </w:r>
      <w:r>
        <w:rPr>
          <w:spacing w:val="23"/>
        </w:rPr>
        <w:t> </w:t>
      </w:r>
      <w:r>
        <w:rPr/>
        <w:t>city</w:t>
      </w:r>
      <w:r>
        <w:rPr>
          <w:spacing w:val="22"/>
        </w:rPr>
        <w:t> </w:t>
      </w:r>
      <w:r>
        <w:rPr/>
        <w:t>since</w:t>
      </w:r>
      <w:r>
        <w:rPr>
          <w:spacing w:val="23"/>
        </w:rPr>
        <w:t> </w:t>
      </w:r>
      <w:r>
        <w:rPr/>
        <w:t>they</w:t>
      </w:r>
      <w:r>
        <w:rPr>
          <w:spacing w:val="23"/>
        </w:rPr>
        <w:t> </w:t>
      </w:r>
      <w:r>
        <w:rPr/>
        <w:t>can</w:t>
      </w:r>
      <w:r>
        <w:rPr>
          <w:spacing w:val="23"/>
        </w:rPr>
        <w:t> </w:t>
      </w:r>
      <w:r>
        <w:rPr/>
        <w:t>afford.</w:t>
      </w:r>
      <w:r>
        <w:rPr>
          <w:spacing w:val="25"/>
        </w:rPr>
        <w:t> </w:t>
      </w:r>
      <w:r>
        <w:rPr/>
        <w:t>They</w:t>
      </w:r>
      <w:r>
        <w:rPr>
          <w:spacing w:val="21"/>
        </w:rPr>
        <w:t> </w:t>
      </w:r>
      <w:r>
        <w:rPr/>
        <w:t>constitute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effective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6"/>
        <w:jc w:val="both"/>
      </w:pP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such road,</w:t>
      </w:r>
      <w:r>
        <w:rPr>
          <w:spacing w:val="2"/>
        </w:rPr>
        <w:t> </w:t>
      </w:r>
      <w:r>
        <w:rPr/>
        <w:t>water</w:t>
      </w:r>
      <w:r>
        <w:rPr>
          <w:spacing w:val="-3"/>
        </w:rPr>
        <w:t> </w:t>
      </w:r>
      <w:r>
        <w:rPr/>
        <w:t>supply, drainage</w:t>
      </w:r>
      <w:r>
        <w:rPr>
          <w:spacing w:val="-1"/>
        </w:rPr>
        <w:t> </w:t>
      </w:r>
      <w:r>
        <w:rPr/>
        <w:t>and waste</w:t>
      </w:r>
      <w:r>
        <w:rPr>
          <w:spacing w:val="-1"/>
        </w:rPr>
        <w:t> </w:t>
      </w:r>
      <w:r>
        <w:rPr/>
        <w:t>management in the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2"/>
        <w:jc w:val="both"/>
      </w:pPr>
      <w:r>
        <w:rPr/>
        <w:t>Regardless, private development has some advantages such as the</w:t>
      </w:r>
      <w:r>
        <w:rPr>
          <w:spacing w:val="60"/>
        </w:rPr>
        <w:t> </w:t>
      </w:r>
      <w:r>
        <w:rPr/>
        <w:t>developer having the</w:t>
      </w:r>
      <w:r>
        <w:rPr>
          <w:spacing w:val="1"/>
        </w:rPr>
        <w:t> </w:t>
      </w:r>
      <w:r>
        <w:rPr/>
        <w:t>sole</w:t>
      </w:r>
      <w:r>
        <w:rPr>
          <w:spacing w:val="1"/>
        </w:rPr>
        <w:t> </w:t>
      </w:r>
      <w:r>
        <w:rPr/>
        <w:t>responsibility 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administration and rapid completion; the developer is competitive in his approach since he</w:t>
      </w:r>
      <w:r>
        <w:rPr>
          <w:spacing w:val="1"/>
        </w:rPr>
        <w:t> </w:t>
      </w:r>
      <w:r>
        <w:rPr/>
        <w:t>bears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(Acheampong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Anokye,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development thus they either conform their developments to specified road structure or</w:t>
      </w:r>
      <w:r>
        <w:rPr>
          <w:spacing w:val="1"/>
        </w:rPr>
        <w:t> </w:t>
      </w:r>
      <w:r>
        <w:rPr/>
        <w:t>enlist the</w:t>
      </w:r>
      <w:r>
        <w:rPr>
          <w:spacing w:val="-1"/>
        </w:rPr>
        <w:t> </w:t>
      </w:r>
      <w:r>
        <w:rPr/>
        <w:t>help of the local authority</w:t>
      </w:r>
      <w:r>
        <w:rPr>
          <w:spacing w:val="-5"/>
        </w:rPr>
        <w:t> </w:t>
      </w:r>
      <w:r>
        <w:rPr/>
        <w:t>in modifying</w:t>
      </w:r>
      <w:r>
        <w:rPr>
          <w:spacing w:val="-3"/>
        </w:rPr>
        <w:t> </w:t>
      </w:r>
      <w:r>
        <w:rPr/>
        <w:t>it.</w:t>
      </w:r>
    </w:p>
    <w:p>
      <w:pPr>
        <w:pStyle w:val="BodyText"/>
        <w:spacing w:line="480" w:lineRule="auto" w:before="1"/>
        <w:ind w:left="265" w:right="931"/>
        <w:jc w:val="both"/>
      </w:pPr>
      <w:r>
        <w:rPr/>
        <w:t>However, Bida has experienced sprawl development over the years especially from 1999</w:t>
      </w:r>
      <w:r>
        <w:rPr>
          <w:spacing w:val="1"/>
        </w:rPr>
        <w:t> </w:t>
      </w:r>
      <w:r>
        <w:rPr/>
        <w:t>third republic where the country experience massive development across the states. This</w:t>
      </w:r>
      <w:r>
        <w:rPr>
          <w:spacing w:val="1"/>
        </w:rPr>
        <w:t> </w:t>
      </w:r>
      <w:r>
        <w:rPr/>
        <w:t>sprawl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emanated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developments are privately owned, and the peri-urban area has been characterized with lack</w:t>
      </w:r>
      <w:r>
        <w:rPr>
          <w:spacing w:val="-57"/>
        </w:rPr>
        <w:t> </w:t>
      </w:r>
      <w:r>
        <w:rPr/>
        <w:t>of planning and basic infrastructure. It is on this basis that this study looks into activities of</w:t>
      </w:r>
      <w:r>
        <w:rPr>
          <w:spacing w:val="1"/>
        </w:rPr>
        <w:t> </w:t>
      </w:r>
      <w:r>
        <w:rPr/>
        <w:t>factors influencing private estate development in peri-urban areas of Bida with a view to</w:t>
      </w:r>
      <w:r>
        <w:rPr>
          <w:spacing w:val="1"/>
        </w:rPr>
        <w:t> </w:t>
      </w:r>
      <w:r>
        <w:rPr/>
        <w:t>identifying</w:t>
      </w:r>
      <w:r>
        <w:rPr>
          <w:spacing w:val="-3"/>
        </w:rPr>
        <w:t> </w:t>
      </w:r>
      <w:r>
        <w:rPr/>
        <w:t>the major drivers of</w:t>
      </w:r>
      <w:r>
        <w:rPr>
          <w:spacing w:val="-2"/>
        </w:rPr>
        <w:t> </w:t>
      </w:r>
      <w:r>
        <w:rPr/>
        <w:t>peri-urban development.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223" w:after="0"/>
        <w:ind w:left="985" w:right="0" w:hanging="721"/>
        <w:jc w:val="left"/>
      </w:pPr>
      <w:bookmarkStart w:name="_bookmark7" w:id="10"/>
      <w:bookmarkEnd w:id="10"/>
      <w:r>
        <w:rPr>
          <w:b w:val="0"/>
        </w:rPr>
      </w:r>
      <w:bookmarkStart w:name="_bookmark7" w:id="11"/>
      <w:bookmarkEnd w:id="11"/>
      <w:r>
        <w:rPr/>
        <w:t>S</w:t>
      </w:r>
      <w:r>
        <w:rPr/>
        <w:t>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5"/>
        <w:jc w:val="both"/>
      </w:pPr>
      <w:r>
        <w:rPr/>
        <w:t>Peri-urban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nodal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 which has not occurred under planning control, with haphazard developments</w:t>
      </w:r>
      <w:r>
        <w:rPr>
          <w:spacing w:val="1"/>
        </w:rPr>
        <w:t> </w:t>
      </w:r>
      <w:r>
        <w:rPr/>
        <w:t>in</w:t>
      </w:r>
      <w:r>
        <w:rPr>
          <w:spacing w:val="12"/>
        </w:rPr>
        <w:t> </w:t>
      </w:r>
      <w:r>
        <w:rPr/>
        <w:t>Bida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spreads</w:t>
      </w:r>
      <w:r>
        <w:rPr>
          <w:spacing w:val="12"/>
        </w:rPr>
        <w:t> </w:t>
      </w:r>
      <w:r>
        <w:rPr/>
        <w:t>outwardly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peripheral.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precipitated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increasing</w:t>
      </w:r>
      <w:r>
        <w:rPr>
          <w:spacing w:val="11"/>
        </w:rPr>
        <w:t> </w:t>
      </w:r>
      <w:r>
        <w:rPr/>
        <w:t>demand</w:t>
      </w:r>
      <w:r>
        <w:rPr>
          <w:spacing w:val="11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7"/>
        <w:jc w:val="both"/>
      </w:pPr>
      <w:r>
        <w:rPr/>
        <w:t>shelter, physical and social infrastructure, ineffective physical planning systems, informal</w:t>
      </w:r>
      <w:r>
        <w:rPr>
          <w:spacing w:val="1"/>
        </w:rPr>
        <w:t> </w:t>
      </w:r>
      <w:r>
        <w:rPr/>
        <w:t>investment finance and speculative land costs has resulted in high densities, overcrowded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insanitary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diminishing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haphazard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(Kazungu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2"/>
        <w:jc w:val="both"/>
      </w:pPr>
      <w:r>
        <w:rPr/>
        <w:t>The private property developers in the town take into account various key indicators of the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ventures. These key indicators are effective demand, availability of land and finances, the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how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or lack of infrastructure has affected the private property developer (Muiruri,</w:t>
      </w:r>
      <w:r>
        <w:rPr>
          <w:spacing w:val="1"/>
        </w:rPr>
        <w:t> </w:t>
      </w:r>
      <w:r>
        <w:rPr/>
        <w:t>2001). Also, most the peri-urban development in Bida area is dominated by majorly by</w:t>
      </w:r>
      <w:r>
        <w:rPr>
          <w:spacing w:val="1"/>
        </w:rPr>
        <w:t> </w:t>
      </w:r>
      <w:r>
        <w:rPr/>
        <w:t>residential activities with total disregard of social amenities, aesthetic and environmental</w:t>
      </w:r>
      <w:r>
        <w:rPr>
          <w:spacing w:val="1"/>
        </w:rPr>
        <w:t> </w:t>
      </w:r>
      <w:r>
        <w:rPr/>
        <w:t>long-term impacts on the areas’ inhabitants; and private developers become</w:t>
      </w:r>
      <w:r>
        <w:rPr>
          <w:spacing w:val="1"/>
        </w:rPr>
        <w:t> </w:t>
      </w:r>
      <w:r>
        <w:rPr/>
        <w:t>dictators of</w:t>
      </w:r>
      <w:r>
        <w:rPr>
          <w:spacing w:val="1"/>
        </w:rPr>
        <w:t> </w:t>
      </w:r>
      <w:r>
        <w:rPr/>
        <w:t>pace</w:t>
      </w:r>
      <w:r>
        <w:rPr>
          <w:spacing w:val="-2"/>
        </w:rPr>
        <w:t> </w:t>
      </w:r>
      <w:r>
        <w:rPr/>
        <w:t>of physical developments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"/>
        <w:ind w:left="265" w:right="935"/>
        <w:jc w:val="both"/>
      </w:pPr>
      <w:r>
        <w:rPr/>
        <w:t>Moreover, the private property developments be they commercial, residential, institutional</w:t>
      </w:r>
      <w:r>
        <w:rPr>
          <w:spacing w:val="1"/>
        </w:rPr>
        <w:t> </w:t>
      </w:r>
      <w:r>
        <w:rPr/>
        <w:t>and the like occur side by side with no indication of any development planning procedures</w:t>
      </w:r>
      <w:r>
        <w:rPr>
          <w:spacing w:val="1"/>
        </w:rPr>
        <w:t> </w:t>
      </w:r>
      <w:r>
        <w:rPr/>
        <w:t>effected such that incompatible land use activities are adjacent to each other (Mutisya,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income</w:t>
      </w:r>
      <w:r>
        <w:rPr>
          <w:spacing w:val="-57"/>
        </w:rPr>
        <w:t> </w:t>
      </w:r>
      <w:r>
        <w:rPr/>
        <w:t>neighborhoods in peri-urban is not specific but a prevalent problem in Kenya which adds to</w:t>
      </w:r>
      <w:r>
        <w:rPr>
          <w:spacing w:val="-57"/>
        </w:rPr>
        <w:t> </w:t>
      </w:r>
      <w:r>
        <w:rPr/>
        <w:t>the costs of construction. Also, the Problems of poor drainage facilities and poor waste</w:t>
      </w:r>
      <w:r>
        <w:rPr>
          <w:spacing w:val="1"/>
        </w:rPr>
        <w:t> </w:t>
      </w:r>
      <w:r>
        <w:rPr/>
        <w:t>disposal procedures make the town at best unsightly and smelly especially in the market</w:t>
      </w:r>
      <w:r>
        <w:rPr>
          <w:spacing w:val="1"/>
        </w:rPr>
        <w:t> </w:t>
      </w:r>
      <w:r>
        <w:rPr/>
        <w:t>areas such as Ibadan due to decomposition of organic matter (Ayorinde, 2009). These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what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drainage and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7"/>
        <w:jc w:val="both"/>
      </w:pP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authorities, most private developers have not made their own provisions for such services</w:t>
      </w:r>
      <w:r>
        <w:rPr>
          <w:spacing w:val="1"/>
        </w:rPr>
        <w:t> </w:t>
      </w:r>
      <w:r>
        <w:rPr/>
        <w:t>adding</w:t>
      </w:r>
      <w:r>
        <w:rPr>
          <w:spacing w:val="-2"/>
        </w:rPr>
        <w:t> </w:t>
      </w:r>
      <w:r>
        <w:rPr/>
        <w:t>to the</w:t>
      </w:r>
      <w:r>
        <w:rPr>
          <w:spacing w:val="1"/>
        </w:rPr>
        <w:t> </w:t>
      </w:r>
      <w:r>
        <w:rPr/>
        <w:t>costs of construction and long</w:t>
      </w:r>
      <w:r>
        <w:rPr>
          <w:spacing w:val="-2"/>
        </w:rPr>
        <w:t> </w:t>
      </w:r>
      <w:r>
        <w:rPr/>
        <w:t>route.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2"/>
        <w:jc w:val="both"/>
      </w:pPr>
      <w:r>
        <w:rPr/>
        <w:t>Despite the above outlined problems that make construction development less attractive for</w:t>
      </w:r>
      <w:r>
        <w:rPr>
          <w:spacing w:val="1"/>
        </w:rPr>
        <w:t> </w:t>
      </w:r>
      <w:r>
        <w:rPr/>
        <w:t>private developer, the growth of the construction activities in peri-urban area of the town is</w:t>
      </w:r>
      <w:r>
        <w:rPr>
          <w:spacing w:val="1"/>
        </w:rPr>
        <w:t> </w:t>
      </w:r>
      <w:r>
        <w:rPr/>
        <w:t>unrelenting and private developers still see the advantage of such an undertaking. The</w:t>
      </w:r>
      <w:r>
        <w:rPr>
          <w:spacing w:val="1"/>
        </w:rPr>
        <w:t> </w:t>
      </w:r>
      <w:r>
        <w:rPr/>
        <w:t>factors that encourage such development and the relative significance of the same are the</w:t>
      </w:r>
      <w:r>
        <w:rPr>
          <w:spacing w:val="1"/>
        </w:rPr>
        <w:t> </w:t>
      </w:r>
      <w:r>
        <w:rPr/>
        <w:t>major</w:t>
      </w:r>
      <w:r>
        <w:rPr>
          <w:spacing w:val="36"/>
        </w:rPr>
        <w:t> </w:t>
      </w:r>
      <w:r>
        <w:rPr/>
        <w:t>focus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study</w:t>
      </w:r>
      <w:r>
        <w:rPr>
          <w:spacing w:val="34"/>
        </w:rPr>
        <w:t> </w:t>
      </w:r>
      <w:r>
        <w:rPr/>
        <w:t>with</w:t>
      </w:r>
      <w:r>
        <w:rPr>
          <w:spacing w:val="37"/>
        </w:rPr>
        <w:t> </w:t>
      </w:r>
      <w:r>
        <w:rPr/>
        <w:t>respect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private</w:t>
      </w:r>
      <w:r>
        <w:rPr>
          <w:spacing w:val="36"/>
        </w:rPr>
        <w:t> </w:t>
      </w:r>
      <w:r>
        <w:rPr/>
        <w:t>residential</w:t>
      </w:r>
      <w:r>
        <w:rPr>
          <w:spacing w:val="37"/>
        </w:rPr>
        <w:t> </w:t>
      </w:r>
      <w:r>
        <w:rPr/>
        <w:t>property</w:t>
      </w:r>
      <w:r>
        <w:rPr>
          <w:spacing w:val="29"/>
        </w:rPr>
        <w:t> </w:t>
      </w:r>
      <w:r>
        <w:rPr/>
        <w:t>developers</w:t>
      </w:r>
      <w:r>
        <w:rPr>
          <w:spacing w:val="37"/>
        </w:rPr>
        <w:t> </w:t>
      </w:r>
      <w:r>
        <w:rPr/>
        <w:t>both</w:t>
      </w:r>
      <w:r>
        <w:rPr>
          <w:spacing w:val="38"/>
        </w:rPr>
        <w:t> </w:t>
      </w:r>
      <w:r>
        <w:rPr/>
        <w:t>in</w:t>
      </w:r>
      <w:r>
        <w:rPr>
          <w:spacing w:val="-58"/>
        </w:rPr>
        <w:t> </w:t>
      </w:r>
      <w:r>
        <w:rPr/>
        <w:t>large</w:t>
      </w:r>
      <w:r>
        <w:rPr>
          <w:spacing w:val="-2"/>
        </w:rPr>
        <w:t> </w:t>
      </w:r>
      <w:r>
        <w:rPr/>
        <w:t>and small scale capacities.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bookmark8" w:id="12"/>
      <w:bookmarkEnd w:id="12"/>
      <w:r>
        <w:rPr>
          <w:b w:val="0"/>
        </w:rPr>
      </w:r>
      <w:bookmarkStart w:name="_bookmark8" w:id="13"/>
      <w:bookmarkEnd w:id="13"/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3"/>
        <w:ind w:left="265" w:right="1157"/>
      </w:pPr>
      <w:r>
        <w:rPr/>
        <w:t>The aim of the study is to analyse the factors influencing private real estate developments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peri-urban</w:t>
      </w:r>
      <w:r>
        <w:rPr>
          <w:spacing w:val="2"/>
        </w:rPr>
        <w:t> </w:t>
      </w:r>
      <w:r>
        <w:rPr/>
        <w:t>areas of</w:t>
      </w:r>
      <w:r>
        <w:rPr>
          <w:spacing w:val="1"/>
        </w:rPr>
        <w:t> </w:t>
      </w:r>
      <w:r>
        <w:rPr/>
        <w:t>Bida.</w:t>
      </w:r>
    </w:p>
    <w:p>
      <w:pPr>
        <w:pStyle w:val="BodyText"/>
        <w:spacing w:before="196"/>
        <w:ind w:left="265"/>
      </w:pP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174" w:after="0"/>
        <w:ind w:left="985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types</w:t>
      </w:r>
      <w:r>
        <w:rPr>
          <w:spacing w:val="-1"/>
          <w:sz w:val="24"/>
        </w:rPr>
        <w:t> </w:t>
      </w:r>
      <w:r>
        <w:rPr>
          <w:sz w:val="24"/>
        </w:rPr>
        <w:t>of private</w:t>
      </w:r>
      <w:r>
        <w:rPr>
          <w:spacing w:val="-1"/>
          <w:sz w:val="24"/>
        </w:rPr>
        <w:t> </w:t>
      </w:r>
      <w:r>
        <w:rPr>
          <w:sz w:val="24"/>
        </w:rPr>
        <w:t>real estate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 Bida</w:t>
      </w:r>
      <w:r>
        <w:rPr>
          <w:spacing w:val="1"/>
          <w:sz w:val="24"/>
        </w:rPr>
        <w:t> </w:t>
      </w:r>
      <w:r>
        <w:rPr>
          <w:sz w:val="24"/>
        </w:rPr>
        <w:t>peri-urban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drivers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peri-urban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 Bida.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480" w:lineRule="auto" w:before="0" w:after="0"/>
        <w:ind w:left="985" w:right="1102" w:hanging="360"/>
        <w:jc w:val="left"/>
        <w:rPr>
          <w:sz w:val="24"/>
        </w:rPr>
      </w:pPr>
      <w:r>
        <w:rPr>
          <w:sz w:val="24"/>
        </w:rPr>
        <w:t>To assess the factors influencing private real estate development in peri-urban area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Bida</w:t>
      </w: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482" w:lineRule="auto" w:before="1" w:after="0"/>
        <w:ind w:left="985" w:right="135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8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spatial 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development in</w:t>
      </w:r>
      <w:r>
        <w:rPr>
          <w:spacing w:val="-1"/>
          <w:sz w:val="24"/>
        </w:rPr>
        <w:t> </w:t>
      </w:r>
      <w:r>
        <w:rPr>
          <w:sz w:val="24"/>
        </w:rPr>
        <w:t>peri</w:t>
      </w:r>
      <w:r>
        <w:rPr>
          <w:spacing w:val="-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Bida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015" w:top="1340" w:bottom="1200" w:left="1720" w:right="480"/>
        </w:sect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</w:pPr>
      <w:bookmarkStart w:name="_bookmark9" w:id="14"/>
      <w:bookmarkEnd w:id="14"/>
      <w:r>
        <w:rPr>
          <w:b w:val="0"/>
        </w:rPr>
      </w:r>
      <w:bookmarkStart w:name="_bookmark9" w:id="15"/>
      <w:bookmarkEnd w:id="15"/>
      <w:r>
        <w:rPr/>
        <w:t>R</w:t>
      </w:r>
      <w:r>
        <w:rPr/>
        <w:t>esearch</w:t>
      </w:r>
      <w:r>
        <w:rPr>
          <w:spacing w:val="-4"/>
        </w:rPr>
        <w:t> </w:t>
      </w:r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212" w:after="0"/>
        <w:ind w:left="98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real</w:t>
      </w:r>
      <w:r>
        <w:rPr>
          <w:spacing w:val="-1"/>
          <w:sz w:val="24"/>
        </w:rPr>
        <w:t> </w:t>
      </w:r>
      <w:r>
        <w:rPr>
          <w:sz w:val="24"/>
        </w:rPr>
        <w:t>estate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Bida</w:t>
      </w:r>
      <w:r>
        <w:rPr>
          <w:spacing w:val="2"/>
          <w:sz w:val="24"/>
        </w:rPr>
        <w:t> </w:t>
      </w:r>
      <w:r>
        <w:rPr>
          <w:sz w:val="24"/>
        </w:rPr>
        <w:t>peri-urban?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1" w:after="0"/>
        <w:ind w:left="98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drivers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peri-urban</w:t>
      </w:r>
      <w:r>
        <w:rPr>
          <w:spacing w:val="-1"/>
          <w:sz w:val="24"/>
        </w:rPr>
        <w:t> </w:t>
      </w:r>
      <w:r>
        <w:rPr>
          <w:sz w:val="24"/>
        </w:rPr>
        <w:t>development in</w:t>
      </w:r>
      <w:r>
        <w:rPr>
          <w:spacing w:val="1"/>
          <w:sz w:val="24"/>
        </w:rPr>
        <w:t> </w:t>
      </w:r>
      <w:r>
        <w:rPr>
          <w:sz w:val="24"/>
        </w:rPr>
        <w:t>Bida?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factors</w:t>
      </w:r>
      <w:r>
        <w:rPr>
          <w:spacing w:val="-1"/>
          <w:sz w:val="24"/>
        </w:rPr>
        <w:t> </w:t>
      </w:r>
      <w:r>
        <w:rPr>
          <w:sz w:val="24"/>
        </w:rPr>
        <w:t>influencing</w:t>
      </w:r>
      <w:r>
        <w:rPr>
          <w:spacing w:val="-3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development in</w:t>
      </w:r>
      <w:r>
        <w:rPr>
          <w:spacing w:val="-1"/>
          <w:sz w:val="24"/>
        </w:rPr>
        <w:t> </w:t>
      </w:r>
      <w:r>
        <w:rPr>
          <w:sz w:val="24"/>
        </w:rPr>
        <w:t>peri-urban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 Bida?</w:t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0" w:after="0"/>
        <w:ind w:left="98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exhibit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Bida?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/>
        <w:t>Justi</w:t>
      </w:r>
      <w:r>
        <w:rPr/>
        <w:t>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2"/>
        <w:jc w:val="both"/>
      </w:pPr>
      <w:r>
        <w:rPr/>
        <w:t>This study is tailored towards analyzing the peri-urban development in term private estate</w:t>
      </w:r>
      <w:r>
        <w:rPr>
          <w:spacing w:val="1"/>
        </w:rPr>
        <w:t> </w:t>
      </w:r>
      <w:r>
        <w:rPr/>
        <w:t>development in Bida area of Niger state. The study thereby looks into both positive and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development in satellite towns of Bida peripheral.</w:t>
      </w:r>
      <w:r>
        <w:rPr>
          <w:spacing w:val="1"/>
        </w:rPr>
        <w:t> </w:t>
      </w:r>
      <w:r>
        <w:rPr/>
        <w:t>The study is grounded chiefly on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cycle and the theories that determine residential</w:t>
      </w:r>
      <w:r>
        <w:rPr>
          <w:spacing w:val="60"/>
        </w:rPr>
        <w:t> </w:t>
      </w:r>
      <w:r>
        <w:rPr/>
        <w:t>location and</w:t>
      </w:r>
      <w:r>
        <w:rPr>
          <w:spacing w:val="60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 study is justified on the ground that previous studies have explored similar concepts but</w:t>
      </w:r>
      <w:r>
        <w:rPr>
          <w:spacing w:val="1"/>
        </w:rPr>
        <w:t> </w:t>
      </w:r>
      <w:r>
        <w:rPr/>
        <w:t>concentrated their research elsewhere, for instance, Muiruri (2001) studied real property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Nairobi,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unrestricted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contravention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urban</w:t>
      </w:r>
      <w:r>
        <w:rPr>
          <w:spacing w:val="-57"/>
        </w:rPr>
        <w:t> </w:t>
      </w:r>
      <w:r>
        <w:rPr/>
        <w:t>planning procedures, this study could not address other factors affecting developers in peri-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which this study</w:t>
      </w:r>
      <w:r>
        <w:rPr>
          <w:spacing w:val="-5"/>
        </w:rPr>
        <w:t> </w:t>
      </w:r>
      <w:r>
        <w:rPr/>
        <w:t>intends to address.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Mutisya (2008) evaluated the sustainability of the residential</w:t>
      </w:r>
      <w:r>
        <w:rPr>
          <w:spacing w:val="1"/>
        </w:rPr>
        <w:t> </w:t>
      </w:r>
      <w:r>
        <w:rPr/>
        <w:t>housing developments in</w:t>
      </w:r>
      <w:r>
        <w:rPr>
          <w:spacing w:val="1"/>
        </w:rPr>
        <w:t> </w:t>
      </w:r>
      <w:r>
        <w:rPr/>
        <w:t>rapidly</w:t>
      </w:r>
      <w:r>
        <w:rPr>
          <w:spacing w:val="14"/>
        </w:rPr>
        <w:t> </w:t>
      </w:r>
      <w:r>
        <w:rPr/>
        <w:t>growing</w:t>
      </w:r>
      <w:r>
        <w:rPr>
          <w:spacing w:val="14"/>
        </w:rPr>
        <w:t> </w:t>
      </w:r>
      <w:r>
        <w:rPr/>
        <w:t>satellite</w:t>
      </w:r>
      <w:r>
        <w:rPr>
          <w:spacing w:val="16"/>
        </w:rPr>
        <w:t> </w:t>
      </w:r>
      <w:r>
        <w:rPr/>
        <w:t>towns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Kenya.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11"/>
        </w:rPr>
        <w:t> </w:t>
      </w:r>
      <w:r>
        <w:rPr/>
        <w:t>found</w:t>
      </w:r>
      <w:r>
        <w:rPr>
          <w:spacing w:val="15"/>
        </w:rPr>
        <w:t> </w:t>
      </w:r>
      <w:r>
        <w:rPr/>
        <w:t>out</w:t>
      </w:r>
      <w:r>
        <w:rPr>
          <w:spacing w:val="18"/>
        </w:rPr>
        <w:t> </w:t>
      </w:r>
      <w:r>
        <w:rPr/>
        <w:t>that</w:t>
      </w:r>
      <w:r>
        <w:rPr>
          <w:spacing w:val="16"/>
        </w:rPr>
        <w:t> </w:t>
      </w:r>
      <w:r>
        <w:rPr/>
        <w:t>60%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developers</w:t>
      </w:r>
      <w:r>
        <w:rPr>
          <w:spacing w:val="-5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developers</w:t>
      </w:r>
      <w:r>
        <w:rPr>
          <w:spacing w:val="12"/>
        </w:rPr>
        <w:t> </w:t>
      </w:r>
      <w:r>
        <w:rPr/>
        <w:t>understood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concepts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sustainability</w:t>
      </w:r>
      <w:r>
        <w:rPr>
          <w:spacing w:val="6"/>
        </w:rPr>
        <w:t> </w:t>
      </w:r>
      <w:r>
        <w:rPr/>
        <w:t>as</w:t>
      </w:r>
      <w:r>
        <w:rPr>
          <w:spacing w:val="11"/>
        </w:rPr>
        <w:t> </w:t>
      </w:r>
      <w:r>
        <w:rPr/>
        <w:t>defined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  <w:r>
        <w:rPr>
          <w:spacing w:val="5"/>
        </w:rPr>
        <w:t> </w:t>
      </w:r>
      <w:r>
        <w:rPr/>
        <w:t>and</w:t>
      </w:r>
      <w:r>
        <w:rPr>
          <w:spacing w:val="1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4"/>
        <w:jc w:val="both"/>
      </w:pPr>
      <w:r>
        <w:rPr/>
        <w:t>80% of the structures developed constituted structurally sustainable materials, that majority</w:t>
      </w:r>
      <w:r>
        <w:rPr>
          <w:spacing w:val="1"/>
        </w:rPr>
        <w:t> </w:t>
      </w:r>
      <w:r>
        <w:rPr/>
        <w:t>of the structures actually had access to water supply, drainage facilities and electricity, this</w:t>
      </w:r>
      <w:r>
        <w:rPr>
          <w:spacing w:val="1"/>
        </w:rPr>
        <w:t> </w:t>
      </w:r>
      <w:r>
        <w:rPr/>
        <w:t>fails to look into planning and nature network of road which this study intends to address.</w:t>
      </w:r>
      <w:r>
        <w:rPr>
          <w:spacing w:val="1"/>
        </w:rPr>
        <w:t> </w:t>
      </w:r>
      <w:r>
        <w:rPr/>
        <w:t>Ayorinde (2009) studied the private property development in peri-urban in South Western</w:t>
      </w:r>
      <w:r>
        <w:rPr>
          <w:spacing w:val="1"/>
        </w:rPr>
        <w:t> </w:t>
      </w:r>
      <w:r>
        <w:rPr/>
        <w:t>Nigeria (Yoruba cities) the study discovered that physical developments in the peri-urban</w:t>
      </w:r>
      <w:r>
        <w:rPr>
          <w:spacing w:val="1"/>
        </w:rPr>
        <w:t> </w:t>
      </w:r>
      <w:r>
        <w:rPr/>
        <w:t>areas of Ibadan is characterized by a mixture of residential developments, agriculture,</w:t>
      </w:r>
      <w:r>
        <w:rPr>
          <w:spacing w:val="1"/>
        </w:rPr>
        <w:t> </w:t>
      </w:r>
      <w:r>
        <w:rPr/>
        <w:t>forestry, and exhibited weak and ineffective planning control, and further stated that 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60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villages.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fails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spatially</w:t>
      </w:r>
      <w:r>
        <w:rPr>
          <w:spacing w:val="-6"/>
        </w:rPr>
        <w:t> </w:t>
      </w:r>
      <w:r>
        <w:rPr/>
        <w:t>look into</w:t>
      </w:r>
      <w:r>
        <w:rPr>
          <w:spacing w:val="-1"/>
        </w:rPr>
        <w:t> </w:t>
      </w:r>
      <w:r>
        <w:rPr/>
        <w:t>sprawl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peri-urban</w:t>
      </w:r>
      <w:r>
        <w:rPr>
          <w:spacing w:val="2"/>
        </w:rPr>
        <w:t> </w:t>
      </w:r>
      <w:r>
        <w:rPr/>
        <w:t>area,</w:t>
      </w:r>
      <w:r>
        <w:rPr>
          <w:spacing w:val="-1"/>
        </w:rPr>
        <w:t> </w:t>
      </w:r>
      <w:r>
        <w:rPr/>
        <w:t>this justifies</w:t>
      </w:r>
      <w:r>
        <w:rPr>
          <w:spacing w:val="-1"/>
        </w:rPr>
        <w:t> </w:t>
      </w:r>
      <w:r>
        <w:rPr/>
        <w:t>this study</w:t>
      </w:r>
      <w:r>
        <w:rPr>
          <w:spacing w:val="-8"/>
        </w:rPr>
        <w:t> </w:t>
      </w:r>
      <w:r>
        <w:rPr/>
        <w:t>as</w:t>
      </w:r>
      <w:r>
        <w:rPr>
          <w:spacing w:val="-1"/>
        </w:rPr>
        <w:t> </w:t>
      </w:r>
      <w:r>
        <w:rPr/>
        <w:t>it tends</w:t>
      </w:r>
      <w:r>
        <w:rPr>
          <w:spacing w:val="-1"/>
        </w:rPr>
        <w:t> </w:t>
      </w:r>
      <w:r>
        <w:rPr/>
        <w:t>to address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65" w:right="931" w:firstLine="59"/>
        <w:jc w:val="both"/>
      </w:pPr>
      <w:r>
        <w:rPr/>
        <w:t>These studies fail to look into spatial nature development and factors affecting private</w:t>
      </w:r>
      <w:r>
        <w:rPr>
          <w:spacing w:val="1"/>
        </w:rPr>
        <w:t> </w:t>
      </w:r>
      <w:r>
        <w:rPr/>
        <w:t>estate development, which this intends to address</w:t>
      </w:r>
      <w:r>
        <w:rPr>
          <w:spacing w:val="1"/>
        </w:rPr>
        <w:t> </w:t>
      </w:r>
      <w:r>
        <w:rPr/>
        <w:t>Therefore this study will extend existing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property 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uniquely preeminent in the area. Also, differences that may arise may point to a refinement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consideration of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development in</w:t>
      </w:r>
      <w:r>
        <w:rPr>
          <w:spacing w:val="3"/>
        </w:rPr>
        <w:t> </w:t>
      </w:r>
      <w:r>
        <w:rPr/>
        <w:t>peri-urban towns.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bookmark11" w:id="18"/>
      <w:bookmarkEnd w:id="18"/>
      <w:r>
        <w:rPr>
          <w:b w:val="0"/>
        </w:rPr>
      </w:r>
      <w:bookmarkStart w:name="_bookmark11" w:id="19"/>
      <w:bookmarkEnd w:id="19"/>
      <w:r>
        <w:rPr/>
        <w:t>S</w:t>
      </w:r>
      <w:r>
        <w:rPr/>
        <w:t>ignificance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265" w:right="932"/>
        <w:jc w:val="both"/>
      </w:pPr>
      <w:r>
        <w:rPr/>
        <w:t>The importance of this study to the various land stakeholder can be overemphasis. This</w:t>
      </w:r>
      <w:r>
        <w:rPr>
          <w:spacing w:val="1"/>
        </w:rPr>
        <w:t> </w:t>
      </w:r>
      <w:r>
        <w:rPr/>
        <w:t>study will enable the identification of the more significant factors</w:t>
      </w:r>
      <w:r>
        <w:rPr>
          <w:spacing w:val="60"/>
        </w:rPr>
        <w:t> </w:t>
      </w:r>
      <w:r>
        <w:rPr/>
        <w:t>amongst those outlined</w:t>
      </w:r>
      <w:r>
        <w:rPr>
          <w:spacing w:val="1"/>
        </w:rPr>
        <w:t> </w:t>
      </w:r>
      <w:r>
        <w:rPr/>
        <w:t>so as to enable future property developers in the area be mindful of them in an effort to</w:t>
      </w:r>
      <w:r>
        <w:rPr>
          <w:spacing w:val="1"/>
        </w:rPr>
        <w:t> </w:t>
      </w:r>
      <w:r>
        <w:rPr/>
        <w:t>develop property knowledgeably, saving on finances especially if these factors prove to be</w:t>
      </w:r>
      <w:r>
        <w:rPr>
          <w:spacing w:val="1"/>
        </w:rPr>
        <w:t> </w:t>
      </w:r>
      <w:r>
        <w:rPr/>
        <w:t>of</w:t>
      </w:r>
      <w:r>
        <w:rPr>
          <w:spacing w:val="24"/>
        </w:rPr>
        <w:t> </w:t>
      </w:r>
      <w:r>
        <w:rPr/>
        <w:t>financial</w:t>
      </w:r>
      <w:r>
        <w:rPr>
          <w:spacing w:val="25"/>
        </w:rPr>
        <w:t> </w:t>
      </w:r>
      <w:r>
        <w:rPr/>
        <w:t>importance.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so</w:t>
      </w:r>
      <w:r>
        <w:rPr>
          <w:spacing w:val="26"/>
        </w:rPr>
        <w:t> </w:t>
      </w:r>
      <w:r>
        <w:rPr/>
        <w:t>far</w:t>
      </w:r>
      <w:r>
        <w:rPr>
          <w:spacing w:val="24"/>
        </w:rPr>
        <w:t> </w:t>
      </w:r>
      <w:r>
        <w:rPr/>
        <w:t>as</w:t>
      </w:r>
      <w:r>
        <w:rPr>
          <w:spacing w:val="27"/>
        </w:rPr>
        <w:t> </w:t>
      </w:r>
      <w:r>
        <w:rPr/>
        <w:t>academia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concerned,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study</w:t>
      </w:r>
      <w:r>
        <w:rPr>
          <w:spacing w:val="20"/>
        </w:rPr>
        <w:t> </w:t>
      </w:r>
      <w:r>
        <w:rPr/>
        <w:t>will</w:t>
      </w:r>
      <w:r>
        <w:rPr>
          <w:spacing w:val="25"/>
        </w:rPr>
        <w:t> </w:t>
      </w:r>
      <w:r>
        <w:rPr/>
        <w:t>bring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light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5"/>
        <w:jc w:val="both"/>
      </w:pPr>
      <w:r>
        <w:rPr/>
        <w:t>those key development factors facing developers in the study area, the extent to which each</w:t>
      </w:r>
      <w:r>
        <w:rPr>
          <w:spacing w:val="1"/>
        </w:rPr>
        <w:t> </w:t>
      </w:r>
      <w:r>
        <w:rPr/>
        <w:t>factor is significant, whether development is affected by all factors acting jointly and how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impacts can be</w:t>
      </w:r>
      <w:r>
        <w:rPr>
          <w:spacing w:val="-1"/>
        </w:rPr>
        <w:t> </w:t>
      </w:r>
      <w:r>
        <w:rPr/>
        <w:t>mitigated.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2"/>
        <w:jc w:val="both"/>
      </w:pPr>
      <w:r>
        <w:rPr/>
        <w:t>The results of this study rather than only arming the residential property developer with key</w:t>
      </w:r>
      <w:r>
        <w:rPr>
          <w:spacing w:val="-57"/>
        </w:rPr>
        <w:t> </w:t>
      </w:r>
      <w:r>
        <w:rPr/>
        <w:t>information with which to make investment decisions, will enable developers to take into</w:t>
      </w:r>
      <w:r>
        <w:rPr>
          <w:spacing w:val="1"/>
        </w:rPr>
        <w:t> </w:t>
      </w:r>
      <w:r>
        <w:rPr/>
        <w:t>account the recommendations put forth especially regarding materials and labor factors to</w:t>
      </w:r>
      <w:r>
        <w:rPr>
          <w:spacing w:val="1"/>
        </w:rPr>
        <w:t> </w:t>
      </w:r>
      <w:r>
        <w:rPr/>
        <w:t>tailor their development agenda with the reality of the area to accrue value and benefits</w:t>
      </w:r>
      <w:r>
        <w:rPr>
          <w:spacing w:val="1"/>
        </w:rPr>
        <w:t> </w:t>
      </w:r>
      <w:r>
        <w:rPr/>
        <w:t>rather than rely solely on unverified suppositions concerning their acquisition and costs.</w:t>
      </w:r>
      <w:r>
        <w:rPr>
          <w:spacing w:val="1"/>
        </w:rPr>
        <w:t> </w:t>
      </w:r>
      <w:r>
        <w:rPr/>
        <w:t>With respect to land acquisition, the study will no doubt emphasize that the procedures for</w:t>
      </w:r>
      <w:r>
        <w:rPr>
          <w:spacing w:val="1"/>
        </w:rPr>
        <w:t> </w:t>
      </w:r>
      <w:r>
        <w:rPr/>
        <w:t>land ownership or leasing be hastened by the local lands office so that the infestation of the</w:t>
      </w:r>
      <w:r>
        <w:rPr>
          <w:spacing w:val="1"/>
        </w:rPr>
        <w:t> </w:t>
      </w:r>
      <w:r>
        <w:rPr/>
        <w:t>middle men who unnecessarily make the process more expensive through corruption and</w:t>
      </w:r>
      <w:r>
        <w:rPr>
          <w:spacing w:val="1"/>
        </w:rPr>
        <w:t> </w:t>
      </w:r>
      <w:r>
        <w:rPr/>
        <w:t>delays can be rooted out to save developers time and</w:t>
      </w:r>
      <w:r>
        <w:rPr>
          <w:spacing w:val="1"/>
        </w:rPr>
        <w:t> </w:t>
      </w:r>
      <w:r>
        <w:rPr/>
        <w:t>encourage would be real estate</w:t>
      </w:r>
      <w:r>
        <w:rPr>
          <w:spacing w:val="1"/>
        </w:rPr>
        <w:t> </w:t>
      </w:r>
      <w:r>
        <w:rPr/>
        <w:t>investors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bookmarkStart w:name="_bookmark12" w:id="20"/>
      <w:bookmarkEnd w:id="20"/>
      <w:r>
        <w:rPr>
          <w:b w:val="0"/>
        </w:rPr>
      </w:r>
      <w:bookmarkStart w:name="_bookmark12" w:id="21"/>
      <w:bookmarkEnd w:id="21"/>
      <w:r>
        <w:rPr/>
        <w:t>S</w:t>
      </w:r>
      <w:r>
        <w:rPr/>
        <w:t>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5"/>
        <w:jc w:val="both"/>
      </w:pPr>
      <w:r>
        <w:rPr/>
        <w:t>The study covers the geographical location of Bida peripheral areas, the study covers the all</w:t>
      </w:r>
      <w:r>
        <w:rPr>
          <w:spacing w:val="-57"/>
        </w:rPr>
        <w:t> </w:t>
      </w:r>
      <w:r>
        <w:rPr/>
        <w:t>types and nature of private estate development in the peri-urban. More importantly looking</w:t>
      </w:r>
      <w:r>
        <w:rPr>
          <w:spacing w:val="1"/>
        </w:rPr>
        <w:t> </w:t>
      </w:r>
      <w:r>
        <w:rPr/>
        <w:t>into factor affecting the development of private real estate and critical analysis of peri-</w:t>
      </w:r>
      <w:r>
        <w:rPr>
          <w:spacing w:val="1"/>
        </w:rPr>
        <w:t> </w:t>
      </w:r>
      <w:r>
        <w:rPr/>
        <w:t>urban</w:t>
      </w:r>
      <w:r>
        <w:rPr>
          <w:spacing w:val="17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term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housing</w:t>
      </w:r>
      <w:r>
        <w:rPr>
          <w:spacing w:val="15"/>
        </w:rPr>
        <w:t> </w:t>
      </w:r>
      <w:r>
        <w:rPr/>
        <w:t>supporting</w:t>
      </w:r>
      <w:r>
        <w:rPr>
          <w:spacing w:val="20"/>
        </w:rPr>
        <w:t> </w:t>
      </w:r>
      <w:r>
        <w:rPr/>
        <w:t>infrastructure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area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major</w:t>
      </w:r>
      <w:r>
        <w:rPr>
          <w:spacing w:val="18"/>
        </w:rPr>
        <w:t> </w:t>
      </w:r>
      <w:r>
        <w:rPr/>
        <w:t>focus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4"/>
        <w:jc w:val="both"/>
      </w:pPr>
      <w:r>
        <w:rPr/>
        <w:t>Furthermore, the purpose of this study is to identify drivers of peri-urban development and</w:t>
      </w:r>
      <w:r>
        <w:rPr>
          <w:spacing w:val="1"/>
        </w:rPr>
        <w:t> </w:t>
      </w:r>
      <w:r>
        <w:rPr/>
        <w:t>factors influencing the demand for peri-urban that necessitates increase in private estate</w:t>
      </w:r>
      <w:r>
        <w:rPr>
          <w:spacing w:val="1"/>
        </w:rPr>
        <w:t> </w:t>
      </w:r>
      <w:r>
        <w:rPr/>
        <w:t>development, with particular reference to</w:t>
      </w:r>
      <w:r>
        <w:rPr>
          <w:spacing w:val="1"/>
        </w:rPr>
        <w:t> </w:t>
      </w:r>
      <w:r>
        <w:rPr/>
        <w:t>availability or lack of of infrastructure, labor and</w:t>
      </w:r>
      <w:r>
        <w:rPr>
          <w:spacing w:val="1"/>
        </w:rPr>
        <w:t> </w:t>
      </w:r>
      <w:r>
        <w:rPr/>
        <w:t>material acquisition, availability of funding both in the long term and the short term and</w:t>
      </w:r>
      <w:r>
        <w:rPr>
          <w:spacing w:val="1"/>
        </w:rPr>
        <w:t> </w:t>
      </w:r>
      <w:r>
        <w:rPr/>
        <w:t>availability of land affect the development choices of the private property developer and</w:t>
      </w:r>
      <w:r>
        <w:rPr>
          <w:spacing w:val="1"/>
        </w:rPr>
        <w:t> </w:t>
      </w:r>
      <w:r>
        <w:rPr/>
        <w:t>how this individual surmounts these limitations to develop residential property tailored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middle income earner, who constitutes</w:t>
      </w:r>
      <w:r>
        <w:rPr>
          <w:spacing w:val="-1"/>
        </w:rPr>
        <w:t> </w:t>
      </w:r>
      <w:r>
        <w:rPr/>
        <w:t>majority</w:t>
      </w:r>
      <w:r>
        <w:rPr>
          <w:spacing w:val="-2"/>
        </w:rPr>
        <w:t> </w:t>
      </w:r>
      <w:r>
        <w:rPr/>
        <w:t>of the effective</w:t>
      </w:r>
      <w:r>
        <w:rPr>
          <w:spacing w:val="-1"/>
        </w:rPr>
        <w:t> </w:t>
      </w:r>
      <w:r>
        <w:rPr/>
        <w:t>demand.</w:t>
      </w:r>
    </w:p>
    <w:p>
      <w:pPr>
        <w:pStyle w:val="BodyText"/>
        <w:spacing w:line="480" w:lineRule="auto" w:before="1"/>
        <w:ind w:left="265" w:right="932"/>
        <w:jc w:val="both"/>
      </w:pPr>
      <w:r>
        <w:rPr/>
        <w:t>The central concepts outlined above will be studied extensively to identify whether they all</w:t>
      </w:r>
      <w:r>
        <w:rPr>
          <w:spacing w:val="1"/>
        </w:rPr>
        <w:t> </w:t>
      </w:r>
      <w:r>
        <w:rPr/>
        <w:t>jointly affect the private residential developer, whether any of the key aspects is more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than the other and why.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1045" w:val="left" w:leader="none"/>
          <w:tab w:pos="1046" w:val="left" w:leader="none"/>
        </w:tabs>
        <w:spacing w:line="240" w:lineRule="auto" w:before="0" w:after="0"/>
        <w:ind w:left="1045" w:right="0" w:hanging="781"/>
        <w:jc w:val="left"/>
      </w:pPr>
      <w:bookmarkStart w:name="_bookmark13" w:id="22"/>
      <w:bookmarkEnd w:id="22"/>
      <w:r>
        <w:rPr>
          <w:b w:val="0"/>
        </w:rPr>
      </w:r>
      <w:bookmarkStart w:name="_bookmark13" w:id="23"/>
      <w:bookmarkEnd w:id="23"/>
      <w:r>
        <w:rPr/>
        <w:t>Stud</w:t>
      </w:r>
      <w:r>
        <w:rPr/>
        <w:t>y</w:t>
      </w:r>
      <w:r>
        <w:rPr>
          <w:spacing w:val="-4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18"/>
        <w:ind w:left="265"/>
      </w:pPr>
      <w:bookmarkStart w:name="_bookmark14" w:id="24"/>
      <w:bookmarkEnd w:id="24"/>
      <w:r>
        <w:rPr>
          <w:b w:val="0"/>
        </w:rPr>
      </w:r>
      <w:r>
        <w:rPr/>
        <w:t>1.8.1</w:t>
      </w:r>
      <w:r>
        <w:rPr>
          <w:spacing w:val="117"/>
        </w:rPr>
        <w:t> </w:t>
      </w:r>
      <w:r>
        <w:rPr/>
        <w:t>Historical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5"/>
        <w:jc w:val="both"/>
      </w:pPr>
      <w:r>
        <w:rPr/>
        <w:t>Bida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traditional</w:t>
      </w:r>
      <w:r>
        <w:rPr>
          <w:spacing w:val="58"/>
        </w:rPr>
        <w:t> </w:t>
      </w:r>
      <w:r>
        <w:rPr/>
        <w:t>town  in</w:t>
      </w:r>
      <w:r>
        <w:rPr>
          <w:spacing w:val="59"/>
        </w:rPr>
        <w:t> </w:t>
      </w:r>
      <w:r>
        <w:rPr/>
        <w:t>Nigeria,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successor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old</w:t>
      </w:r>
      <w:r>
        <w:rPr>
          <w:spacing w:val="56"/>
        </w:rPr>
        <w:t> </w:t>
      </w:r>
      <w:r>
        <w:rPr/>
        <w:t>Nupe</w:t>
      </w:r>
      <w:r>
        <w:rPr>
          <w:spacing w:val="57"/>
        </w:rPr>
        <w:t> </w:t>
      </w:r>
      <w:r>
        <w:rPr/>
        <w:t>kingdom,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its</w:t>
      </w:r>
      <w:r>
        <w:rPr>
          <w:spacing w:val="-57"/>
        </w:rPr>
        <w:t> </w:t>
      </w:r>
      <w:r>
        <w:rPr/>
        <w:t>headquarters in Bida, Niger State. The head of the state is the leader of the Nupe people.</w:t>
      </w:r>
      <w:r>
        <w:rPr>
          <w:spacing w:val="1"/>
        </w:rPr>
        <w:t> </w:t>
      </w:r>
      <w:r>
        <w:rPr/>
        <w:t>Also, the old Nupe kingdom was established in the middle of the 15th century, in a basin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 rivers in what is now called the</w:t>
      </w:r>
      <w:r>
        <w:rPr>
          <w:spacing w:val="60"/>
        </w:rPr>
        <w:t> </w:t>
      </w:r>
      <w:r>
        <w:rPr/>
        <w:t>central Nigeria. Early</w:t>
      </w:r>
      <w:r>
        <w:rPr>
          <w:spacing w:val="1"/>
        </w:rPr>
        <w:t> </w:t>
      </w:r>
      <w:r>
        <w:rPr/>
        <w:t>history is mostly based on verbally transmitted legends. King Jibril who reigned around</w:t>
      </w:r>
      <w:r>
        <w:rPr>
          <w:spacing w:val="1"/>
        </w:rPr>
        <w:t> </w:t>
      </w:r>
      <w:r>
        <w:rPr/>
        <w:t>1770, was the first Nupe king to become Muslim, so came the EtsuMuazu who brought the</w:t>
      </w:r>
      <w:r>
        <w:rPr>
          <w:spacing w:val="1"/>
        </w:rPr>
        <w:t> </w:t>
      </w:r>
      <w:r>
        <w:rPr/>
        <w:t>kingdom to its period of its greatest power, dying in 1818. During that period, the Fulani</w:t>
      </w:r>
      <w:r>
        <w:rPr>
          <w:spacing w:val="1"/>
        </w:rPr>
        <w:t> </w:t>
      </w:r>
      <w:r>
        <w:rPr/>
        <w:t>were gaining power across Northern Nigeria. After Muazus death and during subsequent</w:t>
      </w:r>
      <w:r>
        <w:rPr>
          <w:spacing w:val="1"/>
        </w:rPr>
        <w:t> </w:t>
      </w:r>
      <w:r>
        <w:rPr/>
        <w:t>wars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succession,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Nupe</w:t>
      </w:r>
      <w:r>
        <w:rPr>
          <w:spacing w:val="38"/>
        </w:rPr>
        <w:t> </w:t>
      </w:r>
      <w:r>
        <w:rPr/>
        <w:t>kingdom</w:t>
      </w:r>
      <w:r>
        <w:rPr>
          <w:spacing w:val="41"/>
        </w:rPr>
        <w:t> </w:t>
      </w:r>
      <w:r>
        <w:rPr/>
        <w:t>came</w:t>
      </w:r>
      <w:r>
        <w:rPr>
          <w:spacing w:val="39"/>
        </w:rPr>
        <w:t> </w:t>
      </w:r>
      <w:r>
        <w:rPr/>
        <w:t>under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control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Gwandu</w:t>
      </w:r>
      <w:r>
        <w:rPr>
          <w:spacing w:val="39"/>
        </w:rPr>
        <w:t> </w:t>
      </w:r>
      <w:r>
        <w:rPr/>
        <w:t>emirate,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40"/>
        <w:jc w:val="both"/>
      </w:pPr>
      <w:r>
        <w:rPr/>
        <w:t>Masaba, son of the Fulani leader, MallamDendo and a Nupe mother gained power in 1841</w:t>
      </w:r>
      <w:r>
        <w:rPr>
          <w:spacing w:val="1"/>
        </w:rPr>
        <w:t> </w:t>
      </w:r>
      <w:r>
        <w:rPr/>
        <w:t>(Mohammed,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8"/>
        <w:jc w:val="both"/>
      </w:pPr>
      <w:r>
        <w:rPr/>
        <w:t>During Masabas reign, the Nupe kingdom grew extensively, Masaba residing first in Lade</w:t>
      </w:r>
      <w:r>
        <w:rPr>
          <w:spacing w:val="1"/>
        </w:rPr>
        <w:t> </w:t>
      </w:r>
      <w:r>
        <w:rPr/>
        <w:t>and later in Rabba conquered the Kamaku in the north, the Gbari in the east of Kakanda in</w:t>
      </w:r>
      <w:r>
        <w:rPr>
          <w:spacing w:val="1"/>
        </w:rPr>
        <w:t> </w:t>
      </w:r>
      <w:r>
        <w:rPr/>
        <w:t>the south, he however entrenched himself firmly on the Yoruba side of the Niger, snatching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Fulani cheifs</w:t>
      </w:r>
      <w:r>
        <w:rPr>
          <w:spacing w:val="-1"/>
        </w:rPr>
        <w:t> </w:t>
      </w:r>
      <w:r>
        <w:rPr/>
        <w:t>who had</w:t>
      </w:r>
      <w:r>
        <w:rPr>
          <w:spacing w:val="2"/>
        </w:rPr>
        <w:t> </w:t>
      </w:r>
      <w:r>
        <w:rPr/>
        <w:t>gained a</w:t>
      </w:r>
      <w:r>
        <w:rPr>
          <w:spacing w:val="-1"/>
        </w:rPr>
        <w:t> </w:t>
      </w:r>
      <w:r>
        <w:rPr/>
        <w:t>foothold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(Mohammed, 2014).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tabs>
          <w:tab w:pos="985" w:val="left" w:leader="none"/>
        </w:tabs>
        <w:ind w:left="265"/>
      </w:pPr>
      <w:bookmarkStart w:name="_bookmark15" w:id="25"/>
      <w:bookmarkEnd w:id="25"/>
      <w:r>
        <w:rPr>
          <w:b w:val="0"/>
        </w:rPr>
      </w:r>
      <w:r>
        <w:rPr/>
        <w:t>1.8.3</w:t>
        <w:tab/>
        <w:t>Geographical</w:t>
      </w:r>
      <w:r>
        <w:rPr>
          <w:spacing w:val="-4"/>
        </w:rPr>
        <w:t> </w:t>
      </w:r>
      <w:r>
        <w:rPr/>
        <w:t>Location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5"/>
        <w:jc w:val="both"/>
      </w:pPr>
      <w:r>
        <w:rPr/>
        <w:t>Bida is Located on 9°05′N, 6°01′E, 9.083°N, 6.017°E, Coordinates (see Figures 1.1, and</w:t>
      </w:r>
      <w:r>
        <w:rPr>
          <w:spacing w:val="1"/>
        </w:rPr>
        <w:t> </w:t>
      </w:r>
      <w:r>
        <w:rPr/>
        <w:t>1.2). The local government is located on A124 highway (a regional road) linked Ilorin to</w:t>
      </w:r>
      <w:r>
        <w:rPr>
          <w:spacing w:val="1"/>
        </w:rPr>
        <w:t> </w:t>
      </w:r>
      <w:r>
        <w:rPr/>
        <w:t>Minna and Abuja. The LGA has an area of 1.698 km². Bida is the second largest city in</w:t>
      </w:r>
      <w:r>
        <w:rPr>
          <w:spacing w:val="1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State.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located southwest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Minna,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dry,</w:t>
      </w:r>
      <w:r>
        <w:rPr>
          <w:spacing w:val="-1"/>
        </w:rPr>
        <w:t> </w:t>
      </w:r>
      <w:r>
        <w:rPr/>
        <w:t>arid</w:t>
      </w:r>
      <w:r>
        <w:rPr>
          <w:spacing w:val="-2"/>
        </w:rPr>
        <w:t> </w:t>
      </w:r>
      <w:r>
        <w:rPr/>
        <w:t>town.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65" w:right="936"/>
        <w:jc w:val="both"/>
      </w:pPr>
      <w:r>
        <w:rPr/>
        <w:t>A typical middle belt region, Bida emirate experiences distinct dry and</w:t>
      </w:r>
      <w:r>
        <w:rPr>
          <w:spacing w:val="60"/>
        </w:rPr>
        <w:t> </w:t>
      </w:r>
      <w:r>
        <w:rPr/>
        <w:t>wet seasons The</w:t>
      </w:r>
      <w:r>
        <w:rPr>
          <w:spacing w:val="1"/>
        </w:rPr>
        <w:t> </w:t>
      </w:r>
      <w:r>
        <w:rPr/>
        <w:t>wet season, which lasts for about 200 days starts from April to October. Average rainfall is</w:t>
      </w:r>
      <w:r>
        <w:rPr>
          <w:spacing w:val="1"/>
        </w:rPr>
        <w:t> </w:t>
      </w:r>
      <w:r>
        <w:rPr/>
        <w:t>122.7mm with July and September recording the highest rains of 226.3mm and 248 8mm</w:t>
      </w:r>
      <w:r>
        <w:rPr>
          <w:spacing w:val="1"/>
        </w:rPr>
        <w:t> </w:t>
      </w:r>
      <w:r>
        <w:rPr/>
        <w:t>respectively. The weather at this time is humid. The cold dry harmattan winds usher in dry</w:t>
      </w:r>
      <w:r>
        <w:rPr>
          <w:spacing w:val="1"/>
        </w:rPr>
        <w:t> </w:t>
      </w:r>
      <w:r>
        <w:rPr/>
        <w:t>season which gradually becomes hot between March and May, lust before the rains set in</w:t>
      </w:r>
      <w:r>
        <w:rPr>
          <w:spacing w:val="1"/>
        </w:rPr>
        <w:t> </w:t>
      </w:r>
      <w:r>
        <w:rPr/>
        <w:t>the monthly temperature is highest in March at 313c and lowest in August at 26.0</w:t>
      </w:r>
      <w:r>
        <w:rPr>
          <w:vertAlign w:val="superscript"/>
        </w:rPr>
        <w:t>o</w:t>
      </w:r>
      <w:r>
        <w:rPr>
          <w:vertAlign w:val="baseline"/>
        </w:rPr>
        <w:t>c. Bida</w:t>
      </w:r>
      <w:r>
        <w:rPr>
          <w:spacing w:val="1"/>
          <w:vertAlign w:val="baseline"/>
        </w:rPr>
        <w:t> </w:t>
      </w:r>
      <w:r>
        <w:rPr>
          <w:vertAlign w:val="baseline"/>
        </w:rPr>
        <w:t>emirate is thus blessed with moderate climatic condition throughout the year (Niger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Government,</w:t>
      </w:r>
      <w:r>
        <w:rPr>
          <w:spacing w:val="-1"/>
          <w:vertAlign w:val="baseline"/>
        </w:rPr>
        <w:t> </w:t>
      </w:r>
      <w:r>
        <w:rPr>
          <w:vertAlign w:val="baseline"/>
        </w:rPr>
        <w:t>2015).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4"/>
        <w:jc w:val="both"/>
      </w:pPr>
      <w:r>
        <w:rPr/>
        <w:t>An area of hills and valley occur some three to four kilometers west of the present built up</w:t>
      </w:r>
      <w:r>
        <w:rPr>
          <w:spacing w:val="1"/>
        </w:rPr>
        <w:t> </w:t>
      </w:r>
      <w:r>
        <w:rPr/>
        <w:t>area. Occasional small steep hills rise 20-25m above sea level and the well drained gutter</w:t>
      </w:r>
      <w:r>
        <w:rPr>
          <w:spacing w:val="1"/>
        </w:rPr>
        <w:t> </w:t>
      </w:r>
      <w:r>
        <w:rPr/>
        <w:t>slopping between the valley. Most gradient are around 1:40 part of mesas and along the</w:t>
      </w:r>
      <w:r>
        <w:rPr>
          <w:spacing w:val="1"/>
        </w:rPr>
        <w:t> </w:t>
      </w:r>
      <w:r>
        <w:rPr/>
        <w:t>edge of the valleys north and south of the Town. The southern valley does not pass as far as</w:t>
      </w:r>
      <w:r>
        <w:rPr>
          <w:spacing w:val="-57"/>
        </w:rPr>
        <w:t> </w:t>
      </w:r>
      <w:r>
        <w:rPr/>
        <w:t>to the west as the river Gbako forms a barrier and the whole area between the valley and the</w:t>
      </w:r>
      <w:r>
        <w:rPr>
          <w:spacing w:val="-57"/>
        </w:rPr>
        <w:t> </w:t>
      </w:r>
      <w:r>
        <w:rPr/>
        <w:t>hill measures some 100sqkms. The Town is drained by landzu streams which flow across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Town with its other</w:t>
      </w:r>
      <w:r>
        <w:rPr>
          <w:spacing w:val="-1"/>
        </w:rPr>
        <w:t> </w:t>
      </w:r>
      <w:r>
        <w:rPr/>
        <w:t>seasonal tributaries that are</w:t>
      </w:r>
      <w:r>
        <w:rPr>
          <w:spacing w:val="-1"/>
        </w:rPr>
        <w:t> </w:t>
      </w:r>
      <w:r>
        <w:rPr/>
        <w:t>today</w:t>
      </w:r>
      <w:r>
        <w:rPr>
          <w:spacing w:val="-3"/>
        </w:rPr>
        <w:t> </w:t>
      </w:r>
      <w:r>
        <w:rPr/>
        <w:t>guily</w:t>
      </w:r>
      <w:r>
        <w:rPr>
          <w:spacing w:val="-3"/>
        </w:rPr>
        <w:t> </w:t>
      </w:r>
      <w:r>
        <w:rPr/>
        <w:t>routes.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ind w:left="265"/>
        <w:jc w:val="both"/>
      </w:pPr>
      <w:bookmarkStart w:name="_bookmark16" w:id="26"/>
      <w:bookmarkEnd w:id="26"/>
      <w:r>
        <w:rPr>
          <w:b w:val="0"/>
        </w:rPr>
      </w:r>
      <w:r>
        <w:rPr/>
        <w:t>1.8.2  </w:t>
      </w:r>
      <w:r>
        <w:rPr>
          <w:spacing w:val="56"/>
        </w:rPr>
        <w:t> </w:t>
      </w:r>
      <w:r>
        <w:rPr/>
        <w:t>Population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5"/>
        <w:jc w:val="both"/>
      </w:pPr>
      <w:r>
        <w:rPr/>
        <w:t>According to the 2006 National Population Census, Bida Local Government Area has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188,181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3,764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was projected to 219,940 people in 2011.While there are pull factors in the</w:t>
      </w:r>
      <w:r>
        <w:rPr>
          <w:spacing w:val="1"/>
        </w:rPr>
        <w:t> </w:t>
      </w:r>
      <w:r>
        <w:rPr/>
        <w:t>area,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 is expected to</w:t>
      </w:r>
      <w:r>
        <w:rPr>
          <w:spacing w:val="-1"/>
        </w:rPr>
        <w:t> </w:t>
      </w:r>
      <w:r>
        <w:rPr/>
        <w:t>double its number</w:t>
      </w:r>
      <w:r>
        <w:rPr>
          <w:spacing w:val="-2"/>
        </w:rPr>
        <w:t> </w:t>
      </w:r>
      <w:r>
        <w:rPr/>
        <w:t>in the</w:t>
      </w:r>
      <w:r>
        <w:rPr>
          <w:spacing w:val="3"/>
        </w:rPr>
        <w:t> </w:t>
      </w:r>
      <w:r>
        <w:rPr/>
        <w:t>year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ind w:left="265"/>
        <w:jc w:val="both"/>
      </w:pPr>
      <w:bookmarkStart w:name="_bookmark17" w:id="27"/>
      <w:bookmarkEnd w:id="27"/>
      <w:r>
        <w:rPr>
          <w:b w:val="0"/>
        </w:rPr>
      </w:r>
      <w:r>
        <w:rPr/>
        <w:t>1.8.4   </w:t>
      </w:r>
      <w:r>
        <w:rPr>
          <w:spacing w:val="56"/>
        </w:rPr>
        <w:t> </w:t>
      </w:r>
      <w:r>
        <w:rPr/>
        <w:t>Administration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5"/>
        <w:jc w:val="both"/>
      </w:pPr>
      <w:r>
        <w:rPr/>
        <w:t>The creation of additional local governments on 19th September, 1991 gave birth to five (5)</w:t>
      </w:r>
      <w:r>
        <w:rPr>
          <w:spacing w:val="-57"/>
        </w:rPr>
        <w:t> </w:t>
      </w:r>
      <w:r>
        <w:rPr/>
        <w:t>local governments in the State; Bida became the Local Government headquarters of the</w:t>
      </w:r>
      <w:r>
        <w:rPr>
          <w:spacing w:val="1"/>
        </w:rPr>
        <w:t> </w:t>
      </w:r>
      <w:r>
        <w:rPr/>
        <w:t>newly created Bida Local Government Area (Niger State Government, 2007). Bida consist</w:t>
      </w:r>
      <w:r>
        <w:rPr>
          <w:spacing w:val="1"/>
        </w:rPr>
        <w:t> </w:t>
      </w:r>
      <w:r>
        <w:rPr/>
        <w:t>of 14 administrative wards namely; Masaga A, Masaga B, Masaba A, Masaba B, Wadata,</w:t>
      </w:r>
      <w:r>
        <w:rPr>
          <w:spacing w:val="1"/>
        </w:rPr>
        <w:t> </w:t>
      </w:r>
      <w:r>
        <w:rPr/>
        <w:t>Kyari,</w:t>
      </w:r>
      <w:r>
        <w:rPr>
          <w:spacing w:val="1"/>
        </w:rPr>
        <w:t> </w:t>
      </w:r>
      <w:r>
        <w:rPr/>
        <w:t>Cheniyan,</w:t>
      </w:r>
      <w:r>
        <w:rPr>
          <w:spacing w:val="1"/>
        </w:rPr>
        <w:t> </w:t>
      </w:r>
      <w:r>
        <w:rPr/>
        <w:t>Mayaki</w:t>
      </w:r>
      <w:r>
        <w:rPr>
          <w:spacing w:val="1"/>
        </w:rPr>
        <w:t> </w:t>
      </w:r>
      <w:r>
        <w:rPr/>
        <w:t>Ndajiya,</w:t>
      </w:r>
      <w:r>
        <w:rPr>
          <w:spacing w:val="1"/>
        </w:rPr>
        <w:t> </w:t>
      </w:r>
      <w:r>
        <w:rPr/>
        <w:t>Landzun,</w:t>
      </w:r>
      <w:r>
        <w:rPr>
          <w:spacing w:val="1"/>
        </w:rPr>
        <w:t> </w:t>
      </w:r>
      <w:r>
        <w:rPr/>
        <w:t>Dokodza,</w:t>
      </w:r>
      <w:r>
        <w:rPr>
          <w:spacing w:val="1"/>
        </w:rPr>
        <w:t> </w:t>
      </w:r>
      <w:r>
        <w:rPr/>
        <w:t>Bariki,</w:t>
      </w:r>
      <w:r>
        <w:rPr>
          <w:spacing w:val="1"/>
        </w:rPr>
        <w:t> </w:t>
      </w:r>
      <w:r>
        <w:rPr/>
        <w:t>UmaruMajigi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UmaruMajigi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Nasarafu</w:t>
      </w:r>
      <w:r>
        <w:rPr>
          <w:spacing w:val="59"/>
        </w:rPr>
        <w:t> </w:t>
      </w:r>
      <w:r>
        <w:rPr/>
        <w:t>wards respectively</w:t>
      </w:r>
      <w:r>
        <w:rPr>
          <w:spacing w:val="-4"/>
        </w:rPr>
        <w:t> </w:t>
      </w:r>
      <w:r>
        <w:rPr/>
        <w:t>(Niger</w:t>
      </w:r>
      <w:r>
        <w:rPr>
          <w:spacing w:val="-3"/>
        </w:rPr>
        <w:t> </w:t>
      </w:r>
      <w:r>
        <w:rPr/>
        <w:t>State Bureau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6"/>
        <w:jc w:val="both"/>
      </w:pPr>
      <w:r>
        <w:rPr/>
        <w:t>Bida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headquarters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7">
        <w:r>
          <w:rPr/>
          <w:t>Nupe</w:t>
        </w:r>
        <w:r>
          <w:rPr>
            <w:spacing w:val="1"/>
          </w:rPr>
          <w:t> </w:t>
        </w:r>
        <w:r>
          <w:rPr/>
          <w:t>Kingdom</w:t>
        </w:r>
      </w:hyperlink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Etsu</w:t>
      </w:r>
      <w:hyperlink r:id="rId8">
        <w:r>
          <w:rPr/>
          <w:t>YahayaAbubakar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consisting of many districts,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hyperlink r:id="rId9">
        <w:r>
          <w:rPr/>
          <w:t>Katcha,</w:t>
        </w:r>
      </w:hyperlink>
      <w:r>
        <w:rPr>
          <w:spacing w:val="1"/>
        </w:rPr>
        <w:t> </w:t>
      </w:r>
      <w:hyperlink r:id="rId10">
        <w:r>
          <w:rPr/>
          <w:t>Lapai,</w:t>
        </w:r>
      </w:hyperlink>
      <w:r>
        <w:rPr/>
        <w:t> </w:t>
      </w:r>
      <w:hyperlink r:id="rId11">
        <w:r>
          <w:rPr/>
          <w:t>Mokwa,</w:t>
        </w:r>
      </w:hyperlink>
      <w:r>
        <w:rPr>
          <w:spacing w:val="1"/>
        </w:rPr>
        <w:t> </w:t>
      </w:r>
      <w:r>
        <w:rPr/>
        <w:t>Enagi,</w:t>
      </w:r>
      <w:r>
        <w:rPr>
          <w:spacing w:val="1"/>
        </w:rPr>
        <w:t> </w:t>
      </w:r>
      <w:r>
        <w:rPr/>
        <w:t>Baddeggi,</w:t>
      </w:r>
      <w:r>
        <w:rPr>
          <w:spacing w:val="1"/>
        </w:rPr>
        <w:t> </w:t>
      </w:r>
      <w:hyperlink r:id="rId12">
        <w:r>
          <w:rPr/>
          <w:t>Agaie,</w:t>
        </w:r>
      </w:hyperlink>
      <w:r>
        <w:rPr>
          <w:spacing w:val="1"/>
        </w:rPr>
        <w:t> </w:t>
      </w:r>
      <w:hyperlink r:id="rId13">
        <w:r>
          <w:rPr/>
          <w:t>Pategi,</w:t>
        </w:r>
      </w:hyperlink>
      <w:r>
        <w:rPr/>
        <w:t> Lemu, </w:t>
      </w:r>
      <w:hyperlink r:id="rId14">
        <w:r>
          <w:rPr/>
          <w:t>Kutigi,</w:t>
        </w:r>
      </w:hyperlink>
      <w:r>
        <w:rPr/>
        <w:t> and others. The leadership style of the ancient town of Bida is</w:t>
      </w:r>
      <w:r>
        <w:rPr>
          <w:spacing w:val="1"/>
        </w:rPr>
        <w:t> </w:t>
      </w:r>
      <w:r>
        <w:rPr/>
        <w:t>emirship, and the head of the town is addressed as </w:t>
      </w:r>
      <w:hyperlink r:id="rId15">
        <w:r>
          <w:rPr/>
          <w:t>Etsu Nupe </w:t>
        </w:r>
      </w:hyperlink>
      <w:r>
        <w:rPr/>
        <w:t>(Niger State Government,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Limitation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40"/>
        <w:jc w:val="both"/>
      </w:pPr>
      <w:r>
        <w:rPr/>
        <w:t>The following are the limitations which may have likely affected the comprehensive and</w:t>
      </w:r>
      <w:r>
        <w:rPr>
          <w:spacing w:val="1"/>
        </w:rPr>
        <w:t> </w:t>
      </w:r>
      <w:r>
        <w:rPr/>
        <w:t>adequacy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findings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480" w:lineRule="auto" w:before="0" w:after="0"/>
        <w:ind w:left="985" w:right="937" w:hanging="360"/>
        <w:jc w:val="both"/>
        <w:rPr>
          <w:sz w:val="24"/>
        </w:rPr>
      </w:pPr>
      <w:r>
        <w:rPr>
          <w:sz w:val="24"/>
        </w:rPr>
        <w:t>Lack of accessibility to the master plan in the peri-urban area in order to establish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480" w:lineRule="auto" w:before="0" w:after="0"/>
        <w:ind w:left="985" w:right="933" w:hanging="360"/>
        <w:jc w:val="both"/>
        <w:rPr>
          <w:sz w:val="24"/>
        </w:rPr>
      </w:pPr>
      <w:r>
        <w:rPr>
          <w:sz w:val="24"/>
        </w:rPr>
        <w:t>There is limitation to documents on the number of approved development and non-</w:t>
      </w:r>
      <w:r>
        <w:rPr>
          <w:spacing w:val="1"/>
          <w:sz w:val="24"/>
        </w:rPr>
        <w:t> </w:t>
      </w:r>
      <w:r>
        <w:rPr>
          <w:sz w:val="24"/>
        </w:rPr>
        <w:t>approved development at local development. This would have enable to know 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properties that</w:t>
      </w:r>
      <w:r>
        <w:rPr>
          <w:spacing w:val="3"/>
          <w:sz w:val="24"/>
        </w:rPr>
        <w:t> </w:t>
      </w:r>
      <w:r>
        <w:rPr>
          <w:sz w:val="24"/>
        </w:rPr>
        <w:t>complied</w:t>
      </w:r>
      <w:r>
        <w:rPr>
          <w:spacing w:val="-1"/>
          <w:sz w:val="24"/>
        </w:rPr>
        <w:t> </w:t>
      </w:r>
      <w:r>
        <w:rPr>
          <w:sz w:val="24"/>
        </w:rPr>
        <w:t>with master plan if</w:t>
      </w:r>
      <w:r>
        <w:rPr>
          <w:spacing w:val="-1"/>
          <w:sz w:val="24"/>
        </w:rPr>
        <w:t> </w:t>
      </w:r>
      <w:r>
        <w:rPr>
          <w:sz w:val="24"/>
        </w:rPr>
        <w:t>there any.</w:t>
      </w: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480" w:lineRule="auto" w:before="1" w:after="0"/>
        <w:ind w:left="985" w:right="935" w:hanging="360"/>
        <w:jc w:val="both"/>
        <w:rPr>
          <w:sz w:val="24"/>
        </w:rPr>
      </w:pPr>
      <w:r>
        <w:rPr>
          <w:sz w:val="24"/>
        </w:rPr>
        <w:t>There is inadequate transportation facilities which would enable the researcher to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outer</w:t>
      </w:r>
      <w:r>
        <w:rPr>
          <w:spacing w:val="-2"/>
          <w:sz w:val="24"/>
        </w:rPr>
        <w:t> </w:t>
      </w:r>
      <w:r>
        <w:rPr>
          <w:sz w:val="24"/>
        </w:rPr>
        <w:t>peri-urban to gather more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ind w:left="295"/>
        <w:rPr>
          <w:sz w:val="20"/>
        </w:rPr>
      </w:pPr>
      <w:r>
        <w:rPr>
          <w:sz w:val="20"/>
        </w:rPr>
        <w:drawing>
          <wp:inline distT="0" distB="0" distL="0" distR="0">
            <wp:extent cx="5403048" cy="50863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8" w:lineRule="auto" w:before="2"/>
        <w:ind w:left="265" w:right="4515" w:firstLine="0"/>
        <w:jc w:val="left"/>
        <w:rPr>
          <w:sz w:val="24"/>
        </w:rPr>
      </w:pPr>
      <w:bookmarkStart w:name="_bookmark18" w:id="28"/>
      <w:bookmarkEnd w:id="28"/>
      <w:r>
        <w:rPr/>
      </w:r>
      <w:r>
        <w:rPr>
          <w:b/>
          <w:sz w:val="24"/>
        </w:rPr>
        <w:t>Figure 1.2: Map of Nigeria Showing Niger State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3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Housing,</w:t>
      </w:r>
      <w:r>
        <w:rPr>
          <w:spacing w:val="-2"/>
          <w:sz w:val="24"/>
        </w:rPr>
        <w:t> </w:t>
      </w:r>
      <w:r>
        <w:rPr>
          <w:sz w:val="24"/>
        </w:rPr>
        <w:t>Abuja</w:t>
      </w:r>
    </w:p>
    <w:p>
      <w:pPr>
        <w:spacing w:after="0" w:line="268" w:lineRule="auto"/>
        <w:jc w:val="left"/>
        <w:rPr>
          <w:sz w:val="24"/>
        </w:rPr>
        <w:sectPr>
          <w:pgSz w:w="12240" w:h="15840"/>
          <w:pgMar w:header="0" w:footer="1015" w:top="1420" w:bottom="1200" w:left="1720" w:right="480"/>
        </w:sectPr>
      </w:pPr>
    </w:p>
    <w:p>
      <w:pPr>
        <w:pStyle w:val="BodyText"/>
        <w:ind w:left="295"/>
        <w:rPr>
          <w:sz w:val="20"/>
        </w:rPr>
      </w:pPr>
      <w:r>
        <w:rPr>
          <w:sz w:val="20"/>
        </w:rPr>
        <w:drawing>
          <wp:inline distT="0" distB="0" distL="0" distR="0">
            <wp:extent cx="5624384" cy="488632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384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"/>
        <w:ind w:left="265" w:right="0" w:firstLine="0"/>
        <w:jc w:val="left"/>
        <w:rPr>
          <w:b/>
          <w:sz w:val="24"/>
        </w:rPr>
      </w:pPr>
      <w:bookmarkStart w:name="_bookmark19" w:id="29"/>
      <w:bookmarkEnd w:id="29"/>
      <w:r>
        <w:rPr/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Bida,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spacing w:before="33"/>
        <w:ind w:left="265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Lands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2016</w:t>
      </w:r>
    </w:p>
    <w:p>
      <w:pPr>
        <w:spacing w:after="0"/>
        <w:sectPr>
          <w:pgSz w:w="12240" w:h="15840"/>
          <w:pgMar w:header="0" w:footer="1015" w:top="1420" w:bottom="1200" w:left="1720" w:right="48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295"/>
        <w:rPr>
          <w:sz w:val="20"/>
        </w:rPr>
      </w:pPr>
      <w:r>
        <w:rPr>
          <w:sz w:val="20"/>
        </w:rPr>
        <w:drawing>
          <wp:inline distT="0" distB="0" distL="0" distR="0">
            <wp:extent cx="5642781" cy="64770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781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0"/>
        <w:ind w:left="265" w:right="0" w:firstLine="0"/>
        <w:jc w:val="left"/>
        <w:rPr>
          <w:b/>
          <w:sz w:val="24"/>
        </w:rPr>
      </w:pPr>
      <w:bookmarkStart w:name="_bookmark20" w:id="30"/>
      <w:bookmarkEnd w:id="30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Areas</w:t>
      </w:r>
    </w:p>
    <w:p>
      <w:pPr>
        <w:pStyle w:val="BodyText"/>
        <w:spacing w:before="36"/>
        <w:ind w:left="265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Lands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Housing,</w:t>
      </w:r>
      <w:r>
        <w:rPr>
          <w:spacing w:val="-1"/>
        </w:rPr>
        <w:t> </w:t>
      </w:r>
      <w:r>
        <w:rPr/>
        <w:t>2016</w:t>
      </w:r>
    </w:p>
    <w:p>
      <w:pPr>
        <w:spacing w:after="0"/>
        <w:sectPr>
          <w:pgSz w:w="12240" w:h="15840"/>
          <w:pgMar w:header="0" w:footer="1015" w:top="1500" w:bottom="1200" w:left="1720" w:right="480"/>
        </w:sectPr>
      </w:pPr>
    </w:p>
    <w:p>
      <w:pPr>
        <w:spacing w:before="75"/>
        <w:ind w:left="2742" w:right="3412" w:firstLine="0"/>
        <w:jc w:val="center"/>
        <w:rPr>
          <w:b/>
          <w:sz w:val="24"/>
        </w:rPr>
      </w:pPr>
      <w:bookmarkStart w:name="_bookmark21" w:id="31"/>
      <w:bookmarkEnd w:id="31"/>
      <w:r>
        <w:rPr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"/>
        </w:numPr>
        <w:tabs>
          <w:tab w:pos="3445" w:val="left" w:leader="none"/>
          <w:tab w:pos="3446" w:val="left" w:leader="none"/>
        </w:tabs>
        <w:spacing w:line="240" w:lineRule="auto" w:before="217" w:after="0"/>
        <w:ind w:left="3445" w:right="0" w:hanging="3181"/>
        <w:jc w:val="left"/>
        <w:rPr>
          <w:b/>
          <w:sz w:val="24"/>
        </w:rPr>
      </w:pPr>
      <w:bookmarkStart w:name="_bookmark22" w:id="32"/>
      <w:bookmarkEnd w:id="32"/>
      <w:r>
        <w:rPr/>
      </w:r>
      <w:bookmarkStart w:name="_bookmark22" w:id="33"/>
      <w:bookmarkEnd w:id="33"/>
      <w:r>
        <w:rPr>
          <w:b/>
          <w:sz w:val="24"/>
        </w:rPr>
        <w:t>L</w:t>
      </w:r>
      <w:r>
        <w:rPr>
          <w:b/>
          <w:sz w:val="24"/>
        </w:rPr>
        <w:t>ITERATURE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217" w:after="0"/>
        <w:ind w:left="985" w:right="0" w:hanging="721"/>
        <w:jc w:val="left"/>
        <w:rPr>
          <w:b/>
          <w:sz w:val="24"/>
        </w:rPr>
      </w:pPr>
      <w:bookmarkStart w:name="_bookmark23" w:id="34"/>
      <w:bookmarkEnd w:id="34"/>
      <w:r>
        <w:rPr/>
      </w:r>
      <w:bookmarkStart w:name="_bookmark23" w:id="35"/>
      <w:bookmarkEnd w:id="35"/>
      <w:r>
        <w:rPr>
          <w:b/>
          <w:sz w:val="24"/>
        </w:rPr>
        <w:t>T</w:t>
      </w:r>
      <w:r>
        <w:rPr>
          <w:b/>
          <w:sz w:val="24"/>
        </w:rPr>
        <w:t>heoretical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Framework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5"/>
        <w:jc w:val="both"/>
      </w:pPr>
      <w:r>
        <w:rPr/>
        <w:t>The study of analysis of factors influencing private residential property development in</w:t>
      </w:r>
      <w:r>
        <w:rPr>
          <w:spacing w:val="1"/>
        </w:rPr>
        <w:t> </w:t>
      </w:r>
      <w:r>
        <w:rPr/>
        <w:t>peri-urban area is hinged upon authoritative work especially in the property development</w:t>
      </w:r>
      <w:r>
        <w:rPr>
          <w:spacing w:val="1"/>
        </w:rPr>
        <w:t> </w:t>
      </w:r>
      <w:r>
        <w:rPr/>
        <w:t>process and upon market and the location of urban land uses especially the residential</w:t>
      </w:r>
      <w:r>
        <w:rPr>
          <w:spacing w:val="1"/>
        </w:rPr>
        <w:t> </w:t>
      </w:r>
      <w:r>
        <w:rPr/>
        <w:t>location theory which will be thoroughly explored hence. Although there is a relationship</w:t>
      </w:r>
      <w:r>
        <w:rPr>
          <w:spacing w:val="1"/>
        </w:rPr>
        <w:t> </w:t>
      </w:r>
      <w:r>
        <w:rPr/>
        <w:t>between personal income, place of work and place of residence, this relationship is subject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various and conflicting</w:t>
      </w:r>
      <w:r>
        <w:rPr>
          <w:spacing w:val="-3"/>
        </w:rPr>
        <w:t> </w:t>
      </w:r>
      <w:r>
        <w:rPr/>
        <w:t>interpretations.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24" w:id="36"/>
      <w:bookmarkEnd w:id="36"/>
      <w:r>
        <w:rPr/>
      </w:r>
      <w:bookmarkStart w:name="_bookmark24" w:id="37"/>
      <w:bookmarkEnd w:id="37"/>
      <w:r>
        <w:rPr>
          <w:b/>
          <w:sz w:val="24"/>
        </w:rPr>
        <w:t>T</w:t>
      </w:r>
      <w:r>
        <w:rPr>
          <w:b/>
          <w:sz w:val="24"/>
        </w:rPr>
        <w:t>ravel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Minimization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2"/>
        <w:jc w:val="both"/>
      </w:pPr>
      <w:r>
        <w:rPr/>
        <w:t>It has been argued, by Balchin et al (2001) , that if travel costs to work are nil or very low,</w:t>
      </w:r>
      <w:r>
        <w:rPr>
          <w:spacing w:val="1"/>
        </w:rPr>
        <w:t> </w:t>
      </w:r>
      <w:r>
        <w:rPr/>
        <w:t>households will be prepared to pay the highest rent or prices for accommodation. Through</w:t>
      </w:r>
      <w:r>
        <w:rPr>
          <w:spacing w:val="1"/>
        </w:rPr>
        <w:t> </w:t>
      </w:r>
      <w:r>
        <w:rPr/>
        <w:t>the working of price mechanism, this would imply that the rich live very close to the central</w:t>
      </w:r>
      <w:r>
        <w:rPr>
          <w:spacing w:val="-57"/>
        </w:rPr>
        <w:t> </w:t>
      </w:r>
      <w:r>
        <w:rPr/>
        <w:t>business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true. Low-income earners live close to their work (usually within the inner areas</w:t>
      </w:r>
      <w:r>
        <w:rPr>
          <w:spacing w:val="1"/>
        </w:rPr>
        <w:t> </w:t>
      </w:r>
      <w:r>
        <w:rPr/>
        <w:t>of cities) to minimize their travelling costs, rents are mainly</w:t>
      </w:r>
      <w:r>
        <w:rPr>
          <w:spacing w:val="1"/>
        </w:rPr>
        <w:t> </w:t>
      </w:r>
      <w:r>
        <w:rPr/>
        <w:t>regulated and population</w:t>
      </w:r>
      <w:r>
        <w:rPr>
          <w:spacing w:val="1"/>
        </w:rPr>
        <w:t> </w:t>
      </w:r>
      <w:r>
        <w:rPr/>
        <w:t>density is high. As incomes rise, there has been a tendency for people to live further away</w:t>
      </w:r>
      <w:r>
        <w:rPr>
          <w:spacing w:val="1"/>
        </w:rPr>
        <w:t> </w:t>
      </w:r>
      <w:r>
        <w:rPr/>
        <w:t>from their work in areas of lower density and more expensive housing. Moreover, the</w:t>
      </w:r>
      <w:r>
        <w:rPr>
          <w:spacing w:val="1"/>
        </w:rPr>
        <w:t> </w:t>
      </w:r>
      <w:r>
        <w:rPr/>
        <w:t>outward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compatible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minimization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employment was simultaneously decentralized which is not usually the case (Maconnachie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Binns, 2006). The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is valid to some extent.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25" w:id="38"/>
      <w:bookmarkEnd w:id="38"/>
      <w:r>
        <w:rPr/>
      </w:r>
      <w:bookmarkStart w:name="_bookmark25" w:id="39"/>
      <w:bookmarkEnd w:id="39"/>
      <w:r>
        <w:rPr>
          <w:b/>
          <w:sz w:val="24"/>
        </w:rPr>
        <w:t>T</w:t>
      </w:r>
      <w:r>
        <w:rPr>
          <w:b/>
          <w:sz w:val="24"/>
        </w:rPr>
        <w:t>ravel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Off 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3"/>
        <w:jc w:val="both"/>
      </w:pPr>
      <w:r>
        <w:rPr/>
        <w:t>According to Adjekunhene (2002), a perfect trade off assumes that households of the same</w:t>
      </w:r>
      <w:r>
        <w:rPr>
          <w:spacing w:val="1"/>
        </w:rPr>
        <w:t> </w:t>
      </w:r>
      <w:r>
        <w:rPr/>
        <w:t>income group are prepared to pay, over a period, the same aggregate cost of travel and</w:t>
      </w:r>
      <w:r>
        <w:rPr>
          <w:spacing w:val="1"/>
        </w:rPr>
        <w:t> </w:t>
      </w:r>
      <w:r>
        <w:rPr/>
        <w:t>housing regardless of distance from a city centre. Often, there is not a perfect trade off and</w:t>
      </w:r>
      <w:r>
        <w:rPr>
          <w:spacing w:val="1"/>
        </w:rPr>
        <w:t> </w:t>
      </w:r>
      <w:r>
        <w:rPr/>
        <w:t>therefore, it is assumed that households will attempt to minimize aggregate costs. Thus in</w:t>
      </w:r>
      <w:r>
        <w:rPr>
          <w:spacing w:val="1"/>
        </w:rPr>
        <w:t> </w:t>
      </w:r>
      <w:r>
        <w:rPr/>
        <w:t>the context of commuting into the city centre there will be a migration of households</w:t>
      </w:r>
      <w:r>
        <w:rPr>
          <w:spacing w:val="1"/>
        </w:rPr>
        <w:t> </w:t>
      </w:r>
      <w:r>
        <w:rPr/>
        <w:t>inwards if travel costs rise, but a migration of travel costs outward if travel costs fall. If on</w:t>
      </w:r>
      <w:r>
        <w:rPr>
          <w:spacing w:val="1"/>
        </w:rPr>
        <w:t> </w:t>
      </w:r>
      <w:r>
        <w:rPr/>
        <w:t>the other hand housing costs rise, there will be an out-migration and if they fall, there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an in-migration</w:t>
      </w:r>
      <w:r>
        <w:rPr>
          <w:spacing w:val="1"/>
        </w:rPr>
        <w:t> </w:t>
      </w:r>
      <w:r>
        <w:rPr/>
        <w:t>(Webster, 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3"/>
        <w:jc w:val="both"/>
      </w:pPr>
      <w:r>
        <w:rPr/>
        <w:t>Moreover, although there is an inverse correlation between site values and travel costs</w:t>
      </w:r>
      <w:r>
        <w:rPr>
          <w:spacing w:val="1"/>
        </w:rPr>
        <w:t> </w:t>
      </w:r>
      <w:r>
        <w:rPr/>
        <w:t>around many cities,</w:t>
      </w:r>
      <w:r>
        <w:rPr>
          <w:spacing w:val="1"/>
        </w:rPr>
        <w:t> </w:t>
      </w:r>
      <w:r>
        <w:rPr/>
        <w:t>the same is not true with housing prices and travel costs. High income</w:t>
      </w:r>
      <w:r>
        <w:rPr>
          <w:spacing w:val="1"/>
        </w:rPr>
        <w:t> </w:t>
      </w:r>
      <w:r>
        <w:rPr/>
        <w:t>commuters do not have to trade off travel costs since they can afford both and prefer to live</w:t>
      </w:r>
      <w:r>
        <w:rPr>
          <w:spacing w:val="1"/>
        </w:rPr>
        <w:t> </w:t>
      </w:r>
      <w:r>
        <w:rPr/>
        <w:t>in the commuter belt where they benefit from better environment and space and where they</w:t>
      </w:r>
      <w:r>
        <w:rPr>
          <w:spacing w:val="1"/>
        </w:rPr>
        <w:t> </w:t>
      </w:r>
      <w:r>
        <w:rPr/>
        <w:t>can segregate themselves from lower socio-economic groups; and it may only be within the</w:t>
      </w:r>
      <w:r>
        <w:rPr>
          <w:spacing w:val="-57"/>
        </w:rPr>
        <w:t> </w:t>
      </w:r>
      <w:r>
        <w:rPr/>
        <w:t>outer cities that sites are available for the construction of new and expensive houses and</w:t>
      </w:r>
      <w:r>
        <w:rPr>
          <w:spacing w:val="1"/>
        </w:rPr>
        <w:t> </w:t>
      </w:r>
      <w:r>
        <w:rPr/>
        <w:t>apartments (Adesina, 2007). Motorways also make outer locations more accessible than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inner suburban</w:t>
      </w:r>
      <w:r>
        <w:rPr>
          <w:spacing w:val="1"/>
        </w:rPr>
        <w:t> </w:t>
      </w:r>
      <w:r>
        <w:rPr/>
        <w:t>locations from the</w:t>
      </w:r>
      <w:r>
        <w:rPr>
          <w:spacing w:val="-1"/>
        </w:rPr>
        <w:t> </w:t>
      </w:r>
      <w:r>
        <w:rPr/>
        <w:t>central business district.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936"/>
        <w:jc w:val="both"/>
      </w:pPr>
      <w:r>
        <w:rPr/>
        <w:t>There is a high degree of immobility with respect to changing costs of housing and travel as</w:t>
      </w:r>
      <w:r>
        <w:rPr>
          <w:spacing w:val="-57"/>
        </w:rPr>
        <w:t> </w:t>
      </w:r>
      <w:r>
        <w:rPr/>
        <w:t>non-economic reasons may outweigh economic considerations in determining locational</w:t>
      </w:r>
      <w:r>
        <w:rPr>
          <w:spacing w:val="1"/>
        </w:rPr>
        <w:t> </w:t>
      </w:r>
      <w:r>
        <w:rPr/>
        <w:t>choice</w:t>
      </w:r>
      <w:r>
        <w:rPr>
          <w:spacing w:val="-3"/>
        </w:rPr>
        <w:t> </w:t>
      </w:r>
      <w:r>
        <w:rPr/>
        <w:t>such</w:t>
      </w:r>
      <w:r>
        <w:rPr>
          <w:spacing w:val="2"/>
        </w:rPr>
        <w:t> </w:t>
      </w:r>
      <w:r>
        <w:rPr/>
        <w:t>as changing</w:t>
      </w:r>
      <w:r>
        <w:rPr>
          <w:spacing w:val="-3"/>
        </w:rPr>
        <w:t> </w:t>
      </w:r>
      <w:r>
        <w:rPr/>
        <w:t>jobs, marriage</w:t>
      </w:r>
      <w:r>
        <w:rPr>
          <w:spacing w:val="-1"/>
        </w:rPr>
        <w:t> </w:t>
      </w:r>
      <w:r>
        <w:rPr/>
        <w:t>or a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size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family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changing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480"/>
        </w:sectPr>
      </w:pPr>
    </w:p>
    <w:p>
      <w:pPr>
        <w:pStyle w:val="BodyText"/>
        <w:spacing w:line="480" w:lineRule="auto" w:before="70"/>
        <w:ind w:left="265" w:right="933"/>
        <w:jc w:val="both"/>
      </w:pPr>
      <w:r>
        <w:rPr/>
        <w:t>relationship between travel costs and house prices. In so far as the middle and high income</w:t>
      </w:r>
      <w:r>
        <w:rPr>
          <w:spacing w:val="1"/>
        </w:rPr>
        <w:t> </w:t>
      </w:r>
      <w:r>
        <w:rPr/>
        <w:t>earners are able to pay their transportation</w:t>
      </w:r>
      <w:r>
        <w:rPr>
          <w:spacing w:val="60"/>
        </w:rPr>
        <w:t> </w:t>
      </w:r>
      <w:r>
        <w:rPr/>
        <w:t>and housing costs, it can be argued that they</w:t>
      </w:r>
      <w:r>
        <w:rPr>
          <w:spacing w:val="1"/>
        </w:rPr>
        <w:t> </w:t>
      </w:r>
      <w:r>
        <w:rPr/>
        <w:t>form the effective demand for private property developers` housing complexes (pasquini &amp;</w:t>
      </w:r>
      <w:r>
        <w:rPr>
          <w:spacing w:val="1"/>
        </w:rPr>
        <w:t> </w:t>
      </w:r>
      <w:r>
        <w:rPr/>
        <w:t>Maconachie,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apartments along or near to the road and the richer prefer to live in their own homes further</w:t>
      </w:r>
      <w:r>
        <w:rPr>
          <w:spacing w:val="1"/>
        </w:rPr>
        <w:t> </w:t>
      </w:r>
      <w:r>
        <w:rPr/>
        <w:t>away, it can be argue that the middle income earning population is the primary constituent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demand in consideration.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26" w:id="40"/>
      <w:bookmarkEnd w:id="40"/>
      <w:r>
        <w:rPr/>
      </w:r>
      <w:bookmarkStart w:name="_bookmark26" w:id="41"/>
      <w:bookmarkEnd w:id="41"/>
      <w:r>
        <w:rPr>
          <w:b/>
          <w:sz w:val="24"/>
        </w:rPr>
        <w:t>M</w:t>
      </w:r>
      <w:r>
        <w:rPr>
          <w:b/>
          <w:sz w:val="24"/>
        </w:rPr>
        <w:t>aximum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expenditure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0"/>
        <w:jc w:val="both"/>
      </w:pPr>
      <w:r>
        <w:rPr/>
        <w:t>Again according to Balchin </w:t>
      </w:r>
      <w:r>
        <w:rPr>
          <w:i/>
        </w:rPr>
        <w:t>et al</w:t>
      </w:r>
      <w:r>
        <w:rPr/>
        <w:t>. (2001), this theory states that income and the availability</w:t>
      </w:r>
      <w:r>
        <w:rPr>
          <w:spacing w:val="1"/>
        </w:rPr>
        <w:t> </w:t>
      </w:r>
      <w:r>
        <w:rPr/>
        <w:t>of mortgage finance (including the effects of tax allowances) determine residential location.</w:t>
      </w:r>
      <w:r>
        <w:rPr>
          <w:spacing w:val="-57"/>
        </w:rPr>
        <w:t> </w:t>
      </w:r>
      <w:r>
        <w:rPr/>
        <w:t>The theory is based on the assumption that house-buyers will attempt to acquire a house as</w:t>
      </w:r>
      <w:r>
        <w:rPr>
          <w:spacing w:val="1"/>
        </w:rPr>
        <w:t> </w:t>
      </w:r>
      <w:r>
        <w:rPr/>
        <w:t>expensive as they can afford with maximum mortgage which they can raise in the area of</w:t>
      </w:r>
      <w:r>
        <w:rPr>
          <w:spacing w:val="1"/>
        </w:rPr>
        <w:t> </w:t>
      </w:r>
      <w:r>
        <w:rPr/>
        <w:t>their choice. Although house-buyers may seek a property over a wide area, transport costs</w:t>
      </w:r>
      <w:r>
        <w:rPr>
          <w:spacing w:val="1"/>
        </w:rPr>
        <w:t> </w:t>
      </w:r>
      <w:r>
        <w:rPr/>
        <w:t>may be a relatively minor consideration and</w:t>
      </w:r>
      <w:r>
        <w:rPr>
          <w:spacing w:val="60"/>
        </w:rPr>
        <w:t> </w:t>
      </w:r>
      <w:r>
        <w:rPr/>
        <w:t>may be variable in relation to the distribution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houses within 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price</w:t>
      </w:r>
      <w:r>
        <w:rPr>
          <w:spacing w:val="1"/>
        </w:rPr>
        <w:t> </w:t>
      </w:r>
      <w:r>
        <w:rPr/>
        <w:t>range.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Environmental and social factors (and the prospects of capital appreciation) are likely to be</w:t>
      </w:r>
      <w:r>
        <w:rPr>
          <w:spacing w:val="1"/>
        </w:rPr>
        <w:t> </w:t>
      </w:r>
      <w:r>
        <w:rPr/>
        <w:t>a much greater influence over choice.</w:t>
      </w:r>
      <w:r>
        <w:rPr>
          <w:spacing w:val="1"/>
        </w:rPr>
        <w:t> </w:t>
      </w:r>
      <w:r>
        <w:rPr/>
        <w:t>This hypothesis, evolved by Ellis and</w:t>
      </w:r>
      <w:r>
        <w:rPr>
          <w:spacing w:val="1"/>
        </w:rPr>
        <w:t> </w:t>
      </w:r>
      <w:r>
        <w:rPr/>
        <w:t>Stegman</w:t>
      </w:r>
      <w:r>
        <w:rPr>
          <w:spacing w:val="1"/>
        </w:rPr>
        <w:t> </w:t>
      </w:r>
      <w:r>
        <w:rPr/>
        <w:t>implies that there is no overall relationship between income, travel cost/time and place of</w:t>
      </w:r>
      <w:r>
        <w:rPr>
          <w:spacing w:val="1"/>
        </w:rPr>
        <w:t> </w:t>
      </w:r>
      <w:r>
        <w:rPr/>
        <w:t>work and that there is no effective trade-off. Kazungu </w:t>
      </w:r>
      <w:r>
        <w:rPr>
          <w:i/>
        </w:rPr>
        <w:t>et al., </w:t>
      </w:r>
      <w:r>
        <w:rPr/>
        <w:t>(2011) suggests that if it is</w:t>
      </w:r>
      <w:r>
        <w:rPr>
          <w:spacing w:val="1"/>
        </w:rPr>
        <w:t> </w:t>
      </w:r>
      <w:r>
        <w:rPr/>
        <w:t>thought that there is a trade-off between housing expenditure and travelling costs, then</w:t>
      </w:r>
      <w:r>
        <w:rPr>
          <w:spacing w:val="1"/>
        </w:rPr>
        <w:t> </w:t>
      </w:r>
      <w:r>
        <w:rPr/>
        <w:t>policy</w:t>
      </w:r>
      <w:r>
        <w:rPr>
          <w:spacing w:val="44"/>
        </w:rPr>
        <w:t> </w:t>
      </w:r>
      <w:r>
        <w:rPr/>
        <w:t>should</w:t>
      </w:r>
      <w:r>
        <w:rPr>
          <w:spacing w:val="52"/>
        </w:rPr>
        <w:t> </w:t>
      </w:r>
      <w:r>
        <w:rPr/>
        <w:t>concentrate</w:t>
      </w:r>
      <w:r>
        <w:rPr>
          <w:spacing w:val="49"/>
        </w:rPr>
        <w:t> </w:t>
      </w:r>
      <w:r>
        <w:rPr/>
        <w:t>on</w:t>
      </w:r>
      <w:r>
        <w:rPr>
          <w:spacing w:val="50"/>
        </w:rPr>
        <w:t> </w:t>
      </w:r>
      <w:r>
        <w:rPr/>
        <w:t>reducing</w:t>
      </w:r>
      <w:r>
        <w:rPr>
          <w:spacing w:val="52"/>
        </w:rPr>
        <w:t> </w:t>
      </w:r>
      <w:r>
        <w:rPr/>
        <w:t>travelling</w:t>
      </w:r>
      <w:r>
        <w:rPr>
          <w:spacing w:val="50"/>
        </w:rPr>
        <w:t> </w:t>
      </w:r>
      <w:r>
        <w:rPr/>
        <w:t>costs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work</w:t>
      </w:r>
      <w:r>
        <w:rPr>
          <w:spacing w:val="52"/>
        </w:rPr>
        <w:t> </w:t>
      </w:r>
      <w:r>
        <w:rPr/>
        <w:t>and/or</w:t>
      </w:r>
      <w:r>
        <w:rPr>
          <w:spacing w:val="51"/>
        </w:rPr>
        <w:t> </w:t>
      </w:r>
      <w:r>
        <w:rPr/>
        <w:t>developing</w:t>
      </w:r>
      <w:r>
        <w:rPr>
          <w:spacing w:val="50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6"/>
        <w:jc w:val="both"/>
      </w:pPr>
      <w:r>
        <w:rPr/>
        <w:t>density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cities.</w:t>
      </w:r>
      <w:r>
        <w:rPr>
          <w:spacing w:val="1"/>
        </w:rPr>
        <w:t> </w:t>
      </w:r>
      <w:r>
        <w:rPr/>
        <w:t>Alternatively,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decentralizing</w:t>
      </w:r>
      <w:r>
        <w:rPr>
          <w:spacing w:val="1"/>
        </w:rPr>
        <w:t> </w:t>
      </w:r>
      <w:r>
        <w:rPr/>
        <w:t>employment would benefit low income householders in the outer suburbs. It is found that</w:t>
      </w:r>
      <w:r>
        <w:rPr>
          <w:spacing w:val="1"/>
        </w:rPr>
        <w:t> </w:t>
      </w:r>
      <w:r>
        <w:rPr/>
        <w:t>environmental conditions influence householders more than travelling costs, policies would</w:t>
      </w:r>
      <w:r>
        <w:rPr>
          <w:spacing w:val="-57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the cost of journey</w:t>
      </w:r>
      <w:r>
        <w:rPr>
          <w:spacing w:val="-5"/>
        </w:rPr>
        <w:t> </w:t>
      </w:r>
      <w:r>
        <w:rPr/>
        <w:t>to work (Rakodi, 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1" w:after="0"/>
        <w:ind w:left="985" w:right="0" w:hanging="721"/>
        <w:jc w:val="left"/>
        <w:rPr>
          <w:b/>
          <w:sz w:val="24"/>
        </w:rPr>
      </w:pPr>
      <w:bookmarkStart w:name="_bookmark27" w:id="42"/>
      <w:bookmarkEnd w:id="42"/>
      <w:r>
        <w:rPr/>
      </w:r>
      <w:bookmarkStart w:name="_bookmark27" w:id="43"/>
      <w:bookmarkEnd w:id="43"/>
      <w:r>
        <w:rPr>
          <w:b/>
          <w:sz w:val="24"/>
        </w:rPr>
        <w:t>Conc</w:t>
      </w:r>
      <w:r>
        <w:rPr>
          <w:b/>
          <w:sz w:val="24"/>
        </w:rPr>
        <w:t>ept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Property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7"/>
        <w:jc w:val="both"/>
      </w:pPr>
      <w:r>
        <w:rPr/>
        <w:t>Development is the process of carrying out works involving a change in the physical use or</w:t>
      </w:r>
      <w:r>
        <w:rPr>
          <w:spacing w:val="1"/>
        </w:rPr>
        <w:t> </w:t>
      </w:r>
      <w:r>
        <w:rPr/>
        <w:t>in the intensity of an existing use of land or buildings. Development may be a lengthy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original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existing use,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estimates,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acquisitions,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for planning</w:t>
      </w:r>
      <w:r>
        <w:rPr>
          <w:spacing w:val="-1"/>
        </w:rPr>
        <w:t> </w:t>
      </w:r>
      <w:r>
        <w:rPr/>
        <w:t>consent</w:t>
      </w:r>
      <w:r>
        <w:rPr>
          <w:spacing w:val="2"/>
        </w:rPr>
        <w:t> </w:t>
      </w:r>
      <w:r>
        <w:rPr/>
        <w:t>(Ebohon </w:t>
      </w:r>
      <w:r>
        <w:rPr>
          <w:i/>
        </w:rPr>
        <w:t>et al.,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Constant appraisal of the cost implications of the scheme and financial arrangements are</w:t>
      </w:r>
      <w:r>
        <w:rPr>
          <w:spacing w:val="1"/>
        </w:rPr>
        <w:t> </w:t>
      </w:r>
      <w:r>
        <w:rPr/>
        <w:t>necessary until successful completion. The success of the development process rests upon a</w:t>
      </w:r>
      <w:r>
        <w:rPr>
          <w:spacing w:val="-57"/>
        </w:rPr>
        <w:t> </w:t>
      </w:r>
      <w:r>
        <w:rPr/>
        <w:t>large number of related decisions. Many of these are legal, financial, architectural and</w:t>
      </w:r>
      <w:r>
        <w:rPr>
          <w:spacing w:val="1"/>
        </w:rPr>
        <w:t> </w:t>
      </w:r>
      <w:r>
        <w:rPr/>
        <w:t>constructional but, at the same time, they all have a considerable effect on the conditions of</w:t>
      </w:r>
      <w:r>
        <w:rPr>
          <w:spacing w:val="1"/>
        </w:rPr>
        <w:t> </w:t>
      </w:r>
      <w:r>
        <w:rPr/>
        <w:t>estate management not</w:t>
      </w:r>
      <w:r>
        <w:rPr>
          <w:spacing w:val="1"/>
        </w:rPr>
        <w:t> </w:t>
      </w:r>
      <w:r>
        <w:rPr/>
        <w:t>only during the</w:t>
      </w:r>
      <w:r>
        <w:rPr>
          <w:spacing w:val="1"/>
        </w:rPr>
        <w:t> </w:t>
      </w:r>
      <w:r>
        <w:rPr/>
        <w:t>course,</w:t>
      </w:r>
      <w:r>
        <w:rPr>
          <w:spacing w:val="60"/>
        </w:rPr>
        <w:t> </w:t>
      </w:r>
      <w:r>
        <w:rPr/>
        <w:t>of course, of development but throughout</w:t>
      </w:r>
      <w:r>
        <w:rPr>
          <w:spacing w:val="1"/>
        </w:rPr>
        <w:t> </w:t>
      </w:r>
      <w:r>
        <w:rPr/>
        <w:t>the life of the completed property. According to Ayorinde (2009), the combination of</w:t>
      </w:r>
      <w:r>
        <w:rPr>
          <w:spacing w:val="1"/>
        </w:rPr>
        <w:t> </w:t>
      </w:r>
      <w:r>
        <w:rPr/>
        <w:t>various inputs in order to achieve an output or product; the product is a change of land use</w:t>
      </w:r>
      <w:r>
        <w:rPr>
          <w:spacing w:val="1"/>
        </w:rPr>
        <w:t> </w:t>
      </w:r>
      <w:r>
        <w:rPr/>
        <w:t>and or new or altered building in a process combining land, labor, materials and finance.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1"/>
        </w:rPr>
        <w:t> </w:t>
      </w:r>
      <w:r>
        <w:rPr/>
        <w:t>product is</w:t>
      </w:r>
      <w:r>
        <w:rPr>
          <w:spacing w:val="-1"/>
        </w:rPr>
        <w:t> </w:t>
      </w:r>
      <w:r>
        <w:rPr/>
        <w:t>unique,</w:t>
      </w:r>
      <w:r>
        <w:rPr>
          <w:spacing w:val="-1"/>
        </w:rPr>
        <w:t> </w:t>
      </w:r>
      <w:r>
        <w:rPr/>
        <w:t>either in</w:t>
      </w:r>
      <w:r>
        <w:rPr>
          <w:spacing w:val="-1"/>
        </w:rPr>
        <w:t> </w:t>
      </w:r>
      <w:r>
        <w:rPr/>
        <w:t>terms of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 location.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5"/>
        <w:jc w:val="both"/>
      </w:pP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evaluation, design and costing to the disposal stage. However, availability of land is of</w:t>
      </w:r>
      <w:r>
        <w:rPr>
          <w:spacing w:val="1"/>
        </w:rPr>
        <w:t> </w:t>
      </w:r>
      <w:r>
        <w:rPr/>
        <w:t>critical importance to the development process and must be strictly adhered to. Unlike what</w:t>
      </w:r>
      <w:r>
        <w:rPr>
          <w:spacing w:val="-57"/>
        </w:rPr>
        <w:t> </w:t>
      </w:r>
      <w:r>
        <w:rPr/>
        <w:t>obtains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markets,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property implies</w:t>
      </w:r>
      <w:r>
        <w:rPr>
          <w:spacing w:val="1"/>
        </w:rPr>
        <w:t> </w:t>
      </w:r>
      <w:r>
        <w:rPr/>
        <w:t>“change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use”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“alteration to an existing building” in a combination with other factors of production –</w:t>
      </w:r>
      <w:r>
        <w:rPr>
          <w:spacing w:val="1"/>
        </w:rPr>
        <w:t> </w:t>
      </w:r>
      <w:r>
        <w:rPr/>
        <w:t>labour;</w:t>
      </w:r>
      <w:r>
        <w:rPr>
          <w:spacing w:val="-1"/>
        </w:rPr>
        <w:t> </w:t>
      </w:r>
      <w:r>
        <w:rPr/>
        <w:t>materials and</w:t>
      </w:r>
      <w:r>
        <w:rPr>
          <w:spacing w:val="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(Adair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6"/>
        <w:jc w:val="both"/>
      </w:pPr>
      <w:r>
        <w:rPr/>
        <w:t>Madichie and Madichie (2006)</w:t>
      </w:r>
      <w:r>
        <w:rPr>
          <w:spacing w:val="1"/>
        </w:rPr>
        <w:t> </w:t>
      </w:r>
      <w:r>
        <w:rPr/>
        <w:t>upheld this view when they emphasised on what they</w:t>
      </w:r>
      <w:r>
        <w:rPr>
          <w:spacing w:val="1"/>
        </w:rPr>
        <w:t> </w:t>
      </w:r>
      <w:r>
        <w:rPr/>
        <w:t>ascribed to as the ‘eight stages’ through the development process from initiation to disposal</w:t>
      </w:r>
      <w:r>
        <w:rPr>
          <w:spacing w:val="-57"/>
        </w:rPr>
        <w:t> </w:t>
      </w:r>
      <w:r>
        <w:rPr/>
        <w:t>(see</w:t>
      </w:r>
      <w:r>
        <w:rPr>
          <w:spacing w:val="14"/>
        </w:rPr>
        <w:t> </w:t>
      </w:r>
      <w:r>
        <w:rPr/>
        <w:t>Figure</w:t>
      </w:r>
      <w:r>
        <w:rPr>
          <w:spacing w:val="14"/>
        </w:rPr>
        <w:t> </w:t>
      </w:r>
      <w:r>
        <w:rPr/>
        <w:t>2.1).</w:t>
      </w:r>
      <w:r>
        <w:rPr>
          <w:spacing w:val="15"/>
        </w:rPr>
        <w:t> </w:t>
      </w:r>
      <w:r>
        <w:rPr/>
        <w:t>These</w:t>
      </w:r>
      <w:r>
        <w:rPr>
          <w:spacing w:val="14"/>
        </w:rPr>
        <w:t> </w:t>
      </w:r>
      <w:r>
        <w:rPr/>
        <w:t>stages</w:t>
      </w:r>
      <w:r>
        <w:rPr>
          <w:spacing w:val="14"/>
        </w:rPr>
        <w:t> </w:t>
      </w:r>
      <w:r>
        <w:rPr/>
        <w:t>may</w:t>
      </w:r>
      <w:r>
        <w:rPr>
          <w:spacing w:val="8"/>
        </w:rPr>
        <w:t> </w:t>
      </w:r>
      <w:r>
        <w:rPr/>
        <w:t>not</w:t>
      </w:r>
      <w:r>
        <w:rPr>
          <w:spacing w:val="17"/>
        </w:rPr>
        <w:t> </w:t>
      </w:r>
      <w:r>
        <w:rPr/>
        <w:t>always</w:t>
      </w:r>
      <w:r>
        <w:rPr>
          <w:spacing w:val="15"/>
        </w:rPr>
        <w:t> </w:t>
      </w:r>
      <w:r>
        <w:rPr/>
        <w:t>follow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sequence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may</w:t>
      </w:r>
      <w:r>
        <w:rPr>
          <w:spacing w:val="11"/>
        </w:rPr>
        <w:t> </w:t>
      </w:r>
      <w:r>
        <w:rPr/>
        <w:t>even</w:t>
      </w:r>
      <w:r>
        <w:rPr>
          <w:spacing w:val="13"/>
        </w:rPr>
        <w:t> </w:t>
      </w:r>
      <w:r>
        <w:rPr/>
        <w:t>overlap</w:t>
      </w:r>
      <w:r>
        <w:rPr>
          <w:spacing w:val="-57"/>
        </w:rPr>
        <w:t> </w:t>
      </w:r>
      <w:r>
        <w:rPr/>
        <w:t>or</w:t>
      </w:r>
      <w:r>
        <w:rPr>
          <w:spacing w:val="10"/>
        </w:rPr>
        <w:t> </w:t>
      </w:r>
      <w:r>
        <w:rPr/>
        <w:t>repeat.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sequence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typical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speculative</w:t>
      </w:r>
      <w:r>
        <w:rPr>
          <w:spacing w:val="12"/>
        </w:rPr>
        <w:t> </w:t>
      </w:r>
      <w:r>
        <w:rPr/>
        <w:t>development</w:t>
      </w:r>
      <w:r>
        <w:rPr>
          <w:spacing w:val="12"/>
        </w:rPr>
        <w:t> </w:t>
      </w:r>
      <w:r>
        <w:rPr/>
        <w:t>process</w:t>
      </w:r>
      <w:r>
        <w:rPr>
          <w:spacing w:val="11"/>
        </w:rPr>
        <w:t> </w:t>
      </w:r>
      <w:r>
        <w:rPr/>
        <w:t>where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occupier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not sought until</w:t>
      </w:r>
      <w:r>
        <w:rPr>
          <w:spacing w:val="-1"/>
        </w:rPr>
        <w:t> </w:t>
      </w:r>
      <w:r>
        <w:rPr/>
        <w:t>the buildings have</w:t>
      </w:r>
      <w:r>
        <w:rPr>
          <w:spacing w:val="-2"/>
        </w:rPr>
        <w:t> </w:t>
      </w:r>
      <w:r>
        <w:rPr/>
        <w:t>been completed</w:t>
      </w:r>
      <w:r>
        <w:rPr>
          <w:spacing w:val="3"/>
        </w:rPr>
        <w:t> </w:t>
      </w:r>
      <w:r>
        <w:rPr/>
        <w:t>(Ebohon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2002).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1317229</wp:posOffset>
            </wp:positionH>
            <wp:positionV relativeFrom="paragraph">
              <wp:posOffset>91047</wp:posOffset>
            </wp:positionV>
            <wp:extent cx="5232223" cy="347186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23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98"/>
        <w:ind w:left="265" w:right="5388" w:firstLine="0"/>
        <w:jc w:val="left"/>
        <w:rPr>
          <w:sz w:val="24"/>
        </w:rPr>
      </w:pPr>
      <w:bookmarkStart w:name="_bookmark28" w:id="44"/>
      <w:bookmarkEnd w:id="44"/>
      <w:r>
        <w:rPr/>
      </w: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Stage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sz w:val="24"/>
        </w:rPr>
        <w:t>Madichie and</w:t>
      </w:r>
      <w:r>
        <w:rPr>
          <w:spacing w:val="1"/>
          <w:sz w:val="24"/>
        </w:rPr>
        <w:t> </w:t>
      </w:r>
      <w:r>
        <w:rPr>
          <w:sz w:val="24"/>
        </w:rPr>
        <w:t>Madichie,</w:t>
      </w:r>
      <w:r>
        <w:rPr>
          <w:spacing w:val="1"/>
          <w:sz w:val="24"/>
        </w:rPr>
        <w:t> </w:t>
      </w:r>
      <w:r>
        <w:rPr>
          <w:sz w:val="24"/>
        </w:rPr>
        <w:t>(2006)</w:t>
      </w:r>
    </w:p>
    <w:p>
      <w:pPr>
        <w:spacing w:after="0" w:line="268" w:lineRule="auto"/>
        <w:jc w:val="left"/>
        <w:rPr>
          <w:sz w:val="24"/>
        </w:rPr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8"/>
        <w:jc w:val="both"/>
      </w:pPr>
      <w:r>
        <w:rPr/>
        <w:t>These stages are</w:t>
      </w:r>
      <w:r>
        <w:rPr>
          <w:spacing w:val="1"/>
        </w:rPr>
        <w:t> </w:t>
      </w:r>
      <w:r>
        <w:rPr/>
        <w:t>consistent with Fisher’s (2005) ‘events-sequence of development’ where</w:t>
      </w:r>
      <w:r>
        <w:rPr>
          <w:spacing w:val="1"/>
        </w:rPr>
        <w:t> </w:t>
      </w:r>
      <w:r>
        <w:rPr/>
        <w:t>he synthesized the property development literature and produced a list of 14 phases of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 studies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2"/>
        <w:jc w:val="both"/>
      </w:pPr>
      <w:r>
        <w:rPr/>
        <w:t>Fisher’s (2005) case studies on the property development process (drawing upon Grainger</w:t>
      </w:r>
      <w:r>
        <w:rPr>
          <w:spacing w:val="1"/>
        </w:rPr>
        <w:t> </w:t>
      </w:r>
      <w:r>
        <w:rPr/>
        <w:t>Town in the North East of England as a deprived regional economy) focused on embracing</w:t>
      </w:r>
      <w:r>
        <w:rPr>
          <w:spacing w:val="1"/>
        </w:rPr>
        <w:t> </w:t>
      </w:r>
      <w:r>
        <w:rPr/>
        <w:t>all public and private stakeholders and responding to the need. In Nigeria, for example, it is</w:t>
      </w:r>
      <w:r>
        <w:rPr>
          <w:spacing w:val="-57"/>
        </w:rPr>
        <w:t> </w:t>
      </w:r>
      <w:r>
        <w:rPr/>
        <w:t>not unusual that</w:t>
      </w:r>
      <w:r>
        <w:rPr>
          <w:spacing w:val="60"/>
        </w:rPr>
        <w:t> </w:t>
      </w:r>
      <w:r>
        <w:rPr/>
        <w:t>feasibility studies are required for any development project and that the</w:t>
      </w:r>
      <w:r>
        <w:rPr>
          <w:spacing w:val="1"/>
        </w:rPr>
        <w:t> </w:t>
      </w:r>
      <w:r>
        <w:rPr/>
        <w:t>key factors to be considered for successful property development projects include physical,</w:t>
      </w:r>
      <w:r>
        <w:rPr>
          <w:spacing w:val="1"/>
        </w:rPr>
        <w:t> </w:t>
      </w:r>
      <w:r>
        <w:rPr/>
        <w:t>legal, economic, technology, finance and government policy initiatives. The process of</w:t>
      </w:r>
      <w:r>
        <w:rPr>
          <w:spacing w:val="1"/>
        </w:rPr>
        <w:t> </w:t>
      </w:r>
      <w:r>
        <w:rPr/>
        <w:t>property development is enhanced by a fairly stable environment monitored by effective</w:t>
      </w:r>
      <w:r>
        <w:rPr>
          <w:spacing w:val="1"/>
        </w:rPr>
        <w:t> </w:t>
      </w:r>
      <w:r>
        <w:rPr/>
        <w:t>legislation and</w:t>
      </w:r>
      <w:r>
        <w:rPr>
          <w:spacing w:val="60"/>
        </w:rPr>
        <w:t> </w:t>
      </w:r>
      <w:r>
        <w:rPr/>
        <w:t>encouraged by related institutions. With the Nigerian situation, however,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different,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ever-changing</w:t>
      </w:r>
      <w:r>
        <w:rPr>
          <w:spacing w:val="1"/>
        </w:rPr>
        <w:t> </w:t>
      </w:r>
      <w:r>
        <w:rPr/>
        <w:t>macroeconomic</w:t>
      </w:r>
      <w:r>
        <w:rPr>
          <w:spacing w:val="60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(Madichie &amp;</w:t>
      </w:r>
      <w:r>
        <w:rPr>
          <w:spacing w:val="-2"/>
        </w:rPr>
        <w:t> </w:t>
      </w:r>
      <w:r>
        <w:rPr/>
        <w:t>Madichie,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4" w:firstLine="62"/>
        <w:jc w:val="both"/>
      </w:pPr>
      <w:r>
        <w:rPr/>
        <w:t>In the 1980s, Nigeria, the meaning of property development to the common man was</w:t>
      </w:r>
      <w:r>
        <w:rPr>
          <w:spacing w:val="1"/>
        </w:rPr>
        <w:t> </w:t>
      </w:r>
      <w:r>
        <w:rPr/>
        <w:t>simply housing (i.e., more choice houses built irrespective of who is building). However, it</w:t>
      </w:r>
      <w:r>
        <w:rPr>
          <w:spacing w:val="1"/>
        </w:rPr>
        <w:t> </w:t>
      </w:r>
      <w:r>
        <w:rPr/>
        <w:t>is still the quest of the common man for a ‘home’ whether fully owned or rented – a</w:t>
      </w:r>
      <w:r>
        <w:rPr>
          <w:spacing w:val="1"/>
        </w:rPr>
        <w:t> </w:t>
      </w:r>
      <w:r>
        <w:rPr/>
        <w:t>situation, which has worsened in recent years. Residential developments are usually not</w:t>
      </w:r>
      <w:r>
        <w:rPr>
          <w:spacing w:val="1"/>
        </w:rPr>
        <w:t> </w:t>
      </w:r>
      <w:r>
        <w:rPr/>
        <w:t>pre-let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(Ayorinde,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Nigerians have not</w:t>
      </w:r>
      <w:r>
        <w:rPr>
          <w:spacing w:val="1"/>
        </w:rPr>
        <w:t> </w:t>
      </w:r>
      <w:r>
        <w:rPr/>
        <w:t>embraced</w:t>
      </w:r>
      <w:r>
        <w:rPr>
          <w:spacing w:val="1"/>
        </w:rPr>
        <w:t> </w:t>
      </w:r>
      <w:r>
        <w:rPr/>
        <w:t>the idea of pre-let or sold developments</w:t>
      </w:r>
      <w:r>
        <w:rPr>
          <w:spacing w:val="1"/>
        </w:rPr>
        <w:t> </w:t>
      </w:r>
      <w:r>
        <w:rPr/>
        <w:t>because of the</w:t>
      </w:r>
      <w:r>
        <w:rPr>
          <w:spacing w:val="1"/>
        </w:rPr>
        <w:t> </w:t>
      </w:r>
      <w:r>
        <w:rPr/>
        <w:t>inherent volatility of the market – which reinforces the need for the development process</w:t>
      </w:r>
      <w:r>
        <w:rPr>
          <w:spacing w:val="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in property</w:t>
      </w:r>
      <w:r>
        <w:rPr>
          <w:spacing w:val="-5"/>
        </w:rPr>
        <w:t> </w:t>
      </w:r>
      <w:r>
        <w:rPr/>
        <w:t>developments.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2"/>
        <w:jc w:val="both"/>
      </w:pPr>
      <w:r>
        <w:rPr/>
        <w:t>Adams </w:t>
      </w:r>
      <w:r>
        <w:rPr>
          <w:i/>
        </w:rPr>
        <w:t>et al. </w:t>
      </w:r>
      <w:r>
        <w:rPr/>
        <w:t>(2002), underlined the importance of the physical character of sites when</w:t>
      </w:r>
      <w:r>
        <w:rPr>
          <w:spacing w:val="1"/>
        </w:rPr>
        <w:t> </w:t>
      </w:r>
      <w:r>
        <w:rPr/>
        <w:t>analysing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planning</w:t>
      </w:r>
      <w:r>
        <w:rPr>
          <w:spacing w:val="58"/>
        </w:rPr>
        <w:t> </w:t>
      </w:r>
      <w:r>
        <w:rPr/>
        <w:t>process.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site</w:t>
      </w:r>
      <w:r>
        <w:rPr>
          <w:spacing w:val="57"/>
        </w:rPr>
        <w:t> </w:t>
      </w:r>
      <w:r>
        <w:rPr/>
        <w:t>also</w:t>
      </w:r>
      <w:r>
        <w:rPr>
          <w:spacing w:val="59"/>
        </w:rPr>
        <w:t> </w:t>
      </w:r>
      <w:r>
        <w:rPr/>
        <w:t>embodies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power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legal</w:t>
      </w:r>
      <w:r>
        <w:rPr>
          <w:spacing w:val="59"/>
        </w:rPr>
        <w:t> </w:t>
      </w:r>
      <w:r>
        <w:rPr/>
        <w:t>ownership</w:t>
      </w:r>
      <w:r>
        <w:rPr>
          <w:spacing w:val="-58"/>
        </w:rPr>
        <w:t> </w:t>
      </w:r>
      <w:r>
        <w:rPr/>
        <w:t>without which there can be no development. At the outset, this rests with the landowner(s),</w:t>
      </w:r>
      <w:r>
        <w:rPr>
          <w:spacing w:val="1"/>
        </w:rPr>
        <w:t> </w:t>
      </w:r>
      <w:r>
        <w:rPr/>
        <w:t>but during the development process, ownership may pass through a number of hands in</w:t>
      </w:r>
      <w:r>
        <w:rPr>
          <w:spacing w:val="1"/>
        </w:rPr>
        <w:t> </w:t>
      </w:r>
      <w:r>
        <w:rPr/>
        <w:t>different forms. Sites, with or without work in progress, may be merged or split, mortgaged</w:t>
      </w:r>
      <w:r>
        <w:rPr>
          <w:spacing w:val="-57"/>
        </w:rPr>
        <w:t> </w:t>
      </w:r>
      <w:r>
        <w:rPr/>
        <w:t>or leased.</w:t>
      </w:r>
      <w:r>
        <w:rPr>
          <w:spacing w:val="1"/>
        </w:rPr>
        <w:t> </w:t>
      </w:r>
      <w:r>
        <w:rPr/>
        <w:t>In some circumstances, the ‘developer’ may never</w:t>
      </w:r>
      <w:r>
        <w:rPr>
          <w:spacing w:val="60"/>
        </w:rPr>
        <w:t> </w:t>
      </w:r>
      <w:r>
        <w:rPr/>
        <w:t>own the freehold. The site</w:t>
      </w:r>
      <w:r>
        <w:rPr>
          <w:spacing w:val="1"/>
        </w:rPr>
        <w:t> </w:t>
      </w:r>
      <w:r>
        <w:rPr/>
        <w:t>thus marks the starting point of the process, which is then transformed by construction into</w:t>
      </w:r>
      <w:r>
        <w:rPr>
          <w:spacing w:val="1"/>
        </w:rPr>
        <w:t> </w:t>
      </w:r>
      <w:r>
        <w:rPr/>
        <w:t>the new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 required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end</w:t>
      </w:r>
      <w:r>
        <w:rPr>
          <w:spacing w:val="1"/>
        </w:rPr>
        <w:t> </w:t>
      </w:r>
      <w:r>
        <w:rPr/>
        <w:t>(Ebohon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warrants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cursory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assessment.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29" w:id="45"/>
      <w:bookmarkEnd w:id="45"/>
      <w:r>
        <w:rPr/>
      </w:r>
      <w:bookmarkStart w:name="_bookmark29" w:id="46"/>
      <w:bookmarkEnd w:id="46"/>
      <w:r>
        <w:rPr>
          <w:b/>
          <w:sz w:val="24"/>
        </w:rPr>
        <w:t>Conc</w:t>
      </w:r>
      <w:r>
        <w:rPr>
          <w:b/>
          <w:sz w:val="24"/>
        </w:rPr>
        <w:t>ept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2"/>
        <w:jc w:val="both"/>
      </w:pPr>
      <w:r>
        <w:rPr/>
        <w:t>Many terms are used to describe the zone between urban and rural areas. Some of these</w:t>
      </w:r>
      <w:r>
        <w:rPr>
          <w:spacing w:val="1"/>
        </w:rPr>
        <w:t> </w:t>
      </w:r>
      <w:r>
        <w:rPr/>
        <w:t>terms are ‘urban periphery’ ‘urban edge’, ‘urban fringe’, ‘urban-rural interface’, among</w:t>
      </w:r>
      <w:r>
        <w:rPr>
          <w:spacing w:val="1"/>
        </w:rPr>
        <w:t> </w:t>
      </w:r>
      <w:r>
        <w:rPr/>
        <w:t>others</w:t>
      </w:r>
      <w:r>
        <w:rPr>
          <w:spacing w:val="8"/>
        </w:rPr>
        <w:t> </w:t>
      </w:r>
      <w:r>
        <w:rPr/>
        <w:t>‘Peri</w:t>
      </w:r>
      <w:r>
        <w:rPr>
          <w:spacing w:val="8"/>
        </w:rPr>
        <w:t> </w:t>
      </w:r>
      <w:r>
        <w:rPr/>
        <w:t>urban’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commonly</w:t>
      </w:r>
      <w:r>
        <w:rPr>
          <w:spacing w:val="2"/>
        </w:rPr>
        <w:t> </w:t>
      </w:r>
      <w:r>
        <w:rPr/>
        <w:t>used</w:t>
      </w:r>
      <w:r>
        <w:rPr>
          <w:spacing w:val="8"/>
        </w:rPr>
        <w:t> </w:t>
      </w:r>
      <w:r>
        <w:rPr/>
        <w:t>today,</w:t>
      </w:r>
      <w:r>
        <w:rPr>
          <w:spacing w:val="8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region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fixed</w:t>
      </w:r>
      <w:r>
        <w:rPr>
          <w:spacing w:val="8"/>
        </w:rPr>
        <w:t> </w:t>
      </w:r>
      <w:r>
        <w:rPr/>
        <w:t>boundary,</w:t>
      </w:r>
      <w:r>
        <w:rPr>
          <w:spacing w:val="9"/>
        </w:rPr>
        <w:t> </w:t>
      </w:r>
      <w:r>
        <w:rPr/>
        <w:t>or</w:t>
      </w:r>
      <w:r>
        <w:rPr>
          <w:spacing w:val="-58"/>
        </w:rPr>
        <w:t> </w:t>
      </w:r>
      <w:r>
        <w:rPr/>
        <w:t>a line but</w:t>
      </w:r>
      <w:r>
        <w:rPr>
          <w:spacing w:val="1"/>
        </w:rPr>
        <w:t> </w:t>
      </w:r>
      <w:r>
        <w:rPr/>
        <w:t>rather a</w:t>
      </w:r>
      <w:r>
        <w:rPr>
          <w:spacing w:val="1"/>
        </w:rPr>
        <w:t> </w:t>
      </w:r>
      <w:r>
        <w:rPr/>
        <w:t>‘zone of</w:t>
      </w:r>
      <w:r>
        <w:rPr>
          <w:spacing w:val="1"/>
        </w:rPr>
        <w:t> </w:t>
      </w:r>
      <w:r>
        <w:rPr/>
        <w:t>transition’ characterized</w:t>
      </w:r>
      <w:r>
        <w:rPr>
          <w:spacing w:val="1"/>
        </w:rPr>
        <w:t> </w:t>
      </w:r>
      <w:r>
        <w:rPr/>
        <w:t>by a mixture of 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resources, uses, systems and patterns. According to Nagot (2008) the peri urban area is a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sparsely</w:t>
      </w:r>
      <w:r>
        <w:rPr>
          <w:spacing w:val="1"/>
        </w:rPr>
        <w:t> </w:t>
      </w:r>
      <w:r>
        <w:rPr/>
        <w:t>populated</w:t>
      </w:r>
      <w:r>
        <w:rPr>
          <w:spacing w:val="1"/>
        </w:rPr>
        <w:t> </w:t>
      </w:r>
      <w:r>
        <w:rPr/>
        <w:t>areas;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she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‘peri-urbanization’.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her,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trade-off</w:t>
      </w:r>
      <w:r>
        <w:rPr>
          <w:spacing w:val="1"/>
        </w:rPr>
        <w:t> </w:t>
      </w:r>
      <w:r>
        <w:rPr/>
        <w:t>between housing cost, rising transport cost and a decreased in facilities available in the</w:t>
      </w:r>
      <w:r>
        <w:rPr>
          <w:spacing w:val="1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of residence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from the city</w:t>
      </w:r>
      <w:r>
        <w:rPr>
          <w:spacing w:val="-1"/>
        </w:rPr>
        <w:t> </w:t>
      </w:r>
      <w:r>
        <w:rPr/>
        <w:t>(Lanjouw </w:t>
      </w:r>
      <w:r>
        <w:rPr>
          <w:i/>
        </w:rPr>
        <w:t>et al., </w:t>
      </w:r>
      <w:r>
        <w:rPr/>
        <w:t>2001)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6"/>
        <w:jc w:val="both"/>
      </w:pPr>
      <w:r>
        <w:rPr/>
        <w:t>Peri-urban areas are not however, for residence alone, but as 5th Regular Meeting in Beirut</w:t>
      </w:r>
      <w:r>
        <w:rPr>
          <w:spacing w:val="1"/>
        </w:rPr>
        <w:t> </w:t>
      </w:r>
      <w:r>
        <w:rPr/>
        <w:t>in 2004 has pointed out, periurban environments mean different things to different people.</w:t>
      </w:r>
      <w:r>
        <w:rPr>
          <w:spacing w:val="1"/>
        </w:rPr>
        <w:t> </w:t>
      </w:r>
      <w:r>
        <w:rPr/>
        <w:t>To the poor, it is the place where it is easier to build shelter and to occupy land for</w:t>
      </w:r>
      <w:r>
        <w:rPr>
          <w:spacing w:val="1"/>
        </w:rPr>
        <w:t> </w:t>
      </w:r>
      <w:r>
        <w:rPr/>
        <w:t>agriculture. For industry; it provides sources of materials essential for urban life, water,</w:t>
      </w:r>
      <w:r>
        <w:rPr>
          <w:spacing w:val="1"/>
        </w:rPr>
        <w:t> </w:t>
      </w:r>
      <w:r>
        <w:rPr/>
        <w:t>bricks, clays, sand and gravel, timber, fuel wood, etc. To the middle class, it provides 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golf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facilities.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6"/>
        <w:jc w:val="both"/>
      </w:pPr>
      <w:r>
        <w:rPr/>
        <w:t>Critics of peri-urban areas are to maintain that the predominance of growth form over 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impacts.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thwarted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development, separated rich and poor, caused unnecessary travel, consumed fragile land,</w:t>
      </w:r>
      <w:r>
        <w:rPr>
          <w:spacing w:val="1"/>
        </w:rPr>
        <w:t> </w:t>
      </w:r>
      <w:r>
        <w:rPr/>
        <w:t>and generated excessive public expenditures. On the other side, there are those who 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want:</w:t>
      </w:r>
      <w:r>
        <w:rPr>
          <w:spacing w:val="1"/>
        </w:rPr>
        <w:t> </w:t>
      </w:r>
      <w:r>
        <w:rPr/>
        <w:t>single-family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plots,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communities with good school systems, and metropolitan locations far from the pace and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 urban populations</w:t>
      </w:r>
      <w:r>
        <w:rPr>
          <w:spacing w:val="1"/>
        </w:rPr>
        <w:t> </w:t>
      </w:r>
      <w:r>
        <w:rPr/>
        <w:t>(Vagneron,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Lanjouw </w:t>
      </w:r>
      <w:r>
        <w:rPr>
          <w:i/>
        </w:rPr>
        <w:t>et al. </w:t>
      </w:r>
      <w:r>
        <w:rPr/>
        <w:t>(2001) peri-urban areas have comparatively better infrastructure such as</w:t>
      </w:r>
      <w:r>
        <w:rPr>
          <w:spacing w:val="1"/>
        </w:rPr>
        <w:t> </w:t>
      </w:r>
      <w:r>
        <w:rPr/>
        <w:t>roads,</w:t>
      </w:r>
      <w:r>
        <w:rPr>
          <w:spacing w:val="31"/>
        </w:rPr>
        <w:t> </w:t>
      </w:r>
      <w:r>
        <w:rPr/>
        <w:t>electricity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telephone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their</w:t>
      </w:r>
      <w:r>
        <w:rPr>
          <w:spacing w:val="30"/>
        </w:rPr>
        <w:t> </w:t>
      </w:r>
      <w:r>
        <w:rPr/>
        <w:t>rural</w:t>
      </w:r>
      <w:r>
        <w:rPr>
          <w:spacing w:val="35"/>
        </w:rPr>
        <w:t> </w:t>
      </w:r>
      <w:r>
        <w:rPr/>
        <w:t>counterparts.</w:t>
      </w:r>
      <w:r>
        <w:rPr>
          <w:spacing w:val="31"/>
        </w:rPr>
        <w:t> </w:t>
      </w:r>
      <w:r>
        <w:rPr/>
        <w:t>Therefore,</w:t>
      </w:r>
      <w:r>
        <w:rPr>
          <w:spacing w:val="34"/>
        </w:rPr>
        <w:t> </w:t>
      </w:r>
      <w:r>
        <w:rPr/>
        <w:t>it</w:t>
      </w:r>
      <w:r>
        <w:rPr>
          <w:spacing w:val="33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argued</w:t>
      </w:r>
      <w:r>
        <w:rPr>
          <w:spacing w:val="-58"/>
        </w:rPr>
        <w:t> </w:t>
      </w:r>
      <w:r>
        <w:rPr/>
        <w:t>that the infrastructural development in the peri-urban areas would create new economic</w:t>
      </w:r>
      <w:r>
        <w:rPr>
          <w:spacing w:val="1"/>
        </w:rPr>
        <w:t> </w:t>
      </w:r>
      <w:r>
        <w:rPr/>
        <w:t>opportunities through creation of business opportunities and new jobs. Consequently, these</w:t>
      </w:r>
      <w:r>
        <w:rPr>
          <w:spacing w:val="1"/>
        </w:rPr>
        <w:t> </w:t>
      </w:r>
      <w:r>
        <w:rPr/>
        <w:t>will reduce poverty in the particular peri-urban areas (that is, former rural). Current peri-</w:t>
      </w:r>
      <w:r>
        <w:rPr>
          <w:spacing w:val="1"/>
        </w:rPr>
        <w:t> </w:t>
      </w:r>
      <w:r>
        <w:rPr/>
        <w:t>urban research is concentrated on assessing peri-urban land use change and environmental</w:t>
      </w:r>
      <w:r>
        <w:rPr>
          <w:spacing w:val="1"/>
        </w:rPr>
        <w:t> </w:t>
      </w:r>
      <w:r>
        <w:rPr/>
        <w:t>impacts,</w:t>
      </w:r>
      <w:r>
        <w:rPr>
          <w:spacing w:val="-1"/>
        </w:rPr>
        <w:t> </w:t>
      </w:r>
      <w:r>
        <w:rPr/>
        <w:t>impact on</w:t>
      </w:r>
      <w:r>
        <w:rPr>
          <w:spacing w:val="1"/>
        </w:rPr>
        <w:t> </w:t>
      </w:r>
      <w:r>
        <w:rPr/>
        <w:t>agriculture</w:t>
      </w:r>
      <w:r>
        <w:rPr>
          <w:spacing w:val="-2"/>
        </w:rPr>
        <w:t> </w:t>
      </w:r>
      <w:r>
        <w:rPr/>
        <w:t>as well as</w:t>
      </w:r>
      <w:r>
        <w:rPr>
          <w:spacing w:val="-1"/>
        </w:rPr>
        <w:t> </w:t>
      </w:r>
      <w:r>
        <w:rPr/>
        <w:t>peri-urban concepts and</w:t>
      </w:r>
      <w:r>
        <w:rPr>
          <w:spacing w:val="-1"/>
        </w:rPr>
        <w:t> </w:t>
      </w:r>
      <w:r>
        <w:rPr/>
        <w:t>definitions.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  <w:rPr>
          <w:b/>
          <w:sz w:val="24"/>
        </w:rPr>
      </w:pPr>
      <w:bookmarkStart w:name="_bookmark30" w:id="47"/>
      <w:bookmarkEnd w:id="47"/>
      <w:r>
        <w:rPr/>
      </w:r>
      <w:bookmarkStart w:name="_bookmark30" w:id="48"/>
      <w:bookmarkEnd w:id="48"/>
      <w:r>
        <w:rPr>
          <w:b/>
          <w:sz w:val="24"/>
        </w:rPr>
        <w:t>Conc</w:t>
      </w:r>
      <w:r>
        <w:rPr>
          <w:b/>
          <w:sz w:val="24"/>
        </w:rPr>
        <w:t>ept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3"/>
        <w:jc w:val="both"/>
      </w:pPr>
      <w:r>
        <w:rPr/>
        <w:t>The term peri-urbanization refers to a process, often a highly dynamic one, in which rural</w:t>
      </w:r>
      <w:r>
        <w:rPr>
          <w:spacing w:val="1"/>
        </w:rPr>
        <w:t> </w:t>
      </w:r>
      <w:r>
        <w:rPr/>
        <w:t>areas located on the outskirts of established cities become more urban in character. This</w:t>
      </w:r>
      <w:r>
        <w:rPr>
          <w:spacing w:val="1"/>
        </w:rPr>
        <w:t> </w:t>
      </w:r>
      <w:r>
        <w:rPr/>
        <w:t>transformation occurs in physical, economic, and social terms, and often in piecemeal</w:t>
      </w:r>
      <w:r>
        <w:rPr>
          <w:spacing w:val="1"/>
        </w:rPr>
        <w:t> </w:t>
      </w:r>
      <w:r>
        <w:rPr/>
        <w:t>fashion. Peri-urban development usually involves rapid social change, as small agricultural</w:t>
      </w:r>
      <w:r>
        <w:rPr>
          <w:spacing w:val="1"/>
        </w:rPr>
        <w:t> </w:t>
      </w:r>
      <w:r>
        <w:rPr/>
        <w:t>communities are forced to adjust to an urban or industrial way of life in a very short time.</w:t>
      </w:r>
      <w:r>
        <w:rPr>
          <w:spacing w:val="1"/>
        </w:rPr>
        <w:t> </w:t>
      </w:r>
      <w:r>
        <w:rPr/>
        <w:t>High levels of in-migration are an important driver of social change (Buxton, 2007). Rapid</w:t>
      </w:r>
      <w:r>
        <w:rPr>
          <w:spacing w:val="1"/>
        </w:rPr>
        <w:t> </w:t>
      </w:r>
      <w:r>
        <w:rPr/>
        <w:t>environmental deterioration and infrastructure backlogs are usually another characteristic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(Maconachie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Binns,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Typically,</w:t>
      </w:r>
      <w:r>
        <w:rPr>
          <w:spacing w:val="1"/>
        </w:rPr>
        <w:t> </w:t>
      </w:r>
      <w:r>
        <w:rPr/>
        <w:t>peri-urbanization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stimulated by an infusion of new investment, generally from outside, including foreign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investment (FDI).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65" w:right="930"/>
        <w:jc w:val="both"/>
      </w:pPr>
      <w:r>
        <w:rPr/>
        <w:t>Peri-urbanization refers to the process in which rural areas located on the outskirts of</w:t>
      </w:r>
      <w:r>
        <w:rPr>
          <w:spacing w:val="1"/>
        </w:rPr>
        <w:t> </w:t>
      </w:r>
      <w:r>
        <w:rPr/>
        <w:t>established cities become more urban in character, in physical, economic and social terms.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(Adesina, 2007). The unregulated pattern of physical development in these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expands</w:t>
      </w:r>
      <w:r>
        <w:rPr>
          <w:spacing w:val="1"/>
        </w:rPr>
        <w:t> </w:t>
      </w:r>
      <w:r>
        <w:rPr/>
        <w:t>horizontally. The term peri-urban has been widely used, however, there seems to be no</w:t>
      </w:r>
      <w:r>
        <w:rPr>
          <w:spacing w:val="1"/>
        </w:rPr>
        <w:t> </w:t>
      </w:r>
      <w:r>
        <w:rPr/>
        <w:t>specific definition for the term. Rather, most literature use urban and rural information 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‘transitional’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surrounding cities where farmland is being developed for urban uses and the rural economy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its urban links</w:t>
      </w:r>
      <w:r>
        <w:rPr>
          <w:spacing w:val="3"/>
        </w:rPr>
        <w:t> </w:t>
      </w:r>
      <w:r>
        <w:rPr/>
        <w:t>(Lanjouw </w:t>
      </w:r>
      <w:r>
        <w:rPr>
          <w:i/>
        </w:rPr>
        <w:t>et al., </w:t>
      </w:r>
      <w:r>
        <w:rPr/>
        <w:t>2001).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3"/>
        <w:jc w:val="both"/>
      </w:pPr>
      <w:r>
        <w:rPr/>
        <w:t>The peri-urban concept attempts to move understanding beyond definitions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solely in terms of geographical location and spatial land use. Rather it considers the peri-</w:t>
      </w:r>
      <w:r>
        <w:rPr>
          <w:spacing w:val="1"/>
        </w:rPr>
        <w:t> </w:t>
      </w:r>
      <w:r>
        <w:rPr/>
        <w:t>urban interface (PUI) as the meeting of rural and urban activities – in effect a process rather</w:t>
      </w:r>
      <w:r>
        <w:rPr>
          <w:spacing w:val="-57"/>
        </w:rPr>
        <w:t> </w:t>
      </w:r>
      <w:r>
        <w:rPr/>
        <w:t>than a place (Brook and Davila 2000). As the cities expand, the surrounding peri-urban</w:t>
      </w:r>
      <w:r>
        <w:rPr>
          <w:spacing w:val="1"/>
        </w:rPr>
        <w:t> </w:t>
      </w:r>
      <w:r>
        <w:rPr/>
        <w:t>areas also grow. This means that the nature of the peri-urban interface is one of constant</w:t>
      </w:r>
      <w:r>
        <w:rPr>
          <w:spacing w:val="1"/>
        </w:rPr>
        <w:t> </w:t>
      </w:r>
      <w:r>
        <w:rPr/>
        <w:t>change</w:t>
      </w:r>
      <w:r>
        <w:rPr>
          <w:spacing w:val="-2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 variety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livelihood and</w:t>
      </w:r>
      <w:r>
        <w:rPr>
          <w:spacing w:val="-1"/>
        </w:rPr>
        <w:t> </w:t>
      </w:r>
      <w:r>
        <w:rPr/>
        <w:t>natural resource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PUI.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According to</w:t>
      </w:r>
      <w:r>
        <w:rPr>
          <w:spacing w:val="1"/>
        </w:rPr>
        <w:t> </w:t>
      </w:r>
      <w:r>
        <w:rPr/>
        <w:t>Adjekumhene (2002), 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 ‘development’ is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one which can be viewed from many perspectives. He explained “land development” to</w:t>
      </w:r>
      <w:r>
        <w:rPr>
          <w:spacing w:val="1"/>
        </w:rPr>
        <w:t> </w:t>
      </w:r>
      <w:r>
        <w:rPr/>
        <w:t>mean ‘a broad subject encompassing the development of</w:t>
      </w:r>
      <w:r>
        <w:rPr>
          <w:spacing w:val="1"/>
        </w:rPr>
        <w:t> </w:t>
      </w:r>
      <w:r>
        <w:rPr/>
        <w:t>natural areas to redevelopment of</w:t>
      </w:r>
      <w:r>
        <w:rPr>
          <w:spacing w:val="1"/>
        </w:rPr>
        <w:t> </w:t>
      </w:r>
      <w:r>
        <w:rPr/>
        <w:t>occupied land or derelict sites’. land development’ is considered as any kind of physical</w:t>
      </w:r>
      <w:r>
        <w:rPr>
          <w:spacing w:val="1"/>
        </w:rPr>
        <w:t> </w:t>
      </w:r>
      <w:r>
        <w:rPr/>
        <w:t>developments that changes the original use of the land. Broni (2002), observes that land is</w:t>
      </w:r>
      <w:r>
        <w:rPr>
          <w:spacing w:val="1"/>
        </w:rPr>
        <w:t> </w:t>
      </w:r>
      <w:r>
        <w:rPr/>
        <w:t>the basic asset on which the wealth of Ghana is built. Land represents the main form of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source of economic 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 and marketable commodity and therefore should be managed on a sustainable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peri-urban area</w:t>
      </w:r>
      <w:r>
        <w:rPr>
          <w:spacing w:val="-2"/>
        </w:rPr>
        <w:t> </w:t>
      </w:r>
      <w:r>
        <w:rPr/>
        <w:t>is an inevitable</w:t>
      </w:r>
      <w:r>
        <w:rPr>
          <w:spacing w:val="1"/>
        </w:rPr>
        <w:t> </w:t>
      </w:r>
      <w:r>
        <w:rPr/>
        <w:t>consequence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urbanisation.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Nagot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changes, characterized</w:t>
      </w:r>
      <w:r>
        <w:rPr>
          <w:spacing w:val="1"/>
        </w:rPr>
        <w:t> </w:t>
      </w:r>
      <w:r>
        <w:rPr/>
        <w:t>by the deconcentration</w:t>
      </w:r>
      <w:r>
        <w:rPr>
          <w:spacing w:val="1"/>
        </w:rPr>
        <w:t> </w:t>
      </w:r>
      <w:r>
        <w:rPr/>
        <w:t>of population and jobs from the city to</w:t>
      </w:r>
      <w:r>
        <w:rPr>
          <w:spacing w:val="1"/>
        </w:rPr>
        <w:t> </w:t>
      </w:r>
      <w:r>
        <w:rPr/>
        <w:t>sparsely populated areas; a process which she describes as ‘peri-urbanization’. peri-urban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trade-off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facilities available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district</w:t>
      </w:r>
      <w:r>
        <w:rPr>
          <w:spacing w:val="-1"/>
        </w:rPr>
        <w:t> </w:t>
      </w:r>
      <w:r>
        <w:rPr/>
        <w:t>of residence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city.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5"/>
        <w:jc w:val="both"/>
      </w:pPr>
      <w:r>
        <w:rPr/>
        <w:t>USAID has described per-urban areas, as areas characterized by uncertain land tenure,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incomes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(USAID,2000). It is observed that third world cities are made of two distinct elements, the</w:t>
      </w:r>
      <w:r>
        <w:rPr>
          <w:spacing w:val="1"/>
        </w:rPr>
        <w:t> </w:t>
      </w:r>
      <w:r>
        <w:rPr/>
        <w:t>formal and informal; with the peri-urban areas constituting the informal section where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traditions institutions are still strong. Ayorinde (2009) examined peri-urban areas in Ibadan</w:t>
      </w:r>
      <w:r>
        <w:rPr>
          <w:spacing w:val="1"/>
        </w:rPr>
        <w:t> </w:t>
      </w:r>
      <w:r>
        <w:rPr/>
        <w:t>Nigeria points out that peri-urban areas contain substantial but continuous areas of urban</w:t>
      </w:r>
      <w:r>
        <w:rPr>
          <w:spacing w:val="1"/>
        </w:rPr>
        <w:t> </w:t>
      </w:r>
      <w:r>
        <w:rPr/>
        <w:t>development’s mixed with stretches of more extensive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 rural areas</w:t>
      </w:r>
      <w:r>
        <w:rPr>
          <w:spacing w:val="60"/>
        </w:rPr>
        <w:t> </w:t>
      </w:r>
      <w:r>
        <w:rPr/>
        <w:t>utilized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and forestry.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65" w:right="931"/>
        <w:jc w:val="both"/>
      </w:pPr>
      <w:r>
        <w:rPr/>
        <w:t>Pasquini and Maconachie (2005) studies on peri-urban areas have been influenced by the</w:t>
      </w:r>
      <w:r>
        <w:rPr>
          <w:spacing w:val="1"/>
        </w:rPr>
        <w:t> </w:t>
      </w:r>
      <w:r>
        <w:rPr/>
        <w:t>optimistic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pessimistic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optimistic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capable to evolving in a sustainable way promoting urban and rural livelihoods and coping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pessimists</w:t>
      </w:r>
      <w:r>
        <w:rPr>
          <w:spacing w:val="-57"/>
        </w:rPr>
        <w:t> </w:t>
      </w:r>
      <w:r>
        <w:rPr/>
        <w:t>however argue otherwise. Simon (2008) peri-urban areas are increasingly attracting middle-</w:t>
      </w:r>
      <w:r>
        <w:rPr>
          <w:spacing w:val="-57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higher-income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lifestyles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inner-city</w:t>
      </w:r>
      <w:r>
        <w:rPr>
          <w:spacing w:val="1"/>
        </w:rPr>
        <w:t> </w:t>
      </w:r>
      <w:r>
        <w:rPr/>
        <w:t>dwellers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predominantly</w:t>
      </w:r>
      <w:r>
        <w:rPr>
          <w:spacing w:val="-5"/>
        </w:rPr>
        <w:t> </w:t>
      </w:r>
      <w:r>
        <w:rPr/>
        <w:t>rural setting.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65" w:right="935"/>
        <w:jc w:val="both"/>
      </w:pPr>
      <w:r>
        <w:rPr/>
        <w:t>Allen,</w:t>
      </w:r>
      <w:r>
        <w:rPr>
          <w:spacing w:val="10"/>
        </w:rPr>
        <w:t> </w:t>
      </w:r>
      <w:r>
        <w:rPr/>
        <w:t>Dávila,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Hofmann</w:t>
      </w:r>
      <w:r>
        <w:rPr>
          <w:spacing w:val="10"/>
        </w:rPr>
        <w:t> </w:t>
      </w:r>
      <w:r>
        <w:rPr/>
        <w:t>(2006)</w:t>
      </w:r>
      <w:r>
        <w:rPr>
          <w:spacing w:val="15"/>
        </w:rPr>
        <w:t> </w:t>
      </w:r>
      <w:r>
        <w:rPr/>
        <w:t>have</w:t>
      </w:r>
      <w:r>
        <w:rPr>
          <w:spacing w:val="11"/>
        </w:rPr>
        <w:t> </w:t>
      </w:r>
      <w:r>
        <w:rPr/>
        <w:t>explained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peri-urban</w:t>
      </w:r>
      <w:r>
        <w:rPr>
          <w:spacing w:val="11"/>
        </w:rPr>
        <w:t> </w:t>
      </w:r>
      <w:r>
        <w:rPr/>
        <w:t>interface</w:t>
      </w:r>
      <w:r>
        <w:rPr>
          <w:spacing w:val="12"/>
        </w:rPr>
        <w:t> </w:t>
      </w:r>
      <w:r>
        <w:rPr/>
        <w:t>comprises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‘heterogenous</w:t>
      </w:r>
      <w:r>
        <w:rPr>
          <w:spacing w:val="1"/>
        </w:rPr>
        <w:t> </w:t>
      </w:r>
      <w:r>
        <w:rPr/>
        <w:t>mosaic’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 with the prevailing socio-economic peculiarities. This supports the view that</w:t>
      </w:r>
      <w:r>
        <w:rPr>
          <w:spacing w:val="1"/>
        </w:rPr>
        <w:t> </w:t>
      </w:r>
      <w:r>
        <w:rPr/>
        <w:t>peri-urban lands are used for multiple activities. Similarly, peri-urban areas may contain a</w:t>
      </w:r>
      <w:r>
        <w:rPr>
          <w:spacing w:val="1"/>
        </w:rPr>
        <w:t> </w:t>
      </w:r>
      <w:r>
        <w:rPr/>
        <w:t>(dis)organized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residential,</w:t>
      </w:r>
      <w:r>
        <w:rPr>
          <w:spacing w:val="1"/>
        </w:rPr>
        <w:t> </w:t>
      </w:r>
      <w:r>
        <w:rPr/>
        <w:t>commercial,</w:t>
      </w:r>
      <w:r>
        <w:rPr>
          <w:spacing w:val="1"/>
        </w:rPr>
        <w:t> </w:t>
      </w:r>
      <w:r>
        <w:rPr/>
        <w:t>rural-residential,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uses (Mandere, Ness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Anderberg, 2010).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32"/>
        <w:ind w:left="265" w:right="934"/>
        <w:jc w:val="both"/>
      </w:pPr>
      <w:r>
        <w:rPr/>
        <w:t>There are two major driving forces for conversion and transformation of land use in the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peripheries;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(Acheampong &amp; Anokye 2013) and the deteriorating housing conditions and inadequate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advanced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Webster,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to other</w:t>
      </w:r>
      <w:r>
        <w:rPr>
          <w:spacing w:val="-2"/>
        </w:rPr>
        <w:t> </w:t>
      </w:r>
      <w:r>
        <w:rPr/>
        <w:t>land uses other than agriculture.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5"/>
        <w:jc w:val="both"/>
      </w:pPr>
      <w:r>
        <w:rPr/>
        <w:t>The peri-urban area is an area of mixed rural and urban population and land uses. It begins</w:t>
      </w:r>
      <w:r>
        <w:rPr>
          <w:spacing w:val="1"/>
        </w:rPr>
        <w:t> </w:t>
      </w:r>
      <w:r>
        <w:rPr/>
        <w:t>at the point where agricultural land uses appears near the city and extends up to the point</w:t>
      </w:r>
      <w:r>
        <w:rPr>
          <w:spacing w:val="1"/>
        </w:rPr>
        <w:t> </w:t>
      </w:r>
      <w:r>
        <w:rPr/>
        <w:t>where villages have distinct urban land uses or</w:t>
      </w:r>
      <w:r>
        <w:rPr>
          <w:spacing w:val="60"/>
        </w:rPr>
        <w:t> </w:t>
      </w:r>
      <w:r>
        <w:rPr/>
        <w:t>where some persons, at least from the</w:t>
      </w:r>
      <w:r>
        <w:rPr>
          <w:spacing w:val="1"/>
        </w:rPr>
        <w:t> </w:t>
      </w:r>
      <w:r>
        <w:rPr/>
        <w:t>village</w:t>
      </w:r>
      <w:r>
        <w:rPr>
          <w:spacing w:val="13"/>
        </w:rPr>
        <w:t> </w:t>
      </w:r>
      <w:r>
        <w:rPr/>
        <w:t>community</w:t>
      </w:r>
      <w:r>
        <w:rPr>
          <w:spacing w:val="7"/>
        </w:rPr>
        <w:t> </w:t>
      </w:r>
      <w:r>
        <w:rPr/>
        <w:t>commute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city</w:t>
      </w:r>
      <w:r>
        <w:rPr>
          <w:spacing w:val="10"/>
        </w:rPr>
        <w:t> </w:t>
      </w:r>
      <w:r>
        <w:rPr/>
        <w:t>daily</w:t>
      </w:r>
      <w:r>
        <w:rPr>
          <w:spacing w:val="9"/>
        </w:rPr>
        <w:t> </w:t>
      </w:r>
      <w:r>
        <w:rPr/>
        <w:t>for</w:t>
      </w:r>
      <w:r>
        <w:rPr>
          <w:spacing w:val="13"/>
        </w:rPr>
        <w:t> </w:t>
      </w:r>
      <w:r>
        <w:rPr/>
        <w:t>work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other</w:t>
      </w:r>
      <w:r>
        <w:rPr>
          <w:spacing w:val="11"/>
        </w:rPr>
        <w:t> </w:t>
      </w:r>
      <w:r>
        <w:rPr/>
        <w:t>purposes.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term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used</w:t>
      </w:r>
      <w:r>
        <w:rPr>
          <w:spacing w:val="-57"/>
        </w:rPr>
        <w:t> </w:t>
      </w:r>
      <w:r>
        <w:rPr/>
        <w:t>to describe the built up area just outside the corporation limits of the city (Doos, 2012). The</w:t>
      </w:r>
      <w:r>
        <w:rPr>
          <w:spacing w:val="-57"/>
        </w:rPr>
        <w:t> </w:t>
      </w:r>
      <w:r>
        <w:rPr/>
        <w:t>term fringe suggests a borderline case between the rural and urban and actually lies on the</w:t>
      </w:r>
      <w:r>
        <w:rPr>
          <w:spacing w:val="1"/>
        </w:rPr>
        <w:t> </w:t>
      </w:r>
      <w:r>
        <w:rPr/>
        <w:t>periphery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truly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countryside.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8"/>
        <w:jc w:val="both"/>
      </w:pPr>
      <w:r>
        <w:rPr/>
        <w:t>The peri-urban development has arguments for and against it. However, it is evident that it</w:t>
      </w:r>
      <w:r>
        <w:rPr>
          <w:spacing w:val="1"/>
        </w:rPr>
        <w:t> </w:t>
      </w:r>
      <w:r>
        <w:rPr/>
        <w:t>alters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externalities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 of the city. This implies that causes are to be treated to lessen the negative</w:t>
      </w:r>
      <w:r>
        <w:rPr>
          <w:spacing w:val="1"/>
        </w:rPr>
        <w:t> </w:t>
      </w:r>
      <w:r>
        <w:rPr/>
        <w:t>impacts. The growth of an urban area are being propelled by the economic growth and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preferences</w:t>
      </w:r>
      <w:r>
        <w:rPr>
          <w:spacing w:val="-57"/>
        </w:rPr>
        <w:t> </w:t>
      </w:r>
      <w:r>
        <w:rPr/>
        <w:t>exhibited,</w:t>
      </w:r>
      <w:r>
        <w:rPr>
          <w:spacing w:val="39"/>
        </w:rPr>
        <w:t> </w:t>
      </w:r>
      <w:r>
        <w:rPr/>
        <w:t>shape</w:t>
      </w:r>
      <w:r>
        <w:rPr>
          <w:spacing w:val="40"/>
        </w:rPr>
        <w:t> </w:t>
      </w:r>
      <w:r>
        <w:rPr/>
        <w:t>growth</w:t>
      </w:r>
      <w:r>
        <w:rPr>
          <w:spacing w:val="40"/>
        </w:rPr>
        <w:t> </w:t>
      </w:r>
      <w:r>
        <w:rPr/>
        <w:t>into</w:t>
      </w:r>
      <w:r>
        <w:rPr>
          <w:spacing w:val="39"/>
        </w:rPr>
        <w:t> </w:t>
      </w:r>
      <w:r>
        <w:rPr/>
        <w:t>growth</w:t>
      </w:r>
      <w:r>
        <w:rPr>
          <w:spacing w:val="40"/>
        </w:rPr>
        <w:t> </w:t>
      </w:r>
      <w:r>
        <w:rPr/>
        <w:t>patterns.</w:t>
      </w:r>
      <w:r>
        <w:rPr>
          <w:spacing w:val="41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wake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rapid</w:t>
      </w:r>
      <w:r>
        <w:rPr>
          <w:spacing w:val="40"/>
        </w:rPr>
        <w:t> </w:t>
      </w:r>
      <w:r>
        <w:rPr/>
        <w:t>expansion</w:t>
      </w:r>
      <w:r>
        <w:rPr>
          <w:spacing w:val="4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480"/>
        </w:sectPr>
      </w:pPr>
    </w:p>
    <w:p>
      <w:pPr>
        <w:pStyle w:val="BodyText"/>
        <w:spacing w:line="480" w:lineRule="auto" w:before="70"/>
        <w:ind w:left="265" w:right="941"/>
        <w:jc w:val="both"/>
      </w:pPr>
      <w:bookmarkStart w:name="_bookmark31" w:id="49"/>
      <w:bookmarkEnd w:id="49"/>
      <w:r>
        <w:rPr/>
      </w:r>
      <w:r>
        <w:rPr/>
        <w:t>metropolitan cities, the local governments can barely cope up with only operation and</w:t>
      </w:r>
      <w:r>
        <w:rPr>
          <w:spacing w:val="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within their</w:t>
      </w:r>
      <w:r>
        <w:rPr>
          <w:spacing w:val="-1"/>
        </w:rPr>
        <w:t> </w:t>
      </w:r>
      <w:r>
        <w:rPr/>
        <w:t>jurisdiction</w:t>
      </w:r>
      <w:r>
        <w:rPr>
          <w:spacing w:val="1"/>
        </w:rPr>
        <w:t> </w:t>
      </w:r>
      <w:r>
        <w:rPr/>
        <w:t>(Peron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Geoffriau, 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3"/>
        <w:jc w:val="both"/>
      </w:pPr>
      <w:r>
        <w:rPr/>
        <w:t>While serviced urban land may indeed be far below the requirement of the urban area, the</w:t>
      </w:r>
      <w:r>
        <w:rPr>
          <w:spacing w:val="1"/>
        </w:rPr>
        <w:t> </w:t>
      </w:r>
      <w:r>
        <w:rPr/>
        <w:t>processes of speculative purchase and land conversion from agriculture to nonagricultural</w:t>
      </w:r>
      <w:r>
        <w:rPr>
          <w:spacing w:val="1"/>
        </w:rPr>
        <w:t> </w:t>
      </w:r>
      <w:r>
        <w:rPr/>
        <w:t>use continue unabated in the peri-urban areas. However, the form this growth takes and its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inefficiencies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mechanisms within their legal framework. However, the benefits include access to a wider</w:t>
      </w:r>
      <w:r>
        <w:rPr>
          <w:spacing w:val="1"/>
        </w:rPr>
        <w:t> </w:t>
      </w:r>
      <w:r>
        <w:rPr/>
        <w:t>choice of neighborhoods with required levels of stimulus and rest, access to more natural</w:t>
      </w:r>
      <w:r>
        <w:rPr>
          <w:spacing w:val="1"/>
        </w:rPr>
        <w:t> </w:t>
      </w:r>
      <w:r>
        <w:rPr/>
        <w:t>environments, affordable land market and subsidized services. Within the neighborhoods,</w:t>
      </w:r>
      <w:r>
        <w:rPr>
          <w:spacing w:val="1"/>
        </w:rPr>
        <w:t> </w:t>
      </w:r>
      <w:r>
        <w:rPr/>
        <w:t>congestion</w:t>
      </w:r>
      <w:r>
        <w:rPr>
          <w:spacing w:val="-1"/>
        </w:rPr>
        <w:t> </w:t>
      </w:r>
      <w:r>
        <w:rPr/>
        <w:t>levels are</w:t>
      </w:r>
      <w:r>
        <w:rPr>
          <w:spacing w:val="-1"/>
        </w:rPr>
        <w:t> </w:t>
      </w:r>
      <w:r>
        <w:rPr/>
        <w:t>lower and security</w:t>
      </w:r>
      <w:r>
        <w:rPr>
          <w:spacing w:val="-5"/>
        </w:rPr>
        <w:t> </w:t>
      </w:r>
      <w:r>
        <w:rPr/>
        <w:t>is higher.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3"/>
        <w:jc w:val="both"/>
      </w:pPr>
      <w:r>
        <w:rPr/>
        <w:t>The process of property development is enhanced by a fairly stable environment monitored</w:t>
      </w:r>
      <w:r>
        <w:rPr>
          <w:spacing w:val="1"/>
        </w:rPr>
        <w:t> </w:t>
      </w:r>
      <w:r>
        <w:rPr/>
        <w:t>by effective legislation and encouraged by related institutions. With the Nigerian situation,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different,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ever-changing</w:t>
      </w:r>
      <w:r>
        <w:rPr>
          <w:spacing w:val="1"/>
        </w:rPr>
        <w:t> </w:t>
      </w:r>
      <w:r>
        <w:rPr/>
        <w:t>macroeconomic</w:t>
      </w:r>
      <w:r>
        <w:rPr>
          <w:spacing w:val="1"/>
        </w:rPr>
        <w:t> </w:t>
      </w:r>
      <w:r>
        <w:rPr/>
        <w:t>environment. Residential developments are usually not pre-let as they are built first before</w:t>
      </w:r>
      <w:r>
        <w:rPr>
          <w:spacing w:val="1"/>
        </w:rPr>
        <w:t> </w:t>
      </w:r>
      <w:r>
        <w:rPr/>
        <w:t>being let or sold. Furthermore, Nigerians have not embraced the idea of pre-let or sold</w:t>
      </w:r>
      <w:r>
        <w:rPr>
          <w:spacing w:val="1"/>
        </w:rPr>
        <w:t> </w:t>
      </w:r>
      <w:r>
        <w:rPr/>
        <w:t>developments because of the inherent volatility of the market – which reinforces the need</w:t>
      </w:r>
      <w:r>
        <w:rPr>
          <w:spacing w:val="1"/>
        </w:rPr>
        <w:t> </w:t>
      </w:r>
      <w:r>
        <w:rPr/>
        <w:t>for the development process sequence in property developments. It is for the same reason</w:t>
      </w:r>
      <w:r>
        <w:rPr>
          <w:spacing w:val="1"/>
        </w:rPr>
        <w:t> </w:t>
      </w:r>
      <w:r>
        <w:rPr/>
        <w:t>also that the process has long been completely ignored, thus making property development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cause</w:t>
      </w:r>
      <w:r>
        <w:rPr>
          <w:spacing w:val="-2"/>
        </w:rPr>
        <w:t> </w:t>
      </w:r>
      <w:r>
        <w:rPr/>
        <w:t>for serious concern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worthy</w:t>
      </w:r>
      <w:r>
        <w:rPr>
          <w:spacing w:val="-3"/>
        </w:rPr>
        <w:t> </w:t>
      </w:r>
      <w:r>
        <w:rPr/>
        <w:t>of further investigation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  <w:rPr>
          <w:b/>
          <w:sz w:val="24"/>
        </w:rPr>
      </w:pPr>
      <w:r>
        <w:rPr>
          <w:b/>
          <w:sz w:val="24"/>
        </w:rPr>
        <w:t>Relationship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2"/>
        <w:jc w:val="both"/>
      </w:pPr>
      <w:r>
        <w:rPr/>
        <w:t>physical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operations in, on, over or under land or the making of any material or substantial change in</w:t>
      </w:r>
      <w:r>
        <w:rPr>
          <w:spacing w:val="1"/>
        </w:rPr>
        <w:t> </w:t>
      </w:r>
      <w:r>
        <w:rPr/>
        <w:t>the use of any building or land. Physical development entails the</w:t>
      </w:r>
      <w:r>
        <w:rPr>
          <w:spacing w:val="1"/>
        </w:rPr>
        <w:t> </w:t>
      </w:r>
      <w:r>
        <w:rPr/>
        <w:t>carrying out of any</w:t>
      </w:r>
      <w:r>
        <w:rPr>
          <w:spacing w:val="1"/>
        </w:rPr>
        <w:t> </w:t>
      </w:r>
      <w:r>
        <w:rPr/>
        <w:t>operation on or any modification to land by mankind in an attempt to create a liveable and</w:t>
      </w:r>
      <w:r>
        <w:rPr>
          <w:spacing w:val="1"/>
        </w:rPr>
        <w:t> </w:t>
      </w:r>
      <w:r>
        <w:rPr/>
        <w:t>comfortable environment. The ultimate objective of physical development is to sustain the</w:t>
      </w:r>
      <w:r>
        <w:rPr>
          <w:spacing w:val="1"/>
        </w:rPr>
        <w:t> </w:t>
      </w:r>
      <w:r>
        <w:rPr/>
        <w:t>improvement in the wellbeing of individuals and bestow benefits on all. At the community</w:t>
      </w:r>
      <w:r>
        <w:rPr>
          <w:spacing w:val="1"/>
        </w:rPr>
        <w:t> </w:t>
      </w:r>
      <w:r>
        <w:rPr/>
        <w:t>level, physical development covers land that has been put to some form of use ranging from</w:t>
      </w:r>
      <w:r>
        <w:rPr>
          <w:spacing w:val="-57"/>
        </w:rPr>
        <w:t> </w:t>
      </w:r>
      <w:r>
        <w:rPr/>
        <w:t>a building to an outdoor open space as against land which has not been touched and is</w:t>
      </w:r>
      <w:r>
        <w:rPr>
          <w:spacing w:val="1"/>
        </w:rPr>
        <w:t> </w:t>
      </w:r>
      <w:r>
        <w:rPr/>
        <w:t>covered with ‘bush’. Physical development manifests itself in the form of human activities</w:t>
      </w:r>
      <w:r>
        <w:rPr>
          <w:spacing w:val="1"/>
        </w:rPr>
        <w:t> </w:t>
      </w:r>
      <w:r>
        <w:rPr/>
        <w:t>or land uses in towns and cities.Peri-urban areas, then, may be defined as a transition zone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urbanized land</w:t>
      </w:r>
      <w:r>
        <w:rPr>
          <w:spacing w:val="-1"/>
        </w:rPr>
        <w:t> </w:t>
      </w:r>
      <w:r>
        <w:rPr/>
        <w:t>in cities and</w:t>
      </w:r>
      <w:r>
        <w:rPr>
          <w:spacing w:val="-1"/>
        </w:rPr>
        <w:t> </w:t>
      </w:r>
      <w:r>
        <w:rPr/>
        <w:t>predominantly</w:t>
      </w:r>
      <w:r>
        <w:rPr>
          <w:spacing w:val="-3"/>
        </w:rPr>
        <w:t> </w:t>
      </w:r>
      <w:r>
        <w:rPr/>
        <w:t>agricultural areas</w:t>
      </w:r>
      <w:r>
        <w:rPr>
          <w:spacing w:val="1"/>
        </w:rPr>
        <w:t> </w:t>
      </w:r>
      <w:r>
        <w:rPr/>
        <w:t>(Rakodi, 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65" w:right="935"/>
        <w:jc w:val="both"/>
      </w:pPr>
      <w:r>
        <w:rPr/>
        <w:t>The dynamic and integrative nature of peri-urban areas has been a major constraint in</w:t>
      </w:r>
      <w:r>
        <w:rPr>
          <w:spacing w:val="1"/>
        </w:rPr>
        <w:t> </w:t>
      </w:r>
      <w:r>
        <w:rPr/>
        <w:t>outlining physical development (land use) pattern of these areas. While peri-urban areas are</w:t>
      </w:r>
      <w:r>
        <w:rPr>
          <w:spacing w:val="-57"/>
        </w:rPr>
        <w:t> </w:t>
      </w:r>
      <w:r>
        <w:rPr/>
        <w:t>multifunctional and interrelated zones with potential for change, the nature of physical</w:t>
      </w:r>
      <w:r>
        <w:rPr>
          <w:spacing w:val="1"/>
        </w:rPr>
        <w:t> </w:t>
      </w:r>
      <w:r>
        <w:rPr/>
        <w:t>development is complex and does not have defined character. It is defined by unauthorized</w:t>
      </w:r>
      <w:r>
        <w:rPr>
          <w:spacing w:val="1"/>
        </w:rPr>
        <w:t> </w:t>
      </w:r>
      <w:r>
        <w:rPr/>
        <w:t>developments,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zones,</w:t>
      </w:r>
      <w:r>
        <w:rPr>
          <w:spacing w:val="1"/>
        </w:rPr>
        <w:t> </w:t>
      </w:r>
      <w:r>
        <w:rPr/>
        <w:t>non-contiguous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changes.</w:t>
      </w:r>
      <w:r>
        <w:rPr>
          <w:spacing w:val="-57"/>
        </w:rPr>
        <w:t> </w:t>
      </w:r>
      <w:r>
        <w:rPr/>
        <w:t>Other writers have argued that peri-urban areas experience continuous and alarming rate of</w:t>
      </w:r>
      <w:r>
        <w:rPr>
          <w:spacing w:val="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expansion as the population</w:t>
      </w:r>
      <w:r>
        <w:rPr>
          <w:spacing w:val="-1"/>
        </w:rPr>
        <w:t> </w:t>
      </w:r>
      <w:r>
        <w:rPr/>
        <w:t>grows</w:t>
      </w:r>
      <w:r>
        <w:rPr>
          <w:spacing w:val="4"/>
        </w:rPr>
        <w:t> </w:t>
      </w:r>
      <w:r>
        <w:rPr/>
        <w:t>(Buxton, 2007).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Moreover, literature on peri-urban dynamics suggests that as urban areas grow, most of the</w:t>
      </w:r>
      <w:r>
        <w:rPr>
          <w:spacing w:val="1"/>
        </w:rPr>
        <w:t> </w:t>
      </w:r>
      <w:r>
        <w:rPr/>
        <w:t>growth</w:t>
      </w:r>
      <w:r>
        <w:rPr>
          <w:spacing w:val="3"/>
        </w:rPr>
        <w:t> </w:t>
      </w:r>
      <w:r>
        <w:rPr/>
        <w:t>occurs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fringes</w:t>
      </w:r>
      <w:r>
        <w:rPr>
          <w:spacing w:val="4"/>
        </w:rPr>
        <w:t> </w:t>
      </w:r>
      <w:r>
        <w:rPr/>
        <w:t>because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land</w:t>
      </w:r>
      <w:r>
        <w:rPr>
          <w:spacing w:val="6"/>
        </w:rPr>
        <w:t> </w:t>
      </w:r>
      <w:r>
        <w:rPr/>
        <w:t>at</w:t>
      </w:r>
      <w:r>
        <w:rPr>
          <w:spacing w:val="4"/>
        </w:rPr>
        <w:t> </w:t>
      </w:r>
      <w:r>
        <w:rPr/>
        <w:t>nominal</w:t>
      </w:r>
      <w:r>
        <w:rPr>
          <w:spacing w:val="11"/>
        </w:rPr>
        <w:t> </w:t>
      </w:r>
      <w:r>
        <w:rPr/>
        <w:t>cost</w:t>
      </w:r>
      <w:r>
        <w:rPr>
          <w:spacing w:val="4"/>
        </w:rPr>
        <w:t> </w:t>
      </w:r>
      <w:r>
        <w:rPr/>
        <w:t>(O’Sullivan,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3"/>
        <w:jc w:val="both"/>
      </w:pPr>
      <w:r>
        <w:rPr/>
        <w:t>2000). Thus, peri-urban</w:t>
      </w:r>
      <w:r>
        <w:rPr>
          <w:spacing w:val="60"/>
        </w:rPr>
        <w:t> </w:t>
      </w:r>
      <w:r>
        <w:rPr/>
        <w:t>areas, by virtue of their status as dormitory towns, are dominated</w:t>
      </w:r>
      <w:r>
        <w:rPr>
          <w:spacing w:val="1"/>
        </w:rPr>
        <w:t> </w:t>
      </w:r>
      <w:r>
        <w:rPr/>
        <w:t>by moderate and low density residential development. Housing in these areas is segregated</w:t>
      </w:r>
      <w:r>
        <w:rPr>
          <w:spacing w:val="1"/>
        </w:rPr>
        <w:t> </w:t>
      </w:r>
      <w:r>
        <w:rPr/>
        <w:t>by socio-economic class or ethnicity and is usually clustered close to a railway or a major</w:t>
      </w:r>
      <w:r>
        <w:rPr>
          <w:spacing w:val="1"/>
        </w:rPr>
        <w:t> </w:t>
      </w:r>
      <w:r>
        <w:rPr/>
        <w:t>thoroughfare. Other writers have argued that peri-urban areas experience continuous and</w:t>
      </w:r>
      <w:r>
        <w:rPr>
          <w:spacing w:val="1"/>
        </w:rPr>
        <w:t> </w:t>
      </w:r>
      <w:r>
        <w:rPr/>
        <w:t>alarming</w:t>
      </w:r>
      <w:r>
        <w:rPr>
          <w:spacing w:val="-2"/>
        </w:rPr>
        <w:t> </w:t>
      </w:r>
      <w:r>
        <w:rPr/>
        <w:t>rate of</w:t>
      </w:r>
      <w:r>
        <w:rPr>
          <w:spacing w:val="-1"/>
        </w:rPr>
        <w:t> </w:t>
      </w:r>
      <w:r>
        <w:rPr/>
        <w:t>physical</w:t>
      </w:r>
      <w:r>
        <w:rPr>
          <w:spacing w:val="4"/>
        </w:rPr>
        <w:t> </w:t>
      </w:r>
      <w:r>
        <w:rPr/>
        <w:t>expansion as</w:t>
      </w:r>
      <w:r>
        <w:rPr>
          <w:spacing w:val="-1"/>
        </w:rPr>
        <w:t> </w:t>
      </w:r>
      <w:r>
        <w:rPr/>
        <w:t>the population grows</w:t>
      </w:r>
      <w:r>
        <w:rPr>
          <w:spacing w:val="-1"/>
        </w:rPr>
        <w:t> </w:t>
      </w:r>
      <w:r>
        <w:rPr/>
        <w:t>(Buxton,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Moreover, literature on peri-urban dynamics suggests that as urban areas grow, most of the</w:t>
      </w:r>
      <w:r>
        <w:rPr>
          <w:spacing w:val="1"/>
        </w:rPr>
        <w:t> </w:t>
      </w:r>
      <w:r>
        <w:rPr/>
        <w:t>growth occurs at the fringes because of the availability of land at nominal cost (O’Sullivan,</w:t>
      </w:r>
      <w:r>
        <w:rPr>
          <w:spacing w:val="1"/>
        </w:rPr>
        <w:t> </w:t>
      </w:r>
      <w:r>
        <w:rPr/>
        <w:t>2000). Thus, peri-urban</w:t>
      </w:r>
      <w:r>
        <w:rPr>
          <w:spacing w:val="60"/>
        </w:rPr>
        <w:t> </w:t>
      </w:r>
      <w:r>
        <w:rPr/>
        <w:t>areas, by virtue of their status as dormitory towns, are dominated</w:t>
      </w:r>
      <w:r>
        <w:rPr>
          <w:spacing w:val="1"/>
        </w:rPr>
        <w:t> </w:t>
      </w:r>
      <w:r>
        <w:rPr/>
        <w:t>by moderate and low density residential development. Housing in these areas is segregated</w:t>
      </w:r>
      <w:r>
        <w:rPr>
          <w:spacing w:val="1"/>
        </w:rPr>
        <w:t> </w:t>
      </w:r>
      <w:r>
        <w:rPr/>
        <w:t>by socio-economic class or ethnicity and is usually clustered close to a railway or a major</w:t>
      </w:r>
      <w:r>
        <w:rPr>
          <w:spacing w:val="1"/>
        </w:rPr>
        <w:t> </w:t>
      </w:r>
      <w:r>
        <w:rPr/>
        <w:t>thoroughfare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Another relationship is leap frogging development which is characterized by relatively low-</w:t>
      </w:r>
      <w:r>
        <w:rPr>
          <w:spacing w:val="-57"/>
        </w:rPr>
        <w:t> </w:t>
      </w:r>
      <w:r>
        <w:rPr/>
        <w:t>density, noncontiguous, automobile dependent, residential and non residential development</w:t>
      </w:r>
      <w:r>
        <w:rPr>
          <w:spacing w:val="1"/>
        </w:rPr>
        <w:t> </w:t>
      </w:r>
      <w:r>
        <w:rPr/>
        <w:t>that consumes farmland. The farmland is converted into housing, commercial and industrial</w:t>
      </w:r>
      <w:r>
        <w:rPr>
          <w:spacing w:val="-57"/>
        </w:rPr>
        <w:t> </w:t>
      </w:r>
      <w:r>
        <w:rPr/>
        <w:t>premises, and infrastructure such as roads, other land-extensive recreational facilities, waste</w:t>
      </w:r>
      <w:r>
        <w:rPr>
          <w:spacing w:val="-57"/>
        </w:rPr>
        <w:t> </w:t>
      </w:r>
      <w:r>
        <w:rPr/>
        <w:t>dumps,</w:t>
      </w:r>
      <w:r>
        <w:rPr>
          <w:spacing w:val="-1"/>
        </w:rPr>
        <w:t> </w:t>
      </w:r>
      <w:r>
        <w:rPr/>
        <w:t>and sewage</w:t>
      </w:r>
      <w:r>
        <w:rPr>
          <w:spacing w:val="-1"/>
        </w:rPr>
        <w:t> </w:t>
      </w:r>
      <w:r>
        <w:rPr/>
        <w:t>treatment plants</w:t>
      </w:r>
      <w:r>
        <w:rPr>
          <w:spacing w:val="2"/>
        </w:rPr>
        <w:t> </w:t>
      </w:r>
      <w:r>
        <w:rPr/>
        <w:t>(Timms, 2006).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Drivers for residential development include the attractiveness of peri-urban land in terms of</w:t>
      </w:r>
      <w:r>
        <w:rPr>
          <w:spacing w:val="-57"/>
        </w:rPr>
        <w:t> </w:t>
      </w:r>
      <w:r>
        <w:rPr/>
        <w:t>lower pollution, traffic congestion and a higher level of individual safety. Another driver is</w:t>
      </w:r>
      <w:r>
        <w:rPr>
          <w:spacing w:val="1"/>
        </w:rPr>
        <w:t> </w:t>
      </w:r>
      <w:r>
        <w:rPr/>
        <w:t>that cheap agricultural land can be acquired for the sole purpose of speculation. Obviously,</w:t>
      </w:r>
      <w:r>
        <w:rPr>
          <w:spacing w:val="1"/>
        </w:rPr>
        <w:t> </w:t>
      </w:r>
      <w:r>
        <w:rPr/>
        <w:t>also new land uses associated with the innovations listed previously lead to multiple land-</w:t>
      </w:r>
      <w:r>
        <w:rPr>
          <w:spacing w:val="1"/>
        </w:rPr>
        <w:t> </w:t>
      </w:r>
      <w:r>
        <w:rPr/>
        <w:t>use</w:t>
      </w:r>
      <w:r>
        <w:rPr>
          <w:spacing w:val="30"/>
        </w:rPr>
        <w:t> </w:t>
      </w:r>
      <w:r>
        <w:rPr/>
        <w:t>claims,</w:t>
      </w:r>
      <w:r>
        <w:rPr>
          <w:spacing w:val="32"/>
        </w:rPr>
        <w:t> </w:t>
      </w:r>
      <w:r>
        <w:rPr/>
        <w:t>including</w:t>
      </w:r>
      <w:r>
        <w:rPr>
          <w:spacing w:val="30"/>
        </w:rPr>
        <w:t> </w:t>
      </w:r>
      <w:r>
        <w:rPr/>
        <w:t>urban</w:t>
      </w:r>
      <w:r>
        <w:rPr>
          <w:spacing w:val="32"/>
        </w:rPr>
        <w:t> </w:t>
      </w:r>
      <w:r>
        <w:rPr/>
        <w:t>agriculture</w:t>
      </w:r>
      <w:r>
        <w:rPr>
          <w:spacing w:val="30"/>
        </w:rPr>
        <w:t> </w:t>
      </w:r>
      <w:r>
        <w:rPr/>
        <w:t>(Péron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Geoffriau,</w:t>
      </w:r>
      <w:r>
        <w:rPr>
          <w:spacing w:val="32"/>
        </w:rPr>
        <w:t> </w:t>
      </w:r>
      <w:r>
        <w:rPr/>
        <w:t>2007),</w:t>
      </w:r>
      <w:r>
        <w:rPr>
          <w:spacing w:val="32"/>
        </w:rPr>
        <w:t> </w:t>
      </w:r>
      <w:r>
        <w:rPr/>
        <w:t>tourism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leisure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4"/>
        <w:jc w:val="both"/>
      </w:pPr>
      <w:r>
        <w:rPr/>
        <w:t>facilities, infrastructure, and services provisioning. Peri-urban development is a transition</w:t>
      </w:r>
      <w:r>
        <w:rPr>
          <w:spacing w:val="1"/>
        </w:rPr>
        <w:t> </w:t>
      </w:r>
      <w:r>
        <w:rPr/>
        <w:t>development stage between rural and city. In line with Lanjouw et al. (2001) peri-urban</w:t>
      </w:r>
      <w:r>
        <w:rPr>
          <w:spacing w:val="1"/>
        </w:rPr>
        <w:t> </w:t>
      </w:r>
      <w:r>
        <w:rPr/>
        <w:t>areas have comparatively better infrastructure such as roads, electricity and telephone than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rural counterparts.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222" w:after="0"/>
        <w:ind w:left="985" w:right="0" w:hanging="721"/>
        <w:jc w:val="left"/>
        <w:rPr>
          <w:b/>
          <w:sz w:val="24"/>
        </w:rPr>
      </w:pPr>
      <w:bookmarkStart w:name="_bookmark32" w:id="50"/>
      <w:bookmarkEnd w:id="50"/>
      <w:r>
        <w:rPr/>
      </w:r>
      <w:bookmarkStart w:name="_bookmark32" w:id="51"/>
      <w:bookmarkEnd w:id="51"/>
      <w:r>
        <w:rPr>
          <w:b/>
          <w:sz w:val="24"/>
        </w:rPr>
        <w:t>D</w:t>
      </w:r>
      <w:r>
        <w:rPr>
          <w:b/>
          <w:sz w:val="24"/>
        </w:rPr>
        <w:t>rivers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18" w:after="0"/>
        <w:ind w:left="985" w:right="0" w:hanging="721"/>
        <w:jc w:val="left"/>
        <w:rPr>
          <w:b/>
          <w:sz w:val="24"/>
        </w:rPr>
      </w:pPr>
      <w:bookmarkStart w:name="_bookmark33" w:id="52"/>
      <w:bookmarkEnd w:id="52"/>
      <w:r>
        <w:rPr/>
      </w:r>
      <w:bookmarkStart w:name="_bookmark33" w:id="53"/>
      <w:bookmarkEnd w:id="53"/>
      <w:r>
        <w:rPr>
          <w:b/>
          <w:sz w:val="24"/>
        </w:rPr>
        <w:t>La</w:t>
      </w:r>
      <w:r>
        <w:rPr>
          <w:b/>
          <w:sz w:val="24"/>
        </w:rPr>
        <w:t>rge-scale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investment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Peri-Urban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0"/>
        <w:jc w:val="both"/>
      </w:pPr>
      <w:r>
        <w:rPr/>
        <w:t>Large-scale investment, especially in manufacturing, is usually the trigger that sets off peri-</w:t>
      </w:r>
      <w:r>
        <w:rPr>
          <w:spacing w:val="-57"/>
        </w:rPr>
        <w:t> </w:t>
      </w:r>
      <w:r>
        <w:rPr/>
        <w:t>urbanization. Often foreign direct investment is</w:t>
      </w:r>
      <w:r>
        <w:rPr>
          <w:spacing w:val="1"/>
        </w:rPr>
        <w:t> </w:t>
      </w:r>
      <w:r>
        <w:rPr/>
        <w:t>the driver, but in some</w:t>
      </w:r>
      <w:r>
        <w:rPr>
          <w:spacing w:val="60"/>
        </w:rPr>
        <w:t> </w:t>
      </w:r>
      <w:r>
        <w:rPr/>
        <w:t>cases, such as</w:t>
      </w:r>
      <w:r>
        <w:rPr>
          <w:spacing w:val="1"/>
        </w:rPr>
        <w:t> </w:t>
      </w:r>
      <w:r>
        <w:rPr/>
        <w:t>China, domestic investment is more significant. Peri-urban regions are attractive to foreign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reasons.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large,</w:t>
      </w:r>
      <w:r>
        <w:rPr>
          <w:spacing w:val="1"/>
        </w:rPr>
        <w:t> </w:t>
      </w:r>
      <w:r>
        <w:rPr/>
        <w:t>relatively inexpensive, land plots and less hindered freight transportation, especially by</w:t>
      </w:r>
      <w:r>
        <w:rPr>
          <w:spacing w:val="1"/>
        </w:rPr>
        <w:t> </w:t>
      </w:r>
      <w:r>
        <w:rPr/>
        <w:t>truck,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support of</w:t>
      </w:r>
      <w:r>
        <w:rPr>
          <w:spacing w:val="-1"/>
        </w:rPr>
        <w:t> </w:t>
      </w:r>
      <w:r>
        <w:rPr/>
        <w:t>just-in-time production</w:t>
      </w:r>
      <w:r>
        <w:rPr>
          <w:spacing w:val="-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(Vagneron,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The need for large land plots is reinforced by investor and government preferences to group</w:t>
      </w:r>
      <w:r>
        <w:rPr>
          <w:spacing w:val="-57"/>
        </w:rPr>
        <w:t> </w:t>
      </w:r>
      <w:r>
        <w:rPr/>
        <w:t>manufacturing firms in industrial estates. Industrial estates, especially high quality estates,</w:t>
      </w:r>
      <w:r>
        <w:rPr>
          <w:spacing w:val="1"/>
        </w:rPr>
        <w:t> </w:t>
      </w:r>
      <w:r>
        <w:rPr/>
        <w:t>lessen negative environmental impacts and facilitate government monitoring (Acheampong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Anokye,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7"/>
        <w:jc w:val="both"/>
      </w:pPr>
      <w:r>
        <w:rPr/>
        <w:t>These</w:t>
      </w:r>
      <w:r>
        <w:rPr>
          <w:spacing w:val="1"/>
        </w:rPr>
        <w:t> </w:t>
      </w:r>
      <w:r>
        <w:rPr/>
        <w:t>estates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locators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clustering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suppliers, often one-window approval services, and an intermediary, or buffer, in dealing</w:t>
      </w:r>
      <w:r>
        <w:rPr>
          <w:spacing w:val="1"/>
        </w:rPr>
        <w:t> </w:t>
      </w:r>
      <w:r>
        <w:rPr/>
        <w:t>with</w:t>
      </w:r>
      <w:r>
        <w:rPr>
          <w:spacing w:val="39"/>
        </w:rPr>
        <w:t> </w:t>
      </w:r>
      <w:r>
        <w:rPr/>
        <w:t>government</w:t>
      </w:r>
      <w:r>
        <w:rPr>
          <w:spacing w:val="40"/>
        </w:rPr>
        <w:t> </w:t>
      </w:r>
      <w:r>
        <w:rPr/>
        <w:t>officials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service</w:t>
      </w:r>
      <w:r>
        <w:rPr>
          <w:spacing w:val="38"/>
        </w:rPr>
        <w:t> </w:t>
      </w:r>
      <w:r>
        <w:rPr/>
        <w:t>providers.</w:t>
      </w:r>
      <w:r>
        <w:rPr>
          <w:spacing w:val="41"/>
        </w:rPr>
        <w:t> </w:t>
      </w:r>
      <w:r>
        <w:rPr/>
        <w:t>At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same</w:t>
      </w:r>
      <w:r>
        <w:rPr>
          <w:spacing w:val="39"/>
        </w:rPr>
        <w:t> </w:t>
      </w:r>
      <w:r>
        <w:rPr/>
        <w:t>time,</w:t>
      </w:r>
      <w:r>
        <w:rPr>
          <w:spacing w:val="39"/>
        </w:rPr>
        <w:t> </w:t>
      </w:r>
      <w:r>
        <w:rPr/>
        <w:t>peri-urban</w:t>
      </w:r>
      <w:r>
        <w:rPr>
          <w:spacing w:val="39"/>
        </w:rPr>
        <w:t> </w:t>
      </w:r>
      <w:r>
        <w:rPr/>
        <w:t>locations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42"/>
        <w:jc w:val="both"/>
      </w:pPr>
      <w:r>
        <w:rPr/>
        <w:t>enable relatively easy access, to a major city that offers advanced producer and personal</w:t>
      </w:r>
      <w:r>
        <w:rPr>
          <w:spacing w:val="1"/>
        </w:rPr>
        <w:t> </w:t>
      </w:r>
      <w:r>
        <w:rPr/>
        <w:t>services,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decision-makers</w:t>
      </w:r>
      <w:r>
        <w:rPr>
          <w:spacing w:val="-1"/>
        </w:rPr>
        <w:t> </w:t>
      </w:r>
      <w:r>
        <w:rPr/>
        <w:t>(Maconachie &amp;</w:t>
      </w:r>
      <w:r>
        <w:rPr>
          <w:spacing w:val="-1"/>
        </w:rPr>
        <w:t> </w:t>
      </w:r>
      <w:r>
        <w:rPr/>
        <w:t>Binns,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34" w:id="54"/>
      <w:bookmarkEnd w:id="54"/>
      <w:r>
        <w:rPr/>
      </w:r>
      <w:bookmarkStart w:name="_bookmark34" w:id="55"/>
      <w:bookmarkEnd w:id="55"/>
      <w:r>
        <w:rPr>
          <w:b/>
          <w:sz w:val="24"/>
        </w:rPr>
        <w:t>P</w:t>
      </w:r>
      <w:r>
        <w:rPr>
          <w:b/>
          <w:sz w:val="24"/>
        </w:rPr>
        <w:t>ublic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Policy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2"/>
        <w:jc w:val="both"/>
      </w:pPr>
      <w:r>
        <w:rPr/>
        <w:t>A second driver of peri-urbanization is public policy explicitly supporting dispersal of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suburban,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rationale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truck</w:t>
      </w:r>
      <w:r>
        <w:rPr>
          <w:spacing w:val="1"/>
        </w:rPr>
        <w:t> </w:t>
      </w:r>
      <w:r>
        <w:rPr/>
        <w:t>traffic,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largescale industrial accidents from manufacturing activities, in the core city (Balchin et al,</w:t>
      </w:r>
      <w:r>
        <w:rPr>
          <w:spacing w:val="1"/>
        </w:rPr>
        <w:t> </w:t>
      </w:r>
      <w:r>
        <w:rPr/>
        <w:t>2000). Given the large-scale capital spending involved, and thus their political sensitivity,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peri-urbanization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-57"/>
        </w:rPr>
        <w:t> </w:t>
      </w:r>
      <w:r>
        <w:rPr/>
        <w:t>development objectives, i.e., dispersal of employment opportunities, and improvements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urban life associated with de-industrialization of</w:t>
      </w:r>
      <w:r>
        <w:rPr>
          <w:spacing w:val="-1"/>
        </w:rPr>
        <w:t> </w:t>
      </w:r>
      <w:r>
        <w:rPr/>
        <w:t>core</w:t>
      </w:r>
      <w:r>
        <w:rPr>
          <w:spacing w:val="-2"/>
        </w:rPr>
        <w:t> </w:t>
      </w:r>
      <w:r>
        <w:rPr/>
        <w:t>cities</w:t>
      </w:r>
      <w:r>
        <w:rPr>
          <w:spacing w:val="1"/>
        </w:rPr>
        <w:t> </w:t>
      </w:r>
      <w:r>
        <w:rPr/>
        <w:t>(Timms,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Public investment support for peri-urbanization usually includes the provision of large scale</w:t>
      </w:r>
      <w:r>
        <w:rPr>
          <w:spacing w:val="-57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ports,</w:t>
      </w:r>
      <w:r>
        <w:rPr>
          <w:spacing w:val="1"/>
        </w:rPr>
        <w:t> </w:t>
      </w:r>
      <w:r>
        <w:rPr/>
        <w:t>highways,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links,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reservoirs, container handling facilities, airports, and sometimes, publicly-owned industrial</w:t>
      </w:r>
      <w:r>
        <w:rPr>
          <w:spacing w:val="1"/>
        </w:rPr>
        <w:t> </w:t>
      </w:r>
      <w:r>
        <w:rPr/>
        <w:t>estates. These infrastructure investments, usually delivered by national governments, either</w:t>
      </w:r>
      <w:r>
        <w:rPr>
          <w:spacing w:val="1"/>
        </w:rPr>
        <w:t> </w:t>
      </w:r>
      <w:r>
        <w:rPr/>
        <w:t>through line agencies or state enterprises, are often funded through international borrowing</w:t>
      </w:r>
      <w:r>
        <w:rPr>
          <w:spacing w:val="1"/>
        </w:rPr>
        <w:t> </w:t>
      </w:r>
      <w:r>
        <w:rPr/>
        <w:t>(Rakodi,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938"/>
        <w:jc w:val="both"/>
      </w:pPr>
      <w:r>
        <w:rPr/>
        <w:t>Increasingly,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large</w:t>
      </w:r>
      <w:r>
        <w:rPr>
          <w:spacing w:val="-57"/>
        </w:rPr>
        <w:t> </w:t>
      </w:r>
      <w:r>
        <w:rPr/>
        <w:t>projects through mechanisms such as Build-Operate- Transfer. Industrial location incentive</w:t>
      </w:r>
      <w:r>
        <w:rPr>
          <w:spacing w:val="1"/>
        </w:rPr>
        <w:t> </w:t>
      </w:r>
      <w:r>
        <w:rPr/>
        <w:t>packages</w:t>
      </w:r>
      <w:r>
        <w:rPr>
          <w:spacing w:val="57"/>
        </w:rPr>
        <w:t> </w:t>
      </w:r>
      <w:r>
        <w:rPr/>
        <w:t>are</w:t>
      </w:r>
      <w:r>
        <w:rPr>
          <w:spacing w:val="56"/>
        </w:rPr>
        <w:t> </w:t>
      </w:r>
      <w:r>
        <w:rPr/>
        <w:t>usually</w:t>
      </w:r>
      <w:r>
        <w:rPr>
          <w:spacing w:val="55"/>
        </w:rPr>
        <w:t> </w:t>
      </w:r>
      <w:r>
        <w:rPr/>
        <w:t>also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component  of</w:t>
      </w:r>
      <w:r>
        <w:rPr>
          <w:spacing w:val="56"/>
        </w:rPr>
        <w:t> </w:t>
      </w:r>
      <w:r>
        <w:rPr/>
        <w:t>the  public</w:t>
      </w:r>
      <w:r>
        <w:rPr>
          <w:spacing w:val="56"/>
        </w:rPr>
        <w:t> </w:t>
      </w:r>
      <w:r>
        <w:rPr/>
        <w:t>policy</w:t>
      </w:r>
      <w:r>
        <w:rPr>
          <w:spacing w:val="52"/>
        </w:rPr>
        <w:t> </w:t>
      </w:r>
      <w:r>
        <w:rPr/>
        <w:t>package.  Such</w:t>
      </w:r>
      <w:r>
        <w:rPr>
          <w:spacing w:val="57"/>
        </w:rPr>
        <w:t> </w:t>
      </w:r>
      <w:r>
        <w:rPr/>
        <w:t>incentives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3"/>
        <w:jc w:val="both"/>
      </w:pPr>
      <w:r>
        <w:rPr/>
        <w:t>generally take the form of tariff and corporate tax reductions to investors for a specified</w:t>
      </w:r>
      <w:r>
        <w:rPr>
          <w:spacing w:val="1"/>
        </w:rPr>
        <w:t> </w:t>
      </w:r>
      <w:r>
        <w:rPr/>
        <w:t>period of time, and often include an immigration policy component to enable expatriates to</w:t>
      </w:r>
      <w:r>
        <w:rPr>
          <w:spacing w:val="1"/>
        </w:rPr>
        <w:t> </w:t>
      </w:r>
      <w:r>
        <w:rPr/>
        <w:t>work as high level managerial and technical staff in the industries attracted to the peri-</w:t>
      </w:r>
      <w:r>
        <w:rPr>
          <w:spacing w:val="1"/>
        </w:rPr>
        <w:t> </w:t>
      </w:r>
      <w:r>
        <w:rPr/>
        <w:t>urbanizing</w:t>
      </w:r>
      <w:r>
        <w:rPr>
          <w:spacing w:val="-2"/>
        </w:rPr>
        <w:t> </w:t>
      </w:r>
      <w:r>
        <w:rPr/>
        <w:t>areas</w:t>
      </w:r>
      <w:r>
        <w:rPr>
          <w:spacing w:val="1"/>
        </w:rPr>
        <w:t> </w:t>
      </w:r>
      <w:r>
        <w:rPr/>
        <w:t>(Acheampong &amp;</w:t>
      </w:r>
      <w:r>
        <w:rPr>
          <w:spacing w:val="-2"/>
        </w:rPr>
        <w:t> </w:t>
      </w:r>
      <w:r>
        <w:rPr/>
        <w:t>Anokye, 2013)..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2"/>
        <w:jc w:val="both"/>
      </w:pPr>
      <w:r>
        <w:rPr/>
        <w:t>The precise nature of peri-urbanization public policies vary among countries and over time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striking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 however, is the lack of sufficient investment in social facilities, city building, and</w:t>
      </w:r>
      <w:r>
        <w:rPr>
          <w:spacing w:val="-57"/>
        </w:rPr>
        <w:t> </w:t>
      </w:r>
      <w:r>
        <w:rPr/>
        <w:t>environmental infrastructure. For example, about 88% of cumulative public investment to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Thailand’s</w:t>
      </w:r>
      <w:r>
        <w:rPr>
          <w:spacing w:val="1"/>
        </w:rPr>
        <w:t> </w:t>
      </w:r>
      <w:r>
        <w:rPr/>
        <w:t>flagship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Seaboard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“production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infrastructure”.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 for peri-urban areas that include proposals for quality community developments,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towns,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materialize</w:t>
      </w:r>
      <w:r>
        <w:rPr>
          <w:spacing w:val="-2"/>
        </w:rPr>
        <w:t> </w:t>
      </w:r>
      <w:r>
        <w:rPr/>
        <w:t>as planned</w:t>
      </w:r>
      <w:r>
        <w:rPr>
          <w:spacing w:val="1"/>
        </w:rPr>
        <w:t> </w:t>
      </w:r>
      <w:r>
        <w:rPr/>
        <w:t>(Péron and Geoffriau, 2007)</w:t>
      </w:r>
    </w:p>
    <w:p>
      <w:pPr>
        <w:pStyle w:val="BodyText"/>
        <w:spacing w:before="1"/>
        <w:ind w:left="265"/>
      </w:pPr>
      <w:r>
        <w:rPr/>
        <w:t>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265" w:right="933"/>
        <w:jc w:val="both"/>
      </w:pPr>
      <w:r>
        <w:rPr/>
        <w:t>Public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relocate</w:t>
      </w:r>
      <w:r>
        <w:rPr>
          <w:spacing w:val="1"/>
        </w:rPr>
        <w:t> </w:t>
      </w:r>
      <w:r>
        <w:rPr/>
        <w:t>slum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relocate</w:t>
      </w:r>
      <w:r>
        <w:rPr>
          <w:spacing w:val="1"/>
        </w:rPr>
        <w:t> </w:t>
      </w:r>
      <w:r>
        <w:rPr/>
        <w:t>rural</w:t>
      </w:r>
      <w:r>
        <w:rPr>
          <w:spacing w:val="-57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dams,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</w:t>
      </w:r>
      <w:r>
        <w:rPr>
          <w:spacing w:val="1"/>
        </w:rPr>
        <w:t> </w:t>
      </w:r>
      <w:r>
        <w:rPr/>
        <w:t>urbanization, e.g., in Chongqing, China. Public housing, or suitable sites and services, are</w:t>
      </w:r>
      <w:r>
        <w:rPr>
          <w:spacing w:val="1"/>
        </w:rPr>
        <w:t> </w:t>
      </w:r>
      <w:r>
        <w:rPr/>
        <w:t>not always provided, prompting settlement in fragile, and frequently dangerous, areas,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steep</w:t>
      </w:r>
      <w:r>
        <w:rPr>
          <w:spacing w:val="1"/>
        </w:rPr>
        <w:t> </w:t>
      </w:r>
      <w:r>
        <w:rPr/>
        <w:t>slopes.</w:t>
      </w:r>
      <w:r>
        <w:rPr>
          <w:spacing w:val="1"/>
        </w:rPr>
        <w:t> </w:t>
      </w:r>
      <w:r>
        <w:rPr/>
        <w:t>Relocation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relocation policies are an important factor in the peri-urbanization process, the informal</w:t>
      </w:r>
      <w:r>
        <w:rPr>
          <w:spacing w:val="1"/>
        </w:rPr>
        <w:t> </w:t>
      </w:r>
      <w:r>
        <w:rPr/>
        <w:t>sector tends to play a much more significant role in the peri-urban economy, and access to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services by</w:t>
      </w:r>
      <w:r>
        <w:rPr>
          <w:spacing w:val="-5"/>
        </w:rPr>
        <w:t> </w:t>
      </w:r>
      <w:r>
        <w:rPr/>
        <w:t>migrant populations is usually</w:t>
      </w:r>
      <w:r>
        <w:rPr>
          <w:spacing w:val="-8"/>
        </w:rPr>
        <w:t> </w:t>
      </w:r>
      <w:r>
        <w:rPr/>
        <w:t>inadequate</w:t>
      </w:r>
      <w:r>
        <w:rPr>
          <w:spacing w:val="5"/>
        </w:rPr>
        <w:t> </w:t>
      </w:r>
      <w:r>
        <w:rPr/>
        <w:t>(Ayorinde, 2001).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  <w:rPr>
          <w:b/>
          <w:sz w:val="24"/>
        </w:rPr>
      </w:pPr>
      <w:bookmarkStart w:name="_bookmark35" w:id="56"/>
      <w:bookmarkEnd w:id="56"/>
      <w:r>
        <w:rPr/>
      </w:r>
      <w:bookmarkStart w:name="_bookmark35" w:id="57"/>
      <w:bookmarkEnd w:id="57"/>
      <w:r>
        <w:rPr>
          <w:b/>
          <w:sz w:val="24"/>
        </w:rPr>
        <w:t>Availa</w:t>
      </w:r>
      <w:r>
        <w:rPr>
          <w:b/>
          <w:sz w:val="24"/>
        </w:rPr>
        <w:t>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Relatively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Inexpensive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Labour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1"/>
        <w:jc w:val="both"/>
      </w:pPr>
      <w:r>
        <w:rPr/>
        <w:t>Another driver of peri-urbanization is the availability of relatively inexpensive labor,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enveloped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peri-urbanization,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inmigrants,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question,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opportunities. Migration dynamics can be either from rural to urban or step-wise from</w:t>
      </w:r>
      <w:r>
        <w:rPr>
          <w:spacing w:val="1"/>
        </w:rPr>
        <w:t> </w:t>
      </w:r>
      <w:r>
        <w:rPr/>
        <w:t>smaller towns and cities. There is wide variation in the mix of migrant versus in situ labor</w:t>
      </w:r>
      <w:r>
        <w:rPr>
          <w:spacing w:val="1"/>
        </w:rPr>
        <w:t> </w:t>
      </w:r>
      <w:r>
        <w:rPr/>
        <w:t>employed in peri-urban areas in different countries with very significant implications for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and potential local conflict</w:t>
      </w:r>
      <w:r>
        <w:rPr>
          <w:spacing w:val="3"/>
        </w:rPr>
        <w:t> </w:t>
      </w:r>
      <w:r>
        <w:rPr/>
        <w:t>(Lanjouw </w:t>
      </w:r>
      <w:r>
        <w:rPr>
          <w:i/>
        </w:rPr>
        <w:t>et al.,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6"/>
        <w:jc w:val="both"/>
      </w:pPr>
      <w:r>
        <w:rPr/>
        <w:t>Because of labor mobility, the importance of local labor availability is less important than</w:t>
      </w:r>
      <w:r>
        <w:rPr>
          <w:spacing w:val="1"/>
        </w:rPr>
        <w:t> </w:t>
      </w:r>
      <w:r>
        <w:rPr/>
        <w:t>the availability of qualified labor at virtually all skill levels within the country in question</w:t>
      </w:r>
      <w:r>
        <w:rPr>
          <w:spacing w:val="1"/>
        </w:rPr>
        <w:t> </w:t>
      </w:r>
      <w:r>
        <w:rPr/>
        <w:t>that is willing to relocate to peri-urban areas. Daily commutes from the urban core are not</w:t>
      </w:r>
      <w:r>
        <w:rPr>
          <w:spacing w:val="1"/>
        </w:rPr>
        <w:t> </w:t>
      </w:r>
      <w:r>
        <w:rPr/>
        <w:t>possible for the vast majority of labor, especially production workers, because of the long</w:t>
      </w:r>
      <w:r>
        <w:rPr>
          <w:spacing w:val="1"/>
        </w:rPr>
        <w:t> </w:t>
      </w:r>
      <w:r>
        <w:rPr/>
        <w:t>travel times (Péron and Geoffriau, 2007). When labor migration to these regions exceeds</w:t>
      </w:r>
      <w:r>
        <w:rPr>
          <w:spacing w:val="1"/>
        </w:rPr>
        <w:t> </w:t>
      </w:r>
      <w:r>
        <w:rPr/>
        <w:t>employment opportunities, as in the case of the extended Manila region, it frequently leads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hyper-urbanization.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36" w:id="58"/>
      <w:bookmarkEnd w:id="58"/>
      <w:r>
        <w:rPr/>
      </w:r>
      <w:bookmarkStart w:name="_bookmark36" w:id="59"/>
      <w:bookmarkEnd w:id="59"/>
      <w:r>
        <w:rPr>
          <w:b/>
          <w:sz w:val="24"/>
        </w:rPr>
        <w:t>R</w:t>
      </w:r>
      <w:r>
        <w:rPr>
          <w:b/>
          <w:sz w:val="24"/>
        </w:rPr>
        <w:t>esidential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265" w:right="933"/>
        <w:jc w:val="both"/>
      </w:pPr>
      <w:r>
        <w:rPr/>
        <w:t>Residential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peri-urbanization—this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termed</w:t>
      </w:r>
      <w:r>
        <w:rPr>
          <w:spacing w:val="1"/>
        </w:rPr>
        <w:t> </w:t>
      </w:r>
      <w:r>
        <w:rPr/>
        <w:t>suburbanization,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jumps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core,</w:t>
      </w:r>
      <w:r>
        <w:rPr>
          <w:spacing w:val="-57"/>
        </w:rPr>
        <w:t> </w:t>
      </w:r>
      <w:r>
        <w:rPr/>
        <w:t>exurbanization. Middle and upper-middle class groups seeking more space at an affordable</w:t>
      </w:r>
      <w:r>
        <w:rPr>
          <w:spacing w:val="1"/>
        </w:rPr>
        <w:t> </w:t>
      </w:r>
      <w:r>
        <w:rPr/>
        <w:t>price, may purchase, and live in residences in peri-urban areas even though they do not</w:t>
      </w:r>
      <w:r>
        <w:rPr>
          <w:spacing w:val="1"/>
        </w:rPr>
        <w:t> </w:t>
      </w:r>
      <w:r>
        <w:rPr/>
        <w:t>work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area.</w:t>
      </w:r>
      <w:r>
        <w:rPr>
          <w:spacing w:val="16"/>
        </w:rPr>
        <w:t> </w:t>
      </w:r>
      <w:r>
        <w:rPr/>
        <w:t>This</w:t>
      </w:r>
      <w:r>
        <w:rPr>
          <w:spacing w:val="14"/>
        </w:rPr>
        <w:t> </w:t>
      </w:r>
      <w:r>
        <w:rPr/>
        <w:t>driver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most</w:t>
      </w:r>
      <w:r>
        <w:rPr>
          <w:spacing w:val="16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where</w:t>
      </w:r>
      <w:r>
        <w:rPr>
          <w:spacing w:val="12"/>
        </w:rPr>
        <w:t> </w:t>
      </w:r>
      <w:r>
        <w:rPr/>
        <w:t>peri-urbanization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found</w:t>
      </w:r>
      <w:r>
        <w:rPr>
          <w:spacing w:val="13"/>
        </w:rPr>
        <w:t> </w:t>
      </w:r>
      <w:r>
        <w:rPr/>
        <w:t>relatively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4"/>
        <w:jc w:val="both"/>
      </w:pPr>
      <w:r>
        <w:rPr/>
        <w:t>close to the core city, or where core city personal security concerns (Adjekunhene, 2002).</w:t>
      </w:r>
      <w:r>
        <w:rPr>
          <w:spacing w:val="1"/>
        </w:rPr>
        <w:t> </w:t>
      </w:r>
      <w:r>
        <w:rPr/>
        <w:t>Large property developers, often single-handedly shape peri-urban localities by building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gated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developments</w:t>
      </w:r>
      <w:r>
        <w:rPr>
          <w:spacing w:val="-57"/>
        </w:rPr>
        <w:t> </w:t>
      </w:r>
      <w:r>
        <w:rPr/>
        <w:t>catering to a range of incomes, and new commercial centers to service them. These gated</w:t>
      </w:r>
      <w:r>
        <w:rPr>
          <w:spacing w:val="1"/>
        </w:rPr>
        <w:t> </w:t>
      </w:r>
      <w:r>
        <w:rPr/>
        <w:t>communities, situated in peri-urban green fields, are essentially privately financed new</w:t>
      </w:r>
      <w:r>
        <w:rPr>
          <w:spacing w:val="1"/>
        </w:rPr>
        <w:t> </w:t>
      </w:r>
      <w:r>
        <w:rPr/>
        <w:t>towns</w:t>
      </w:r>
      <w:r>
        <w:rPr>
          <w:spacing w:val="-1"/>
        </w:rPr>
        <w:t> </w:t>
      </w:r>
      <w:r>
        <w:rPr/>
        <w:t>(Maconnachie</w:t>
      </w:r>
      <w:r>
        <w:rPr>
          <w:spacing w:val="1"/>
        </w:rPr>
        <w:t> </w:t>
      </w:r>
      <w:r>
        <w:rPr/>
        <w:t>&amp; Binns, 2006).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37" w:id="60"/>
      <w:bookmarkEnd w:id="60"/>
      <w:r>
        <w:rPr/>
      </w:r>
      <w:bookmarkStart w:name="_bookmark37" w:id="61"/>
      <w:bookmarkEnd w:id="61"/>
      <w:r>
        <w:rPr>
          <w:b/>
          <w:sz w:val="24"/>
        </w:rPr>
        <w:t>M</w:t>
      </w:r>
      <w:r>
        <w:rPr>
          <w:b/>
          <w:sz w:val="24"/>
        </w:rPr>
        <w:t>igration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0"/>
        <w:jc w:val="both"/>
      </w:pPr>
      <w:r>
        <w:rPr/>
        <w:t>Migration considered as major factor to urban growth dynamics in many cities and has</w:t>
      </w:r>
      <w:r>
        <w:rPr>
          <w:spacing w:val="1"/>
        </w:rPr>
        <w:t> </w:t>
      </w:r>
      <w:r>
        <w:rPr/>
        <w:t>significant contribution to the country’s urban population. The population migration to</w:t>
      </w:r>
      <w:r>
        <w:rPr>
          <w:spacing w:val="1"/>
        </w:rPr>
        <w:t> </w:t>
      </w:r>
      <w:r>
        <w:rPr/>
        <w:t>urban centres has been rural-urban and urban–urban. Several studies including the report on</w:t>
      </w:r>
      <w:r>
        <w:rPr>
          <w:spacing w:val="-57"/>
        </w:rPr>
        <w:t> </w:t>
      </w:r>
      <w:r>
        <w:rPr/>
        <w:t>State of Ethiopian Cities revealed that proportion of migrants in urban centres drastically</w:t>
      </w:r>
      <w:r>
        <w:rPr>
          <w:spacing w:val="1"/>
        </w:rPr>
        <w:t> </w:t>
      </w:r>
      <w:r>
        <w:rPr/>
        <w:t>increased. The proportion of migrants in the urban population which was above 40% and</w:t>
      </w:r>
      <w:r>
        <w:rPr>
          <w:spacing w:val="1"/>
        </w:rPr>
        <w:t> </w:t>
      </w:r>
      <w:r>
        <w:rPr/>
        <w:t>more than 73% of the urban migrants were from rural areas (Maconnachie &amp; Binns, 2006),</w:t>
      </w:r>
      <w:r>
        <w:rPr>
          <w:spacing w:val="1"/>
        </w:rPr>
        <w:t> </w:t>
      </w:r>
      <w:r>
        <w:rPr/>
        <w:t>indicating increasingly general level of rural-urban migration. This doesn’t include day</w:t>
      </w:r>
      <w:r>
        <w:rPr>
          <w:spacing w:val="1"/>
        </w:rPr>
        <w:t> </w:t>
      </w:r>
      <w:r>
        <w:rPr/>
        <w:t>labour migrants coming from surrounding rural areas for which data is not available in any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studies done</w:t>
      </w:r>
      <w:r>
        <w:rPr>
          <w:spacing w:val="-2"/>
        </w:rPr>
        <w:t> </w:t>
      </w:r>
      <w:r>
        <w:rPr/>
        <w:t>before.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38" w:id="62"/>
      <w:bookmarkEnd w:id="62"/>
      <w:r>
        <w:rPr/>
      </w:r>
      <w:bookmarkStart w:name="_bookmark38" w:id="63"/>
      <w:bookmarkEnd w:id="63"/>
      <w:r>
        <w:rPr>
          <w:b/>
          <w:sz w:val="24"/>
        </w:rPr>
        <w:t>U</w:t>
      </w:r>
      <w:r>
        <w:rPr>
          <w:b/>
          <w:sz w:val="24"/>
        </w:rPr>
        <w:t>rban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expansion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6"/>
        <w:jc w:val="both"/>
      </w:pPr>
      <w:r>
        <w:rPr/>
        <w:t>As demand for land increased over time, urban</w:t>
      </w:r>
      <w:r>
        <w:rPr>
          <w:spacing w:val="60"/>
        </w:rPr>
        <w:t> </w:t>
      </w:r>
      <w:r>
        <w:rPr/>
        <w:t>centres have been physically expanding</w:t>
      </w:r>
      <w:r>
        <w:rPr>
          <w:spacing w:val="1"/>
        </w:rPr>
        <w:t> </w:t>
      </w:r>
      <w:r>
        <w:rPr/>
        <w:t>their boundaries to surrounding rural and peri-urban areas by including additional land</w:t>
      </w:r>
      <w:r>
        <w:rPr>
          <w:spacing w:val="1"/>
        </w:rPr>
        <w:t> </w:t>
      </w:r>
      <w:r>
        <w:rPr/>
        <w:t>where people did base their lives in agriculture. Urban expansion was practicing in planned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unplanned</w:t>
      </w:r>
      <w:r>
        <w:rPr>
          <w:spacing w:val="29"/>
        </w:rPr>
        <w:t> </w:t>
      </w:r>
      <w:r>
        <w:rPr/>
        <w:t>manner.</w:t>
      </w:r>
      <w:r>
        <w:rPr>
          <w:spacing w:val="31"/>
        </w:rPr>
        <w:t> </w:t>
      </w:r>
      <w:r>
        <w:rPr/>
        <w:t>Most</w:t>
      </w:r>
      <w:r>
        <w:rPr>
          <w:spacing w:val="30"/>
        </w:rPr>
        <w:t> </w:t>
      </w:r>
      <w:r>
        <w:rPr/>
        <w:t>commercial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manufacturing</w:t>
      </w:r>
      <w:r>
        <w:rPr>
          <w:spacing w:val="29"/>
        </w:rPr>
        <w:t> </w:t>
      </w:r>
      <w:r>
        <w:rPr/>
        <w:t>expansions</w:t>
      </w:r>
      <w:r>
        <w:rPr>
          <w:spacing w:val="30"/>
        </w:rPr>
        <w:t> </w:t>
      </w:r>
      <w:r>
        <w:rPr/>
        <w:t>were</w:t>
      </w:r>
      <w:r>
        <w:rPr>
          <w:spacing w:val="30"/>
        </w:rPr>
        <w:t> </w:t>
      </w:r>
      <w:r>
        <w:rPr/>
        <w:t>guided</w:t>
      </w:r>
      <w:r>
        <w:rPr>
          <w:spacing w:val="29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tabs>
          <w:tab w:pos="6026" w:val="left" w:leader="none"/>
        </w:tabs>
        <w:spacing w:line="480" w:lineRule="auto" w:before="70"/>
        <w:ind w:left="265" w:right="936"/>
        <w:jc w:val="both"/>
      </w:pPr>
      <w:r>
        <w:rPr/>
        <w:t>the urban expansion planning where as many of the residential settlements were due to</w:t>
      </w:r>
      <w:r>
        <w:rPr>
          <w:spacing w:val="1"/>
        </w:rPr>
        <w:t> </w:t>
      </w:r>
      <w:r>
        <w:rPr/>
        <w:t>urban sprawl from inner cities and informal settlement with people living at outskirts in a</w:t>
      </w:r>
      <w:r>
        <w:rPr>
          <w:spacing w:val="1"/>
        </w:rPr>
        <w:t> </w:t>
      </w:r>
      <w:r>
        <w:rPr/>
        <w:t>built</w:t>
      </w:r>
      <w:r>
        <w:rPr>
          <w:spacing w:val="-1"/>
        </w:rPr>
        <w:t> </w:t>
      </w:r>
      <w:r>
        <w:rPr/>
        <w:t>or rented</w:t>
      </w:r>
      <w:r>
        <w:rPr>
          <w:spacing w:val="-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occupations (Kazungu, 2011)</w:t>
        <w:tab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35"/>
        <w:jc w:val="both"/>
      </w:pPr>
      <w:r>
        <w:rPr/>
        <w:t>This type of expansion is very common to urban where causes for creation of substantial</w:t>
      </w:r>
      <w:r>
        <w:rPr>
          <w:spacing w:val="1"/>
        </w:rPr>
        <w:t> </w:t>
      </w:r>
      <w:r>
        <w:rPr/>
        <w:t>peri-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centres.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industrial parks in cities expected to physically annex hundreds of hectares along with</w:t>
      </w:r>
      <w:r>
        <w:rPr>
          <w:spacing w:val="1"/>
        </w:rPr>
        <w:t> </w:t>
      </w:r>
      <w:r>
        <w:rPr/>
        <w:t>farmers to boundaries they manage. Commercial activities, infrastructures and services in</w:t>
      </w:r>
      <w:r>
        <w:rPr>
          <w:spacing w:val="1"/>
        </w:rPr>
        <w:t> </w:t>
      </w:r>
      <w:r>
        <w:rPr/>
        <w:t>expansion areas attracts people who were originally agrarian to gradually transform their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urban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increments to overall count</w:t>
      </w:r>
      <w:r>
        <w:rPr>
          <w:spacing w:val="2"/>
        </w:rPr>
        <w:t> </w:t>
      </w:r>
      <w:r>
        <w:rPr/>
        <w:t>Madichie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Madichie,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39" w:id="64"/>
      <w:bookmarkEnd w:id="64"/>
      <w:r>
        <w:rPr/>
      </w:r>
      <w:bookmarkStart w:name="_bookmark39" w:id="65"/>
      <w:bookmarkEnd w:id="65"/>
      <w:r>
        <w:rPr>
          <w:b/>
          <w:sz w:val="24"/>
        </w:rPr>
        <w:t>F</w:t>
      </w:r>
      <w:r>
        <w:rPr>
          <w:b/>
          <w:sz w:val="24"/>
        </w:rPr>
        <w:t>actors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Influencing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6"/>
        <w:jc w:val="both"/>
      </w:pPr>
      <w:r>
        <w:rPr/>
        <w:t>Physical development in peri-urban areas is influenced by the interplay of several factors.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(size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form),</w:t>
      </w:r>
      <w:r>
        <w:rPr>
          <w:spacing w:val="1"/>
        </w:rPr>
        <w:t> </w:t>
      </w:r>
      <w:r>
        <w:rPr/>
        <w:t>arrangement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intensity of land uses; and are explained in the subsequent paragraphs. Improvement in</w:t>
      </w:r>
      <w:r>
        <w:rPr>
          <w:spacing w:val="1"/>
        </w:rPr>
        <w:t> </w:t>
      </w:r>
      <w:r>
        <w:rPr/>
        <w:t>transport facilities like roads and automobile produce urban decentralization in the outer</w:t>
      </w:r>
      <w:r>
        <w:rPr>
          <w:spacing w:val="1"/>
        </w:rPr>
        <w:t> </w:t>
      </w:r>
      <w:r>
        <w:rPr/>
        <w:t>part of cities as they reduce travel time. This attracts individuals and firms to relocate to the</w:t>
      </w:r>
      <w:r>
        <w:rPr>
          <w:spacing w:val="-57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 to take</w:t>
      </w:r>
      <w:r>
        <w:rPr>
          <w:spacing w:val="1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but low land value.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5" w:right="935"/>
        <w:jc w:val="both"/>
      </w:pPr>
      <w:r>
        <w:rPr/>
        <w:t>As a result, low land value is another factor. The price of land in peri-urban areas is</w:t>
      </w:r>
      <w:r>
        <w:rPr>
          <w:spacing w:val="1"/>
        </w:rPr>
        <w:t> </w:t>
      </w:r>
      <w:r>
        <w:rPr/>
        <w:t>relatively low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parent</w:t>
      </w:r>
      <w:r>
        <w:rPr>
          <w:spacing w:val="1"/>
        </w:rPr>
        <w:t> </w:t>
      </w:r>
      <w:r>
        <w:rPr/>
        <w:t>city (O’Sullivan, 2000).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attracts</w:t>
      </w:r>
      <w:r>
        <w:rPr>
          <w:spacing w:val="1"/>
        </w:rPr>
        <w:t> </w:t>
      </w:r>
      <w:r>
        <w:rPr/>
        <w:t>people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fringe.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policies especially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housing provision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broadened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2"/>
        </w:rPr>
        <w:t> </w:t>
      </w:r>
      <w:r>
        <w:rPr/>
        <w:t>groups</w:t>
      </w:r>
      <w:r>
        <w:rPr>
          <w:spacing w:val="2"/>
        </w:rPr>
        <w:t> </w:t>
      </w:r>
      <w:r>
        <w:rPr/>
        <w:t>found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6"/>
        <w:jc w:val="both"/>
      </w:pPr>
      <w:r>
        <w:rPr/>
        <w:t>fringe locations. Moreover, movement of retail services to the peripheries of cities as a</w:t>
      </w:r>
      <w:r>
        <w:rPr>
          <w:spacing w:val="1"/>
        </w:rPr>
        <w:t> </w:t>
      </w:r>
      <w:r>
        <w:rPr/>
        <w:t>result of decentralization of consumers, central area decline and development of automobile</w:t>
      </w:r>
      <w:r>
        <w:rPr>
          <w:spacing w:val="-57"/>
        </w:rPr>
        <w:t> </w:t>
      </w:r>
      <w:r>
        <w:rPr/>
        <w:t>has influenced the physical development of these areas (Balchin </w:t>
      </w:r>
      <w:r>
        <w:rPr>
          <w:i/>
        </w:rPr>
        <w:t>et al.</w:t>
      </w:r>
      <w:r>
        <w:rPr/>
        <w:t>, 2000). The presence</w:t>
      </w:r>
      <w:r>
        <w:rPr>
          <w:spacing w:val="1"/>
        </w:rPr>
        <w:t> </w:t>
      </w:r>
      <w:r>
        <w:rPr/>
        <w:t>of serene and conducive environmental conditions is also a contributing factor to the high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of physical development in the</w:t>
      </w:r>
      <w:r>
        <w:rPr>
          <w:spacing w:val="-1"/>
        </w:rPr>
        <w:t> </w:t>
      </w:r>
      <w:r>
        <w:rPr/>
        <w:t>peri-urban</w:t>
      </w:r>
      <w:r>
        <w:rPr>
          <w:spacing w:val="2"/>
        </w:rPr>
        <w:t> </w:t>
      </w:r>
      <w:r>
        <w:rPr/>
        <w:t>areas.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937"/>
        <w:jc w:val="both"/>
      </w:pPr>
      <w:r>
        <w:rPr/>
        <w:t>Additionally, Adesina (2007) argues that the practice of landowners withholding land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 in the peri-urban areas. The above factors have contributed to peri-urban areas</w:t>
      </w:r>
      <w:r>
        <w:rPr>
          <w:spacing w:val="-57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scattered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noncontiguous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threatens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development in</w:t>
      </w:r>
      <w:r>
        <w:rPr>
          <w:spacing w:val="4"/>
        </w:rPr>
        <w:t> </w:t>
      </w:r>
      <w:r>
        <w:rPr/>
        <w:t>peri-urban in</w:t>
      </w:r>
      <w:r>
        <w:rPr>
          <w:spacing w:val="2"/>
        </w:rPr>
        <w:t> </w:t>
      </w:r>
      <w:r>
        <w:rPr/>
        <w:t>Bida as well.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spacing w:before="75"/>
        <w:ind w:left="2742" w:right="3413" w:firstLine="0"/>
        <w:jc w:val="center"/>
        <w:rPr>
          <w:b/>
          <w:sz w:val="24"/>
        </w:rPr>
      </w:pPr>
      <w:bookmarkStart w:name="_bookmark40" w:id="66"/>
      <w:bookmarkEnd w:id="66"/>
      <w:r>
        <w:rPr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3085" w:val="left" w:leader="none"/>
          <w:tab w:pos="3086" w:val="left" w:leader="none"/>
        </w:tabs>
        <w:spacing w:line="240" w:lineRule="auto" w:before="217" w:after="0"/>
        <w:ind w:left="3085" w:right="0" w:hanging="2821"/>
        <w:jc w:val="both"/>
        <w:rPr>
          <w:b/>
          <w:sz w:val="24"/>
        </w:rPr>
      </w:pPr>
      <w:bookmarkStart w:name="_bookmark41" w:id="67"/>
      <w:bookmarkEnd w:id="67"/>
      <w:r>
        <w:rPr/>
      </w:r>
      <w:bookmarkStart w:name="_bookmark41" w:id="68"/>
      <w:bookmarkEnd w:id="68"/>
      <w:r>
        <w:rPr>
          <w:b/>
          <w:sz w:val="24"/>
        </w:rPr>
        <w:t>RES</w:t>
      </w:r>
      <w:r>
        <w:rPr>
          <w:b/>
          <w:sz w:val="24"/>
        </w:rPr>
        <w:t>EARCH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METHODOLOGY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986" w:val="left" w:leader="none"/>
        </w:tabs>
        <w:spacing w:line="240" w:lineRule="auto" w:before="217" w:after="0"/>
        <w:ind w:left="985" w:right="0" w:hanging="721"/>
        <w:jc w:val="both"/>
        <w:rPr>
          <w:b/>
          <w:sz w:val="24"/>
        </w:rPr>
      </w:pPr>
      <w:bookmarkStart w:name="_bookmark42" w:id="69"/>
      <w:bookmarkEnd w:id="69"/>
      <w:r>
        <w:rPr/>
      </w:r>
      <w:bookmarkStart w:name="_bookmark42" w:id="70"/>
      <w:bookmarkEnd w:id="70"/>
      <w:r>
        <w:rPr>
          <w:b/>
          <w:sz w:val="24"/>
        </w:rPr>
        <w:t>R</w:t>
      </w:r>
      <w:r>
        <w:rPr>
          <w:b/>
          <w:sz w:val="24"/>
        </w:rPr>
        <w:t>esearch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5"/>
        <w:jc w:val="both"/>
      </w:pPr>
      <w:r>
        <w:rPr/>
        <w:t>The study employed quantitative research design. It involves collecting data in order to</w:t>
      </w:r>
      <w:r>
        <w:rPr>
          <w:spacing w:val="1"/>
        </w:rPr>
        <w:t> </w:t>
      </w:r>
      <w:r>
        <w:rPr/>
        <w:t>determine whether and to what degree a relationship exists between two or more variables.</w:t>
      </w:r>
      <w:r>
        <w:rPr>
          <w:spacing w:val="1"/>
        </w:rPr>
        <w:t> </w:t>
      </w:r>
      <w:r>
        <w:rPr/>
        <w:t>Quantitative research will include designs, techniques and measures that produce discreet</w:t>
      </w:r>
      <w:r>
        <w:rPr>
          <w:spacing w:val="1"/>
        </w:rPr>
        <w:t> </w:t>
      </w:r>
      <w:r>
        <w:rPr/>
        <w:t>numerical or quantifiable data. The questionnaires issued to the developers and interviews</w:t>
      </w:r>
      <w:r>
        <w:rPr>
          <w:spacing w:val="1"/>
        </w:rPr>
        <w:t> </w:t>
      </w:r>
      <w:r>
        <w:rPr/>
        <w:t>conducted to obtain relevant information from the construction professionals mainly the</w:t>
      </w:r>
      <w:r>
        <w:rPr>
          <w:spacing w:val="1"/>
        </w:rPr>
        <w:t> </w:t>
      </w:r>
      <w:r>
        <w:rPr/>
        <w:t>Quantity Surveyors and real estate agents were used to gather quantitative data which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analysed using</w:t>
      </w:r>
      <w:r>
        <w:rPr>
          <w:spacing w:val="-3"/>
        </w:rPr>
        <w:t> </w:t>
      </w:r>
      <w:r>
        <w:rPr/>
        <w:t>analytical techniques.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bookmarkStart w:name="_bookmark43" w:id="71"/>
      <w:bookmarkEnd w:id="71"/>
      <w:r>
        <w:rPr/>
      </w:r>
      <w:bookmarkStart w:name="_bookmark43" w:id="72"/>
      <w:bookmarkEnd w:id="72"/>
      <w:r>
        <w:rPr>
          <w:b/>
          <w:sz w:val="24"/>
        </w:rPr>
        <w:t>P</w:t>
      </w:r>
      <w:r>
        <w:rPr>
          <w:b/>
          <w:sz w:val="24"/>
        </w:rPr>
        <w:t>opulation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6"/>
        <w:jc w:val="both"/>
      </w:pPr>
      <w:r>
        <w:rPr/>
        <w:t>The study population simply comprises of real</w:t>
      </w:r>
      <w:r>
        <w:rPr>
          <w:spacing w:val="1"/>
        </w:rPr>
        <w:t> </w:t>
      </w:r>
      <w:r>
        <w:rPr/>
        <w:t>estate developers in</w:t>
      </w:r>
      <w:r>
        <w:rPr>
          <w:spacing w:val="60"/>
        </w:rPr>
        <w:t> </w:t>
      </w:r>
      <w:r>
        <w:rPr/>
        <w:t>peri-urban areas of</w:t>
      </w:r>
      <w:r>
        <w:rPr>
          <w:spacing w:val="1"/>
        </w:rPr>
        <w:t> </w:t>
      </w:r>
      <w:r>
        <w:rPr/>
        <w:t>Bida.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development in peri-urban of the area of the town, to also provide information on available</w:t>
      </w:r>
      <w:r>
        <w:rPr>
          <w:spacing w:val="1"/>
        </w:rPr>
        <w:t> </w:t>
      </w:r>
      <w:r>
        <w:rPr/>
        <w:t>government infrastructure that motivate their development and also information on the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 developers</w:t>
      </w:r>
      <w:r>
        <w:rPr>
          <w:spacing w:val="2"/>
        </w:rPr>
        <w:t> </w:t>
      </w:r>
      <w:r>
        <w:rPr/>
        <w:t>choice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 in</w:t>
      </w:r>
      <w:r>
        <w:rPr>
          <w:spacing w:val="-1"/>
        </w:rPr>
        <w:t> </w:t>
      </w:r>
      <w:r>
        <w:rPr/>
        <w:t>peri-urban</w:t>
      </w:r>
      <w:r>
        <w:rPr>
          <w:spacing w:val="2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Bida.</w:t>
      </w:r>
    </w:p>
    <w:p>
      <w:pPr>
        <w:pStyle w:val="ListParagraph"/>
        <w:numPr>
          <w:ilvl w:val="1"/>
          <w:numId w:val="4"/>
        </w:numPr>
        <w:tabs>
          <w:tab w:pos="986" w:val="left" w:leader="none"/>
        </w:tabs>
        <w:spacing w:line="240" w:lineRule="auto" w:before="205" w:after="0"/>
        <w:ind w:left="985" w:right="0" w:hanging="721"/>
        <w:jc w:val="both"/>
        <w:rPr>
          <w:b/>
          <w:sz w:val="24"/>
        </w:rPr>
      </w:pPr>
      <w:bookmarkStart w:name="_bookmark44" w:id="73"/>
      <w:bookmarkEnd w:id="73"/>
      <w:r>
        <w:rPr/>
      </w:r>
      <w:bookmarkStart w:name="_bookmark44" w:id="74"/>
      <w:bookmarkEnd w:id="74"/>
      <w:r>
        <w:rPr>
          <w:b/>
          <w:sz w:val="24"/>
        </w:rPr>
        <w:t>S</w:t>
      </w:r>
      <w:r>
        <w:rPr>
          <w:b/>
          <w:sz w:val="24"/>
        </w:rPr>
        <w:t>ources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240" w:lineRule="auto" w:before="217" w:after="0"/>
        <w:ind w:left="985" w:right="0" w:hanging="721"/>
        <w:jc w:val="both"/>
        <w:rPr>
          <w:b/>
          <w:sz w:val="24"/>
        </w:rPr>
      </w:pPr>
      <w:bookmarkStart w:name="_bookmark45" w:id="75"/>
      <w:bookmarkEnd w:id="75"/>
      <w:r>
        <w:rPr/>
      </w:r>
      <w:bookmarkStart w:name="_bookmark45" w:id="76"/>
      <w:bookmarkEnd w:id="76"/>
      <w:r>
        <w:rPr>
          <w:b/>
          <w:sz w:val="24"/>
        </w:rPr>
        <w:t>P</w:t>
      </w:r>
      <w:r>
        <w:rPr>
          <w:b/>
          <w:sz w:val="24"/>
        </w:rPr>
        <w:t>rimary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sources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265" w:right="936"/>
        <w:jc w:val="both"/>
      </w:pPr>
      <w:r>
        <w:rPr/>
        <w:t>Primary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developers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town,</w:t>
      </w:r>
      <w:r>
        <w:rPr>
          <w:spacing w:val="22"/>
        </w:rPr>
        <w:t> </w:t>
      </w:r>
      <w:r>
        <w:rPr/>
        <w:t>physical</w:t>
      </w:r>
      <w:r>
        <w:rPr>
          <w:spacing w:val="22"/>
        </w:rPr>
        <w:t> </w:t>
      </w:r>
      <w:r>
        <w:rPr/>
        <w:t>survey</w:t>
      </w:r>
      <w:r>
        <w:rPr>
          <w:spacing w:val="19"/>
        </w:rPr>
        <w:t> </w:t>
      </w:r>
      <w:r>
        <w:rPr/>
        <w:t>and</w:t>
      </w:r>
      <w:r>
        <w:rPr>
          <w:spacing w:val="24"/>
        </w:rPr>
        <w:t> </w:t>
      </w:r>
      <w:r>
        <w:rPr/>
        <w:t>interview.</w:t>
      </w:r>
      <w:r>
        <w:rPr>
          <w:spacing w:val="21"/>
        </w:rPr>
        <w:t> </w:t>
      </w:r>
      <w:r>
        <w:rPr/>
        <w:t>Primary</w:t>
      </w:r>
      <w:r>
        <w:rPr>
          <w:spacing w:val="17"/>
        </w:rPr>
        <w:t> </w:t>
      </w:r>
      <w:r>
        <w:rPr/>
        <w:t>data</w:t>
      </w:r>
      <w:r>
        <w:rPr>
          <w:spacing w:val="24"/>
        </w:rPr>
        <w:t> </w:t>
      </w:r>
      <w:r>
        <w:rPr/>
        <w:t>for</w:t>
      </w:r>
      <w:r>
        <w:rPr>
          <w:spacing w:val="20"/>
        </w:rPr>
        <w:t> </w:t>
      </w:r>
      <w:r>
        <w:rPr/>
        <w:t>this</w:t>
      </w:r>
      <w:r>
        <w:rPr>
          <w:spacing w:val="22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3"/>
        <w:jc w:val="both"/>
      </w:pPr>
      <w:r>
        <w:rPr/>
        <w:t>comprises of the data on responses on the types of real estate development in peri-urban of</w:t>
      </w:r>
      <w:r>
        <w:rPr>
          <w:spacing w:val="1"/>
        </w:rPr>
        <w:t> </w:t>
      </w:r>
      <w:r>
        <w:rPr/>
        <w:t>the area of the town, available government infrastructure that motivate their development</w:t>
      </w:r>
      <w:r>
        <w:rPr>
          <w:spacing w:val="1"/>
        </w:rPr>
        <w:t> </w:t>
      </w:r>
      <w:r>
        <w:rPr/>
        <w:t>and the factors that influence the developers choice of real estate development in peri-urban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Bida town.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46" w:id="77"/>
      <w:bookmarkEnd w:id="77"/>
      <w:r>
        <w:rPr/>
      </w:r>
      <w:bookmarkStart w:name="_bookmark46" w:id="78"/>
      <w:bookmarkEnd w:id="78"/>
      <w:r>
        <w:rPr>
          <w:b/>
          <w:sz w:val="24"/>
        </w:rPr>
        <w:t>S</w:t>
      </w:r>
      <w:r>
        <w:rPr>
          <w:b/>
          <w:sz w:val="24"/>
        </w:rPr>
        <w:t>econdary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6"/>
        <w:jc w:val="both"/>
      </w:pP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consulted includes the published material on land uses in the areas, planning document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journal,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proceedings,</w:t>
      </w:r>
      <w:r>
        <w:rPr>
          <w:spacing w:val="1"/>
        </w:rPr>
        <w:t> </w:t>
      </w:r>
      <w:r>
        <w:rPr/>
        <w:t>and textbooks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materials on the</w:t>
      </w:r>
      <w:r>
        <w:rPr>
          <w:spacing w:val="-1"/>
        </w:rPr>
        <w:t> </w:t>
      </w:r>
      <w:r>
        <w:rPr/>
        <w:t>subject matter.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985" w:val="left" w:leader="none"/>
          <w:tab w:pos="986" w:val="left" w:leader="none"/>
        </w:tabs>
        <w:spacing w:line="240" w:lineRule="auto" w:before="159" w:after="0"/>
        <w:ind w:left="985" w:right="0" w:hanging="721"/>
        <w:jc w:val="left"/>
        <w:rPr>
          <w:b/>
          <w:sz w:val="24"/>
        </w:rPr>
      </w:pPr>
      <w:bookmarkStart w:name="_bookmark47" w:id="79"/>
      <w:bookmarkEnd w:id="79"/>
      <w:r>
        <w:rPr/>
      </w:r>
      <w:bookmarkStart w:name="_bookmark47" w:id="80"/>
      <w:bookmarkEnd w:id="80"/>
      <w:r>
        <w:rPr>
          <w:b/>
          <w:sz w:val="24"/>
        </w:rPr>
        <w:t>S</w:t>
      </w:r>
      <w:r>
        <w:rPr>
          <w:b/>
          <w:sz w:val="24"/>
        </w:rPr>
        <w:t>ampling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Techniques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1"/>
        <w:jc w:val="both"/>
      </w:pP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areas,</w:t>
      </w:r>
      <w:r>
        <w:rPr>
          <w:spacing w:val="-57"/>
        </w:rPr>
        <w:t> </w:t>
      </w:r>
      <w:r>
        <w:rPr/>
        <w:t>especially the developers in Bida who are conversant about the development pattern of</w:t>
      </w:r>
      <w:r>
        <w:rPr>
          <w:spacing w:val="1"/>
        </w:rPr>
        <w:t> </w:t>
      </w:r>
      <w:r>
        <w:rPr/>
        <w:t>peri-urban area of Bida. Simple random techniques was selected on the ground that every</w:t>
      </w:r>
      <w:r>
        <w:rPr>
          <w:spacing w:val="1"/>
        </w:rPr>
        <w:t> </w:t>
      </w:r>
      <w:r>
        <w:rPr/>
        <w:t>developer has equal opportunity to be selected. The people selected for the study comprises</w:t>
      </w:r>
      <w:r>
        <w:rPr>
          <w:spacing w:val="1"/>
        </w:rPr>
        <w:t> </w:t>
      </w:r>
      <w:r>
        <w:rPr/>
        <w:t>of the developers who built in the peri-urban area of the town. The study select 237 land</w:t>
      </w:r>
      <w:r>
        <w:rPr>
          <w:spacing w:val="1"/>
        </w:rPr>
        <w:t> </w:t>
      </w:r>
      <w:r>
        <w:rPr/>
        <w:t>owners through random sampling technique because every land owner has equal right of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selected and because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homogenous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respondents.</w:t>
      </w:r>
    </w:p>
    <w:p>
      <w:pPr>
        <w:pStyle w:val="BodyText"/>
        <w:spacing w:line="480" w:lineRule="auto" w:before="200"/>
        <w:ind w:left="265" w:right="933"/>
        <w:jc w:val="both"/>
      </w:pPr>
      <w:r>
        <w:rPr>
          <w:b/>
        </w:rPr>
        <w:t>Sample size: </w:t>
      </w:r>
      <w:r>
        <w:rPr/>
        <w:t>the sample size for the study population (650 individual developers in peri-</w:t>
      </w:r>
      <w:r>
        <w:rPr>
          <w:spacing w:val="1"/>
        </w:rPr>
        <w:t> </w:t>
      </w:r>
      <w:r>
        <w:rPr/>
        <w:t>urban area- Urban Development Board) was determined using Yamma’s formular model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 follows: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tabs>
          <w:tab w:pos="1100" w:val="left" w:leader="none"/>
        </w:tabs>
        <w:spacing w:line="122" w:lineRule="auto" w:before="172"/>
        <w:ind w:left="824" w:right="8538" w:hanging="56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27.220001pt;margin-top:14.229536pt;width:34.2pt;height:.84pt;mso-position-horizontal-relative:page;mso-position-vertical-relative:paragraph;z-index:-177704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𝑛</w:t>
      </w:r>
      <w:r>
        <w:rPr>
          <w:rFonts w:ascii="Cambria Math" w:eastAsia="Cambria Math"/>
          <w:spacing w:val="18"/>
          <w:sz w:val="24"/>
        </w:rPr>
        <w:t> </w:t>
      </w:r>
      <w:r>
        <w:rPr>
          <w:rFonts w:ascii="Cambria Math" w:eastAsia="Cambria Math"/>
          <w:sz w:val="24"/>
        </w:rPr>
        <w:t>=</w:t>
        <w:tab/>
        <w:tab/>
      </w:r>
      <w:r>
        <w:rPr>
          <w:rFonts w:ascii="Cambria Math" w:eastAsia="Cambria Math"/>
          <w:position w:val="14"/>
          <w:sz w:val="17"/>
        </w:rPr>
        <w:t>𝑁</w:t>
      </w:r>
      <w:r>
        <w:rPr>
          <w:rFonts w:ascii="Cambria Math" w:eastAsia="Cambria Math"/>
          <w:spacing w:val="1"/>
          <w:position w:val="14"/>
          <w:sz w:val="17"/>
        </w:rPr>
        <w:t> </w:t>
      </w:r>
      <w:r>
        <w:rPr>
          <w:rFonts w:ascii="Cambria Math" w:eastAsia="Cambria Math"/>
          <w:sz w:val="17"/>
        </w:rPr>
        <w:t>1+𝑁(𝑒)</w:t>
      </w:r>
      <w:r>
        <w:rPr>
          <w:rFonts w:ascii="Cambria Math" w:eastAsia="Cambria Math"/>
          <w:position w:val="5"/>
          <w:sz w:val="14"/>
        </w:rPr>
        <w:t>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spacing w:before="1"/>
        <w:ind w:left="325"/>
      </w:pPr>
      <w:r>
        <w:rPr/>
        <w:t>Where;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265"/>
      </w:pPr>
      <w:r>
        <w:rPr/>
        <w:t>n=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535" w:lineRule="auto" w:before="1"/>
        <w:ind w:left="265" w:right="7599"/>
        <w:jc w:val="both"/>
      </w:pPr>
      <w:r>
        <w:rPr/>
        <w:t>N= Sample population</w:t>
      </w:r>
      <w:r>
        <w:rPr>
          <w:spacing w:val="-58"/>
        </w:rPr>
        <w:t> </w:t>
      </w:r>
      <w:r>
        <w:rPr/>
        <w:t>e=</w:t>
      </w:r>
      <w:r>
        <w:rPr>
          <w:spacing w:val="-2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line="480" w:lineRule="auto"/>
        <w:ind w:left="265" w:right="930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650,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237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237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owners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random</w:t>
      </w:r>
      <w:r>
        <w:rPr>
          <w:spacing w:val="60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and 235 returned questionnaires were</w:t>
      </w:r>
      <w:r>
        <w:rPr>
          <w:spacing w:val="-1"/>
        </w:rPr>
        <w:t> </w:t>
      </w:r>
      <w:r>
        <w:rPr/>
        <w:t>analyzed.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b/>
          <w:sz w:val="24"/>
        </w:rPr>
      </w:pPr>
      <w:bookmarkStart w:name="_bookmark48" w:id="81"/>
      <w:bookmarkEnd w:id="81"/>
      <w:r>
        <w:rPr/>
      </w:r>
      <w:bookmarkStart w:name="_bookmark48" w:id="82"/>
      <w:bookmarkEnd w:id="82"/>
      <w:r>
        <w:rPr>
          <w:b/>
          <w:sz w:val="24"/>
        </w:rPr>
        <w:t>M</w:t>
      </w:r>
      <w:r>
        <w:rPr>
          <w:b/>
          <w:sz w:val="24"/>
        </w:rPr>
        <w:t>ethod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7"/>
        <w:jc w:val="both"/>
      </w:pPr>
      <w:r>
        <w:rPr/>
        <w:t>This study utilized two different methods of data collection and the essence is to ensure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and administration of questionnaire,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explained below: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480" w:lineRule="auto" w:before="1" w:after="0"/>
        <w:ind w:left="265" w:right="933" w:firstLine="0"/>
        <w:jc w:val="both"/>
        <w:rPr>
          <w:sz w:val="24"/>
        </w:rPr>
      </w:pPr>
      <w:r>
        <w:rPr>
          <w:b/>
          <w:sz w:val="24"/>
        </w:rPr>
        <w:t>Questionnaires: </w:t>
      </w:r>
      <w:r>
        <w:rPr>
          <w:sz w:val="24"/>
        </w:rPr>
        <w:t>A structured or closed ended questionnaire method is designed to</w:t>
      </w:r>
      <w:r>
        <w:rPr>
          <w:spacing w:val="1"/>
          <w:sz w:val="24"/>
        </w:rPr>
        <w:t> </w:t>
      </w:r>
      <w:r>
        <w:rPr>
          <w:sz w:val="24"/>
        </w:rPr>
        <w:t>collect relevant information from real estate developers in Bida area of Niger state. The</w:t>
      </w:r>
      <w:r>
        <w:rPr>
          <w:spacing w:val="1"/>
          <w:sz w:val="24"/>
        </w:rPr>
        <w:t> </w:t>
      </w:r>
      <w:r>
        <w:rPr>
          <w:sz w:val="24"/>
        </w:rPr>
        <w:t>questionnaires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randomly</w:t>
      </w:r>
      <w:r>
        <w:rPr>
          <w:spacing w:val="-5"/>
          <w:sz w:val="24"/>
        </w:rPr>
        <w:t> </w:t>
      </w:r>
      <w:r>
        <w:rPr>
          <w:sz w:val="24"/>
        </w:rPr>
        <w:t>distributed to the</w:t>
      </w:r>
      <w:r>
        <w:rPr>
          <w:spacing w:val="-1"/>
          <w:sz w:val="24"/>
        </w:rPr>
        <w:t> </w:t>
      </w:r>
      <w:r>
        <w:rPr>
          <w:sz w:val="24"/>
        </w:rPr>
        <w:t>respondent.</w:t>
      </w:r>
    </w:p>
    <w:p>
      <w:pPr>
        <w:pStyle w:val="ListParagraph"/>
        <w:numPr>
          <w:ilvl w:val="2"/>
          <w:numId w:val="4"/>
        </w:numPr>
        <w:tabs>
          <w:tab w:pos="1046" w:val="left" w:leader="none"/>
        </w:tabs>
        <w:spacing w:line="480" w:lineRule="auto" w:before="0" w:after="0"/>
        <w:ind w:left="265" w:right="935" w:firstLine="0"/>
        <w:jc w:val="both"/>
        <w:rPr>
          <w:sz w:val="24"/>
        </w:rPr>
      </w:pPr>
      <w:r>
        <w:rPr>
          <w:b/>
          <w:sz w:val="24"/>
        </w:rPr>
        <w:t>Physical Survey:</w:t>
      </w:r>
      <w:r>
        <w:rPr>
          <w:b/>
          <w:spacing w:val="1"/>
          <w:sz w:val="24"/>
        </w:rPr>
        <w:t> </w:t>
      </w:r>
      <w:r>
        <w:rPr>
          <w:sz w:val="24"/>
        </w:rPr>
        <w:t>this is a field observation where the researcher observed the area</w:t>
      </w:r>
      <w:r>
        <w:rPr>
          <w:spacing w:val="-57"/>
          <w:sz w:val="24"/>
        </w:rPr>
        <w:t> </w:t>
      </w:r>
      <w:r>
        <w:rPr>
          <w:sz w:val="24"/>
        </w:rPr>
        <w:t>and pick the details in the area and available infrastructure. Taking photographs of the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480" w:lineRule="auto" w:before="200" w:after="0"/>
        <w:ind w:left="265" w:right="933" w:firstLine="0"/>
        <w:jc w:val="both"/>
        <w:rPr>
          <w:sz w:val="24"/>
        </w:rPr>
      </w:pPr>
      <w:r>
        <w:rPr>
          <w:b/>
          <w:sz w:val="24"/>
        </w:rPr>
        <w:t>Geographical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(GIS)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pick</w:t>
      </w:r>
      <w:r>
        <w:rPr>
          <w:spacing w:val="1"/>
          <w:sz w:val="24"/>
        </w:rPr>
        <w:t> </w:t>
      </w:r>
      <w:r>
        <w:rPr>
          <w:sz w:val="24"/>
        </w:rPr>
        <w:t>coordinates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private</w:t>
      </w:r>
      <w:r>
        <w:rPr>
          <w:spacing w:val="34"/>
          <w:sz w:val="24"/>
        </w:rPr>
        <w:t> </w:t>
      </w:r>
      <w:r>
        <w:rPr>
          <w:sz w:val="24"/>
        </w:rPr>
        <w:t>property</w:t>
      </w:r>
      <w:r>
        <w:rPr>
          <w:spacing w:val="27"/>
          <w:sz w:val="24"/>
        </w:rPr>
        <w:t> </w:t>
      </w:r>
      <w:r>
        <w:rPr>
          <w:sz w:val="24"/>
        </w:rPr>
        <w:t>development</w:t>
      </w:r>
      <w:r>
        <w:rPr>
          <w:spacing w:val="38"/>
          <w:sz w:val="24"/>
        </w:rPr>
        <w:t> </w:t>
      </w:r>
      <w:r>
        <w:rPr>
          <w:sz w:val="24"/>
        </w:rPr>
        <w:t>across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peri-urban</w:t>
      </w:r>
      <w:r>
        <w:rPr>
          <w:spacing w:val="35"/>
          <w:sz w:val="24"/>
        </w:rPr>
        <w:t> </w:t>
      </w:r>
      <w:r>
        <w:rPr>
          <w:sz w:val="24"/>
        </w:rPr>
        <w:t>area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Bida.</w:t>
      </w:r>
      <w:r>
        <w:rPr>
          <w:spacing w:val="34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2" w:lineRule="auto" w:before="70"/>
        <w:ind w:left="265" w:right="935"/>
        <w:jc w:val="both"/>
      </w:pPr>
      <w:r>
        <w:rPr/>
        <w:t>ArcGIS software was employed for spatial analysis to geo-reference the satellite imageries</w:t>
      </w:r>
      <w:r>
        <w:rPr>
          <w:spacing w:val="1"/>
        </w:rPr>
        <w:t> </w:t>
      </w:r>
      <w:r>
        <w:rPr/>
        <w:t>and digitize private housing developments for the yesr 2007 and 2018 in the three study</w:t>
      </w:r>
      <w:r>
        <w:rPr>
          <w:spacing w:val="1"/>
        </w:rPr>
        <w:t> </w:t>
      </w:r>
      <w:r>
        <w:rPr/>
        <w:t>area.</w:t>
      </w:r>
    </w:p>
    <w:p>
      <w:pPr>
        <w:pStyle w:val="ListParagraph"/>
        <w:numPr>
          <w:ilvl w:val="1"/>
          <w:numId w:val="4"/>
        </w:numPr>
        <w:tabs>
          <w:tab w:pos="986" w:val="left" w:leader="none"/>
        </w:tabs>
        <w:spacing w:line="240" w:lineRule="auto" w:before="196" w:after="0"/>
        <w:ind w:left="985" w:right="0" w:hanging="721"/>
        <w:jc w:val="both"/>
        <w:rPr>
          <w:b/>
          <w:sz w:val="24"/>
        </w:rPr>
      </w:pPr>
      <w:bookmarkStart w:name="_bookmark49" w:id="83"/>
      <w:bookmarkEnd w:id="83"/>
      <w:r>
        <w:rPr/>
      </w:r>
      <w:bookmarkStart w:name="_bookmark49" w:id="84"/>
      <w:bookmarkEnd w:id="84"/>
      <w:r>
        <w:rPr>
          <w:b/>
          <w:sz w:val="24"/>
        </w:rPr>
        <w:t>M</w:t>
      </w:r>
      <w:r>
        <w:rPr>
          <w:b/>
          <w:sz w:val="24"/>
        </w:rPr>
        <w:t>ethod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techniques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3"/>
        <w:ind w:left="265" w:right="935"/>
        <w:jc w:val="both"/>
      </w:pPr>
      <w:r>
        <w:rPr/>
        <w:t>The method of data analysis for the study is both descriptive and inferential methods.</w:t>
      </w:r>
      <w:r>
        <w:rPr>
          <w:spacing w:val="1"/>
        </w:rPr>
        <w:t> </w:t>
      </w:r>
      <w:r>
        <w:rPr/>
        <w:t>Descriptive</w:t>
      </w:r>
      <w:r>
        <w:rPr>
          <w:spacing w:val="16"/>
        </w:rPr>
        <w:t> </w:t>
      </w:r>
      <w:r>
        <w:rPr/>
        <w:t>method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featured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mean</w:t>
      </w:r>
      <w:r>
        <w:rPr>
          <w:spacing w:val="16"/>
        </w:rPr>
        <w:t> </w:t>
      </w:r>
      <w:r>
        <w:rPr/>
        <w:t>average,</w:t>
      </w:r>
      <w:r>
        <w:rPr>
          <w:spacing w:val="17"/>
        </w:rPr>
        <w:t> </w:t>
      </w:r>
      <w:r>
        <w:rPr/>
        <w:t>percentages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other</w:t>
      </w:r>
      <w:r>
        <w:rPr>
          <w:spacing w:val="15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tendencies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likert</w:t>
      </w:r>
      <w:r>
        <w:rPr>
          <w:spacing w:val="-1"/>
        </w:rPr>
        <w:t> </w:t>
      </w:r>
      <w:r>
        <w:rPr/>
        <w:t>scaling.</w:t>
      </w:r>
      <w:r>
        <w:rPr>
          <w:spacing w:val="2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chi-square</w:t>
      </w:r>
      <w:r>
        <w:rPr>
          <w:spacing w:val="-3"/>
        </w:rPr>
        <w:t> </w:t>
      </w:r>
      <w:r>
        <w:rPr/>
        <w:t>test.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480" w:lineRule="auto" w:before="191" w:after="0"/>
        <w:ind w:left="265" w:right="937" w:firstLine="0"/>
        <w:jc w:val="both"/>
        <w:rPr>
          <w:sz w:val="24"/>
        </w:rPr>
      </w:pPr>
      <w:r>
        <w:rPr>
          <w:b/>
          <w:sz w:val="24"/>
        </w:rPr>
        <w:t>Objective one: </w:t>
      </w:r>
      <w:r>
        <w:rPr>
          <w:sz w:val="24"/>
        </w:rPr>
        <w:t>to identify the types of private real estate development in Bida. This</w:t>
      </w:r>
      <w:r>
        <w:rPr>
          <w:spacing w:val="-57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property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 peri-urban.</w:t>
      </w:r>
    </w:p>
    <w:p>
      <w:pPr>
        <w:pStyle w:val="BodyText"/>
        <w:spacing w:line="480" w:lineRule="auto"/>
        <w:ind w:left="265" w:right="933"/>
        <w:jc w:val="both"/>
      </w:pPr>
      <w:r>
        <w:rPr/>
        <w:t>Objective two: to examine spatial distribution of real estate development in peri-urban area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Bida.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require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use</w:t>
      </w:r>
      <w:r>
        <w:rPr>
          <w:spacing w:val="58"/>
        </w:rPr>
        <w:t> </w:t>
      </w:r>
      <w:r>
        <w:rPr/>
        <w:t>geographic</w:t>
      </w:r>
      <w:r>
        <w:rPr>
          <w:spacing w:val="57"/>
        </w:rPr>
        <w:t> </w:t>
      </w:r>
      <w:r>
        <w:rPr/>
        <w:t>information</w:t>
      </w:r>
      <w:r>
        <w:rPr>
          <w:spacing w:val="59"/>
        </w:rPr>
        <w:t> </w:t>
      </w:r>
      <w:r>
        <w:rPr/>
        <w:t>system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examine</w:t>
      </w:r>
      <w:r>
        <w:rPr>
          <w:spacing w:val="58"/>
        </w:rPr>
        <w:t> </w:t>
      </w:r>
      <w:r>
        <w:rPr/>
        <w:t>the</w:t>
      </w:r>
      <w:r>
        <w:rPr>
          <w:spacing w:val="4"/>
        </w:rPr>
        <w:t> </w:t>
      </w:r>
      <w:r>
        <w:rPr/>
        <w:t>trend</w:t>
      </w:r>
      <w:r>
        <w:rPr>
          <w:spacing w:val="58"/>
        </w:rPr>
        <w:t> </w:t>
      </w:r>
      <w:r>
        <w:rPr/>
        <w:t>of</w:t>
      </w:r>
      <w:r>
        <w:rPr>
          <w:spacing w:val="-58"/>
        </w:rPr>
        <w:t> </w:t>
      </w:r>
      <w:r>
        <w:rPr/>
        <w:t>development.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480" w:lineRule="auto" w:before="1" w:after="0"/>
        <w:ind w:left="265" w:right="936" w:firstLine="0"/>
        <w:jc w:val="both"/>
        <w:rPr>
          <w:sz w:val="24"/>
        </w:rPr>
      </w:pPr>
      <w:r>
        <w:rPr>
          <w:b/>
          <w:sz w:val="24"/>
        </w:rPr>
        <w:t>Objective two</w:t>
      </w:r>
      <w:r>
        <w:rPr>
          <w:sz w:val="24"/>
        </w:rPr>
        <w:t>: to examine the drivers of peri-urban development. this objective</w:t>
      </w:r>
      <w:r>
        <w:rPr>
          <w:spacing w:val="1"/>
          <w:sz w:val="24"/>
        </w:rPr>
        <w:t> </w:t>
      </w:r>
      <w:r>
        <w:rPr>
          <w:sz w:val="24"/>
        </w:rPr>
        <w:t>requires the both percentage distribution of most most responded drivers and five-likert</w:t>
      </w:r>
      <w:r>
        <w:rPr>
          <w:spacing w:val="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analysis of relative</w:t>
      </w:r>
      <w:r>
        <w:rPr>
          <w:spacing w:val="1"/>
          <w:sz w:val="24"/>
        </w:rPr>
        <w:t> </w:t>
      </w:r>
      <w:r>
        <w:rPr>
          <w:sz w:val="24"/>
        </w:rPr>
        <w:t>important index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most important factors.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480" w:lineRule="auto" w:before="0" w:after="0"/>
        <w:ind w:left="265" w:right="934" w:firstLine="0"/>
        <w:jc w:val="both"/>
        <w:rPr>
          <w:sz w:val="24"/>
        </w:rPr>
      </w:pPr>
      <w:r>
        <w:rPr>
          <w:b/>
          <w:sz w:val="24"/>
        </w:rPr>
        <w:t>Objective three</w:t>
      </w:r>
      <w:r>
        <w:rPr>
          <w:sz w:val="24"/>
        </w:rPr>
        <w:t>: (to assess factors influencing private real estate development in</w:t>
      </w:r>
      <w:r>
        <w:rPr>
          <w:spacing w:val="1"/>
          <w:sz w:val="24"/>
        </w:rPr>
        <w:t> </w:t>
      </w:r>
      <w:r>
        <w:rPr>
          <w:sz w:val="24"/>
        </w:rPr>
        <w:t>peri-urban area of Bida). This objective required mean and factor analysis of variable rated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24"/>
          <w:sz w:val="24"/>
        </w:rPr>
        <w:t> </w:t>
      </w:r>
      <w:r>
        <w:rPr>
          <w:sz w:val="24"/>
        </w:rPr>
        <w:t>five-point</w:t>
      </w:r>
      <w:r>
        <w:rPr>
          <w:spacing w:val="25"/>
          <w:sz w:val="24"/>
        </w:rPr>
        <w:t> </w:t>
      </w:r>
      <w:r>
        <w:rPr>
          <w:sz w:val="24"/>
        </w:rPr>
        <w:t>liker</w:t>
      </w:r>
      <w:r>
        <w:rPr>
          <w:spacing w:val="24"/>
          <w:sz w:val="24"/>
        </w:rPr>
        <w:t> </w:t>
      </w:r>
      <w:r>
        <w:rPr>
          <w:sz w:val="24"/>
        </w:rPr>
        <w:t>scale.</w:t>
      </w:r>
      <w:r>
        <w:rPr>
          <w:spacing w:val="24"/>
          <w:sz w:val="24"/>
        </w:rPr>
        <w:t> </w:t>
      </w:r>
      <w:r>
        <w:rPr>
          <w:sz w:val="24"/>
        </w:rPr>
        <w:t>This</w:t>
      </w:r>
      <w:r>
        <w:rPr>
          <w:spacing w:val="25"/>
          <w:sz w:val="24"/>
        </w:rPr>
        <w:t> </w:t>
      </w:r>
      <w:r>
        <w:rPr>
          <w:sz w:val="24"/>
        </w:rPr>
        <w:t>method</w:t>
      </w:r>
      <w:r>
        <w:rPr>
          <w:spacing w:val="22"/>
          <w:sz w:val="24"/>
        </w:rPr>
        <w:t> </w:t>
      </w:r>
      <w:r>
        <w:rPr>
          <w:sz w:val="24"/>
        </w:rPr>
        <w:t>helped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reduce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factors</w:t>
      </w:r>
      <w:r>
        <w:rPr>
          <w:spacing w:val="25"/>
          <w:sz w:val="24"/>
        </w:rPr>
        <w:t> </w:t>
      </w:r>
      <w:r>
        <w:rPr>
          <w:sz w:val="24"/>
        </w:rPr>
        <w:t>into</w:t>
      </w:r>
      <w:r>
        <w:rPr>
          <w:spacing w:val="25"/>
          <w:sz w:val="24"/>
        </w:rPr>
        <w:t> </w:t>
      </w:r>
      <w:r>
        <w:rPr>
          <w:sz w:val="24"/>
        </w:rPr>
        <w:t>group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named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identified group factors.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480"/>
        </w:sectPr>
      </w:pP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480" w:lineRule="auto" w:before="70" w:after="0"/>
        <w:ind w:left="265" w:right="939" w:firstLine="0"/>
        <w:jc w:val="both"/>
        <w:rPr>
          <w:sz w:val="24"/>
        </w:rPr>
      </w:pPr>
      <w:r>
        <w:rPr>
          <w:b/>
          <w:sz w:val="24"/>
        </w:rPr>
        <w:t>Objective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Four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(to</w:t>
      </w:r>
      <w:r>
        <w:rPr>
          <w:spacing w:val="1"/>
          <w:sz w:val="24"/>
        </w:rPr>
        <w:t> </w:t>
      </w:r>
      <w:r>
        <w:rPr>
          <w:sz w:val="24"/>
        </w:rPr>
        <w:t>examine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estate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peri-urban</w:t>
      </w:r>
      <w:r>
        <w:rPr>
          <w:spacing w:val="1"/>
          <w:sz w:val="24"/>
        </w:rPr>
        <w:t> </w:t>
      </w:r>
      <w:r>
        <w:rPr>
          <w:sz w:val="24"/>
        </w:rPr>
        <w:t>development).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geospatial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to analyse</w:t>
      </w:r>
      <w:r>
        <w:rPr>
          <w:spacing w:val="-1"/>
          <w:sz w:val="24"/>
        </w:rPr>
        <w:t> </w:t>
      </w:r>
      <w:r>
        <w:rPr>
          <w:sz w:val="24"/>
        </w:rPr>
        <w:t>the development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estate in peri-urban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Bida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5" w:right="941"/>
      </w:pPr>
      <w:r>
        <w:rPr>
          <w:b/>
        </w:rPr>
        <w:t>Mean:</w:t>
      </w:r>
      <w:r>
        <w:rPr>
          <w:b/>
          <w:spacing w:val="5"/>
        </w:rPr>
        <w:t> </w:t>
      </w:r>
      <w:r>
        <w:rPr/>
        <w:t>The mean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 measure</w:t>
      </w:r>
      <w:r>
        <w:rPr>
          <w:spacing w:val="-1"/>
        </w:rPr>
        <w:t> </w:t>
      </w:r>
      <w:r>
        <w:rPr/>
        <w:t>of central</w:t>
      </w:r>
      <w:r>
        <w:rPr>
          <w:spacing w:val="2"/>
        </w:rPr>
        <w:t> </w:t>
      </w:r>
      <w:r>
        <w:rPr/>
        <w:t>tendency</w:t>
      </w:r>
      <w:r>
        <w:rPr>
          <w:spacing w:val="-4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average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weighted mean of</w:t>
      </w:r>
      <w:r>
        <w:rPr>
          <w:spacing w:val="1"/>
        </w:rPr>
        <w:t> </w:t>
      </w:r>
      <w:r>
        <w:rPr/>
        <w:t>data, it is calculated</w:t>
      </w:r>
      <w:r>
        <w:rPr>
          <w:spacing w:val="1"/>
        </w:rPr>
        <w:t> </w:t>
      </w:r>
      <w:r>
        <w:rPr/>
        <w:t>thus:</w:t>
      </w:r>
    </w:p>
    <w:p>
      <w:pPr>
        <w:pStyle w:val="BodyText"/>
        <w:spacing w:line="177" w:lineRule="auto"/>
        <w:ind w:left="1693"/>
        <w:rPr>
          <w:rFonts w:ascii="Cambria Math" w:hAnsi="Cambria Math" w:eastAsia="Cambria Math"/>
        </w:rPr>
      </w:pPr>
      <w:r>
        <w:rPr/>
        <w:pict>
          <v:rect style="position:absolute;margin-left:196.970001pt;margin-top:16.611782pt;width:37.68pt;height:.84pt;mso-position-horizontal-relative:page;mso-position-vertical-relative:paragraph;z-index:-177694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07"/>
          <w:position w:val="-17"/>
        </w:rPr>
        <w:t>𝑋</w:t>
      </w:r>
      <w:r>
        <w:rPr>
          <w:rFonts w:ascii="Cambria Math" w:hAnsi="Cambria Math" w:eastAsia="Cambria Math"/>
          <w:position w:val="-13"/>
        </w:rPr>
        <w:t>̅</w:t>
      </w:r>
      <w:r>
        <w:rPr>
          <w:rFonts w:ascii="Cambria Math" w:hAnsi="Cambria Math" w:eastAsia="Cambria Math"/>
          <w:spacing w:val="21"/>
          <w:position w:val="-13"/>
        </w:rPr>
        <w:t> </w:t>
      </w:r>
      <w:r>
        <w:rPr>
          <w:rFonts w:ascii="Cambria Math" w:hAnsi="Cambria Math" w:eastAsia="Cambria Math"/>
          <w:position w:val="-17"/>
        </w:rPr>
        <w:t>= </w:t>
      </w:r>
      <w:r>
        <w:rPr>
          <w:rFonts w:ascii="Cambria Math" w:hAnsi="Cambria Math" w:eastAsia="Cambria Math"/>
          <w:spacing w:val="15"/>
          <w:position w:val="-17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1"/>
        </w:rPr>
        <w:t>𝐹</w:t>
      </w:r>
      <w:r>
        <w:rPr>
          <w:rFonts w:ascii="Cambria Math" w:hAnsi="Cambria Math" w:eastAsia="Cambria Math"/>
          <w:spacing w:val="9"/>
        </w:rPr>
        <w:t>𝑊</w:t>
      </w:r>
      <w:r>
        <w:rPr>
          <w:rFonts w:ascii="Cambria Math" w:hAnsi="Cambria Math" w:eastAsia="Cambria Math"/>
        </w:rPr>
        <w:t>)</w:t>
      </w:r>
    </w:p>
    <w:p>
      <w:pPr>
        <w:pStyle w:val="BodyText"/>
        <w:spacing w:line="222" w:lineRule="exact"/>
        <w:ind w:left="2505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>
      <w:pPr>
        <w:pStyle w:val="BodyText"/>
        <w:spacing w:before="170"/>
        <w:ind w:left="985"/>
      </w:pP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re</w:t>
      </w:r>
      <w:r>
        <w:rPr>
          <w:spacing w:val="-2"/>
        </w:rPr>
        <w:t> 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̅</w:t>
      </w:r>
      <w:r>
        <w:rPr>
          <w:rFonts w:ascii="Cambria Math" w:hAnsi="Cambria Math" w:eastAsia="Cambria Math"/>
          <w:spacing w:val="16"/>
          <w:position w:val="5"/>
        </w:rPr>
        <w:t> </w:t>
      </w:r>
      <w:r>
        <w:rPr/>
        <w:t>=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a</w:t>
      </w:r>
      <w:r>
        <w:rPr/>
        <w:t>n,</w:t>
      </w:r>
      <w:r>
        <w:rPr>
          <w:spacing w:val="2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-</w:t>
      </w:r>
      <w:r>
        <w:rPr>
          <w:spacing w:val="-1"/>
          <w:w w:val="99"/>
        </w:rPr>
        <w:t> </w:t>
      </w:r>
      <w:r>
        <w:rPr>
          <w:w w:val="99"/>
        </w:rPr>
        <w:t>is</w:t>
      </w:r>
      <w:r>
        <w:rPr/>
        <w:t> the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/>
        <w:t>, </w:t>
      </w:r>
      <w:r>
        <w:rPr>
          <w:spacing w:val="2"/>
        </w:rPr>
        <w:t>W</w:t>
      </w:r>
      <w:r>
        <w:rPr/>
        <w:t>-</w:t>
      </w:r>
      <w:r>
        <w:rPr>
          <w:spacing w:val="-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ht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4"/>
        </w:numPr>
        <w:tabs>
          <w:tab w:pos="986" w:val="left" w:leader="none"/>
        </w:tabs>
        <w:spacing w:line="480" w:lineRule="auto" w:before="0" w:after="0"/>
        <w:ind w:left="985" w:right="933" w:hanging="360"/>
        <w:jc w:val="both"/>
        <w:rPr>
          <w:sz w:val="24"/>
        </w:rPr>
      </w:pPr>
      <w:r>
        <w:rPr>
          <w:b/>
          <w:sz w:val="24"/>
        </w:rPr>
        <w:t>Chi-square Test: </w:t>
      </w:r>
      <w:r>
        <w:rPr>
          <w:sz w:val="24"/>
        </w:rPr>
        <w:t>the test is adopted to test relationship in respondents responses to</w:t>
      </w:r>
      <w:r>
        <w:rPr>
          <w:spacing w:val="1"/>
          <w:sz w:val="24"/>
        </w:rPr>
        <w:t> </w:t>
      </w:r>
      <w:r>
        <w:rPr>
          <w:sz w:val="24"/>
        </w:rPr>
        <w:t>the factors influencing peri-urban development. It is also adopted to test if the</w:t>
      </w:r>
      <w:r>
        <w:rPr>
          <w:spacing w:val="1"/>
          <w:sz w:val="24"/>
        </w:rPr>
        <w:t> </w:t>
      </w:r>
      <w:r>
        <w:rPr>
          <w:sz w:val="24"/>
        </w:rPr>
        <w:t>respondents are related in their responses towards factors influencing peri-urban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line="175" w:lineRule="auto" w:before="17"/>
        <w:ind w:left="941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rect style="position:absolute;margin-left:162.020004pt;margin-top:12.552727pt;width:35.664pt;height:.84pt;mso-position-horizontal-relative:page;mso-position-vertical-relative:paragraph;z-index:-1776896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4"/>
        </w:rPr>
        <w:t>×</w:t>
      </w:r>
      <w:r>
        <w:rPr>
          <w:rFonts w:ascii="Cambria Math" w:hAnsi="Cambria Math" w:eastAsia="Cambria Math"/>
          <w:position w:val="-4"/>
          <w:sz w:val="17"/>
        </w:rPr>
        <w:t>2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32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∑</w:t>
      </w:r>
      <w:r>
        <w:rPr>
          <w:rFonts w:ascii="Cambria Math" w:hAnsi="Cambria Math" w:eastAsia="Cambria Math"/>
          <w:sz w:val="17"/>
        </w:rPr>
        <w:t>(𝑂−𝐸)</w:t>
      </w:r>
      <w:r>
        <w:rPr>
          <w:rFonts w:ascii="Cambria Math" w:hAnsi="Cambria Math" w:eastAsia="Cambria Math"/>
          <w:position w:val="6"/>
          <w:sz w:val="14"/>
        </w:rPr>
        <w:t>2</w:t>
      </w:r>
    </w:p>
    <w:p>
      <w:pPr>
        <w:spacing w:line="158" w:lineRule="exact" w:before="0"/>
        <w:ind w:left="174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1"/>
          <w:sz w:val="17"/>
        </w:rPr>
        <w:t>∑</w:t>
      </w:r>
      <w:r>
        <w:rPr>
          <w:rFonts w:ascii="Cambria Math" w:hAnsi="Cambria Math" w:eastAsia="Cambria Math"/>
          <w:spacing w:val="-10"/>
          <w:position w:val="1"/>
          <w:sz w:val="17"/>
        </w:rPr>
        <w:t> </w:t>
      </w:r>
      <w:r>
        <w:rPr>
          <w:rFonts w:ascii="Cambria Math" w:hAnsi="Cambria Math" w:eastAsia="Cambria Math"/>
          <w:sz w:val="17"/>
        </w:rPr>
        <w:t>𝐸</w:t>
      </w:r>
    </w:p>
    <w:p>
      <w:pPr>
        <w:pStyle w:val="BodyText"/>
        <w:spacing w:before="3"/>
        <w:rPr>
          <w:rFonts w:ascii="Cambria Math"/>
          <w:sz w:val="15"/>
        </w:rPr>
      </w:pPr>
    </w:p>
    <w:p>
      <w:pPr>
        <w:pStyle w:val="BodyText"/>
        <w:spacing w:before="90"/>
        <w:ind w:left="625"/>
      </w:pPr>
      <w:r>
        <w:rPr/>
        <w:t>Where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observed frequency</w:t>
      </w:r>
      <w:r>
        <w:rPr>
          <w:spacing w:val="-5"/>
        </w:rPr>
        <w:t> </w:t>
      </w:r>
      <w:r>
        <w:rPr/>
        <w:t>and E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expected.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4"/>
        </w:numPr>
        <w:tabs>
          <w:tab w:pos="986" w:val="left" w:leader="none"/>
        </w:tabs>
        <w:spacing w:line="240" w:lineRule="auto" w:before="0" w:after="0"/>
        <w:ind w:left="985" w:right="0" w:hanging="361"/>
        <w:jc w:val="left"/>
        <w:rPr>
          <w:b/>
          <w:sz w:val="24"/>
        </w:rPr>
      </w:pPr>
      <w:r>
        <w:rPr>
          <w:b/>
          <w:sz w:val="24"/>
        </w:rPr>
        <w:t>Calculation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rate:</w:t>
      </w:r>
    </w:p>
    <w:p>
      <w:pPr>
        <w:pStyle w:val="BodyText"/>
        <w:spacing w:before="8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ind w:left="236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𝐺𝑟𝑜𝑤𝑡ℎ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𝑅𝑎𝑡𝑒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=</w:t>
      </w:r>
    </w:p>
    <w:p>
      <w:pPr>
        <w:pStyle w:val="BodyText"/>
        <w:spacing w:before="59"/>
        <w:ind w:left="78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𝐶𝑢𝑟𝑟𝑒𝑛𝑡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𝑦𝑒𝑎𝑟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𝐼𝑛𝑖𝑡𝑖𝑎𝑙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𝑦𝑒𝑎𝑟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8.25pt;height:.85pt;mso-position-horizontal-relative:char;mso-position-vertical-relative:line" coordorigin="0,0" coordsize="2965,17">
            <v:rect style="position:absolute;left:0;top:0;width:296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7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𝐼𝑛𝑖𝑡𝑖𝑎𝑙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𝑦𝑒𝑎𝑟</w:t>
      </w:r>
    </w:p>
    <w:p>
      <w:pPr>
        <w:pStyle w:val="BodyText"/>
        <w:spacing w:before="7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16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2240" w:h="15840"/>
          <w:pgMar w:top="1340" w:bottom="1120" w:left="1720" w:right="480"/>
          <w:cols w:num="3" w:equalWidth="0">
            <w:col w:w="3969" w:space="40"/>
            <w:col w:w="3040" w:space="39"/>
            <w:col w:w="2952"/>
          </w:cols>
        </w:sectPr>
      </w:pPr>
    </w:p>
    <w:p>
      <w:pPr>
        <w:spacing w:before="77"/>
        <w:ind w:left="265" w:right="0" w:firstLine="0"/>
        <w:jc w:val="left"/>
        <w:rPr>
          <w:b/>
          <w:sz w:val="24"/>
        </w:rPr>
      </w:pPr>
      <w:r>
        <w:rPr/>
        <w:pict>
          <v:shape style="position:absolute;margin-left:98.544006pt;margin-top:27.673075pt;width:429pt;height:.5pt;mso-position-horizontal-relative:page;mso-position-vertical-relative:paragraph;z-index:15731712" coordorigin="1971,553" coordsize="8580,10" path="m5776,553l5766,553,5766,553,1971,553,1971,563,5766,563,5766,563,5776,563,5776,553xm8558,553l5776,553,5776,563,8558,563,8558,553xm10550,553l8568,553,8558,553,8558,563,8568,563,10550,563,10550,553xe" filled="true" fillcolor="#000000" stroked="false">
            <v:path arrowok="t"/>
            <v:fill type="solid"/>
            <w10:wrap type="none"/>
          </v:shape>
        </w:pict>
      </w:r>
      <w:bookmarkStart w:name="_bookmark50" w:id="85"/>
      <w:bookmarkEnd w:id="85"/>
      <w:r>
        <w:rPr/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Requirements,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Sources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6"/>
        </w:rPr>
      </w:pPr>
    </w:p>
    <w:p>
      <w:pPr>
        <w:tabs>
          <w:tab w:pos="4154" w:val="left" w:leader="none"/>
        </w:tabs>
        <w:spacing w:before="184"/>
        <w:ind w:left="358" w:right="0" w:firstLine="0"/>
        <w:jc w:val="left"/>
        <w:rPr>
          <w:b/>
          <w:sz w:val="24"/>
        </w:rPr>
      </w:pPr>
      <w:r>
        <w:rPr/>
        <w:pict>
          <v:shape style="position:absolute;margin-left:98.544006pt;margin-top:23.163074pt;width:429pt;height:.5pt;mso-position-horizontal-relative:page;mso-position-vertical-relative:paragraph;z-index:15732224" coordorigin="1971,463" coordsize="8580,10" path="m5776,463l5766,463,5766,463,1971,463,1971,473,5766,473,5766,473,5776,473,5776,463xm8558,463l5776,463,5776,473,8558,473,8558,463xm10550,463l8568,463,8558,463,8558,473,8568,473,10550,473,10550,46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Objectives</w:t>
        <w:tab/>
        <w:t>Method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line="275" w:lineRule="exact" w:before="223"/>
        <w:ind w:left="358"/>
      </w:pP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private real</w:t>
      </w:r>
    </w:p>
    <w:p>
      <w:pPr>
        <w:pStyle w:val="BodyText"/>
        <w:tabs>
          <w:tab w:pos="4154" w:val="left" w:leader="none"/>
        </w:tabs>
        <w:spacing w:line="275" w:lineRule="exact"/>
        <w:ind w:left="358"/>
      </w:pPr>
      <w:r>
        <w:rPr/>
        <w:t>estate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Bida</w:t>
        <w:tab/>
        <w:t>Descriptive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252" w:right="1980" w:firstLine="0"/>
        <w:jc w:val="left"/>
        <w:rPr>
          <w:b/>
          <w:sz w:val="24"/>
        </w:rPr>
      </w:pPr>
      <w:r>
        <w:rPr>
          <w:b/>
          <w:sz w:val="24"/>
        </w:rPr>
        <w:t>Analytical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techniques</w:t>
      </w:r>
    </w:p>
    <w:p>
      <w:pPr>
        <w:pStyle w:val="BodyText"/>
        <w:spacing w:line="237" w:lineRule="auto" w:before="226"/>
        <w:ind w:left="252" w:right="1868"/>
      </w:pPr>
      <w:r>
        <w:rPr/>
        <w:t>Simple</w:t>
      </w:r>
      <w:r>
        <w:rPr>
          <w:spacing w:val="-14"/>
        </w:rPr>
        <w:t> </w:t>
      </w:r>
      <w:r>
        <w:rPr/>
        <w:t>chart</w:t>
      </w:r>
      <w:r>
        <w:rPr>
          <w:spacing w:val="-57"/>
        </w:rPr>
        <w:t> </w:t>
      </w:r>
      <w:r>
        <w:rPr/>
        <w:t>Descriptive</w:t>
      </w:r>
    </w:p>
    <w:p>
      <w:pPr>
        <w:spacing w:after="0" w:line="237" w:lineRule="auto"/>
        <w:sectPr>
          <w:pgSz w:w="12240" w:h="15840"/>
          <w:pgMar w:header="0" w:footer="1015" w:top="1340" w:bottom="1200" w:left="1720" w:right="480"/>
          <w:cols w:num="2" w:equalWidth="0">
            <w:col w:w="6654" w:space="40"/>
            <w:col w:w="33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120" w:left="1720" w:right="480"/>
        </w:sect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358"/>
        <w:jc w:val="both"/>
      </w:pP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61"/>
        </w:rPr>
        <w:t> </w:t>
      </w:r>
      <w:r>
        <w:rPr/>
        <w:t>estate</w:t>
      </w:r>
      <w:r>
        <w:rPr>
          <w:spacing w:val="1"/>
        </w:rPr>
        <w:t> </w:t>
      </w:r>
      <w:r>
        <w:rPr/>
        <w:t>supportive infrastructure in the peri-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Bida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78"/>
      </w:pPr>
      <w:r>
        <w:rPr/>
        <w:t>Descriptive/inferential</w:t>
      </w:r>
    </w:p>
    <w:p>
      <w:pPr>
        <w:pStyle w:val="BodyText"/>
        <w:spacing w:before="90"/>
        <w:ind w:left="358" w:right="1677"/>
      </w:pPr>
      <w:r>
        <w:rPr/>
        <w:br w:type="column"/>
      </w:r>
      <w:r>
        <w:rPr/>
        <w:t>Mean</w:t>
      </w:r>
      <w:r>
        <w:rPr>
          <w:spacing w:val="1"/>
        </w:rPr>
        <w:t> </w:t>
      </w:r>
      <w:r>
        <w:rPr>
          <w:spacing w:val="-1"/>
        </w:rPr>
        <w:t>descriptive/chi</w:t>
      </w:r>
      <w:r>
        <w:rPr>
          <w:spacing w:val="-57"/>
        </w:rPr>
        <w:t> </w:t>
      </w:r>
      <w:r>
        <w:rPr/>
        <w:t>square</w:t>
      </w:r>
    </w:p>
    <w:p>
      <w:pPr>
        <w:spacing w:after="0"/>
        <w:sectPr>
          <w:type w:val="continuous"/>
          <w:pgSz w:w="12240" w:h="15840"/>
          <w:pgMar w:top="1340" w:bottom="1120" w:left="1720" w:right="480"/>
          <w:cols w:num="3" w:equalWidth="0">
            <w:col w:w="3937" w:space="40"/>
            <w:col w:w="2374" w:space="236"/>
            <w:col w:w="34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40" w:bottom="1120" w:left="1720" w:right="480"/>
        </w:sectPr>
      </w:pPr>
    </w:p>
    <w:p>
      <w:pPr>
        <w:pStyle w:val="BodyText"/>
        <w:spacing w:before="90"/>
        <w:ind w:left="358" w:right="38"/>
      </w:pPr>
      <w:r>
        <w:rPr/>
        <w:t>To assess the factors influencing</w:t>
      </w:r>
      <w:r>
        <w:rPr>
          <w:spacing w:val="1"/>
        </w:rPr>
        <w:t> </w:t>
      </w:r>
      <w:r>
        <w:rPr/>
        <w:t>private real estate development in</w:t>
      </w:r>
      <w:r>
        <w:rPr>
          <w:spacing w:val="-57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Bida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358"/>
      </w:pPr>
      <w:r>
        <w:rPr/>
        <w:t>Descriptive/inferential</w:t>
      </w:r>
    </w:p>
    <w:p>
      <w:pPr>
        <w:pStyle w:val="BodyText"/>
        <w:spacing w:before="90"/>
        <w:ind w:left="358" w:right="1902"/>
      </w:pPr>
      <w:r>
        <w:rPr/>
        <w:br w:type="column"/>
      </w:r>
      <w:r>
        <w:rPr/>
        <w:t>Mean/factor</w:t>
      </w:r>
      <w:r>
        <w:rPr>
          <w:spacing w:val="-58"/>
        </w:rPr>
        <w:t> </w:t>
      </w:r>
      <w:r>
        <w:rPr/>
        <w:t>analysis</w:t>
      </w:r>
    </w:p>
    <w:p>
      <w:pPr>
        <w:spacing w:after="0"/>
        <w:sectPr>
          <w:type w:val="continuous"/>
          <w:pgSz w:w="12240" w:h="15840"/>
          <w:pgMar w:top="1340" w:bottom="1120" w:left="1720" w:right="480"/>
          <w:cols w:num="3" w:equalWidth="0">
            <w:col w:w="3638" w:space="158"/>
            <w:col w:w="2555" w:space="236"/>
            <w:col w:w="3453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40" w:bottom="1120" w:left="1720" w:right="480"/>
        </w:sectPr>
      </w:pPr>
    </w:p>
    <w:p>
      <w:pPr>
        <w:pStyle w:val="BodyText"/>
        <w:spacing w:before="90"/>
        <w:ind w:left="358"/>
        <w:jc w:val="both"/>
      </w:pPr>
      <w:r>
        <w:rPr/>
        <w:t>To</w:t>
      </w:r>
      <w:r>
        <w:rPr>
          <w:spacing w:val="61"/>
        </w:rPr>
        <w:t> </w:t>
      </w:r>
      <w:r>
        <w:rPr/>
        <w:t>examine the spatial distribution</w:t>
      </w:r>
      <w:r>
        <w:rPr>
          <w:spacing w:val="1"/>
        </w:rPr>
        <w:t> </w:t>
      </w:r>
      <w:r>
        <w:rPr/>
        <w:t>of private real estate development in</w:t>
      </w:r>
      <w:r>
        <w:rPr>
          <w:spacing w:val="1"/>
        </w:rPr>
        <w:t> </w:t>
      </w:r>
      <w:r>
        <w:rPr/>
        <w:t>peri</w:t>
      </w:r>
      <w:r>
        <w:rPr>
          <w:spacing w:val="-1"/>
        </w:rPr>
        <w:t> </w:t>
      </w:r>
      <w:r>
        <w:rPr/>
        <w:t>urban</w:t>
      </w:r>
      <w:r>
        <w:rPr>
          <w:spacing w:val="2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Bida</w:t>
      </w:r>
    </w:p>
    <w:p>
      <w:pPr>
        <w:pStyle w:val="BodyText"/>
        <w:spacing w:before="9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2969" w:val="left" w:leader="none"/>
        </w:tabs>
        <w:ind w:left="177"/>
      </w:pPr>
      <w:r>
        <w:rPr/>
        <w:t>Spatial</w:t>
      </w:r>
      <w:r>
        <w:rPr>
          <w:spacing w:val="-3"/>
        </w:rPr>
        <w:t> </w:t>
      </w:r>
      <w:r>
        <w:rPr/>
        <w:t>analysise</w:t>
        <w:tab/>
        <w:t>ArcGIS</w:t>
      </w:r>
    </w:p>
    <w:p>
      <w:pPr>
        <w:spacing w:after="0"/>
        <w:sectPr>
          <w:type w:val="continuous"/>
          <w:pgSz w:w="12240" w:h="15840"/>
          <w:pgMar w:top="1340" w:bottom="1120" w:left="1720" w:right="480"/>
          <w:cols w:num="2" w:equalWidth="0">
            <w:col w:w="3937" w:space="40"/>
            <w:col w:w="60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0" w:lineRule="exact"/>
        <w:ind w:left="236"/>
        <w:rPr>
          <w:sz w:val="2"/>
        </w:rPr>
      </w:pPr>
      <w:r>
        <w:rPr>
          <w:sz w:val="2"/>
        </w:rPr>
        <w:pict>
          <v:group style="width:429.7pt;height:.5pt;mso-position-horizontal-relative:char;mso-position-vertical-relative:line" coordorigin="0,0" coordsize="8594,10">
            <v:rect style="position:absolute;left:0;top:0;width:859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40" w:bottom="1120" w:left="1720" w:right="480"/>
        </w:sectPr>
      </w:pPr>
    </w:p>
    <w:p>
      <w:pPr>
        <w:spacing w:before="75"/>
        <w:ind w:left="3633" w:right="4307" w:firstLine="0"/>
        <w:jc w:val="center"/>
        <w:rPr>
          <w:b/>
          <w:sz w:val="24"/>
        </w:rPr>
      </w:pPr>
      <w:bookmarkStart w:name="_bookmark51" w:id="86"/>
      <w:bookmarkEnd w:id="86"/>
      <w:r>
        <w:rPr/>
      </w:r>
      <w:r>
        <w:rPr>
          <w:b/>
          <w:sz w:val="24"/>
        </w:rPr>
        <w:t>CHAPTER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3145" w:val="left" w:leader="none"/>
          <w:tab w:pos="3146" w:val="left" w:leader="none"/>
        </w:tabs>
        <w:spacing w:line="240" w:lineRule="auto" w:before="217" w:after="0"/>
        <w:ind w:left="3145" w:right="0" w:hanging="2881"/>
        <w:jc w:val="both"/>
        <w:rPr>
          <w:b/>
          <w:sz w:val="24"/>
        </w:rPr>
      </w:pPr>
      <w:bookmarkStart w:name="_bookmark52" w:id="87"/>
      <w:bookmarkEnd w:id="87"/>
      <w:r>
        <w:rPr/>
      </w:r>
      <w:bookmarkStart w:name="_bookmark52" w:id="88"/>
      <w:bookmarkEnd w:id="88"/>
      <w:r>
        <w:rPr>
          <w:b/>
          <w:sz w:val="24"/>
        </w:rPr>
        <w:t>RESULT</w:t>
      </w:r>
      <w:r>
        <w:rPr>
          <w:b/>
          <w:sz w:val="24"/>
        </w:rPr>
        <w:t>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986" w:val="left" w:leader="none"/>
        </w:tabs>
        <w:spacing w:line="240" w:lineRule="auto" w:before="217" w:after="0"/>
        <w:ind w:left="985" w:right="0" w:hanging="721"/>
        <w:jc w:val="both"/>
        <w:rPr>
          <w:b/>
          <w:sz w:val="24"/>
        </w:rPr>
      </w:pPr>
      <w:bookmarkStart w:name="_bookmark53" w:id="89"/>
      <w:bookmarkEnd w:id="89"/>
      <w:r>
        <w:rPr/>
      </w:r>
      <w:bookmarkStart w:name="_bookmark53" w:id="90"/>
      <w:bookmarkEnd w:id="90"/>
      <w:r>
        <w:rPr>
          <w:b/>
          <w:sz w:val="24"/>
        </w:rPr>
        <w:t>In</w:t>
      </w:r>
      <w:r>
        <w:rPr>
          <w:b/>
          <w:sz w:val="24"/>
        </w:rPr>
        <w:t>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7"/>
        <w:jc w:val="both"/>
      </w:pPr>
      <w:r>
        <w:rPr/>
        <w:t>The chapter presents the result of the study using both descriptive and inferential analysis.</w:t>
      </w:r>
      <w:r>
        <w:rPr>
          <w:spacing w:val="1"/>
        </w:rPr>
        <w:t> </w:t>
      </w:r>
      <w:r>
        <w:rPr/>
        <w:t>The chapter first present the socio-economic or demographic information of peri-urban</w:t>
      </w:r>
      <w:r>
        <w:rPr>
          <w:spacing w:val="1"/>
        </w:rPr>
        <w:t> </w:t>
      </w:r>
      <w:r>
        <w:rPr/>
        <w:t>dwellers, major human activities and analysis of the drivers of peri-urban development and</w:t>
      </w:r>
      <w:r>
        <w:rPr>
          <w:spacing w:val="1"/>
        </w:rPr>
        <w:t> </w:t>
      </w:r>
      <w:r>
        <w:rPr/>
        <w:t>analysis of factors influencing peri-urban development is also presented. The chapter also</w:t>
      </w:r>
      <w:r>
        <w:rPr>
          <w:spacing w:val="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findings.</w:t>
      </w:r>
    </w:p>
    <w:p>
      <w:pPr>
        <w:pStyle w:val="ListParagraph"/>
        <w:numPr>
          <w:ilvl w:val="1"/>
          <w:numId w:val="5"/>
        </w:numPr>
        <w:tabs>
          <w:tab w:pos="986" w:val="left" w:leader="none"/>
        </w:tabs>
        <w:spacing w:line="240" w:lineRule="auto" w:before="5" w:after="0"/>
        <w:ind w:left="985" w:right="0" w:hanging="721"/>
        <w:jc w:val="both"/>
        <w:rPr>
          <w:b/>
          <w:sz w:val="24"/>
        </w:rPr>
      </w:pPr>
      <w:bookmarkStart w:name="_bookmark54" w:id="91"/>
      <w:bookmarkEnd w:id="91"/>
      <w:r>
        <w:rPr/>
      </w:r>
      <w:bookmarkStart w:name="_bookmark54" w:id="92"/>
      <w:bookmarkEnd w:id="92"/>
      <w:r>
        <w:rPr>
          <w:b/>
          <w:sz w:val="24"/>
        </w:rPr>
        <w:t>S</w:t>
      </w:r>
      <w:r>
        <w:rPr>
          <w:b/>
          <w:sz w:val="24"/>
        </w:rPr>
        <w:t>ocioeconomic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Dwellers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986" w:val="left" w:leader="none"/>
        </w:tabs>
        <w:spacing w:line="240" w:lineRule="auto" w:before="217" w:after="0"/>
        <w:ind w:left="985" w:right="0" w:hanging="721"/>
        <w:jc w:val="both"/>
        <w:rPr>
          <w:b/>
          <w:sz w:val="24"/>
        </w:rPr>
      </w:pPr>
      <w:bookmarkStart w:name="_bookmark55" w:id="93"/>
      <w:bookmarkEnd w:id="93"/>
      <w:r>
        <w:rPr/>
      </w:r>
      <w:bookmarkStart w:name="_bookmark55" w:id="94"/>
      <w:bookmarkEnd w:id="94"/>
      <w:r>
        <w:rPr>
          <w:b/>
          <w:sz w:val="24"/>
        </w:rPr>
        <w:t>De</w:t>
      </w:r>
      <w:r>
        <w:rPr>
          <w:b/>
          <w:sz w:val="24"/>
        </w:rPr>
        <w:t>mographic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Characteristics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015" w:top="1340" w:bottom="1200" w:left="1720" w:right="480"/>
        </w:sectPr>
      </w:pPr>
    </w:p>
    <w:p>
      <w:pPr>
        <w:spacing w:before="90"/>
        <w:ind w:left="265" w:right="0" w:firstLine="0"/>
        <w:jc w:val="left"/>
        <w:rPr>
          <w:b/>
          <w:sz w:val="24"/>
        </w:rPr>
      </w:pPr>
      <w:bookmarkStart w:name="_bookmark56" w:id="95"/>
      <w:bookmarkEnd w:id="95"/>
      <w:r>
        <w:rPr/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Demographic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3055" w:val="left" w:leader="none"/>
          <w:tab w:pos="4280" w:val="left" w:leader="none"/>
          <w:tab w:pos="5566" w:val="left" w:leader="none"/>
        </w:tabs>
        <w:ind w:right="128"/>
        <w:jc w:val="right"/>
      </w:pPr>
      <w:r>
        <w:rPr/>
        <w:pict>
          <v:shape style="position:absolute;margin-left:100.220001pt;margin-top:-1.876879pt;width:402.6pt;height:2.2pt;mso-position-horizontal-relative:page;mso-position-vertical-relative:paragraph;z-index:15732736" coordorigin="2004,-38" coordsize="8052,44" path="m5053,-38l2004,-38,2004,6,5053,6,5053,-38xm8587,-38l7252,-38,7209,-38,6244,-38,6201,-38,6201,-38,5096,-38,5053,-38,5053,6,5096,6,6201,6,6201,6,6244,6,7209,6,7252,6,8587,6,8587,-38xm10056,-38l8630,-38,8587,-38,8587,6,8630,6,10056,6,10056,-38xe" filled="true" fillcolor="#000000" stroked="false">
            <v:path arrowok="t"/>
            <v:fill type="solid"/>
            <w10:wrap type="none"/>
          </v:shape>
        </w:pict>
      </w:r>
      <w:r>
        <w:rPr/>
        <w:t>Demographic</w:t>
      </w:r>
      <w:r>
        <w:rPr>
          <w:spacing w:val="1"/>
        </w:rPr>
        <w:t> </w:t>
      </w:r>
      <w:r>
        <w:rPr/>
        <w:t>Information</w:t>
        <w:tab/>
        <w:t>Frequency</w:t>
        <w:tab/>
        <w:t>Percent</w:t>
        <w:tab/>
        <w:t>Valid</w:t>
      </w:r>
    </w:p>
    <w:p>
      <w:pPr>
        <w:pStyle w:val="BodyText"/>
        <w:ind w:right="38"/>
        <w:jc w:val="right"/>
      </w:pPr>
      <w:r>
        <w:rPr/>
        <w:t>Percent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466" w:right="1861" w:hanging="202"/>
      </w:pPr>
      <w:r>
        <w:rPr/>
        <w:t>Cumulative</w:t>
      </w:r>
      <w:r>
        <w:rPr>
          <w:spacing w:val="-57"/>
        </w:rPr>
        <w:t> </w:t>
      </w:r>
      <w:r>
        <w:rPr/>
        <w:t>Percent</w:t>
      </w:r>
    </w:p>
    <w:p>
      <w:pPr>
        <w:spacing w:after="0"/>
        <w:sectPr>
          <w:type w:val="continuous"/>
          <w:pgSz w:w="12240" w:h="15840"/>
          <w:pgMar w:top="1340" w:bottom="1120" w:left="1720" w:right="480"/>
          <w:cols w:num="2" w:equalWidth="0">
            <w:col w:w="6575" w:space="200"/>
            <w:col w:w="32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284"/>
      </w:pPr>
      <w:r>
        <w:rPr/>
        <w:pict>
          <v:shape style="position:absolute;margin-left:99.862pt;margin-top:-175.606873pt;width:402.95pt;height:225.3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33"/>
                    <w:gridCol w:w="1144"/>
                    <w:gridCol w:w="1193"/>
                    <w:gridCol w:w="1424"/>
                    <w:gridCol w:w="1065"/>
                  </w:tblGrid>
                  <w:tr>
                    <w:trPr>
                      <w:trHeight w:val="272" w:hRule="atLeast"/>
                    </w:trPr>
                    <w:tc>
                      <w:tcPr>
                        <w:tcW w:w="323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004" w:right="1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Male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85.5</w:t>
                        </w:r>
                      </w:p>
                    </w:tc>
                    <w:tc>
                      <w:tcPr>
                        <w:tcW w:w="1424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85.5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85.5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tabs>
                            <w:tab w:pos="1238" w:val="left" w:leader="none"/>
                          </w:tabs>
                          <w:spacing w:line="256" w:lineRule="exact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Gender</w:t>
                          <w:tab/>
                          <w:t>Female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14.5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14.5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17" w:right="1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4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61" w:lineRule="exact" w:before="133"/>
                          <w:ind w:left="1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18-30year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1" w:lineRule="exact" w:before="133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61" w:lineRule="exact" w:before="133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61" w:lineRule="exact" w:before="133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61" w:lineRule="exact" w:before="133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tabs>
                            <w:tab w:pos="1238" w:val="left" w:leader="none"/>
                          </w:tabs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Age</w:t>
                          <w:tab/>
                          <w:t>31-40year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38.3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38.3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44.3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41-50year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35.7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35.7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80.0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51-60year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14.0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94.0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Above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61years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017" w:right="1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71" w:lineRule="exact"/>
                          <w:ind w:right="4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before="133"/>
                          <w:ind w:left="1124" w:right="1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Single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133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133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17.9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before="133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17.9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133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17.9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tabs>
                            <w:tab w:pos="1238" w:val="left" w:leader="none"/>
                          </w:tabs>
                          <w:spacing w:line="158" w:lineRule="auto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Marital</w:t>
                          <w:tab/>
                        </w:r>
                        <w:r>
                          <w:rPr>
                            <w:position w:val="-13"/>
                            <w:sz w:val="24"/>
                          </w:rPr>
                          <w:t>Married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64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183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64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77.9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before="64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77.9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64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95.7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3233" w:type="dxa"/>
                      </w:tcPr>
                      <w:p>
                        <w:pPr>
                          <w:pStyle w:val="TableParagraph"/>
                          <w:spacing w:line="261" w:lineRule="exact" w:before="63"/>
                          <w:ind w:left="1219" w:right="1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Widow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1" w:lineRule="exact" w:before="63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61" w:lineRule="exact" w:before="63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line="261" w:lineRule="exact" w:before="63"/>
                          <w:ind w:right="4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261" w:lineRule="exact" w:before="63"/>
                          <w:ind w:right="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23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017" w:right="12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14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right="2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right="4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  <w:tc>
                      <w:tcPr>
                        <w:tcW w:w="1424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right="4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  <w:tc>
                      <w:tcPr>
                        <w:tcW w:w="10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status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265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spacing w:after="0"/>
        <w:sectPr>
          <w:type w:val="continuous"/>
          <w:pgSz w:w="12240" w:h="15840"/>
          <w:pgMar w:top="1340" w:bottom="1120" w:left="1720" w:right="480"/>
        </w:sectPr>
      </w:pPr>
    </w:p>
    <w:p>
      <w:pPr>
        <w:pStyle w:val="BodyText"/>
        <w:spacing w:line="480" w:lineRule="auto" w:before="70"/>
        <w:ind w:left="265" w:right="932"/>
        <w:jc w:val="both"/>
      </w:pPr>
      <w:r>
        <w:rPr/>
        <w:t>Demographic information of respondents presented in table 4.1showed that 85.5% majority</w:t>
      </w:r>
      <w:r>
        <w:rPr>
          <w:spacing w:val="-57"/>
        </w:rPr>
        <w:t> </w:t>
      </w:r>
      <w:r>
        <w:rPr/>
        <w:t>of the respondents   were male, 38.3% majority of the respondent falls within the age</w:t>
      </w:r>
      <w:r>
        <w:rPr>
          <w:spacing w:val="1"/>
        </w:rPr>
        <w:t> </w:t>
      </w:r>
      <w:r>
        <w:rPr/>
        <w:t>bracket</w:t>
      </w:r>
      <w:r>
        <w:rPr>
          <w:spacing w:val="1"/>
        </w:rPr>
        <w:t> </w:t>
      </w:r>
      <w:r>
        <w:rPr/>
        <w:t>and 77.9%</w:t>
      </w:r>
      <w:r>
        <w:rPr>
          <w:spacing w:val="-1"/>
        </w:rPr>
        <w:t> </w:t>
      </w:r>
      <w:r>
        <w:rPr/>
        <w:t>majority</w:t>
      </w:r>
      <w:r>
        <w:rPr>
          <w:spacing w:val="-5"/>
        </w:rPr>
        <w:t> </w:t>
      </w:r>
      <w:r>
        <w:rPr/>
        <w:t>of respondents were married</w:t>
      </w:r>
      <w:r>
        <w:rPr>
          <w:spacing w:val="-1"/>
        </w:rPr>
        <w:t> </w:t>
      </w:r>
      <w:r>
        <w:rPr/>
        <w:t>men</w:t>
      </w:r>
      <w:r>
        <w:rPr>
          <w:spacing w:val="1"/>
        </w:rPr>
        <w:t> </w:t>
      </w:r>
      <w:r>
        <w:rPr/>
        <w:t>and women..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bookmarkStart w:name="_bookmark57" w:id="96"/>
      <w:bookmarkEnd w:id="96"/>
      <w:r>
        <w:rPr/>
      </w:r>
      <w:bookmarkStart w:name="_bookmark57" w:id="97"/>
      <w:bookmarkEnd w:id="97"/>
      <w:r>
        <w:rPr>
          <w:b/>
          <w:sz w:val="24"/>
        </w:rPr>
        <w:t>T</w:t>
      </w:r>
      <w:r>
        <w:rPr>
          <w:b/>
          <w:sz w:val="24"/>
        </w:rPr>
        <w:t>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private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Bida Peri-Urban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933"/>
        <w:jc w:val="both"/>
      </w:pPr>
      <w:r>
        <w:rPr/>
        <w:t>This objective requires the type of real estate development in Bida,</w:t>
      </w:r>
      <w:r>
        <w:rPr>
          <w:spacing w:val="1"/>
        </w:rPr>
        <w:t> </w:t>
      </w:r>
      <w:r>
        <w:rPr/>
        <w:t>peri-urban areas. The</w:t>
      </w:r>
      <w:r>
        <w:rPr>
          <w:spacing w:val="1"/>
        </w:rPr>
        <w:t> </w:t>
      </w:r>
      <w:r>
        <w:rPr/>
        <w:t>objective also comprised both income level ownership and the nature of ownership of real</w:t>
      </w:r>
      <w:r>
        <w:rPr>
          <w:spacing w:val="1"/>
        </w:rPr>
        <w:t> </w:t>
      </w:r>
      <w:r>
        <w:rPr/>
        <w:t>estate</w:t>
      </w:r>
      <w:r>
        <w:rPr>
          <w:spacing w:val="58"/>
        </w:rPr>
        <w:t> </w:t>
      </w:r>
      <w:r>
        <w:rPr/>
        <w:t>development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1422294</wp:posOffset>
            </wp:positionH>
            <wp:positionV relativeFrom="paragraph">
              <wp:posOffset>238572</wp:posOffset>
            </wp:positionV>
            <wp:extent cx="5381058" cy="3348513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058" cy="334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0"/>
        <w:ind w:left="265" w:right="0" w:firstLine="0"/>
        <w:jc w:val="both"/>
        <w:rPr>
          <w:b/>
          <w:sz w:val="24"/>
        </w:rPr>
      </w:pPr>
      <w:bookmarkStart w:name="_bookmark58" w:id="98"/>
      <w:bookmarkEnd w:id="98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spacing w:before="34"/>
        <w:ind w:left="265"/>
        <w:jc w:val="both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5" w:right="934"/>
        <w:jc w:val="both"/>
      </w:pPr>
      <w:r>
        <w:rPr/>
        <w:t>The result of major land use activities in peri-urban area of Bida presented in figure 4.2</w:t>
      </w:r>
      <w:r>
        <w:rPr>
          <w:spacing w:val="1"/>
        </w:rPr>
        <w:t> </w:t>
      </w:r>
      <w:r>
        <w:rPr/>
        <w:t>showed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89.36%</w:t>
      </w:r>
      <w:r>
        <w:rPr>
          <w:spacing w:val="8"/>
        </w:rPr>
        <w:t> </w:t>
      </w:r>
      <w:r>
        <w:rPr/>
        <w:t>majority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peri-urban</w:t>
      </w:r>
      <w:r>
        <w:rPr>
          <w:spacing w:val="9"/>
        </w:rPr>
        <w:t> </w:t>
      </w:r>
      <w:r>
        <w:rPr/>
        <w:t>dwellers</w:t>
      </w:r>
      <w:r>
        <w:rPr>
          <w:spacing w:val="8"/>
        </w:rPr>
        <w:t> </w:t>
      </w:r>
      <w:r>
        <w:rPr/>
        <w:t>involved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residential</w:t>
      </w:r>
      <w:r>
        <w:rPr>
          <w:spacing w:val="9"/>
        </w:rPr>
        <w:t> </w:t>
      </w:r>
      <w:r>
        <w:rPr/>
        <w:t>land</w:t>
      </w:r>
      <w:r>
        <w:rPr>
          <w:spacing w:val="8"/>
        </w:rPr>
        <w:t> </w:t>
      </w:r>
      <w:r>
        <w:rPr/>
        <w:t>use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line="480" w:lineRule="auto" w:before="70"/>
        <w:ind w:left="265" w:right="934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1422784</wp:posOffset>
            </wp:positionH>
            <wp:positionV relativeFrom="paragraph">
              <wp:posOffset>783061</wp:posOffset>
            </wp:positionV>
            <wp:extent cx="5428705" cy="491890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705" cy="491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activities, 2.98% of peri-urban dwellers involved in commercial land use activities and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7.66%</w:t>
      </w:r>
      <w:r>
        <w:rPr>
          <w:spacing w:val="-2"/>
        </w:rPr>
        <w:t> </w:t>
      </w:r>
      <w:r>
        <w:rPr/>
        <w:t>involved in subsistence</w:t>
      </w:r>
      <w:r>
        <w:rPr>
          <w:spacing w:val="-1"/>
        </w:rPr>
        <w:t> </w:t>
      </w:r>
      <w:r>
        <w:rPr/>
        <w:t>agriculture.</w:t>
      </w:r>
    </w:p>
    <w:p>
      <w:pPr>
        <w:spacing w:before="180"/>
        <w:ind w:left="265" w:right="0" w:firstLine="0"/>
        <w:jc w:val="both"/>
        <w:rPr>
          <w:b/>
          <w:sz w:val="24"/>
        </w:rPr>
      </w:pPr>
      <w:bookmarkStart w:name="_bookmark59" w:id="99"/>
      <w:bookmarkEnd w:id="99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Main Occupation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Dwellers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34"/>
        <w:ind w:left="265"/>
        <w:jc w:val="both"/>
      </w:pPr>
      <w:r>
        <w:rPr/>
        <w:t>Source:</w:t>
      </w:r>
      <w:r>
        <w:rPr>
          <w:spacing w:val="58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pStyle w:val="BodyText"/>
      </w:pPr>
    </w:p>
    <w:p>
      <w:pPr>
        <w:pStyle w:val="BodyText"/>
        <w:spacing w:line="480" w:lineRule="auto"/>
        <w:ind w:left="265" w:right="937"/>
        <w:jc w:val="both"/>
      </w:pPr>
      <w:r>
        <w:rPr/>
        <w:t>The main occupation of peri-urban dwellers in Bida presented in figure 4.1 revealed that</w:t>
      </w:r>
      <w:r>
        <w:rPr>
          <w:spacing w:val="1"/>
        </w:rPr>
        <w:t> </w:t>
      </w:r>
      <w:r>
        <w:rPr/>
        <w:t>68.09% of the respondent were civil servants. 24.26% were farmers, 4.68% and 2.97%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were artisan</w:t>
      </w:r>
      <w:r>
        <w:rPr>
          <w:spacing w:val="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servants.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0"/>
        </w:rPr>
      </w:pPr>
    </w:p>
    <w:p>
      <w:pPr>
        <w:pStyle w:val="BodyText"/>
        <w:ind w:left="519"/>
        <w:rPr>
          <w:sz w:val="20"/>
        </w:rPr>
      </w:pPr>
      <w:r>
        <w:rPr>
          <w:sz w:val="20"/>
        </w:rPr>
        <w:drawing>
          <wp:inline distT="0" distB="0" distL="0" distR="0">
            <wp:extent cx="5407046" cy="389572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46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90"/>
        <w:ind w:left="265" w:right="0" w:firstLine="0"/>
        <w:jc w:val="left"/>
        <w:rPr>
          <w:b/>
          <w:sz w:val="24"/>
        </w:rPr>
      </w:pPr>
      <w:bookmarkStart w:name="_bookmark60" w:id="100"/>
      <w:bookmarkEnd w:id="100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Income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Dwellers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33"/>
        <w:ind w:left="26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2019</w:t>
      </w:r>
    </w:p>
    <w:p>
      <w:pPr>
        <w:pStyle w:val="BodyText"/>
      </w:pPr>
    </w:p>
    <w:p>
      <w:pPr>
        <w:pStyle w:val="BodyText"/>
        <w:spacing w:line="480" w:lineRule="auto"/>
        <w:ind w:left="265" w:right="933"/>
        <w:jc w:val="both"/>
      </w:pPr>
      <w:r>
        <w:rPr/>
        <w:t>The income level of respondent presented in figure 4.3 revealed that 82.98% of urban</w:t>
      </w:r>
      <w:r>
        <w:rPr>
          <w:spacing w:val="1"/>
        </w:rPr>
        <w:t> </w:t>
      </w:r>
      <w:r>
        <w:rPr/>
        <w:t>dwellers fall within the high income group, 13.19% and 3.83% fall within the low and</w:t>
      </w:r>
      <w:r>
        <w:rPr>
          <w:spacing w:val="1"/>
        </w:rPr>
        <w:t> </w:t>
      </w:r>
      <w:r>
        <w:rPr/>
        <w:t>middle income respectively. The implication is that majority of peri-urban dwellers in Bida</w:t>
      </w:r>
      <w:r>
        <w:rPr>
          <w:spacing w:val="1"/>
        </w:rPr>
        <w:t> </w:t>
      </w:r>
      <w:r>
        <w:rPr/>
        <w:t>are high income earners who moved out congested urban area to peri-urban in to have open</w:t>
      </w:r>
      <w:r>
        <w:rPr>
          <w:spacing w:val="1"/>
        </w:rPr>
        <w:t> </w:t>
      </w:r>
      <w:r>
        <w:rPr/>
        <w:t>space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ventilation easthetics and</w:t>
      </w:r>
      <w:r>
        <w:rPr>
          <w:spacing w:val="2"/>
        </w:rPr>
        <w:t> </w:t>
      </w:r>
      <w:r>
        <w:rPr/>
        <w:t>good atmosphere.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519"/>
        <w:rPr>
          <w:sz w:val="20"/>
        </w:rPr>
      </w:pPr>
      <w:r>
        <w:rPr>
          <w:sz w:val="20"/>
        </w:rPr>
        <w:drawing>
          <wp:inline distT="0" distB="0" distL="0" distR="0">
            <wp:extent cx="5407046" cy="410527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46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0"/>
        <w:ind w:left="265" w:right="0" w:firstLine="0"/>
        <w:jc w:val="left"/>
        <w:rPr>
          <w:b/>
          <w:sz w:val="24"/>
        </w:rPr>
      </w:pPr>
      <w:bookmarkStart w:name="_bookmark61" w:id="101"/>
      <w:bookmarkEnd w:id="101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land ownership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Per-Urban of Bida</w:t>
      </w:r>
    </w:p>
    <w:p>
      <w:pPr>
        <w:pStyle w:val="BodyText"/>
        <w:spacing w:before="34"/>
        <w:ind w:left="26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pStyle w:val="BodyText"/>
      </w:pPr>
    </w:p>
    <w:p>
      <w:pPr>
        <w:pStyle w:val="BodyText"/>
        <w:spacing w:line="480" w:lineRule="auto"/>
        <w:ind w:left="265" w:right="937"/>
        <w:jc w:val="both"/>
      </w:pPr>
      <w:r>
        <w:rPr/>
        <w:t>The nature of land</w:t>
      </w:r>
      <w:r>
        <w:rPr>
          <w:spacing w:val="1"/>
        </w:rPr>
        <w:t> </w:t>
      </w:r>
      <w:r>
        <w:rPr/>
        <w:t>ownership in Bida is presented in Figure 4.4. 94.04% majority of urban</w:t>
      </w:r>
      <w:r>
        <w:rPr>
          <w:spacing w:val="1"/>
        </w:rPr>
        <w:t> </w:t>
      </w:r>
      <w:r>
        <w:rPr/>
        <w:t>dweller develop their own property individually represents. While 2.97% for corporate and</w:t>
      </w:r>
      <w:r>
        <w:rPr>
          <w:spacing w:val="1"/>
        </w:rPr>
        <w:t> </w:t>
      </w:r>
      <w:r>
        <w:rPr/>
        <w:t>public ownership each. This further indicates that individual property development is most</w:t>
      </w:r>
      <w:r>
        <w:rPr>
          <w:spacing w:val="1"/>
        </w:rPr>
        <w:t> </w:t>
      </w:r>
      <w:r>
        <w:rPr/>
        <w:t>predominant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ownership of</w:t>
      </w:r>
      <w:r>
        <w:rPr>
          <w:spacing w:val="-1"/>
        </w:rPr>
        <w:t> </w:t>
      </w:r>
      <w:r>
        <w:rPr/>
        <w:t>property</w:t>
      </w:r>
      <w:r>
        <w:rPr>
          <w:spacing w:val="-3"/>
        </w:rPr>
        <w:t> </w:t>
      </w:r>
      <w:r>
        <w:rPr/>
        <w:t>in peri-urban area</w:t>
      </w:r>
      <w:r>
        <w:rPr>
          <w:spacing w:val="-1"/>
        </w:rPr>
        <w:t> </w:t>
      </w:r>
      <w:r>
        <w:rPr/>
        <w:t>of Bida.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480"/>
        </w:sectPr>
      </w:pPr>
    </w:p>
    <w:p>
      <w:pPr>
        <w:spacing w:before="77"/>
        <w:ind w:left="265" w:right="0" w:firstLine="0"/>
        <w:jc w:val="left"/>
        <w:rPr>
          <w:b/>
          <w:sz w:val="24"/>
        </w:rPr>
      </w:pPr>
      <w:r>
        <w:rPr/>
        <w:pict>
          <v:shape style="position:absolute;margin-left:99.862pt;margin-top:28.753107pt;width:434.55pt;height:182.5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72"/>
                    <w:gridCol w:w="1113"/>
                    <w:gridCol w:w="1142"/>
                    <w:gridCol w:w="1265"/>
                  </w:tblGrid>
                  <w:tr>
                    <w:trPr>
                      <w:trHeight w:val="317" w:hRule="atLeast"/>
                    </w:trPr>
                    <w:tc>
                      <w:tcPr>
                        <w:tcW w:w="5172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56" w:val="left" w:leader="none"/>
                          </w:tabs>
                          <w:spacing w:line="258" w:lineRule="exact" w:before="39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Condition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Peri-urban</w:t>
                          <w:tab/>
                          <w:t>N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9"/>
                          <w:ind w:left="228" w:right="1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9"/>
                          <w:ind w:left="2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9"/>
                          <w:ind w:left="3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RII</w:t>
                        </w: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517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23" w:val="right" w:leader="none"/>
                          </w:tabs>
                          <w:spacing w:before="36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Rapid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but unplanned growth with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left="228" w:right="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640.00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2.723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97"/>
                          <w:ind w:lef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559" w:hRule="atLeast"/>
                    </w:trPr>
                    <w:tc>
                      <w:tcPr>
                        <w:tcW w:w="5172" w:type="dxa"/>
                      </w:tcPr>
                      <w:p>
                        <w:pPr>
                          <w:pStyle w:val="TableParagraph"/>
                          <w:tabs>
                            <w:tab w:pos="4563" w:val="left" w:leader="none"/>
                          </w:tabs>
                          <w:spacing w:before="17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Unplanned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accelerated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development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76"/>
                          <w:ind w:left="228" w:right="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629.00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76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2.676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176"/>
                          <w:ind w:lef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5172" w:type="dxa"/>
                      </w:tcPr>
                      <w:p>
                        <w:pPr>
                          <w:pStyle w:val="TableParagraph"/>
                          <w:tabs>
                            <w:tab w:pos="4923" w:val="right" w:leader="none"/>
                          </w:tabs>
                          <w:spacing w:before="97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Decrease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 rural primary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activities:</w:t>
                          <w:tab/>
                          <w:t>235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97"/>
                          <w:ind w:left="228" w:right="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627.00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97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2.668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7"/>
                          <w:ind w:lef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5172" w:type="dxa"/>
                      </w:tcPr>
                      <w:p>
                        <w:pPr>
                          <w:pStyle w:val="TableParagraph"/>
                          <w:tabs>
                            <w:tab w:pos="4563" w:val="left" w:leader="none"/>
                          </w:tabs>
                          <w:spacing w:line="172" w:lineRule="auto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Increase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demand for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residential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housing</w:t>
                          <w:tab/>
                        </w:r>
                        <w:r>
                          <w:rPr>
                            <w:position w:val="-15"/>
                            <w:sz w:val="24"/>
                          </w:rPr>
                          <w:t>235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97"/>
                          <w:ind w:left="228" w:right="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634.00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97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2.697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7"/>
                          <w:ind w:lef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5172" w:type="dxa"/>
                      </w:tcPr>
                      <w:p>
                        <w:pPr>
                          <w:pStyle w:val="TableParagraph"/>
                          <w:tabs>
                            <w:tab w:pos="4923" w:val="right" w:leader="none"/>
                          </w:tabs>
                          <w:spacing w:before="97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Poor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accessibility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 Peri-urban Area</w:t>
                          <w:tab/>
                          <w:t>235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97"/>
                          <w:ind w:left="228" w:right="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639.00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97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2.677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97"/>
                          <w:ind w:lef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172" w:type="dxa"/>
                      </w:tcPr>
                      <w:p>
                        <w:pPr>
                          <w:pStyle w:val="TableParagraph"/>
                          <w:tabs>
                            <w:tab w:pos="4923" w:val="right" w:leader="none"/>
                          </w:tabs>
                          <w:spacing w:before="18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Lack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lay-out plan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development</w:t>
                          <w:tab/>
                          <w:t>235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18"/>
                          <w:ind w:left="228" w:right="1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620.00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8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2.593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spacing w:before="18"/>
                          <w:ind w:left="4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517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923" w:val="right" w:leader="none"/>
                          </w:tabs>
                          <w:spacing w:line="263" w:lineRule="exact" w:before="16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Valid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 (listwise)</w:t>
                          <w:tab/>
                          <w:t>235</w:t>
                        </w:r>
                      </w:p>
                    </w:tc>
                    <w:tc>
                      <w:tcPr>
                        <w:tcW w:w="111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26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62" w:id="102"/>
      <w:bookmarkEnd w:id="102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Bida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spacing w:line="556" w:lineRule="auto" w:before="1"/>
        <w:ind w:left="284" w:right="6017"/>
      </w:pPr>
      <w:r>
        <w:rPr/>
        <w:t>inadequate service infrastructure</w:t>
      </w:r>
      <w:r>
        <w:rPr>
          <w:spacing w:val="1"/>
        </w:rPr>
        <w:t> </w:t>
      </w:r>
      <w:r>
        <w:rPr/>
        <w:t>residential</w:t>
      </w:r>
      <w:r>
        <w:rPr>
          <w:spacing w:val="-4"/>
        </w:rPr>
        <w:t> </w:t>
      </w:r>
      <w:r>
        <w:rPr/>
        <w:t>and</w:t>
      </w:r>
      <w:r>
        <w:rPr>
          <w:spacing w:val="52"/>
        </w:rPr>
        <w:t> </w:t>
      </w:r>
      <w:r>
        <w:rPr/>
        <w:t>urban</w:t>
      </w:r>
      <w:r>
        <w:rPr>
          <w:spacing w:val="-4"/>
        </w:rPr>
        <w:t> </w:t>
      </w:r>
      <w:r>
        <w:rPr/>
        <w:t>commercial</w:t>
      </w:r>
      <w:r>
        <w:rPr>
          <w:spacing w:val="-4"/>
        </w:rPr>
        <w:t> </w:t>
      </w:r>
      <w:r>
        <w:rPr/>
        <w:t>uses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84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265"/>
      </w:pPr>
      <w:r>
        <w:rPr/>
        <w:t>Source: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2019</w:t>
      </w:r>
    </w:p>
    <w:p>
      <w:pPr>
        <w:pStyle w:val="BodyText"/>
      </w:pPr>
    </w:p>
    <w:p>
      <w:pPr>
        <w:pStyle w:val="BodyText"/>
        <w:spacing w:line="480" w:lineRule="auto"/>
        <w:ind w:left="265" w:right="931"/>
        <w:jc w:val="both"/>
      </w:pPr>
      <w:r>
        <w:rPr/>
        <w:t>The nature of peri-urban area of Bida presented in table 4.2 showed the result of 3-piont</w:t>
      </w:r>
      <w:r>
        <w:rPr>
          <w:spacing w:val="1"/>
        </w:rPr>
        <w:t> </w:t>
      </w:r>
      <w:r>
        <w:rPr/>
        <w:t>likert scaling to rate condition of peri-urban area.</w:t>
      </w:r>
      <w:r>
        <w:rPr>
          <w:spacing w:val="1"/>
        </w:rPr>
        <w:t> </w:t>
      </w:r>
      <w:r>
        <w:rPr/>
        <w:t>the study revealed that</w:t>
      </w:r>
      <w:r>
        <w:rPr>
          <w:spacing w:val="60"/>
        </w:rPr>
        <w:t> </w:t>
      </w:r>
      <w:r>
        <w:rPr/>
        <w:t>there was rapid</w:t>
      </w:r>
      <w:r>
        <w:rPr>
          <w:spacing w:val="1"/>
        </w:rPr>
        <w:t> </w:t>
      </w:r>
      <w:r>
        <w:rPr/>
        <w:t>and unplanned growth with inadequate service infrastructure around peri-urban area of bida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demand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residential development characterized by peri- urban area of Bida with adequate service</w:t>
      </w:r>
      <w:r>
        <w:rPr>
          <w:spacing w:val="1"/>
        </w:rPr>
        <w:t> </w:t>
      </w:r>
      <w:r>
        <w:rPr/>
        <w:t>infrastructure and the response rate is give at relatively 90%. Unplanned and accelerated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residential 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commercial land uses</w:t>
      </w:r>
      <w:r>
        <w:rPr>
          <w:spacing w:val="60"/>
        </w:rPr>
        <w:t> </w:t>
      </w:r>
      <w:r>
        <w:rPr/>
        <w:t>characterized the peri-urban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relatively 89%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accessibility to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characterized the area at given 89% response rate. Decrease in rural primary activities also</w:t>
      </w:r>
      <w:r>
        <w:rPr>
          <w:spacing w:val="1"/>
        </w:rPr>
        <w:t> </w:t>
      </w:r>
      <w:r>
        <w:rPr/>
        <w:t>characterized the</w:t>
      </w:r>
      <w:r>
        <w:rPr>
          <w:spacing w:val="1"/>
        </w:rPr>
        <w:t> </w:t>
      </w:r>
      <w:r>
        <w:rPr/>
        <w:t>peri-urban area of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at a given response rate 88%.</w:t>
      </w:r>
      <w:r>
        <w:rPr>
          <w:spacing w:val="60"/>
        </w:rPr>
        <w:t> </w:t>
      </w:r>
      <w:r>
        <w:rPr/>
        <w:t>Poor lay out plan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development is also</w:t>
      </w:r>
      <w:r>
        <w:rPr>
          <w:spacing w:val="-1"/>
        </w:rPr>
        <w:t> </w:t>
      </w:r>
      <w:r>
        <w:rPr/>
        <w:t>characterized the area at 88% response</w:t>
      </w:r>
      <w:r>
        <w:rPr>
          <w:spacing w:val="1"/>
        </w:rPr>
        <w:t> </w:t>
      </w:r>
      <w:r>
        <w:rPr/>
        <w:t>rate.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ListParagraph"/>
        <w:numPr>
          <w:ilvl w:val="1"/>
          <w:numId w:val="5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  <w:rPr>
          <w:b/>
          <w:sz w:val="24"/>
        </w:rPr>
      </w:pPr>
      <w:bookmarkStart w:name="_bookmark63" w:id="103"/>
      <w:bookmarkEnd w:id="103"/>
      <w:r>
        <w:rPr/>
      </w:r>
      <w:bookmarkStart w:name="_bookmark63" w:id="104"/>
      <w:bookmarkEnd w:id="104"/>
      <w:r>
        <w:rPr>
          <w:b/>
          <w:sz w:val="24"/>
        </w:rPr>
        <w:t>T</w:t>
      </w:r>
      <w:r>
        <w:rPr>
          <w:b/>
          <w:sz w:val="24"/>
        </w:rPr>
        <w:t>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Drivers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65" w:right="934"/>
        <w:jc w:val="both"/>
      </w:pPr>
      <w:r>
        <w:rPr/>
        <w:t>This objective examines the major activities in peri-urban areas that propel development of</w:t>
      </w:r>
      <w:r>
        <w:rPr>
          <w:spacing w:val="1"/>
        </w:rPr>
        <w:t> </w:t>
      </w:r>
      <w:r>
        <w:rPr/>
        <w:t>peri-urban areas.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triggered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ind w:left="287"/>
        <w:rPr>
          <w:sz w:val="20"/>
        </w:rPr>
      </w:pPr>
      <w:r>
        <w:rPr>
          <w:sz w:val="20"/>
        </w:rPr>
        <w:pict>
          <v:group style="width:440.6pt;height:341.3pt;mso-position-horizontal-relative:char;mso-position-vertical-relative:line" coordorigin="0,0" coordsize="8812,6826">
            <v:shape style="position:absolute;left:1719;top:1635;width:3555;height:2105" coordorigin="1720,1635" coordsize="3555,2105" path="m1984,3390l1720,3390,1720,3740,1984,3740,1984,3390xm2641,3039l2377,3039,2377,3740,2641,3740,2641,3039xm3299,3565l3037,3565,3037,3740,3299,3740,3299,3565xm3959,3637l3695,3637,3695,3740,3959,3740,3959,3637xm4617,3670l4353,3670,4353,3740,4617,3740,4617,3670xm5274,1635l5013,1635,5013,3740,5274,3740,5274,1635xe" filled="true" fillcolor="#4f81bc" stroked="false">
              <v:path arrowok="t"/>
              <v:fill type="solid"/>
            </v:shape>
            <v:shape style="position:absolute;left:1458;top:228;width:4016;height:3576" coordorigin="1458,229" coordsize="4016,3576" path="m1523,3740l1523,229m1458,3740l1523,3740m1458,3390l1523,3390m1458,3039l1523,3039m1458,2689l1523,2689m1458,2336l1523,2336m1458,1986l1523,1986m1458,1635l1523,1635m1458,1282l1523,1282m1458,932l1523,932m1458,582l1523,582m1458,229l1523,229m1523,3740l5473,3740m1523,3740l1523,3805m2180,3740l2180,3805m2838,3740l2838,3805m3498,3740l3498,3805m4156,3740l4156,3805m4813,3740l4813,3805m5473,3740l5473,3805e" filled="false" stroked="true" strokeweight=".72pt" strokecolor="#858585">
              <v:path arrowok="t"/>
              <v:stroke dashstyle="solid"/>
            </v:shape>
            <v:shape style="position:absolute;left:92;top:3942;width:3753;height:2694" type="#_x0000_t75" stroked="false">
              <v:imagedata r:id="rId24" o:title=""/>
            </v:shape>
            <v:shape style="position:absolute;left:3892;top:3959;width:1223;height:1098" type="#_x0000_t75" stroked="false">
              <v:imagedata r:id="rId25" o:title=""/>
            </v:shape>
            <v:rect style="position:absolute;left:5792;top:3238;width:111;height:108" filled="true" fillcolor="#4f81bc" stroked="false">
              <v:fill type="solid"/>
            </v:rect>
            <v:rect style="position:absolute;left:7;top:7;width:8797;height:6811" filled="false" stroked="true" strokeweight=".75pt" strokecolor="#858585">
              <v:stroke dashstyle="solid"/>
            </v:rect>
            <v:shape style="position:absolute;left:1033;top:137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128;top:593;width:17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135;top:48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135;top:839;width:223;height:300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0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exact" w:before="10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42;top:13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408;top:274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750;top:30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117;top:32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776;top:334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434;top:3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50;top:3200;width:2669;height:44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Major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Factors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Driving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Peri-urban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Development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265" w:right="0" w:firstLine="0"/>
        <w:jc w:val="both"/>
        <w:rPr>
          <w:b/>
          <w:sz w:val="24"/>
        </w:rPr>
      </w:pPr>
      <w:bookmarkStart w:name="_bookmark64" w:id="105"/>
      <w:bookmarkEnd w:id="105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Major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Drivers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Peri-Urban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36"/>
        <w:ind w:left="265"/>
        <w:jc w:val="both"/>
      </w:pPr>
      <w:r>
        <w:rPr/>
        <w:t>Source: field survey</w:t>
      </w:r>
      <w:r>
        <w:rPr>
          <w:spacing w:val="-5"/>
        </w:rPr>
        <w:t> </w:t>
      </w:r>
      <w:r>
        <w:rPr/>
        <w:t>2019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1"/>
        <w:ind w:left="265" w:right="934"/>
        <w:jc w:val="both"/>
      </w:pPr>
      <w:r>
        <w:rPr/>
        <w:t>The major factors driving peri-urban area of Bida is presented in Figure 4.5. the result</w:t>
      </w:r>
      <w:r>
        <w:rPr>
          <w:spacing w:val="1"/>
        </w:rPr>
        <w:t> </w:t>
      </w:r>
      <w:r>
        <w:rPr/>
        <w:t>revealed that 60% majority of peri-urban development is influenced by urban congestion.</w:t>
      </w:r>
      <w:r>
        <w:rPr>
          <w:spacing w:val="1"/>
        </w:rPr>
        <w:t> </w:t>
      </w:r>
      <w:r>
        <w:rPr/>
        <w:t>Large scale of public investment in peri urban area of Bida such as federal polytechnics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driver of</w:t>
      </w:r>
      <w:r>
        <w:rPr>
          <w:spacing w:val="-2"/>
        </w:rPr>
        <w:t> </w:t>
      </w:r>
      <w:r>
        <w:rPr/>
        <w:t>peri-urban development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10%</w:t>
      </w:r>
      <w:r>
        <w:rPr>
          <w:spacing w:val="-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rate.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spacing w:before="77"/>
        <w:ind w:left="265" w:right="0" w:firstLine="0"/>
        <w:jc w:val="both"/>
        <w:rPr>
          <w:b/>
          <w:sz w:val="24"/>
        </w:rPr>
      </w:pPr>
      <w:bookmarkStart w:name="_bookmark65" w:id="106"/>
      <w:bookmarkEnd w:id="106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Drivers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5"/>
        <w:gridCol w:w="867"/>
        <w:gridCol w:w="835"/>
        <w:gridCol w:w="830"/>
        <w:gridCol w:w="790"/>
        <w:gridCol w:w="579"/>
        <w:gridCol w:w="834"/>
        <w:gridCol w:w="921"/>
      </w:tblGrid>
      <w:tr>
        <w:trPr>
          <w:trHeight w:val="410" w:hRule="atLeast"/>
        </w:trPr>
        <w:tc>
          <w:tcPr>
            <w:tcW w:w="37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Drivers</w:t>
            </w:r>
          </w:p>
        </w:tc>
        <w:tc>
          <w:tcPr>
            <w:tcW w:w="86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31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8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83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9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79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RII</w:t>
            </w:r>
          </w:p>
        </w:tc>
        <w:tc>
          <w:tcPr>
            <w:tcW w:w="5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41" w:right="116"/>
              <w:jc w:val="center"/>
              <w:rPr>
                <w:sz w:val="24"/>
              </w:rPr>
            </w:pPr>
            <w:r>
              <w:rPr>
                <w:sz w:val="24"/>
              </w:rPr>
              <w:t>Rk</w:t>
            </w:r>
          </w:p>
        </w:tc>
        <w:tc>
          <w:tcPr>
            <w:tcW w:w="83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23" w:right="49"/>
              <w:jc w:val="center"/>
              <w:rPr>
                <w:sz w:val="24"/>
              </w:rPr>
            </w:pPr>
            <w:r>
              <w:rPr>
                <w:sz w:val="24"/>
              </w:rPr>
              <w:t>Chi.sq</w:t>
            </w:r>
          </w:p>
        </w:tc>
        <w:tc>
          <w:tcPr>
            <w:tcW w:w="92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58" w:right="102"/>
              <w:jc w:val="center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344" w:hRule="atLeast"/>
        </w:trPr>
        <w:tc>
          <w:tcPr>
            <w:tcW w:w="3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9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Social Amenities</w:t>
            </w:r>
          </w:p>
        </w:tc>
        <w:tc>
          <w:tcPr>
            <w:tcW w:w="86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1083</w:t>
            </w:r>
          </w:p>
        </w:tc>
        <w:tc>
          <w:tcPr>
            <w:tcW w:w="8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56"/>
              <w:rPr>
                <w:sz w:val="24"/>
              </w:rPr>
            </w:pPr>
            <w:r>
              <w:rPr>
                <w:sz w:val="24"/>
              </w:rPr>
              <w:t>4.63</w:t>
            </w:r>
          </w:p>
        </w:tc>
        <w:tc>
          <w:tcPr>
            <w:tcW w:w="7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0.926</w:t>
            </w:r>
          </w:p>
        </w:tc>
        <w:tc>
          <w:tcPr>
            <w:tcW w:w="5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9" w:right="49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58" w:right="97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14" w:hRule="atLeast"/>
        </w:trPr>
        <w:tc>
          <w:tcPr>
            <w:tcW w:w="3735" w:type="dxa"/>
          </w:tcPr>
          <w:p>
            <w:pPr>
              <w:pStyle w:val="TableParagraph"/>
              <w:spacing w:before="64"/>
              <w:ind w:left="19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Access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867" w:type="dxa"/>
          </w:tcPr>
          <w:p>
            <w:pPr>
              <w:pStyle w:val="TableParagraph"/>
              <w:spacing w:before="64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</w:tcPr>
          <w:p>
            <w:pPr>
              <w:pStyle w:val="TableParagraph"/>
              <w:spacing w:before="6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830" w:type="dxa"/>
          </w:tcPr>
          <w:p>
            <w:pPr>
              <w:pStyle w:val="TableParagraph"/>
              <w:spacing w:before="64"/>
              <w:ind w:left="256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790" w:type="dxa"/>
          </w:tcPr>
          <w:p>
            <w:pPr>
              <w:pStyle w:val="TableParagraph"/>
              <w:spacing w:before="64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0.550</w:t>
            </w:r>
          </w:p>
        </w:tc>
        <w:tc>
          <w:tcPr>
            <w:tcW w:w="579" w:type="dxa"/>
          </w:tcPr>
          <w:p>
            <w:pPr>
              <w:pStyle w:val="TableParagraph"/>
              <w:spacing w:before="6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3735" w:type="dxa"/>
          </w:tcPr>
          <w:p>
            <w:pPr>
              <w:pStyle w:val="TableParagraph"/>
              <w:spacing w:before="63"/>
              <w:ind w:left="19"/>
              <w:rPr>
                <w:sz w:val="24"/>
              </w:rPr>
            </w:pPr>
            <w:r>
              <w:rPr>
                <w:sz w:val="24"/>
              </w:rPr>
              <w:t>Large-scale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867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99" w:lineRule="exact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99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83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99" w:lineRule="exact"/>
              <w:ind w:left="256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790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99" w:lineRule="exact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0.936</w:t>
            </w:r>
          </w:p>
        </w:tc>
        <w:tc>
          <w:tcPr>
            <w:tcW w:w="57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99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3735" w:type="dxa"/>
          </w:tcPr>
          <w:p>
            <w:pPr>
              <w:pStyle w:val="TableParagraph"/>
              <w:spacing w:line="266" w:lineRule="exact"/>
              <w:ind w:left="19"/>
              <w:rPr>
                <w:sz w:val="24"/>
              </w:rPr>
            </w:pPr>
            <w:r>
              <w:rPr>
                <w:sz w:val="24"/>
              </w:rPr>
              <w:t>Peri-Urban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735" w:type="dxa"/>
          </w:tcPr>
          <w:p>
            <w:pPr>
              <w:pStyle w:val="TableParagraph"/>
              <w:spacing w:before="63"/>
              <w:ind w:left="19"/>
              <w:rPr>
                <w:sz w:val="24"/>
              </w:rPr>
            </w:pPr>
            <w:r>
              <w:rPr>
                <w:sz w:val="24"/>
              </w:rPr>
              <w:t>Relatively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Inexpensive Labor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</w:tcPr>
          <w:p>
            <w:pPr>
              <w:pStyle w:val="TableParagraph"/>
              <w:spacing w:before="6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  <w:tc>
          <w:tcPr>
            <w:tcW w:w="830" w:type="dxa"/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790" w:type="dxa"/>
          </w:tcPr>
          <w:p>
            <w:pPr>
              <w:pStyle w:val="TableParagraph"/>
              <w:spacing w:before="63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0.762</w:t>
            </w:r>
          </w:p>
        </w:tc>
        <w:tc>
          <w:tcPr>
            <w:tcW w:w="2334" w:type="dxa"/>
            <w:gridSpan w:val="3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3735" w:type="dxa"/>
          </w:tcPr>
          <w:p>
            <w:pPr>
              <w:pStyle w:val="TableParagraph"/>
              <w:spacing w:before="63"/>
              <w:ind w:left="19"/>
              <w:rPr>
                <w:sz w:val="24"/>
              </w:rPr>
            </w:pPr>
            <w:r>
              <w:rPr>
                <w:sz w:val="24"/>
              </w:rPr>
              <w:t>Migration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</w:tcPr>
          <w:p>
            <w:pPr>
              <w:pStyle w:val="TableParagraph"/>
              <w:spacing w:before="63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964</w:t>
            </w:r>
          </w:p>
        </w:tc>
        <w:tc>
          <w:tcPr>
            <w:tcW w:w="830" w:type="dxa"/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90" w:type="dxa"/>
          </w:tcPr>
          <w:p>
            <w:pPr>
              <w:pStyle w:val="TableParagraph"/>
              <w:spacing w:before="63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0.820</w:t>
            </w:r>
          </w:p>
        </w:tc>
        <w:tc>
          <w:tcPr>
            <w:tcW w:w="2334" w:type="dxa"/>
            <w:gridSpan w:val="3"/>
          </w:tcPr>
          <w:p>
            <w:pPr>
              <w:pStyle w:val="TableParagraph"/>
              <w:spacing w:before="63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3735" w:type="dxa"/>
          </w:tcPr>
          <w:p>
            <w:pPr>
              <w:pStyle w:val="TableParagraph"/>
              <w:spacing w:before="65"/>
              <w:ind w:left="19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congestion</w:t>
            </w:r>
          </w:p>
        </w:tc>
        <w:tc>
          <w:tcPr>
            <w:tcW w:w="867" w:type="dxa"/>
          </w:tcPr>
          <w:p>
            <w:pPr>
              <w:pStyle w:val="TableParagraph"/>
              <w:spacing w:before="65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</w:tcPr>
          <w:p>
            <w:pPr>
              <w:pStyle w:val="TableParagraph"/>
              <w:spacing w:before="65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1104</w:t>
            </w:r>
          </w:p>
        </w:tc>
        <w:tc>
          <w:tcPr>
            <w:tcW w:w="830" w:type="dxa"/>
          </w:tcPr>
          <w:p>
            <w:pPr>
              <w:pStyle w:val="TableParagraph"/>
              <w:spacing w:before="65"/>
              <w:ind w:left="256"/>
              <w:rPr>
                <w:sz w:val="24"/>
              </w:rPr>
            </w:pPr>
            <w:r>
              <w:rPr>
                <w:sz w:val="24"/>
              </w:rPr>
              <w:t>4.70</w:t>
            </w:r>
          </w:p>
        </w:tc>
        <w:tc>
          <w:tcPr>
            <w:tcW w:w="790" w:type="dxa"/>
          </w:tcPr>
          <w:p>
            <w:pPr>
              <w:pStyle w:val="TableParagraph"/>
              <w:spacing w:before="65"/>
              <w:ind w:left="76" w:right="134"/>
              <w:jc w:val="center"/>
              <w:rPr>
                <w:sz w:val="24"/>
              </w:rPr>
            </w:pPr>
            <w:r>
              <w:rPr>
                <w:sz w:val="24"/>
              </w:rPr>
              <w:t>0.940</w:t>
            </w:r>
          </w:p>
        </w:tc>
        <w:tc>
          <w:tcPr>
            <w:tcW w:w="2334" w:type="dxa"/>
            <w:gridSpan w:val="3"/>
          </w:tcPr>
          <w:p>
            <w:pPr>
              <w:pStyle w:val="TableParagraph"/>
              <w:spacing w:before="65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85" w:hRule="atLeast"/>
        </w:trPr>
        <w:tc>
          <w:tcPr>
            <w:tcW w:w="373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(listwise)</w:t>
            </w:r>
          </w:p>
        </w:tc>
        <w:tc>
          <w:tcPr>
            <w:tcW w:w="86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83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5" w:hRule="atLeast"/>
        </w:trPr>
        <w:tc>
          <w:tcPr>
            <w:tcW w:w="37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1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  <w:tc>
          <w:tcPr>
            <w:tcW w:w="867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5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4" w:type="dxa"/>
            <w:gridSpan w:val="3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/>
        <w:ind w:left="265" w:right="933"/>
        <w:jc w:val="both"/>
      </w:pPr>
      <w:r>
        <w:rPr/>
        <w:t>The descriptive analysis of drivers of peri-urban development is presented in table 4.3. the</w:t>
      </w:r>
      <w:r>
        <w:rPr>
          <w:spacing w:val="1"/>
        </w:rPr>
        <w:t> </w:t>
      </w:r>
      <w:r>
        <w:rPr/>
        <w:t>result revealed the relationship of the factors driving the peri-urban development in Bida</w:t>
      </w:r>
      <w:r>
        <w:rPr>
          <w:spacing w:val="1"/>
        </w:rPr>
        <w:t> </w:t>
      </w:r>
      <w:r>
        <w:rPr/>
        <w:t>and relative importance index of these factors. The variables were measured on five-point</w:t>
      </w:r>
      <w:r>
        <w:rPr>
          <w:spacing w:val="1"/>
        </w:rPr>
        <w:t> </w:t>
      </w:r>
      <w:r>
        <w:rPr/>
        <w:t>likert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(Strongly</w:t>
      </w:r>
      <w:r>
        <w:rPr>
          <w:spacing w:val="1"/>
        </w:rPr>
        <w:t> </w:t>
      </w:r>
      <w:r>
        <w:rPr/>
        <w:t>agree,</w:t>
      </w:r>
      <w:r>
        <w:rPr>
          <w:spacing w:val="1"/>
        </w:rPr>
        <w:t> </w:t>
      </w:r>
      <w:r>
        <w:rPr/>
        <w:t>agree,</w:t>
      </w:r>
      <w:r>
        <w:rPr>
          <w:spacing w:val="1"/>
        </w:rPr>
        <w:t> </w:t>
      </w:r>
      <w:r>
        <w:rPr/>
        <w:t>indifferent,</w:t>
      </w:r>
      <w:r>
        <w:rPr>
          <w:spacing w:val="1"/>
        </w:rPr>
        <w:t> </w:t>
      </w:r>
      <w:r>
        <w:rPr/>
        <w:t>disagree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disagree).</w:t>
      </w:r>
      <w:r>
        <w:rPr>
          <w:spacing w:val="1"/>
        </w:rPr>
        <w:t> </w:t>
      </w:r>
      <w:r>
        <w:rPr/>
        <w:t>Urban</w:t>
      </w:r>
      <w:r>
        <w:rPr>
          <w:spacing w:val="-57"/>
        </w:rPr>
        <w:t> </w:t>
      </w:r>
      <w:r>
        <w:rPr/>
        <w:t>expansion is ranked first with 94% relative important drivers, this is followed by large scale</w:t>
      </w:r>
      <w:r>
        <w:rPr>
          <w:spacing w:val="-57"/>
        </w:rPr>
        <w:t> </w:t>
      </w:r>
      <w:r>
        <w:rPr/>
        <w:t>investment in peri-urban is ranked second with 93.6% relative importance and followed by</w:t>
      </w:r>
      <w:r>
        <w:rPr>
          <w:spacing w:val="1"/>
        </w:rPr>
        <w:t> </w:t>
      </w:r>
      <w:r>
        <w:rPr/>
        <w:t>availability of social amenities in the peri-urban development area at 92.6%. The result of</w:t>
      </w:r>
      <w:r>
        <w:rPr>
          <w:spacing w:val="1"/>
        </w:rPr>
        <w:t> </w:t>
      </w:r>
      <w:r>
        <w:rPr/>
        <w:t>chi-square test statistics (19.04) statistically significant at p-value 0.000 less than 0.05 level</w:t>
      </w:r>
      <w:r>
        <w:rPr>
          <w:spacing w:val="1"/>
        </w:rPr>
        <w:t> </w:t>
      </w:r>
      <w:r>
        <w:rPr/>
        <w:t>of significance, this indicates that there is significant relationship between the respondents’</w:t>
      </w:r>
      <w:r>
        <w:rPr>
          <w:spacing w:val="1"/>
        </w:rPr>
        <w:t> </w:t>
      </w:r>
      <w:r>
        <w:rPr/>
        <w:t>opinion</w:t>
      </w:r>
      <w:r>
        <w:rPr>
          <w:spacing w:val="-1"/>
        </w:rPr>
        <w:t> </w:t>
      </w:r>
      <w:r>
        <w:rPr/>
        <w:t>on the factors or</w:t>
      </w:r>
      <w:r>
        <w:rPr>
          <w:spacing w:val="2"/>
        </w:rPr>
        <w:t> </w:t>
      </w:r>
      <w:r>
        <w:rPr/>
        <w:t>drivers of</w:t>
      </w:r>
      <w:r>
        <w:rPr>
          <w:spacing w:val="-2"/>
        </w:rPr>
        <w:t> </w:t>
      </w:r>
      <w:r>
        <w:rPr/>
        <w:t>peri-urban development.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tabs>
          <w:tab w:pos="985" w:val="left" w:leader="none"/>
        </w:tabs>
        <w:spacing w:before="75"/>
        <w:ind w:left="265" w:right="0" w:firstLine="0"/>
        <w:jc w:val="left"/>
        <w:rPr>
          <w:b/>
          <w:sz w:val="24"/>
        </w:rPr>
      </w:pPr>
      <w:bookmarkStart w:name="_bookmark66" w:id="107"/>
      <w:bookmarkEnd w:id="107"/>
      <w:r>
        <w:rPr/>
      </w:r>
      <w:r>
        <w:rPr>
          <w:b/>
          <w:sz w:val="24"/>
        </w:rPr>
        <w:t>4.4</w:t>
        <w:tab/>
        <w:t>Factor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Influencing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Bida</w:t>
      </w:r>
    </w:p>
    <w:p>
      <w:pPr>
        <w:pStyle w:val="BodyText"/>
        <w:rPr>
          <w:b/>
          <w:sz w:val="26"/>
        </w:rPr>
      </w:pPr>
    </w:p>
    <w:p>
      <w:pPr>
        <w:spacing w:before="220"/>
        <w:ind w:left="265" w:right="0" w:firstLine="0"/>
        <w:jc w:val="both"/>
        <w:rPr>
          <w:b/>
          <w:sz w:val="24"/>
        </w:rPr>
      </w:pPr>
      <w:bookmarkStart w:name="_bookmark67" w:id="108"/>
      <w:bookmarkEnd w:id="108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Influencing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6"/>
        <w:gridCol w:w="917"/>
        <w:gridCol w:w="1008"/>
        <w:gridCol w:w="1004"/>
      </w:tblGrid>
      <w:tr>
        <w:trPr>
          <w:trHeight w:val="320" w:hRule="atLeast"/>
        </w:trPr>
        <w:tc>
          <w:tcPr>
            <w:tcW w:w="54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42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42"/>
              <w:ind w:left="16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42"/>
              <w:ind w:left="14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</w:p>
        </w:tc>
        <w:tc>
          <w:tcPr>
            <w:tcW w:w="10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42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339" w:hRule="atLeast"/>
        </w:trPr>
        <w:tc>
          <w:tcPr>
            <w:tcW w:w="54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175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924.00</w:t>
            </w:r>
          </w:p>
        </w:tc>
        <w:tc>
          <w:tcPr>
            <w:tcW w:w="10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174"/>
              <w:rPr>
                <w:sz w:val="24"/>
              </w:rPr>
            </w:pPr>
            <w:r>
              <w:rPr>
                <w:sz w:val="24"/>
              </w:rPr>
              <w:t>3.9319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Drainage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873.00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3.7149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disposal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peri-urban area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921.00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3.9191</w:t>
            </w:r>
          </w:p>
        </w:tc>
      </w:tr>
      <w:tr>
        <w:trPr>
          <w:trHeight w:val="319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electricity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940.00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4.0000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telecommunication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peri-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935.00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3.9787</w:t>
            </w:r>
          </w:p>
        </w:tc>
      </w:tr>
      <w:tr>
        <w:trPr>
          <w:trHeight w:val="64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  <w:p>
            <w:pPr>
              <w:pStyle w:val="TableParagraph"/>
              <w:spacing w:before="44"/>
              <w:ind w:left="17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Amenities</w:t>
            </w:r>
          </w:p>
        </w:tc>
        <w:tc>
          <w:tcPr>
            <w:tcW w:w="917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802.00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3.4128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Access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841.00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3.5787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Large-scale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Peri-Urban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872.00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3.7106</w:t>
            </w:r>
          </w:p>
        </w:tc>
      </w:tr>
      <w:tr>
        <w:trPr>
          <w:trHeight w:val="319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Relatively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Inexpensive Labor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877.00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3.7319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Migration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856.00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3.6426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crime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866.00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3.6851</w:t>
            </w:r>
          </w:p>
        </w:tc>
      </w:tr>
      <w:tr>
        <w:trPr>
          <w:trHeight w:val="319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908.00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3.8638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rent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774.00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3.2936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congestion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846.00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3.6000</w:t>
            </w:r>
          </w:p>
        </w:tc>
      </w:tr>
      <w:tr>
        <w:trPr>
          <w:trHeight w:val="319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Deteriorating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livelihood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797.00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3.3915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770.00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3.2766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peri-urban area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930.00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3.9574</w:t>
            </w:r>
          </w:p>
        </w:tc>
      </w:tr>
      <w:tr>
        <w:trPr>
          <w:trHeight w:val="319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881.00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3.7489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921.00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3.9191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7"/>
              <w:ind w:left="17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green spaces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917" w:type="dxa"/>
          </w:tcPr>
          <w:p>
            <w:pPr>
              <w:pStyle w:val="TableParagraph"/>
              <w:spacing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944.00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7"/>
              <w:ind w:left="174"/>
              <w:rPr>
                <w:sz w:val="24"/>
              </w:rPr>
            </w:pPr>
            <w:r>
              <w:rPr>
                <w:sz w:val="24"/>
              </w:rPr>
              <w:t>4.0170</w:t>
            </w:r>
          </w:p>
        </w:tc>
      </w:tr>
      <w:tr>
        <w:trPr>
          <w:trHeight w:val="319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949.00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4.0383</w:t>
            </w:r>
          </w:p>
        </w:tc>
      </w:tr>
      <w:tr>
        <w:trPr>
          <w:trHeight w:val="320" w:hRule="atLeast"/>
        </w:trPr>
        <w:tc>
          <w:tcPr>
            <w:tcW w:w="5416" w:type="dxa"/>
          </w:tcPr>
          <w:p>
            <w:pPr>
              <w:pStyle w:val="TableParagraph"/>
              <w:spacing w:before="16"/>
              <w:ind w:left="175"/>
              <w:rPr>
                <w:sz w:val="24"/>
              </w:rPr>
            </w:pPr>
            <w:r>
              <w:rPr>
                <w:sz w:val="24"/>
              </w:rPr>
              <w:t>Pollution</w:t>
            </w:r>
          </w:p>
        </w:tc>
        <w:tc>
          <w:tcPr>
            <w:tcW w:w="917" w:type="dxa"/>
          </w:tcPr>
          <w:p>
            <w:pPr>
              <w:pStyle w:val="TableParagraph"/>
              <w:spacing w:before="16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54" w:right="153"/>
              <w:jc w:val="center"/>
              <w:rPr>
                <w:sz w:val="24"/>
              </w:rPr>
            </w:pPr>
            <w:r>
              <w:rPr>
                <w:sz w:val="24"/>
              </w:rPr>
              <w:t>898.00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sz w:val="24"/>
              </w:rPr>
              <w:t>3.8213</w:t>
            </w:r>
          </w:p>
        </w:tc>
      </w:tr>
      <w:tr>
        <w:trPr>
          <w:trHeight w:val="298" w:hRule="atLeast"/>
        </w:trPr>
        <w:tc>
          <w:tcPr>
            <w:tcW w:w="54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 w:before="17"/>
              <w:ind w:left="175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(listwise)</w:t>
            </w:r>
          </w:p>
        </w:tc>
        <w:tc>
          <w:tcPr>
            <w:tcW w:w="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 w:before="17"/>
              <w:ind w:left="363" w:right="15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7" w:hRule="atLeast"/>
        </w:trPr>
        <w:tc>
          <w:tcPr>
            <w:tcW w:w="54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line="480" w:lineRule="auto"/>
        <w:ind w:left="265" w:right="934" w:firstLine="59"/>
        <w:jc w:val="both"/>
      </w:pPr>
      <w:r>
        <w:rPr/>
        <w:t>The result of factors influencing peri-urban development in Bida presented in table 4.4. the</w:t>
      </w:r>
      <w:r>
        <w:rPr>
          <w:spacing w:val="-57"/>
        </w:rPr>
        <w:t> </w:t>
      </w:r>
      <w:r>
        <w:rPr/>
        <w:t>descriptive analysis of five-point likert scale. The identified factor has the mean response</w:t>
      </w:r>
      <w:r>
        <w:rPr>
          <w:spacing w:val="1"/>
        </w:rPr>
        <w:t> </w:t>
      </w:r>
      <w:r>
        <w:rPr/>
        <w:t>rate that are higher than 3.00 minimum bench mark. This revealed that the response rates of</w:t>
      </w:r>
      <w:r>
        <w:rPr>
          <w:spacing w:val="-57"/>
        </w:rPr>
        <w:t> </w:t>
      </w:r>
      <w:r>
        <w:rPr/>
        <w:t>the peri-urban dweller is higher than 60% indicating that all the identified factors influence</w:t>
      </w:r>
      <w:r>
        <w:rPr>
          <w:spacing w:val="1"/>
        </w:rPr>
        <w:t> </w:t>
      </w:r>
      <w:r>
        <w:rPr/>
        <w:t>peri-urban development in Bida. The analysis</w:t>
      </w:r>
      <w:r>
        <w:rPr>
          <w:spacing w:val="1"/>
        </w:rPr>
        <w:t> </w:t>
      </w:r>
      <w:r>
        <w:rPr/>
        <w:t>of principal component was carried out to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the most highly</w:t>
      </w:r>
      <w:r>
        <w:rPr>
          <w:spacing w:val="-3"/>
        </w:rPr>
        <w:t> </w:t>
      </w:r>
      <w:r>
        <w:rPr/>
        <w:t>emphasized factors</w:t>
      </w:r>
      <w:r>
        <w:rPr>
          <w:spacing w:val="-1"/>
        </w:rPr>
        <w:t> </w:t>
      </w:r>
      <w:r>
        <w:rPr/>
        <w:t>is presented in subsequent</w:t>
      </w:r>
      <w:r>
        <w:rPr>
          <w:spacing w:val="-1"/>
        </w:rPr>
        <w:t> </w:t>
      </w:r>
      <w:r>
        <w:rPr/>
        <w:t>tables.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48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0"/>
        <w:ind w:left="225" w:right="0" w:firstLine="0"/>
        <w:jc w:val="left"/>
        <w:rPr>
          <w:b/>
          <w:sz w:val="24"/>
        </w:rPr>
      </w:pPr>
      <w:bookmarkStart w:name="_bookmark68" w:id="109"/>
      <w:bookmarkEnd w:id="109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Influencing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spacing w:before="2"/>
        <w:rPr>
          <w:b/>
          <w:sz w:val="11"/>
        </w:rPr>
      </w:pPr>
    </w:p>
    <w:p>
      <w:pPr>
        <w:tabs>
          <w:tab w:pos="2418" w:val="left" w:leader="none"/>
          <w:tab w:pos="5680" w:val="left" w:leader="none"/>
          <w:tab w:pos="10100" w:val="left" w:leader="none"/>
        </w:tabs>
        <w:spacing w:before="90" w:after="49"/>
        <w:ind w:left="285" w:right="0" w:firstLine="0"/>
        <w:jc w:val="left"/>
        <w:rPr>
          <w:b/>
          <w:sz w:val="24"/>
        </w:rPr>
      </w:pPr>
      <w:r>
        <w:rPr/>
        <w:pict>
          <v:shape style="position:absolute;margin-left:93.864006pt;margin-top:3.583093pt;width:698.15pt;height:1pt;mso-position-horizontal-relative:page;mso-position-vertical-relative:paragraph;z-index:15735808" coordorigin="1877,72" coordsize="13963,20" path="m3084,72l3065,72,3065,72,1877,72,1877,91,3065,91,3065,91,3084,91,3084,72xm7206,72l3084,72,3084,91,7206,91,7206,72xm11603,72l11584,72,7225,72,7206,72,7206,91,7225,91,11584,91,11603,91,11603,72xm15840,72l11603,72,11603,91,15840,91,15840,7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Compone</w:t>
        <w:tab/>
        <w:t>Initial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Eigenvalues</w:t>
        <w:tab/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Squared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Loadings</w:t>
        <w:tab/>
        <w:t>Rotation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Squared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Loadings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170"/>
        <w:gridCol w:w="1489"/>
        <w:gridCol w:w="1558"/>
        <w:gridCol w:w="1167"/>
        <w:gridCol w:w="1500"/>
        <w:gridCol w:w="1688"/>
        <w:gridCol w:w="1164"/>
        <w:gridCol w:w="1471"/>
        <w:gridCol w:w="1563"/>
      </w:tblGrid>
      <w:tr>
        <w:trPr>
          <w:trHeight w:val="613" w:hRule="atLeast"/>
        </w:trPr>
        <w:tc>
          <w:tcPr>
            <w:tcW w:w="1202" w:type="dxa"/>
          </w:tcPr>
          <w:p>
            <w:pPr>
              <w:pStyle w:val="TableParagraph"/>
              <w:spacing w:line="26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nt</w:t>
            </w:r>
          </w:p>
        </w:tc>
        <w:tc>
          <w:tcPr>
            <w:tcW w:w="11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80" w:right="18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82" w:right="13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79" w:right="139"/>
              <w:jc w:val="center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5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43" w:right="254"/>
              <w:jc w:val="center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before="41"/>
              <w:ind w:right="1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9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332" w:right="261"/>
              <w:jc w:val="center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30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325" w:right="238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325" w:right="240"/>
              <w:jc w:val="center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15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49" w:right="153"/>
              <w:jc w:val="center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before="41"/>
              <w:ind w:left="9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18" w:hRule="atLeast"/>
        </w:trPr>
        <w:tc>
          <w:tcPr>
            <w:tcW w:w="1202" w:type="dxa"/>
          </w:tcPr>
          <w:p>
            <w:pPr>
              <w:pStyle w:val="TableParagraph"/>
              <w:spacing w:before="21"/>
              <w:ind w:left="1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>
            <w:pPr>
              <w:pStyle w:val="TableParagraph"/>
              <w:spacing w:before="2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5.469</w:t>
            </w:r>
          </w:p>
        </w:tc>
        <w:tc>
          <w:tcPr>
            <w:tcW w:w="1489" w:type="dxa"/>
          </w:tcPr>
          <w:p>
            <w:pPr>
              <w:pStyle w:val="TableParagraph"/>
              <w:spacing w:before="21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24.857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1"/>
              <w:ind w:left="430"/>
              <w:rPr>
                <w:sz w:val="24"/>
              </w:rPr>
            </w:pPr>
            <w:r>
              <w:rPr>
                <w:sz w:val="24"/>
              </w:rPr>
              <w:t>24.857</w:t>
            </w:r>
          </w:p>
        </w:tc>
        <w:tc>
          <w:tcPr>
            <w:tcW w:w="1167" w:type="dxa"/>
          </w:tcPr>
          <w:p>
            <w:pPr>
              <w:pStyle w:val="TableParagraph"/>
              <w:spacing w:before="21"/>
              <w:ind w:left="279"/>
              <w:rPr>
                <w:sz w:val="24"/>
              </w:rPr>
            </w:pPr>
            <w:r>
              <w:rPr>
                <w:sz w:val="24"/>
              </w:rPr>
              <w:t>5.469</w:t>
            </w:r>
          </w:p>
        </w:tc>
        <w:tc>
          <w:tcPr>
            <w:tcW w:w="1500" w:type="dxa"/>
          </w:tcPr>
          <w:p>
            <w:pPr>
              <w:pStyle w:val="TableParagraph"/>
              <w:spacing w:before="21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24.857</w:t>
            </w:r>
          </w:p>
        </w:tc>
        <w:tc>
          <w:tcPr>
            <w:tcW w:w="1688" w:type="dxa"/>
          </w:tcPr>
          <w:p>
            <w:pPr>
              <w:pStyle w:val="TableParagraph"/>
              <w:spacing w:before="21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24.857</w:t>
            </w:r>
          </w:p>
        </w:tc>
        <w:tc>
          <w:tcPr>
            <w:tcW w:w="1164" w:type="dxa"/>
          </w:tcPr>
          <w:p>
            <w:pPr>
              <w:pStyle w:val="TableParagraph"/>
              <w:spacing w:before="21"/>
              <w:ind w:left="285"/>
              <w:rPr>
                <w:sz w:val="24"/>
              </w:rPr>
            </w:pPr>
            <w:r>
              <w:rPr>
                <w:sz w:val="24"/>
              </w:rPr>
              <w:t>2.509</w:t>
            </w:r>
          </w:p>
        </w:tc>
        <w:tc>
          <w:tcPr>
            <w:tcW w:w="1471" w:type="dxa"/>
          </w:tcPr>
          <w:p>
            <w:pPr>
              <w:pStyle w:val="TableParagraph"/>
              <w:spacing w:before="21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11.403</w:t>
            </w:r>
          </w:p>
        </w:tc>
        <w:tc>
          <w:tcPr>
            <w:tcW w:w="1563" w:type="dxa"/>
          </w:tcPr>
          <w:p>
            <w:pPr>
              <w:pStyle w:val="TableParagraph"/>
              <w:spacing w:before="2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11.403</w:t>
            </w:r>
          </w:p>
        </w:tc>
      </w:tr>
      <w:tr>
        <w:trPr>
          <w:trHeight w:val="317" w:hRule="atLeast"/>
        </w:trPr>
        <w:tc>
          <w:tcPr>
            <w:tcW w:w="1202" w:type="dxa"/>
          </w:tcPr>
          <w:p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>
            <w:pPr>
              <w:pStyle w:val="TableParagraph"/>
              <w:spacing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2.577</w:t>
            </w:r>
          </w:p>
        </w:tc>
        <w:tc>
          <w:tcPr>
            <w:tcW w:w="1489" w:type="dxa"/>
          </w:tcPr>
          <w:p>
            <w:pPr>
              <w:pStyle w:val="TableParagraph"/>
              <w:spacing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11.713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430"/>
              <w:rPr>
                <w:sz w:val="24"/>
              </w:rPr>
            </w:pPr>
            <w:r>
              <w:rPr>
                <w:sz w:val="24"/>
              </w:rPr>
              <w:t>36.570</w:t>
            </w:r>
          </w:p>
        </w:tc>
        <w:tc>
          <w:tcPr>
            <w:tcW w:w="1167" w:type="dxa"/>
          </w:tcPr>
          <w:p>
            <w:pPr>
              <w:pStyle w:val="TableParagraph"/>
              <w:spacing w:before="20"/>
              <w:ind w:left="279"/>
              <w:rPr>
                <w:sz w:val="24"/>
              </w:rPr>
            </w:pPr>
            <w:r>
              <w:rPr>
                <w:sz w:val="24"/>
              </w:rPr>
              <w:t>2.577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11.713</w:t>
            </w:r>
          </w:p>
        </w:tc>
        <w:tc>
          <w:tcPr>
            <w:tcW w:w="1688" w:type="dxa"/>
          </w:tcPr>
          <w:p>
            <w:pPr>
              <w:pStyle w:val="TableParagraph"/>
              <w:spacing w:before="20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36.570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2.388</w:t>
            </w:r>
          </w:p>
        </w:tc>
        <w:tc>
          <w:tcPr>
            <w:tcW w:w="1471" w:type="dxa"/>
          </w:tcPr>
          <w:p>
            <w:pPr>
              <w:pStyle w:val="TableParagraph"/>
              <w:spacing w:before="20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10.857</w:t>
            </w:r>
          </w:p>
        </w:tc>
        <w:tc>
          <w:tcPr>
            <w:tcW w:w="1563" w:type="dxa"/>
          </w:tcPr>
          <w:p>
            <w:pPr>
              <w:pStyle w:val="TableParagraph"/>
              <w:spacing w:before="2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22.259</w:t>
            </w:r>
          </w:p>
        </w:tc>
      </w:tr>
      <w:tr>
        <w:trPr>
          <w:trHeight w:val="317" w:hRule="atLeast"/>
        </w:trPr>
        <w:tc>
          <w:tcPr>
            <w:tcW w:w="1202" w:type="dxa"/>
          </w:tcPr>
          <w:p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>
            <w:pPr>
              <w:pStyle w:val="TableParagraph"/>
              <w:spacing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1.934</w:t>
            </w:r>
          </w:p>
        </w:tc>
        <w:tc>
          <w:tcPr>
            <w:tcW w:w="1489" w:type="dxa"/>
          </w:tcPr>
          <w:p>
            <w:pPr>
              <w:pStyle w:val="TableParagraph"/>
              <w:spacing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8.789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430"/>
              <w:rPr>
                <w:sz w:val="24"/>
              </w:rPr>
            </w:pPr>
            <w:r>
              <w:rPr>
                <w:sz w:val="24"/>
              </w:rPr>
              <w:t>45.360</w:t>
            </w:r>
          </w:p>
        </w:tc>
        <w:tc>
          <w:tcPr>
            <w:tcW w:w="1167" w:type="dxa"/>
          </w:tcPr>
          <w:p>
            <w:pPr>
              <w:pStyle w:val="TableParagraph"/>
              <w:spacing w:before="20"/>
              <w:ind w:left="279"/>
              <w:rPr>
                <w:sz w:val="24"/>
              </w:rPr>
            </w:pPr>
            <w:r>
              <w:rPr>
                <w:sz w:val="24"/>
              </w:rPr>
              <w:t>1.934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8.789</w:t>
            </w:r>
          </w:p>
        </w:tc>
        <w:tc>
          <w:tcPr>
            <w:tcW w:w="1688" w:type="dxa"/>
          </w:tcPr>
          <w:p>
            <w:pPr>
              <w:pStyle w:val="TableParagraph"/>
              <w:spacing w:before="20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45.360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2.347</w:t>
            </w:r>
          </w:p>
        </w:tc>
        <w:tc>
          <w:tcPr>
            <w:tcW w:w="1471" w:type="dxa"/>
          </w:tcPr>
          <w:p>
            <w:pPr>
              <w:pStyle w:val="TableParagraph"/>
              <w:spacing w:before="20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10.666</w:t>
            </w:r>
          </w:p>
        </w:tc>
        <w:tc>
          <w:tcPr>
            <w:tcW w:w="1563" w:type="dxa"/>
          </w:tcPr>
          <w:p>
            <w:pPr>
              <w:pStyle w:val="TableParagraph"/>
              <w:spacing w:before="2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32.926</w:t>
            </w:r>
          </w:p>
        </w:tc>
      </w:tr>
      <w:tr>
        <w:trPr>
          <w:trHeight w:val="316" w:hRule="atLeast"/>
        </w:trPr>
        <w:tc>
          <w:tcPr>
            <w:tcW w:w="1202" w:type="dxa"/>
          </w:tcPr>
          <w:p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spacing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1.770</w:t>
            </w:r>
          </w:p>
        </w:tc>
        <w:tc>
          <w:tcPr>
            <w:tcW w:w="1489" w:type="dxa"/>
          </w:tcPr>
          <w:p>
            <w:pPr>
              <w:pStyle w:val="TableParagraph"/>
              <w:spacing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8.044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430"/>
              <w:rPr>
                <w:sz w:val="24"/>
              </w:rPr>
            </w:pPr>
            <w:r>
              <w:rPr>
                <w:sz w:val="24"/>
              </w:rPr>
              <w:t>53.404</w:t>
            </w:r>
          </w:p>
        </w:tc>
        <w:tc>
          <w:tcPr>
            <w:tcW w:w="1167" w:type="dxa"/>
          </w:tcPr>
          <w:p>
            <w:pPr>
              <w:pStyle w:val="TableParagraph"/>
              <w:spacing w:before="20"/>
              <w:ind w:left="279"/>
              <w:rPr>
                <w:sz w:val="24"/>
              </w:rPr>
            </w:pPr>
            <w:r>
              <w:rPr>
                <w:sz w:val="24"/>
              </w:rPr>
              <w:t>1.770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8.044</w:t>
            </w:r>
          </w:p>
        </w:tc>
        <w:tc>
          <w:tcPr>
            <w:tcW w:w="1688" w:type="dxa"/>
          </w:tcPr>
          <w:p>
            <w:pPr>
              <w:pStyle w:val="TableParagraph"/>
              <w:spacing w:before="20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53.404</w:t>
            </w:r>
          </w:p>
        </w:tc>
        <w:tc>
          <w:tcPr>
            <w:tcW w:w="1164" w:type="dxa"/>
          </w:tcPr>
          <w:p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2.287</w:t>
            </w:r>
          </w:p>
        </w:tc>
        <w:tc>
          <w:tcPr>
            <w:tcW w:w="1471" w:type="dxa"/>
          </w:tcPr>
          <w:p>
            <w:pPr>
              <w:pStyle w:val="TableParagraph"/>
              <w:spacing w:before="20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10.395</w:t>
            </w:r>
          </w:p>
        </w:tc>
        <w:tc>
          <w:tcPr>
            <w:tcW w:w="1563" w:type="dxa"/>
          </w:tcPr>
          <w:p>
            <w:pPr>
              <w:pStyle w:val="TableParagraph"/>
              <w:spacing w:before="2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43.320</w:t>
            </w:r>
          </w:p>
        </w:tc>
      </w:tr>
      <w:tr>
        <w:trPr>
          <w:trHeight w:val="317" w:hRule="atLeast"/>
        </w:trPr>
        <w:tc>
          <w:tcPr>
            <w:tcW w:w="1202" w:type="dxa"/>
          </w:tcPr>
          <w:p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0" w:type="dxa"/>
          </w:tcPr>
          <w:p>
            <w:pPr>
              <w:pStyle w:val="TableParagraph"/>
              <w:spacing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1.480</w:t>
            </w:r>
          </w:p>
        </w:tc>
        <w:tc>
          <w:tcPr>
            <w:tcW w:w="1489" w:type="dxa"/>
          </w:tcPr>
          <w:p>
            <w:pPr>
              <w:pStyle w:val="TableParagraph"/>
              <w:spacing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6.728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430"/>
              <w:rPr>
                <w:sz w:val="24"/>
              </w:rPr>
            </w:pPr>
            <w:r>
              <w:rPr>
                <w:sz w:val="24"/>
              </w:rPr>
              <w:t>60.132</w:t>
            </w:r>
          </w:p>
        </w:tc>
        <w:tc>
          <w:tcPr>
            <w:tcW w:w="1167" w:type="dxa"/>
          </w:tcPr>
          <w:p>
            <w:pPr>
              <w:pStyle w:val="TableParagraph"/>
              <w:spacing w:before="20"/>
              <w:ind w:left="279"/>
              <w:rPr>
                <w:sz w:val="24"/>
              </w:rPr>
            </w:pPr>
            <w:r>
              <w:rPr>
                <w:sz w:val="24"/>
              </w:rPr>
              <w:t>1.480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6.728</w:t>
            </w:r>
          </w:p>
        </w:tc>
        <w:tc>
          <w:tcPr>
            <w:tcW w:w="1688" w:type="dxa"/>
          </w:tcPr>
          <w:p>
            <w:pPr>
              <w:pStyle w:val="TableParagraph"/>
              <w:spacing w:before="20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60.132</w:t>
            </w:r>
          </w:p>
        </w:tc>
        <w:tc>
          <w:tcPr>
            <w:tcW w:w="1164" w:type="dxa"/>
          </w:tcPr>
          <w:p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2.064</w:t>
            </w:r>
          </w:p>
        </w:tc>
        <w:tc>
          <w:tcPr>
            <w:tcW w:w="1471" w:type="dxa"/>
          </w:tcPr>
          <w:p>
            <w:pPr>
              <w:pStyle w:val="TableParagraph"/>
              <w:spacing w:before="2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9.380</w:t>
            </w:r>
          </w:p>
        </w:tc>
        <w:tc>
          <w:tcPr>
            <w:tcW w:w="1563" w:type="dxa"/>
          </w:tcPr>
          <w:p>
            <w:pPr>
              <w:pStyle w:val="TableParagraph"/>
              <w:spacing w:before="2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52.701</w:t>
            </w:r>
          </w:p>
        </w:tc>
      </w:tr>
      <w:tr>
        <w:trPr>
          <w:trHeight w:val="318" w:hRule="atLeast"/>
        </w:trPr>
        <w:tc>
          <w:tcPr>
            <w:tcW w:w="1202" w:type="dxa"/>
          </w:tcPr>
          <w:p>
            <w:pPr>
              <w:pStyle w:val="TableParagraph"/>
              <w:spacing w:before="21"/>
              <w:ind w:left="1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0" w:type="dxa"/>
          </w:tcPr>
          <w:p>
            <w:pPr>
              <w:pStyle w:val="TableParagraph"/>
              <w:spacing w:before="2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1.294</w:t>
            </w:r>
          </w:p>
        </w:tc>
        <w:tc>
          <w:tcPr>
            <w:tcW w:w="1489" w:type="dxa"/>
          </w:tcPr>
          <w:p>
            <w:pPr>
              <w:pStyle w:val="TableParagraph"/>
              <w:spacing w:before="21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5.882</w:t>
            </w:r>
          </w:p>
        </w:tc>
        <w:tc>
          <w:tcPr>
            <w:tcW w:w="1558" w:type="dxa"/>
          </w:tcPr>
          <w:p>
            <w:pPr>
              <w:pStyle w:val="TableParagraph"/>
              <w:spacing w:before="21"/>
              <w:ind w:left="430"/>
              <w:rPr>
                <w:sz w:val="24"/>
              </w:rPr>
            </w:pPr>
            <w:r>
              <w:rPr>
                <w:sz w:val="24"/>
              </w:rPr>
              <w:t>66.014</w:t>
            </w:r>
          </w:p>
        </w:tc>
        <w:tc>
          <w:tcPr>
            <w:tcW w:w="1167" w:type="dxa"/>
          </w:tcPr>
          <w:p>
            <w:pPr>
              <w:pStyle w:val="TableParagraph"/>
              <w:spacing w:before="21"/>
              <w:ind w:left="279"/>
              <w:rPr>
                <w:sz w:val="24"/>
              </w:rPr>
            </w:pPr>
            <w:r>
              <w:rPr>
                <w:sz w:val="24"/>
              </w:rPr>
              <w:t>1.294</w:t>
            </w:r>
          </w:p>
        </w:tc>
        <w:tc>
          <w:tcPr>
            <w:tcW w:w="1500" w:type="dxa"/>
          </w:tcPr>
          <w:p>
            <w:pPr>
              <w:pStyle w:val="TableParagraph"/>
              <w:spacing w:before="21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5.882</w:t>
            </w:r>
          </w:p>
        </w:tc>
        <w:tc>
          <w:tcPr>
            <w:tcW w:w="1688" w:type="dxa"/>
          </w:tcPr>
          <w:p>
            <w:pPr>
              <w:pStyle w:val="TableParagraph"/>
              <w:spacing w:before="21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66.014</w:t>
            </w:r>
          </w:p>
        </w:tc>
        <w:tc>
          <w:tcPr>
            <w:tcW w:w="1164" w:type="dxa"/>
          </w:tcPr>
          <w:p>
            <w:pPr>
              <w:pStyle w:val="TableParagraph"/>
              <w:spacing w:before="21"/>
              <w:ind w:left="285"/>
              <w:rPr>
                <w:sz w:val="24"/>
              </w:rPr>
            </w:pPr>
            <w:r>
              <w:rPr>
                <w:sz w:val="24"/>
              </w:rPr>
              <w:t>1.997</w:t>
            </w:r>
          </w:p>
        </w:tc>
        <w:tc>
          <w:tcPr>
            <w:tcW w:w="1471" w:type="dxa"/>
          </w:tcPr>
          <w:p>
            <w:pPr>
              <w:pStyle w:val="TableParagraph"/>
              <w:spacing w:before="2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9.077</w:t>
            </w:r>
          </w:p>
        </w:tc>
        <w:tc>
          <w:tcPr>
            <w:tcW w:w="1563" w:type="dxa"/>
          </w:tcPr>
          <w:p>
            <w:pPr>
              <w:pStyle w:val="TableParagraph"/>
              <w:spacing w:before="2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61.778</w:t>
            </w:r>
          </w:p>
        </w:tc>
      </w:tr>
      <w:tr>
        <w:trPr>
          <w:trHeight w:val="316" w:hRule="atLeast"/>
        </w:trPr>
        <w:tc>
          <w:tcPr>
            <w:tcW w:w="1202" w:type="dxa"/>
          </w:tcPr>
          <w:p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0" w:type="dxa"/>
          </w:tcPr>
          <w:p>
            <w:pPr>
              <w:pStyle w:val="TableParagraph"/>
              <w:spacing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1.124</w:t>
            </w:r>
          </w:p>
        </w:tc>
        <w:tc>
          <w:tcPr>
            <w:tcW w:w="1489" w:type="dxa"/>
          </w:tcPr>
          <w:p>
            <w:pPr>
              <w:pStyle w:val="TableParagraph"/>
              <w:spacing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5.110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430"/>
              <w:rPr>
                <w:sz w:val="24"/>
              </w:rPr>
            </w:pPr>
            <w:r>
              <w:rPr>
                <w:sz w:val="24"/>
              </w:rPr>
              <w:t>71.124</w:t>
            </w:r>
          </w:p>
        </w:tc>
        <w:tc>
          <w:tcPr>
            <w:tcW w:w="1167" w:type="dxa"/>
          </w:tcPr>
          <w:p>
            <w:pPr>
              <w:pStyle w:val="TableParagraph"/>
              <w:spacing w:before="20"/>
              <w:ind w:left="279"/>
              <w:rPr>
                <w:sz w:val="24"/>
              </w:rPr>
            </w:pPr>
            <w:r>
              <w:rPr>
                <w:sz w:val="24"/>
              </w:rPr>
              <w:t>1.124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5.110</w:t>
            </w:r>
          </w:p>
        </w:tc>
        <w:tc>
          <w:tcPr>
            <w:tcW w:w="1688" w:type="dxa"/>
          </w:tcPr>
          <w:p>
            <w:pPr>
              <w:pStyle w:val="TableParagraph"/>
              <w:spacing w:before="20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71.124</w:t>
            </w:r>
          </w:p>
        </w:tc>
        <w:tc>
          <w:tcPr>
            <w:tcW w:w="1164" w:type="dxa"/>
          </w:tcPr>
          <w:p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1.736</w:t>
            </w:r>
          </w:p>
        </w:tc>
        <w:tc>
          <w:tcPr>
            <w:tcW w:w="1471" w:type="dxa"/>
          </w:tcPr>
          <w:p>
            <w:pPr>
              <w:pStyle w:val="TableParagraph"/>
              <w:spacing w:before="2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7.891</w:t>
            </w:r>
          </w:p>
        </w:tc>
        <w:tc>
          <w:tcPr>
            <w:tcW w:w="1563" w:type="dxa"/>
          </w:tcPr>
          <w:p>
            <w:pPr>
              <w:pStyle w:val="TableParagraph"/>
              <w:spacing w:before="2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69.669</w:t>
            </w:r>
          </w:p>
        </w:tc>
      </w:tr>
      <w:tr>
        <w:trPr>
          <w:trHeight w:val="316" w:hRule="atLeast"/>
        </w:trPr>
        <w:tc>
          <w:tcPr>
            <w:tcW w:w="1202" w:type="dxa"/>
          </w:tcPr>
          <w:p>
            <w:pPr>
              <w:pStyle w:val="TableParagraph"/>
              <w:spacing w:before="20"/>
              <w:ind w:left="18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70" w:type="dxa"/>
          </w:tcPr>
          <w:p>
            <w:pPr>
              <w:pStyle w:val="TableParagraph"/>
              <w:spacing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1.105</w:t>
            </w:r>
          </w:p>
        </w:tc>
        <w:tc>
          <w:tcPr>
            <w:tcW w:w="1489" w:type="dxa"/>
          </w:tcPr>
          <w:p>
            <w:pPr>
              <w:pStyle w:val="TableParagraph"/>
              <w:spacing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5.021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"/>
              <w:ind w:left="430"/>
              <w:rPr>
                <w:sz w:val="24"/>
              </w:rPr>
            </w:pPr>
            <w:r>
              <w:rPr>
                <w:sz w:val="24"/>
              </w:rPr>
              <w:t>76.145</w:t>
            </w:r>
          </w:p>
        </w:tc>
        <w:tc>
          <w:tcPr>
            <w:tcW w:w="1167" w:type="dxa"/>
          </w:tcPr>
          <w:p>
            <w:pPr>
              <w:pStyle w:val="TableParagraph"/>
              <w:spacing w:before="20"/>
              <w:ind w:left="279"/>
              <w:rPr>
                <w:sz w:val="24"/>
              </w:rPr>
            </w:pPr>
            <w:r>
              <w:rPr>
                <w:sz w:val="24"/>
              </w:rPr>
              <w:t>1.105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"/>
              <w:ind w:left="332" w:right="259"/>
              <w:jc w:val="center"/>
              <w:rPr>
                <w:sz w:val="24"/>
              </w:rPr>
            </w:pPr>
            <w:r>
              <w:rPr>
                <w:sz w:val="24"/>
              </w:rPr>
              <w:t>5.021</w:t>
            </w:r>
          </w:p>
        </w:tc>
        <w:tc>
          <w:tcPr>
            <w:tcW w:w="1688" w:type="dxa"/>
          </w:tcPr>
          <w:p>
            <w:pPr>
              <w:pStyle w:val="TableParagraph"/>
              <w:spacing w:before="20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76.145</w:t>
            </w:r>
          </w:p>
        </w:tc>
        <w:tc>
          <w:tcPr>
            <w:tcW w:w="1164" w:type="dxa"/>
          </w:tcPr>
          <w:p>
            <w:pPr>
              <w:pStyle w:val="TableParagraph"/>
              <w:spacing w:before="20"/>
              <w:ind w:left="285"/>
              <w:rPr>
                <w:sz w:val="24"/>
              </w:rPr>
            </w:pPr>
            <w:r>
              <w:rPr>
                <w:sz w:val="24"/>
              </w:rPr>
              <w:t>1.425</w:t>
            </w:r>
          </w:p>
        </w:tc>
        <w:tc>
          <w:tcPr>
            <w:tcW w:w="1471" w:type="dxa"/>
          </w:tcPr>
          <w:p>
            <w:pPr>
              <w:pStyle w:val="TableParagraph"/>
              <w:spacing w:before="2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6.476</w:t>
            </w:r>
          </w:p>
        </w:tc>
        <w:tc>
          <w:tcPr>
            <w:tcW w:w="1563" w:type="dxa"/>
          </w:tcPr>
          <w:p>
            <w:pPr>
              <w:pStyle w:val="TableParagraph"/>
              <w:spacing w:before="2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76.145</w:t>
            </w:r>
          </w:p>
        </w:tc>
      </w:tr>
      <w:tr>
        <w:trPr>
          <w:trHeight w:val="308" w:hRule="atLeast"/>
        </w:trPr>
        <w:tc>
          <w:tcPr>
            <w:tcW w:w="1202" w:type="dxa"/>
          </w:tcPr>
          <w:p>
            <w:pPr>
              <w:pStyle w:val="TableParagraph"/>
              <w:spacing w:line="268" w:lineRule="exact" w:before="20"/>
              <w:ind w:left="18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70" w:type="dxa"/>
          </w:tcPr>
          <w:p>
            <w:pPr>
              <w:pStyle w:val="TableParagraph"/>
              <w:spacing w:line="268" w:lineRule="exact" w:before="2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.978</w:t>
            </w:r>
          </w:p>
        </w:tc>
        <w:tc>
          <w:tcPr>
            <w:tcW w:w="1489" w:type="dxa"/>
          </w:tcPr>
          <w:p>
            <w:pPr>
              <w:pStyle w:val="TableParagraph"/>
              <w:spacing w:line="268" w:lineRule="exact" w:before="2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4.446</w:t>
            </w:r>
          </w:p>
        </w:tc>
        <w:tc>
          <w:tcPr>
            <w:tcW w:w="1558" w:type="dxa"/>
          </w:tcPr>
          <w:p>
            <w:pPr>
              <w:pStyle w:val="TableParagraph"/>
              <w:spacing w:line="268" w:lineRule="exact" w:before="20"/>
              <w:ind w:left="430"/>
              <w:rPr>
                <w:sz w:val="24"/>
              </w:rPr>
            </w:pPr>
            <w:r>
              <w:rPr>
                <w:sz w:val="24"/>
              </w:rPr>
              <w:t>80.591</w:t>
            </w:r>
          </w:p>
        </w:tc>
        <w:tc>
          <w:tcPr>
            <w:tcW w:w="8553" w:type="dxa"/>
            <w:gridSpan w:val="6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8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.917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1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4.170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1"/>
              <w:ind w:left="430"/>
              <w:rPr>
                <w:sz w:val="24"/>
              </w:rPr>
            </w:pPr>
            <w:r>
              <w:rPr>
                <w:sz w:val="24"/>
              </w:rPr>
              <w:t>84.761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.757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3.443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88.204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.649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2.949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91.153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202" w:type="dxa"/>
          </w:tcPr>
          <w:p>
            <w:pPr>
              <w:pStyle w:val="TableParagraph"/>
              <w:spacing w:line="268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70" w:type="dxa"/>
          </w:tcPr>
          <w:p>
            <w:pPr>
              <w:pStyle w:val="TableParagraph"/>
              <w:spacing w:line="268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.587</w:t>
            </w:r>
          </w:p>
        </w:tc>
        <w:tc>
          <w:tcPr>
            <w:tcW w:w="1489" w:type="dxa"/>
          </w:tcPr>
          <w:p>
            <w:pPr>
              <w:pStyle w:val="TableParagraph"/>
              <w:spacing w:line="268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2.667</w:t>
            </w:r>
          </w:p>
        </w:tc>
        <w:tc>
          <w:tcPr>
            <w:tcW w:w="1558" w:type="dxa"/>
          </w:tcPr>
          <w:p>
            <w:pPr>
              <w:pStyle w:val="TableParagraph"/>
              <w:spacing w:line="268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93.820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.470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1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2.137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1"/>
              <w:ind w:left="430"/>
              <w:rPr>
                <w:sz w:val="24"/>
              </w:rPr>
            </w:pPr>
            <w:r>
              <w:rPr>
                <w:sz w:val="24"/>
              </w:rPr>
              <w:t>95.957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.342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1.555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97.512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.294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1.337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98.848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202" w:type="dxa"/>
          </w:tcPr>
          <w:p>
            <w:pPr>
              <w:pStyle w:val="TableParagraph"/>
              <w:spacing w:line="268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70" w:type="dxa"/>
          </w:tcPr>
          <w:p>
            <w:pPr>
              <w:pStyle w:val="TableParagraph"/>
              <w:spacing w:line="268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.171</w:t>
            </w:r>
          </w:p>
        </w:tc>
        <w:tc>
          <w:tcPr>
            <w:tcW w:w="1489" w:type="dxa"/>
          </w:tcPr>
          <w:p>
            <w:pPr>
              <w:pStyle w:val="TableParagraph"/>
              <w:spacing w:line="268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.777</w:t>
            </w:r>
          </w:p>
        </w:tc>
        <w:tc>
          <w:tcPr>
            <w:tcW w:w="1558" w:type="dxa"/>
          </w:tcPr>
          <w:p>
            <w:pPr>
              <w:pStyle w:val="TableParagraph"/>
              <w:spacing w:line="268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99.625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.056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1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.255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1"/>
              <w:ind w:left="430"/>
              <w:rPr>
                <w:sz w:val="24"/>
              </w:rPr>
            </w:pPr>
            <w:r>
              <w:rPr>
                <w:sz w:val="24"/>
              </w:rPr>
              <w:t>99.880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.072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99.952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.007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0"/>
              <w:ind w:left="430"/>
              <w:rPr>
                <w:sz w:val="24"/>
              </w:rPr>
            </w:pPr>
            <w:r>
              <w:rPr>
                <w:sz w:val="24"/>
              </w:rPr>
              <w:t>99.984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202" w:type="dxa"/>
          </w:tcPr>
          <w:p>
            <w:pPr>
              <w:pStyle w:val="TableParagraph"/>
              <w:spacing w:line="268" w:lineRule="exact" w:before="10"/>
              <w:ind w:left="18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70" w:type="dxa"/>
          </w:tcPr>
          <w:p>
            <w:pPr>
              <w:pStyle w:val="TableParagraph"/>
              <w:spacing w:line="268" w:lineRule="exact"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489" w:type="dxa"/>
          </w:tcPr>
          <w:p>
            <w:pPr>
              <w:pStyle w:val="TableParagraph"/>
              <w:spacing w:line="268" w:lineRule="exact" w:before="10"/>
              <w:ind w:left="181" w:right="139"/>
              <w:jc w:val="center"/>
              <w:rPr>
                <w:sz w:val="24"/>
              </w:rPr>
            </w:pPr>
            <w:r>
              <w:rPr>
                <w:sz w:val="24"/>
              </w:rPr>
              <w:t>.016</w:t>
            </w:r>
          </w:p>
        </w:tc>
        <w:tc>
          <w:tcPr>
            <w:tcW w:w="1558" w:type="dxa"/>
          </w:tcPr>
          <w:p>
            <w:pPr>
              <w:pStyle w:val="TableParagraph"/>
              <w:spacing w:line="268" w:lineRule="exact" w:before="10"/>
              <w:ind w:left="370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" w:hRule="atLeast"/>
        </w:trPr>
        <w:tc>
          <w:tcPr>
            <w:tcW w:w="1202" w:type="dxa"/>
          </w:tcPr>
          <w:p>
            <w:pPr>
              <w:pStyle w:val="TableParagraph"/>
              <w:spacing w:line="267" w:lineRule="exact" w:before="11"/>
              <w:ind w:left="18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70" w:type="dxa"/>
          </w:tcPr>
          <w:p>
            <w:pPr>
              <w:pStyle w:val="TableParagraph"/>
              <w:spacing w:line="267" w:lineRule="exact" w:before="11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8.348E-</w:t>
            </w:r>
          </w:p>
        </w:tc>
        <w:tc>
          <w:tcPr>
            <w:tcW w:w="1489" w:type="dxa"/>
          </w:tcPr>
          <w:p>
            <w:pPr>
              <w:pStyle w:val="TableParagraph"/>
              <w:spacing w:line="267" w:lineRule="exact" w:before="11"/>
              <w:ind w:left="182" w:right="139"/>
              <w:jc w:val="center"/>
              <w:rPr>
                <w:sz w:val="24"/>
              </w:rPr>
            </w:pPr>
            <w:r>
              <w:rPr>
                <w:sz w:val="24"/>
              </w:rPr>
              <w:t>3.794E-016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 w:before="11"/>
              <w:ind w:left="370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017</w:t>
            </w:r>
          </w:p>
        </w:tc>
        <w:tc>
          <w:tcPr>
            <w:tcW w:w="14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53" w:type="dxa"/>
            <w:gridSpan w:val="6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66" w:lineRule="exact"/>
        <w:ind w:left="285"/>
      </w:pPr>
      <w:r>
        <w:rPr/>
        <w:t>Source:</w:t>
      </w:r>
      <w:r>
        <w:rPr>
          <w:spacing w:val="-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4.4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56"/>
        <w:ind w:left="6314" w:right="750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53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6"/>
          <w:pgSz w:w="15840" w:h="12240" w:orient="landscape"/>
          <w:pgMar w:footer="0" w:header="0" w:top="1140" w:bottom="280" w:left="1760" w:right="0"/>
        </w:sectPr>
      </w:pPr>
    </w:p>
    <w:p>
      <w:pPr>
        <w:pStyle w:val="BodyText"/>
        <w:spacing w:line="480" w:lineRule="auto" w:before="70"/>
        <w:ind w:left="265" w:right="1074"/>
        <w:jc w:val="both"/>
      </w:pPr>
      <w:r>
        <w:rPr/>
        <w:t>The cumulative variance of the eight the most correlated factors influencing peri-urban</w:t>
      </w:r>
      <w:r>
        <w:rPr>
          <w:spacing w:val="1"/>
        </w:rPr>
        <w:t> </w:t>
      </w:r>
      <w:r>
        <w:rPr/>
        <w:t>development in Bida presented in Table 4.5.</w:t>
      </w:r>
      <w:r>
        <w:rPr>
          <w:spacing w:val="61"/>
        </w:rPr>
        <w:t> </w:t>
      </w:r>
      <w:r>
        <w:rPr/>
        <w:t>The eigen value in the table, and the total</w:t>
      </w:r>
      <w:r>
        <w:rPr>
          <w:spacing w:val="1"/>
        </w:rPr>
        <w:t> </w:t>
      </w:r>
      <w:r>
        <w:rPr/>
        <w:t>under eigen value revealed the amount of total variance in the original variable 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variance</w:t>
      </w:r>
      <w:r>
        <w:rPr>
          <w:spacing w:val="1"/>
        </w:rPr>
        <w:t> </w:t>
      </w:r>
      <w:r>
        <w:rPr/>
        <w:t>accounted for by each of the component to the total variance of the variables. The analysis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square loadings in the second section explained the variability in original 21 variables. The</w:t>
      </w:r>
      <w:r>
        <w:rPr>
          <w:spacing w:val="1"/>
        </w:rPr>
        <w:t> </w:t>
      </w:r>
      <w:r>
        <w:rPr/>
        <w:t>extracted components explained 76.145% variability in the original variables. therefore this</w:t>
      </w:r>
      <w:r>
        <w:rPr>
          <w:spacing w:val="-57"/>
        </w:rPr>
        <w:t> </w:t>
      </w:r>
      <w:r>
        <w:rPr/>
        <w:t>study considerably reduce the data by selecting the extracted components as the most</w:t>
      </w:r>
      <w:r>
        <w:rPr>
          <w:spacing w:val="1"/>
        </w:rPr>
        <w:t> </w:t>
      </w:r>
      <w:r>
        <w:rPr/>
        <w:t>emphasized factors influencing peri-urban development with the minimum of 23.85% loss</w:t>
      </w:r>
      <w:r>
        <w:rPr>
          <w:spacing w:val="1"/>
        </w:rPr>
        <w:t> </w:t>
      </w:r>
      <w:r>
        <w:rPr/>
        <w:t>of information. This further indicates that the outlined factors are through representative of</w:t>
      </w:r>
      <w:r>
        <w:rPr>
          <w:spacing w:val="1"/>
        </w:rPr>
        <w:t> </w:t>
      </w:r>
      <w:r>
        <w:rPr/>
        <w:t>entire</w:t>
      </w:r>
      <w:r>
        <w:rPr>
          <w:spacing w:val="-3"/>
        </w:rPr>
        <w:t> </w:t>
      </w:r>
      <w:r>
        <w:rPr/>
        <w:t>factors influencing peri-urban development.</w:t>
      </w:r>
    </w:p>
    <w:p>
      <w:pPr>
        <w:spacing w:after="0" w:line="480" w:lineRule="auto"/>
        <w:jc w:val="both"/>
        <w:sectPr>
          <w:footerReference w:type="default" r:id="rId27"/>
          <w:pgSz w:w="12240" w:h="15840"/>
          <w:pgMar w:footer="1015" w:header="0" w:top="1340" w:bottom="1200" w:left="1720" w:right="340"/>
          <w:pgNumType w:start="54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507"/>
        <w:rPr>
          <w:sz w:val="20"/>
        </w:rPr>
      </w:pPr>
      <w:r>
        <w:rPr>
          <w:sz w:val="20"/>
        </w:rPr>
        <w:drawing>
          <wp:inline distT="0" distB="0" distL="0" distR="0">
            <wp:extent cx="5095163" cy="4486275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163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436" w:right="1583" w:hanging="1172"/>
        <w:jc w:val="left"/>
        <w:rPr>
          <w:b/>
          <w:sz w:val="24"/>
        </w:rPr>
      </w:pPr>
      <w:bookmarkStart w:name="_bookmark69" w:id="110"/>
      <w:bookmarkEnd w:id="110"/>
      <w:r>
        <w:rPr/>
      </w:r>
      <w:r>
        <w:rPr>
          <w:b/>
          <w:sz w:val="24"/>
        </w:rPr>
        <w:t>Figure 4.6: Scree Plot of Components Analysis of Factors Influencing Peri-Urban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spacing w:line="270" w:lineRule="exact"/>
        <w:ind w:left="265"/>
        <w:jc w:val="both"/>
      </w:pPr>
      <w:r>
        <w:rPr/>
        <w:t>Source:</w:t>
      </w:r>
      <w:r>
        <w:rPr>
          <w:spacing w:val="-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5"/>
        <w:ind w:left="265" w:right="1075"/>
        <w:jc w:val="both"/>
      </w:pPr>
      <w:r>
        <w:rPr/>
        <w:t>The result of scree plot analysis factors influencing peri-urban development is presented in</w:t>
      </w:r>
      <w:r>
        <w:rPr>
          <w:spacing w:val="1"/>
        </w:rPr>
        <w:t> </w:t>
      </w:r>
      <w:r>
        <w:rPr/>
        <w:t>figure 4:10 showed eigenvalue of each component of the initial solution. The extraction of</w:t>
      </w:r>
      <w:r>
        <w:rPr>
          <w:spacing w:val="1"/>
        </w:rPr>
        <w:t> </w:t>
      </w:r>
      <w:r>
        <w:rPr/>
        <w:t>four components is done at slope and contributed about 76.145% cumulative variance, and</w:t>
      </w:r>
      <w:r>
        <w:rPr>
          <w:spacing w:val="1"/>
        </w:rPr>
        <w:t> </w:t>
      </w:r>
      <w:r>
        <w:rPr/>
        <w:t>therefore the components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shallow slope contribute little to</w:t>
      </w:r>
      <w:r>
        <w:rPr>
          <w:spacing w:val="1"/>
        </w:rPr>
        <w:t> </w:t>
      </w:r>
      <w:r>
        <w:rPr/>
        <w:t>the solution about</w:t>
      </w:r>
      <w:r>
        <w:rPr>
          <w:spacing w:val="60"/>
        </w:rPr>
        <w:t> </w:t>
      </w:r>
      <w:r>
        <w:rPr/>
        <w:t>23.85%.</w:t>
      </w:r>
      <w:r>
        <w:rPr>
          <w:spacing w:val="1"/>
        </w:rPr>
        <w:t> </w:t>
      </w:r>
      <w:r>
        <w:rPr/>
        <w:t>The last drop occurs between components sixth and seventh components; therefore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six</w:t>
      </w:r>
      <w:r>
        <w:rPr>
          <w:spacing w:val="2"/>
        </w:rPr>
        <w:t> </w:t>
      </w:r>
      <w:r>
        <w:rPr/>
        <w:t>component is</w:t>
      </w:r>
      <w:r>
        <w:rPr>
          <w:spacing w:val="-2"/>
        </w:rPr>
        <w:t> </w:t>
      </w:r>
      <w:r>
        <w:rPr/>
        <w:t>an easy</w:t>
      </w:r>
      <w:r>
        <w:rPr>
          <w:spacing w:val="-5"/>
        </w:rPr>
        <w:t> </w:t>
      </w:r>
      <w:r>
        <w:rPr/>
        <w:t>choice.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340"/>
        </w:sectPr>
      </w:pPr>
    </w:p>
    <w:p>
      <w:pPr>
        <w:spacing w:before="77"/>
        <w:ind w:left="265" w:right="0" w:firstLine="0"/>
        <w:jc w:val="left"/>
        <w:rPr>
          <w:b/>
          <w:sz w:val="24"/>
        </w:rPr>
      </w:pPr>
      <w:bookmarkStart w:name="_bookmark70" w:id="111"/>
      <w:bookmarkEnd w:id="111"/>
      <w:r>
        <w:rPr/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Loading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Influencing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6"/>
        <w:gridCol w:w="1143"/>
        <w:gridCol w:w="1585"/>
        <w:gridCol w:w="1181"/>
      </w:tblGrid>
      <w:tr>
        <w:trPr>
          <w:trHeight w:val="551" w:hRule="atLeast"/>
        </w:trPr>
        <w:tc>
          <w:tcPr>
            <w:tcW w:w="43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</w:p>
        </w:tc>
        <w:tc>
          <w:tcPr>
            <w:tcW w:w="11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</w:p>
          <w:p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loading</w:t>
            </w:r>
          </w:p>
        </w:tc>
        <w:tc>
          <w:tcPr>
            <w:tcW w:w="1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76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Eigen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1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7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of</w:t>
            </w:r>
          </w:p>
          <w:p>
            <w:pPr>
              <w:pStyle w:val="TableParagraph"/>
              <w:spacing w:line="259" w:lineRule="exact"/>
              <w:ind w:left="17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variance</w:t>
            </w:r>
          </w:p>
        </w:tc>
      </w:tr>
      <w:tr>
        <w:trPr>
          <w:trHeight w:val="606" w:hRule="atLeast"/>
        </w:trPr>
        <w:tc>
          <w:tcPr>
            <w:tcW w:w="43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 Neighborhood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  <w:p>
            <w:pPr>
              <w:pStyle w:val="TableParagraph"/>
              <w:spacing w:line="273" w:lineRule="exact" w:before="43"/>
              <w:ind w:left="115"/>
              <w:rPr>
                <w:sz w:val="24"/>
              </w:rPr>
            </w:pPr>
            <w:r>
              <w:rPr>
                <w:sz w:val="24"/>
              </w:rPr>
              <w:t>electricity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transmission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  <w:tc>
          <w:tcPr>
            <w:tcW w:w="11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73" w:lineRule="exact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0.874</w:t>
            </w:r>
          </w:p>
        </w:tc>
        <w:tc>
          <w:tcPr>
            <w:tcW w:w="1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9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5.469</w:t>
            </w:r>
          </w:p>
        </w:tc>
        <w:tc>
          <w:tcPr>
            <w:tcW w:w="11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9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24.857</w:t>
            </w:r>
          </w:p>
        </w:tc>
      </w:tr>
      <w:tr>
        <w:trPr>
          <w:trHeight w:val="300" w:hRule="atLeast"/>
        </w:trPr>
        <w:tc>
          <w:tcPr>
            <w:tcW w:w="4356" w:type="dxa"/>
          </w:tcPr>
          <w:p>
            <w:pPr>
              <w:pStyle w:val="TableParagraph"/>
              <w:spacing w:line="273" w:lineRule="exact" w:before="7"/>
              <w:ind w:left="11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spaces</w:t>
            </w:r>
          </w:p>
        </w:tc>
        <w:tc>
          <w:tcPr>
            <w:tcW w:w="1143" w:type="dxa"/>
          </w:tcPr>
          <w:p>
            <w:pPr>
              <w:pStyle w:val="TableParagraph"/>
              <w:spacing w:line="273" w:lineRule="exact"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0.883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4356" w:type="dxa"/>
          </w:tcPr>
          <w:p>
            <w:pPr>
              <w:pStyle w:val="TableParagraph"/>
              <w:spacing w:line="273" w:lineRule="exact" w:before="7"/>
              <w:ind w:left="115"/>
              <w:rPr>
                <w:sz w:val="24"/>
              </w:rPr>
            </w:pPr>
            <w:r>
              <w:rPr>
                <w:sz w:val="24"/>
              </w:rPr>
              <w:t>roads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1143" w:type="dxa"/>
          </w:tcPr>
          <w:p>
            <w:pPr>
              <w:pStyle w:val="TableParagraph"/>
              <w:spacing w:line="273" w:lineRule="exact"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0.611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9" w:hRule="atLeast"/>
        </w:trPr>
        <w:tc>
          <w:tcPr>
            <w:tcW w:w="4356" w:type="dxa"/>
          </w:tcPr>
          <w:p>
            <w:pPr>
              <w:pStyle w:val="TableParagraph"/>
              <w:spacing w:line="320" w:lineRule="atLeast" w:before="109"/>
              <w:ind w:left="115" w:right="181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Drainage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7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  <w:tc>
          <w:tcPr>
            <w:tcW w:w="1585" w:type="dxa"/>
          </w:tcPr>
          <w:p>
            <w:pPr>
              <w:pStyle w:val="TableParagraph"/>
              <w:spacing w:before="202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2.577</w:t>
            </w:r>
          </w:p>
        </w:tc>
        <w:tc>
          <w:tcPr>
            <w:tcW w:w="1181" w:type="dxa"/>
          </w:tcPr>
          <w:p>
            <w:pPr>
              <w:pStyle w:val="TableParagraph"/>
              <w:spacing w:before="202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11.713</w:t>
            </w:r>
          </w:p>
        </w:tc>
      </w:tr>
      <w:tr>
        <w:trPr>
          <w:trHeight w:val="300" w:hRule="atLeast"/>
        </w:trPr>
        <w:tc>
          <w:tcPr>
            <w:tcW w:w="4356" w:type="dxa"/>
          </w:tcPr>
          <w:p>
            <w:pPr>
              <w:pStyle w:val="TableParagraph"/>
              <w:spacing w:line="273" w:lineRule="exact" w:before="7"/>
              <w:ind w:left="115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1143" w:type="dxa"/>
          </w:tcPr>
          <w:p>
            <w:pPr>
              <w:pStyle w:val="TableParagraph"/>
              <w:spacing w:line="273" w:lineRule="exact"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0.939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356" w:type="dxa"/>
          </w:tcPr>
          <w:p>
            <w:pPr>
              <w:pStyle w:val="TableParagraph"/>
              <w:spacing w:line="273" w:lineRule="exact" w:before="7"/>
              <w:ind w:left="115"/>
              <w:rPr>
                <w:sz w:val="24"/>
              </w:rPr>
            </w:pPr>
            <w:r>
              <w:rPr>
                <w:sz w:val="24"/>
              </w:rPr>
              <w:t>Pollution</w:t>
            </w:r>
          </w:p>
        </w:tc>
        <w:tc>
          <w:tcPr>
            <w:tcW w:w="1143" w:type="dxa"/>
          </w:tcPr>
          <w:p>
            <w:pPr>
              <w:pStyle w:val="TableParagraph"/>
              <w:spacing w:line="273" w:lineRule="exact"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0.606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1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  <w:p>
            <w:pPr>
              <w:pStyle w:val="TableParagraph"/>
              <w:spacing w:line="273" w:lineRule="exact" w:before="45"/>
              <w:ind w:left="115"/>
              <w:rPr>
                <w:sz w:val="24"/>
              </w:rPr>
            </w:pPr>
            <w:r>
              <w:rPr>
                <w:sz w:val="24"/>
              </w:rPr>
              <w:t>Easy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Access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</w:tc>
        <w:tc>
          <w:tcPr>
            <w:tcW w:w="1143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spacing w:line="273" w:lineRule="exact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  <w:tc>
          <w:tcPr>
            <w:tcW w:w="1585" w:type="dxa"/>
          </w:tcPr>
          <w:p>
            <w:pPr>
              <w:pStyle w:val="TableParagraph"/>
              <w:spacing w:before="52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1.934</w:t>
            </w:r>
          </w:p>
        </w:tc>
        <w:tc>
          <w:tcPr>
            <w:tcW w:w="1181" w:type="dxa"/>
          </w:tcPr>
          <w:p>
            <w:pPr>
              <w:pStyle w:val="TableParagraph"/>
              <w:spacing w:before="52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8.789</w:t>
            </w:r>
          </w:p>
        </w:tc>
      </w:tr>
      <w:tr>
        <w:trPr>
          <w:trHeight w:val="1001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 w:right="295"/>
              <w:rPr>
                <w:sz w:val="24"/>
              </w:rPr>
            </w:pPr>
            <w:r>
              <w:rPr>
                <w:sz w:val="24"/>
              </w:rPr>
              <w:t>Large-scale of public investment in Peri-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Urban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Social Amenities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ind w:left="296"/>
              <w:rPr>
                <w:sz w:val="24"/>
              </w:rPr>
            </w:pPr>
            <w:r>
              <w:rPr>
                <w:sz w:val="24"/>
              </w:rPr>
              <w:t>0.842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0.652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9" w:hRule="atLeast"/>
        </w:trPr>
        <w:tc>
          <w:tcPr>
            <w:tcW w:w="4356" w:type="dxa"/>
          </w:tcPr>
          <w:p>
            <w:pPr>
              <w:pStyle w:val="TableParagraph"/>
              <w:spacing w:line="320" w:lineRule="atLeast" w:before="109"/>
              <w:ind w:left="115" w:right="581"/>
              <w:rPr>
                <w:sz w:val="24"/>
              </w:rPr>
            </w:pPr>
            <w:r>
              <w:rPr>
                <w:sz w:val="24"/>
              </w:rPr>
              <w:t>Factor 4: communication and security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telecommunication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7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0.902</w:t>
            </w:r>
          </w:p>
        </w:tc>
        <w:tc>
          <w:tcPr>
            <w:tcW w:w="1585" w:type="dxa"/>
          </w:tcPr>
          <w:p>
            <w:pPr>
              <w:pStyle w:val="TableParagraph"/>
              <w:spacing w:before="202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1.770</w:t>
            </w:r>
          </w:p>
        </w:tc>
        <w:tc>
          <w:tcPr>
            <w:tcW w:w="1181" w:type="dxa"/>
          </w:tcPr>
          <w:p>
            <w:pPr>
              <w:pStyle w:val="TableParagraph"/>
              <w:spacing w:before="202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8.044</w:t>
            </w:r>
          </w:p>
        </w:tc>
      </w:tr>
      <w:tr>
        <w:trPr>
          <w:trHeight w:val="457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0.901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78" w:hRule="atLeast"/>
        </w:trPr>
        <w:tc>
          <w:tcPr>
            <w:tcW w:w="4356" w:type="dxa"/>
          </w:tcPr>
          <w:p>
            <w:pPr>
              <w:pStyle w:val="TableParagraph"/>
              <w:spacing w:line="320" w:lineRule="atLeast" w:before="119"/>
              <w:ind w:left="115" w:right="2007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congestion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8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585" w:type="dxa"/>
          </w:tcPr>
          <w:p>
            <w:pPr>
              <w:pStyle w:val="TableParagraph"/>
              <w:spacing w:before="210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1.480</w:t>
            </w:r>
          </w:p>
        </w:tc>
        <w:tc>
          <w:tcPr>
            <w:tcW w:w="1181" w:type="dxa"/>
          </w:tcPr>
          <w:p>
            <w:pPr>
              <w:pStyle w:val="TableParagraph"/>
              <w:spacing w:before="210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6.728</w:t>
            </w:r>
          </w:p>
        </w:tc>
      </w:tr>
      <w:tr>
        <w:trPr>
          <w:trHeight w:val="300" w:hRule="atLeast"/>
        </w:trPr>
        <w:tc>
          <w:tcPr>
            <w:tcW w:w="4356" w:type="dxa"/>
          </w:tcPr>
          <w:p>
            <w:pPr>
              <w:pStyle w:val="TableParagraph"/>
              <w:spacing w:line="273" w:lineRule="exact" w:before="7"/>
              <w:ind w:left="115"/>
              <w:rPr>
                <w:sz w:val="24"/>
              </w:rPr>
            </w:pPr>
            <w:r>
              <w:rPr>
                <w:sz w:val="24"/>
              </w:rPr>
              <w:t>Deteriorating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livelihood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143" w:type="dxa"/>
          </w:tcPr>
          <w:p>
            <w:pPr>
              <w:pStyle w:val="TableParagraph"/>
              <w:spacing w:line="273" w:lineRule="exact"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0.792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rent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0.773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9" w:hRule="atLeast"/>
        </w:trPr>
        <w:tc>
          <w:tcPr>
            <w:tcW w:w="4356" w:type="dxa"/>
          </w:tcPr>
          <w:p>
            <w:pPr>
              <w:pStyle w:val="TableParagraph"/>
              <w:spacing w:line="320" w:lineRule="atLeast" w:before="109"/>
              <w:ind w:left="115" w:right="723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disposal management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7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585" w:type="dxa"/>
          </w:tcPr>
          <w:p>
            <w:pPr>
              <w:pStyle w:val="TableParagraph"/>
              <w:spacing w:before="202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1.294</w:t>
            </w:r>
          </w:p>
        </w:tc>
        <w:tc>
          <w:tcPr>
            <w:tcW w:w="1181" w:type="dxa"/>
          </w:tcPr>
          <w:p>
            <w:pPr>
              <w:pStyle w:val="TableParagraph"/>
              <w:spacing w:before="202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5.882</w:t>
            </w:r>
          </w:p>
        </w:tc>
      </w:tr>
      <w:tr>
        <w:trPr>
          <w:trHeight w:val="450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9" w:hRule="atLeast"/>
        </w:trPr>
        <w:tc>
          <w:tcPr>
            <w:tcW w:w="4356" w:type="dxa"/>
          </w:tcPr>
          <w:p>
            <w:pPr>
              <w:pStyle w:val="TableParagraph"/>
              <w:spacing w:line="320" w:lineRule="atLeast" w:before="110"/>
              <w:ind w:left="115" w:right="407" w:firstLine="59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Migration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7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0.858</w:t>
            </w:r>
          </w:p>
        </w:tc>
        <w:tc>
          <w:tcPr>
            <w:tcW w:w="1585" w:type="dxa"/>
          </w:tcPr>
          <w:p>
            <w:pPr>
              <w:pStyle w:val="TableParagraph"/>
              <w:spacing w:before="202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1.124</w:t>
            </w:r>
          </w:p>
        </w:tc>
        <w:tc>
          <w:tcPr>
            <w:tcW w:w="1181" w:type="dxa"/>
          </w:tcPr>
          <w:p>
            <w:pPr>
              <w:pStyle w:val="TableParagraph"/>
              <w:spacing w:before="202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5.110</w:t>
            </w:r>
          </w:p>
        </w:tc>
      </w:tr>
      <w:tr>
        <w:trPr>
          <w:trHeight w:val="450" w:hRule="atLeast"/>
        </w:trPr>
        <w:tc>
          <w:tcPr>
            <w:tcW w:w="4356" w:type="dxa"/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Relatively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Inexpensive Labor</w:t>
            </w:r>
          </w:p>
        </w:tc>
        <w:tc>
          <w:tcPr>
            <w:tcW w:w="1143" w:type="dxa"/>
          </w:tcPr>
          <w:p>
            <w:pPr>
              <w:pStyle w:val="TableParagraph"/>
              <w:spacing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4356" w:type="dxa"/>
          </w:tcPr>
          <w:p>
            <w:pPr>
              <w:pStyle w:val="TableParagraph"/>
              <w:spacing w:line="320" w:lineRule="atLeast" w:before="111"/>
              <w:ind w:left="115" w:right="628" w:firstLine="59"/>
              <w:rPr>
                <w:sz w:val="24"/>
              </w:rPr>
            </w:pPr>
            <w:r>
              <w:rPr>
                <w:sz w:val="24"/>
              </w:rPr>
              <w:t>Factor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climate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change in urban area</w:t>
            </w:r>
          </w:p>
        </w:tc>
        <w:tc>
          <w:tcPr>
            <w:tcW w:w="114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3" w:lineRule="exact" w:before="179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0.686</w:t>
            </w:r>
          </w:p>
        </w:tc>
        <w:tc>
          <w:tcPr>
            <w:tcW w:w="1585" w:type="dxa"/>
          </w:tcPr>
          <w:p>
            <w:pPr>
              <w:pStyle w:val="TableParagraph"/>
              <w:spacing w:before="202"/>
              <w:ind w:left="176" w:right="176"/>
              <w:jc w:val="center"/>
              <w:rPr>
                <w:sz w:val="24"/>
              </w:rPr>
            </w:pPr>
            <w:r>
              <w:rPr>
                <w:sz w:val="24"/>
              </w:rPr>
              <w:t>1.105</w:t>
            </w:r>
          </w:p>
        </w:tc>
        <w:tc>
          <w:tcPr>
            <w:tcW w:w="1181" w:type="dxa"/>
          </w:tcPr>
          <w:p>
            <w:pPr>
              <w:pStyle w:val="TableParagraph"/>
              <w:spacing w:before="202"/>
              <w:ind w:left="173" w:right="85"/>
              <w:jc w:val="center"/>
              <w:rPr>
                <w:sz w:val="24"/>
              </w:rPr>
            </w:pPr>
            <w:r>
              <w:rPr>
                <w:sz w:val="24"/>
              </w:rPr>
              <w:t>5.021</w:t>
            </w:r>
          </w:p>
        </w:tc>
      </w:tr>
      <w:tr>
        <w:trPr>
          <w:trHeight w:val="300" w:hRule="atLeast"/>
        </w:trPr>
        <w:tc>
          <w:tcPr>
            <w:tcW w:w="4356" w:type="dxa"/>
          </w:tcPr>
          <w:p>
            <w:pPr>
              <w:pStyle w:val="TableParagraph"/>
              <w:spacing w:line="273" w:lineRule="exact" w:before="7"/>
              <w:ind w:left="115"/>
              <w:rPr>
                <w:sz w:val="24"/>
              </w:rPr>
            </w:pP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crime</w:t>
            </w:r>
          </w:p>
        </w:tc>
        <w:tc>
          <w:tcPr>
            <w:tcW w:w="1143" w:type="dxa"/>
          </w:tcPr>
          <w:p>
            <w:pPr>
              <w:pStyle w:val="TableParagraph"/>
              <w:spacing w:line="273" w:lineRule="exact"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0.658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3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1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277" w:right="285"/>
              <w:jc w:val="center"/>
              <w:rPr>
                <w:sz w:val="24"/>
              </w:rPr>
            </w:pPr>
            <w:r>
              <w:rPr>
                <w:sz w:val="24"/>
              </w:rPr>
              <w:t>0.641</w:t>
            </w:r>
          </w:p>
        </w:tc>
        <w:tc>
          <w:tcPr>
            <w:tcW w:w="15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7" w:hRule="atLeast"/>
        </w:trPr>
        <w:tc>
          <w:tcPr>
            <w:tcW w:w="43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  <w:tc>
          <w:tcPr>
            <w:tcW w:w="114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1015" w:top="1340" w:bottom="1200" w:left="1720" w:right="340"/>
        </w:sectPr>
      </w:pPr>
    </w:p>
    <w:p>
      <w:pPr>
        <w:pStyle w:val="BodyText"/>
        <w:spacing w:before="70"/>
        <w:ind w:left="265"/>
      </w:pPr>
      <w:r>
        <w:rPr/>
        <w:t>The</w:t>
      </w:r>
      <w:r>
        <w:rPr>
          <w:spacing w:val="23"/>
        </w:rPr>
        <w:t> </w:t>
      </w:r>
      <w:r>
        <w:rPr/>
        <w:t>result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factors</w:t>
      </w:r>
      <w:r>
        <w:rPr>
          <w:spacing w:val="25"/>
        </w:rPr>
        <w:t> </w:t>
      </w:r>
      <w:r>
        <w:rPr/>
        <w:t>influencing</w:t>
      </w:r>
      <w:r>
        <w:rPr>
          <w:spacing w:val="23"/>
        </w:rPr>
        <w:t> </w:t>
      </w:r>
      <w:r>
        <w:rPr/>
        <w:t>peri-urban</w:t>
      </w:r>
      <w:r>
        <w:rPr>
          <w:spacing w:val="25"/>
        </w:rPr>
        <w:t> </w:t>
      </w:r>
      <w:r>
        <w:rPr/>
        <w:t>development</w:t>
      </w:r>
      <w:r>
        <w:rPr>
          <w:spacing w:val="28"/>
        </w:rPr>
        <w:t> </w:t>
      </w:r>
      <w:r>
        <w:rPr/>
        <w:t>is</w:t>
      </w:r>
      <w:r>
        <w:rPr>
          <w:spacing w:val="25"/>
        </w:rPr>
        <w:t> </w:t>
      </w:r>
      <w:r>
        <w:rPr/>
        <w:t>presented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table</w:t>
      </w:r>
    </w:p>
    <w:p>
      <w:pPr>
        <w:pStyle w:val="BodyText"/>
      </w:pPr>
    </w:p>
    <w:p>
      <w:pPr>
        <w:pStyle w:val="BodyText"/>
        <w:spacing w:line="480" w:lineRule="auto"/>
        <w:ind w:left="265" w:right="1073"/>
        <w:jc w:val="both"/>
      </w:pPr>
      <w:r>
        <w:rPr/>
        <w:t>4.4 revealed that the eight factors that were loaded constituted about 76.145% variance in</w:t>
      </w:r>
      <w:r>
        <w:rPr>
          <w:spacing w:val="1"/>
        </w:rPr>
        <w:t> </w:t>
      </w:r>
      <w:r>
        <w:rPr/>
        <w:t>the factors influencing peri-urban development. The cut-off point for this study is taken 0.5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thumb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Neighborhood factor and it explained about 24.857% variance in the determination of</w:t>
      </w:r>
      <w:r>
        <w:rPr>
          <w:spacing w:val="1"/>
        </w:rPr>
        <w:t> </w:t>
      </w:r>
      <w:r>
        <w:rPr/>
        <w:t>factors influencing peri-urban development. The factor (2) is environmental and market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11.71%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development, Factor (3) is named as Physical infrastructure factors, and it explained 8.79%</w:t>
      </w:r>
      <w:r>
        <w:rPr>
          <w:spacing w:val="1"/>
        </w:rPr>
        <w:t> </w:t>
      </w:r>
      <w:r>
        <w:rPr/>
        <w:t>variance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determination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factors</w:t>
      </w:r>
      <w:r>
        <w:rPr>
          <w:spacing w:val="26"/>
        </w:rPr>
        <w:t> </w:t>
      </w:r>
      <w:r>
        <w:rPr/>
        <w:t>influencing</w:t>
      </w:r>
      <w:r>
        <w:rPr>
          <w:spacing w:val="22"/>
        </w:rPr>
        <w:t> </w:t>
      </w:r>
      <w:r>
        <w:rPr/>
        <w:t>peri-urban</w:t>
      </w:r>
      <w:r>
        <w:rPr>
          <w:spacing w:val="26"/>
        </w:rPr>
        <w:t> </w:t>
      </w:r>
      <w:r>
        <w:rPr/>
        <w:t>development.</w:t>
      </w:r>
      <w:r>
        <w:rPr>
          <w:spacing w:val="113"/>
        </w:rPr>
        <w:t> </w:t>
      </w:r>
      <w:r>
        <w:rPr/>
        <w:t>Factor</w:t>
      </w:r>
      <w:r>
        <w:rPr>
          <w:spacing w:val="24"/>
        </w:rPr>
        <w:t> </w:t>
      </w:r>
      <w:r>
        <w:rPr/>
        <w:t>four</w:t>
      </w:r>
    </w:p>
    <w:p>
      <w:pPr>
        <w:pStyle w:val="BodyText"/>
        <w:spacing w:line="480" w:lineRule="auto" w:before="1"/>
        <w:ind w:left="265" w:right="1074"/>
        <w:jc w:val="both"/>
      </w:pPr>
      <w:r>
        <w:rPr/>
        <w:t>(4)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8.04%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determining the factors influencing peri-urban development. Factor (5) is named as urban</w:t>
      </w:r>
      <w:r>
        <w:rPr>
          <w:spacing w:val="1"/>
        </w:rPr>
        <w:t> </w:t>
      </w:r>
      <w:r>
        <w:rPr/>
        <w:t>factors, and it explained 6.72% variance in the determination of factors influencing peri-</w:t>
      </w:r>
      <w:r>
        <w:rPr>
          <w:spacing w:val="1"/>
        </w:rPr>
        <w:t> </w:t>
      </w:r>
      <w:r>
        <w:rPr/>
        <w:t>urban development.</w:t>
      </w:r>
      <w:r>
        <w:rPr>
          <w:spacing w:val="1"/>
        </w:rPr>
        <w:t> </w:t>
      </w:r>
      <w:r>
        <w:rPr/>
        <w:t>Factor (6) is named as Community Service Factor, and it explained</w:t>
      </w:r>
      <w:r>
        <w:rPr>
          <w:spacing w:val="1"/>
        </w:rPr>
        <w:t> </w:t>
      </w:r>
      <w:r>
        <w:rPr/>
        <w:t>5.88%</w:t>
      </w:r>
      <w:r>
        <w:rPr>
          <w:spacing w:val="11"/>
        </w:rPr>
        <w:t> </w:t>
      </w:r>
      <w:r>
        <w:rPr/>
        <w:t>variance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determination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factors</w:t>
      </w:r>
      <w:r>
        <w:rPr>
          <w:spacing w:val="13"/>
        </w:rPr>
        <w:t> </w:t>
      </w:r>
      <w:r>
        <w:rPr/>
        <w:t>influencing</w:t>
      </w:r>
      <w:r>
        <w:rPr>
          <w:spacing w:val="10"/>
        </w:rPr>
        <w:t> </w:t>
      </w:r>
      <w:r>
        <w:rPr/>
        <w:t>peri-urban</w:t>
      </w:r>
      <w:r>
        <w:rPr>
          <w:spacing w:val="13"/>
        </w:rPr>
        <w:t> </w:t>
      </w:r>
      <w:r>
        <w:rPr/>
        <w:t>development.</w:t>
      </w:r>
      <w:r>
        <w:rPr>
          <w:spacing w:val="12"/>
        </w:rPr>
        <w:t> </w:t>
      </w:r>
      <w:r>
        <w:rPr/>
        <w:t>Factor</w:t>
      </w:r>
    </w:p>
    <w:p>
      <w:pPr>
        <w:pStyle w:val="BodyText"/>
        <w:spacing w:line="480" w:lineRule="auto" w:before="1"/>
        <w:ind w:left="265" w:right="1076"/>
        <w:jc w:val="both"/>
      </w:pPr>
      <w:r>
        <w:rPr/>
        <w:t>(7) is named as migration and low labor price, and it explained 5.11% variance in 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named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climate and planning factor, and it explained 5.02% variance in the determination of factors</w:t>
      </w:r>
      <w:r>
        <w:rPr>
          <w:spacing w:val="-57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peri-urban development.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340"/>
        </w:sectPr>
      </w:pPr>
    </w:p>
    <w:p>
      <w:pPr>
        <w:pStyle w:val="ListParagraph"/>
        <w:numPr>
          <w:ilvl w:val="1"/>
          <w:numId w:val="6"/>
        </w:numPr>
        <w:tabs>
          <w:tab w:pos="986" w:val="left" w:leader="none"/>
        </w:tabs>
        <w:spacing w:line="480" w:lineRule="auto" w:before="75" w:after="0"/>
        <w:ind w:left="985" w:right="1212" w:hanging="720"/>
        <w:jc w:val="both"/>
        <w:rPr>
          <w:b/>
          <w:sz w:val="24"/>
        </w:rPr>
      </w:pPr>
      <w:bookmarkStart w:name="_bookmark71" w:id="112"/>
      <w:bookmarkEnd w:id="112"/>
      <w:r>
        <w:rPr/>
      </w:r>
      <w:bookmarkStart w:name="_bookmark71" w:id="113"/>
      <w:bookmarkEnd w:id="113"/>
      <w:r>
        <w:rPr>
          <w:b/>
          <w:sz w:val="24"/>
        </w:rPr>
        <w:t>Sp</w:t>
      </w:r>
      <w:r>
        <w:rPr>
          <w:b/>
          <w:sz w:val="24"/>
        </w:rPr>
        <w:t>atial Distribution of Private Real Estate Development in Peri Urban area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65" w:right="1077"/>
        <w:jc w:val="both"/>
      </w:pPr>
      <w:r>
        <w:rPr/>
        <w:t>This objective requires geospatial analysis of the peri-urban real estate development from</w:t>
      </w:r>
      <w:r>
        <w:rPr>
          <w:spacing w:val="1"/>
        </w:rPr>
        <w:t> </w:t>
      </w:r>
      <w:r>
        <w:rPr/>
        <w:t>2007 to 2018. The study requires the analysis of physical development that has occurred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2007 to 2018.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1279525</wp:posOffset>
            </wp:positionH>
            <wp:positionV relativeFrom="paragraph">
              <wp:posOffset>180120</wp:posOffset>
            </wp:positionV>
            <wp:extent cx="5560815" cy="4314825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1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0"/>
        <w:ind w:left="265" w:right="4974" w:firstLine="0"/>
        <w:jc w:val="both"/>
        <w:rPr>
          <w:b/>
          <w:sz w:val="24"/>
        </w:rPr>
      </w:pPr>
      <w:bookmarkStart w:name="_bookmark72" w:id="114"/>
      <w:bookmarkEnd w:id="114"/>
      <w:r>
        <w:rPr/>
      </w:r>
      <w:r>
        <w:rPr>
          <w:b/>
          <w:sz w:val="24"/>
        </w:rPr>
        <w:t>Figure 4.5: Sachi Peri-Urban Area of Bida, 2007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Source: Google Imagery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2007</w:t>
      </w:r>
    </w:p>
    <w:p>
      <w:pPr>
        <w:pStyle w:val="BodyText"/>
        <w:spacing w:line="480" w:lineRule="auto" w:before="179"/>
        <w:ind w:left="265" w:right="1075"/>
        <w:jc w:val="both"/>
      </w:pPr>
      <w:r>
        <w:rPr/>
        <w:t>The Figure 4.5 showed the Sach peri-urban area of Bida in 2007. This area is characterized</w:t>
      </w:r>
      <w:r>
        <w:rPr>
          <w:spacing w:val="1"/>
        </w:rPr>
        <w:t> </w:t>
      </w:r>
      <w:r>
        <w:rPr/>
        <w:t>with subsistence agriculture and with single government structure in the middle. The area</w:t>
      </w:r>
      <w:r>
        <w:rPr>
          <w:spacing w:val="1"/>
        </w:rPr>
        <w:t> </w:t>
      </w:r>
      <w:r>
        <w:rPr/>
        <w:t>marked red represented boundary of Sachi peri-urban area of Bida without development in</w:t>
      </w:r>
      <w:r>
        <w:rPr>
          <w:spacing w:val="1"/>
        </w:rPr>
        <w:t> </w:t>
      </w:r>
      <w:r>
        <w:rPr/>
        <w:t>2007.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3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8994" cy="5133975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94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8" w:lineRule="auto" w:before="0"/>
        <w:ind w:left="265" w:right="4966" w:firstLine="0"/>
        <w:jc w:val="left"/>
        <w:rPr>
          <w:b/>
          <w:sz w:val="24"/>
        </w:rPr>
      </w:pPr>
      <w:bookmarkStart w:name="_bookmark73" w:id="115"/>
      <w:bookmarkEnd w:id="115"/>
      <w:r>
        <w:rPr/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Sachi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Bida,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 Google Imagery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4"/>
        <w:ind w:left="265" w:right="1078"/>
        <w:jc w:val="both"/>
      </w:pPr>
      <w:r>
        <w:rPr/>
        <w:t>The plate 4.6 showed the later development of Sachi peri-urban area of Bida after a period</w:t>
      </w:r>
      <w:r>
        <w:rPr>
          <w:spacing w:val="1"/>
        </w:rPr>
        <w:t> </w:t>
      </w:r>
      <w:r>
        <w:rPr/>
        <w:t>of 11years.</w:t>
      </w:r>
      <w:r>
        <w:rPr>
          <w:spacing w:val="1"/>
        </w:rPr>
        <w:t> </w:t>
      </w:r>
      <w:r>
        <w:rPr/>
        <w:t>This area witnesses new developments and majorly characterized by residential</w:t>
      </w:r>
      <w:r>
        <w:rPr>
          <w:spacing w:val="-57"/>
        </w:rPr>
        <w:t> </w:t>
      </w:r>
      <w:r>
        <w:rPr/>
        <w:t>development. The new development is concentrated along the major road. This indicates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peri-urban development is</w:t>
      </w:r>
      <w:r>
        <w:rPr>
          <w:spacing w:val="-1"/>
        </w:rPr>
        <w:t> </w:t>
      </w:r>
      <w:r>
        <w:rPr/>
        <w:t>characterized by</w:t>
      </w:r>
      <w:r>
        <w:rPr>
          <w:spacing w:val="-5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road infrastructure.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720" w:right="3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6353" cy="4876800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353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18"/>
        <w:ind w:left="265" w:right="5189" w:firstLine="0"/>
        <w:jc w:val="left"/>
        <w:rPr>
          <w:b/>
          <w:sz w:val="24"/>
        </w:rPr>
      </w:pPr>
      <w:bookmarkStart w:name="_bookmark74" w:id="116"/>
      <w:bookmarkEnd w:id="116"/>
      <w:r>
        <w:rPr/>
      </w:r>
      <w:r>
        <w:rPr>
          <w:b/>
          <w:sz w:val="24"/>
        </w:rPr>
        <w:t>Figure 4.7: Pichi Road Peri-Urban Area, 2007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Source: Google Imagery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2007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480" w:lineRule="auto"/>
        <w:ind w:left="265" w:right="1079"/>
        <w:jc w:val="both"/>
      </w:pPr>
      <w:r>
        <w:rPr/>
        <w:t>The Figure 4.7 revealed pichi peri-urban area of Bida in 2007. The area is characterized</w:t>
      </w:r>
      <w:r>
        <w:rPr>
          <w:spacing w:val="1"/>
        </w:rPr>
        <w:t> </w:t>
      </w:r>
      <w:r>
        <w:rPr/>
        <w:t>existence of transportation route. The area showed a little scattered development along the</w:t>
      </w:r>
      <w:r>
        <w:rPr>
          <w:spacing w:val="1"/>
        </w:rPr>
        <w:t> </w:t>
      </w:r>
      <w:r>
        <w:rPr/>
        <w:t>major route. The area comprised of subsistence agriculture along with little residential</w:t>
      </w:r>
      <w:r>
        <w:rPr>
          <w:spacing w:val="1"/>
        </w:rPr>
        <w:t> </w:t>
      </w:r>
      <w:r>
        <w:rPr/>
        <w:t>development.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720" w:right="34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7671" cy="4800600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7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61"/>
        <w:ind w:left="265" w:right="5209" w:firstLine="0"/>
        <w:jc w:val="left"/>
        <w:rPr>
          <w:b/>
          <w:sz w:val="24"/>
        </w:rPr>
      </w:pPr>
      <w:bookmarkStart w:name="_bookmark75" w:id="117"/>
      <w:bookmarkEnd w:id="117"/>
      <w:r>
        <w:rPr/>
      </w: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Pichi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Peri-Urban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Area,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2018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 Google Imagery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2018</w:t>
      </w: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line="480" w:lineRule="auto"/>
        <w:ind w:left="265" w:right="1079"/>
        <w:jc w:val="both"/>
      </w:pPr>
      <w:r>
        <w:rPr/>
        <w:t>Figure 4.8 showed the peri-urban development of Bida in 2018.</w:t>
      </w:r>
      <w:r>
        <w:rPr>
          <w:spacing w:val="1"/>
        </w:rPr>
        <w:t> </w:t>
      </w:r>
      <w:r>
        <w:rPr/>
        <w:t>The area showed a new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11years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than agriculture.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340"/>
        </w:sectPr>
      </w:pPr>
    </w:p>
    <w:p>
      <w:pPr>
        <w:pStyle w:val="BodyText"/>
        <w:ind w:left="385"/>
        <w:rPr>
          <w:sz w:val="20"/>
        </w:rPr>
      </w:pPr>
      <w:r>
        <w:rPr>
          <w:sz w:val="20"/>
        </w:rPr>
        <w:drawing>
          <wp:inline distT="0" distB="0" distL="0" distR="0">
            <wp:extent cx="5412911" cy="4953000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11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8" w:lineRule="auto" w:before="3"/>
        <w:ind w:left="265" w:right="4576" w:firstLine="0"/>
        <w:jc w:val="left"/>
        <w:rPr>
          <w:b/>
          <w:sz w:val="24"/>
        </w:rPr>
      </w:pPr>
      <w:bookmarkStart w:name="_bookmark76" w:id="118"/>
      <w:bookmarkEnd w:id="118"/>
      <w:r>
        <w:rPr/>
      </w:r>
      <w:r>
        <w:rPr>
          <w:b/>
          <w:sz w:val="24"/>
        </w:rPr>
        <w:t>Figure 4.9: Project Quarters Peri-Urban Area, 2007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 Google Imagery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2007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5"/>
        <w:ind w:left="265" w:right="1078"/>
        <w:jc w:val="both"/>
      </w:pPr>
      <w:r>
        <w:rPr/>
        <w:t>The Figure 4.9 showed the area view of peri-urban area of Bida in 2007. This area is</w:t>
      </w:r>
      <w:r>
        <w:rPr>
          <w:spacing w:val="1"/>
        </w:rPr>
        <w:t> </w:t>
      </w:r>
      <w:r>
        <w:rPr/>
        <w:t>characterized with subsistence agriculture and</w:t>
      </w:r>
      <w:r>
        <w:rPr>
          <w:spacing w:val="1"/>
        </w:rPr>
        <w:t> </w:t>
      </w:r>
      <w:r>
        <w:rPr/>
        <w:t>with little or no development. The area</w:t>
      </w:r>
      <w:r>
        <w:rPr>
          <w:spacing w:val="1"/>
        </w:rPr>
        <w:t> </w:t>
      </w:r>
      <w:r>
        <w:rPr/>
        <w:t>marked</w:t>
      </w:r>
      <w:r>
        <w:rPr>
          <w:spacing w:val="-1"/>
        </w:rPr>
        <w:t> </w:t>
      </w:r>
      <w:r>
        <w:rPr/>
        <w:t>red represented the</w:t>
      </w:r>
      <w:r>
        <w:rPr>
          <w:spacing w:val="-2"/>
        </w:rPr>
        <w:t> </w:t>
      </w:r>
      <w:r>
        <w:rPr/>
        <w:t>peri-urban 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Bida</w:t>
      </w:r>
      <w:r>
        <w:rPr>
          <w:spacing w:val="-1"/>
        </w:rPr>
        <w:t> </w:t>
      </w:r>
      <w:r>
        <w:rPr/>
        <w:t>without development in</w:t>
      </w:r>
      <w:r>
        <w:rPr>
          <w:spacing w:val="-1"/>
        </w:rPr>
        <w:t> </w:t>
      </w:r>
      <w:r>
        <w:rPr/>
        <w:t>2007.</w:t>
      </w:r>
    </w:p>
    <w:p>
      <w:pPr>
        <w:spacing w:after="0" w:line="480" w:lineRule="auto"/>
        <w:jc w:val="both"/>
        <w:sectPr>
          <w:pgSz w:w="12240" w:h="15840"/>
          <w:pgMar w:header="0" w:footer="1015" w:top="1420" w:bottom="1200" w:left="1720" w:right="34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5555301" cy="4876800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301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80"/>
        <w:ind w:left="265" w:right="4456" w:firstLine="0"/>
        <w:jc w:val="left"/>
        <w:rPr>
          <w:b/>
          <w:sz w:val="24"/>
        </w:rPr>
      </w:pPr>
      <w:bookmarkStart w:name="_bookmark77" w:id="119"/>
      <w:bookmarkEnd w:id="119"/>
      <w:r>
        <w:rPr/>
      </w:r>
      <w:r>
        <w:rPr>
          <w:b/>
          <w:sz w:val="24"/>
        </w:rPr>
        <w:t>Figure 4.10: Project Quarters Peri-Urban Area, 2007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Source: Google Imagery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2007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265" w:right="1077"/>
        <w:jc w:val="both"/>
      </w:pPr>
      <w:r>
        <w:rPr/>
        <w:t>The Figure 4.10 showed the later development of peri-urban area of Bida after a period of</w:t>
      </w:r>
      <w:r>
        <w:rPr>
          <w:spacing w:val="1"/>
        </w:rPr>
        <w:t> </w:t>
      </w:r>
      <w:r>
        <w:rPr/>
        <w:t>11years.</w:t>
      </w:r>
      <w:r>
        <w:rPr>
          <w:spacing w:val="1"/>
        </w:rPr>
        <w:t> </w:t>
      </w:r>
      <w:r>
        <w:rPr/>
        <w:t>This area constitutes new development and majorly characterized by residential</w:t>
      </w:r>
      <w:r>
        <w:rPr>
          <w:spacing w:val="1"/>
        </w:rPr>
        <w:t> </w:t>
      </w:r>
      <w:r>
        <w:rPr/>
        <w:t>development. the new development is concentrated along the major road. This showed that</w:t>
      </w:r>
      <w:r>
        <w:rPr>
          <w:spacing w:val="1"/>
        </w:rPr>
        <w:t> </w:t>
      </w:r>
      <w:r>
        <w:rPr/>
        <w:t>peri-urban</w:t>
      </w:r>
      <w:r>
        <w:rPr>
          <w:spacing w:val="-1"/>
        </w:rPr>
        <w:t> </w:t>
      </w:r>
      <w:r>
        <w:rPr/>
        <w:t>development is characterized by</w:t>
      </w:r>
      <w:r>
        <w:rPr>
          <w:spacing w:val="-6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road infrastructure.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720" w:right="340"/>
        </w:sectPr>
      </w:pPr>
    </w:p>
    <w:p>
      <w:pPr>
        <w:spacing w:line="242" w:lineRule="auto" w:before="75"/>
        <w:ind w:left="265" w:right="1413" w:firstLine="0"/>
        <w:jc w:val="left"/>
        <w:rPr>
          <w:b/>
          <w:sz w:val="24"/>
        </w:rPr>
      </w:pPr>
      <w:bookmarkStart w:name="_bookmark78" w:id="120"/>
      <w:bookmarkEnd w:id="120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Private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Peri-urban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Bida</w:t>
      </w:r>
    </w:p>
    <w:p>
      <w:pPr>
        <w:pStyle w:val="BodyText"/>
        <w:spacing w:before="9"/>
        <w:rPr>
          <w:b/>
          <w:sz w:val="13"/>
        </w:rPr>
      </w:pPr>
      <w:r>
        <w:rPr/>
        <w:pict>
          <v:shape style="position:absolute;margin-left:93.864006pt;margin-top:9.876335pt;width:452.75pt;height:1pt;mso-position-horizontal-relative:page;mso-position-vertical-relative:paragraph;z-index:-15720448;mso-wrap-distance-left:0;mso-wrap-distance-right:0" coordorigin="1877,198" coordsize="9055,20" path="m5769,198l5749,198,5749,198,1877,198,1877,217,5749,217,5749,217,5769,217,5769,198xm8822,198l5769,198,5769,217,8822,217,8822,198xm8841,198l8822,198,8822,217,8841,217,8841,198xm10932,198l8841,198,8841,217,10932,217,10932,198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71"/>
        <w:ind w:left="3762" w:right="2814" w:firstLine="0"/>
        <w:jc w:val="center"/>
        <w:rPr>
          <w:b/>
          <w:sz w:val="24"/>
        </w:rPr>
      </w:pPr>
      <w:r>
        <w:rPr>
          <w:b/>
          <w:sz w:val="24"/>
        </w:rPr>
        <w:t>Number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Buildings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ind w:left="265"/>
      </w:pPr>
      <w:r>
        <w:rPr/>
        <w:pict>
          <v:shape style="position:absolute;margin-left:93.503998pt;margin-top:-99.450211pt;width:453.1pt;height:100.25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9"/>
                    <w:gridCol w:w="1536"/>
                    <w:gridCol w:w="1536"/>
                    <w:gridCol w:w="2110"/>
                  </w:tblGrid>
                  <w:tr>
                    <w:trPr>
                      <w:trHeight w:val="287" w:hRule="atLeast"/>
                    </w:trPr>
                    <w:tc>
                      <w:tcPr>
                        <w:tcW w:w="387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Peri-Urban</w:t>
                        </w:r>
                      </w:p>
                    </w:tc>
                    <w:tc>
                      <w:tcPr>
                        <w:tcW w:w="15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1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67" w:right="3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Growth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Rate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38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36" w:type="dxa"/>
                        <w:tcBorders>
                          <w:top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52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2007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5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21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38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Sachi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right="5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147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5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625</w:t>
                        </w:r>
                      </w:p>
                    </w:tc>
                    <w:tc>
                      <w:tcPr>
                        <w:tcW w:w="21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67" w:right="3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325.17%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3879" w:type="dxa"/>
                      </w:tcPr>
                      <w:p>
                        <w:pPr>
                          <w:pStyle w:val="TableParagraph"/>
                          <w:spacing w:before="6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Pichi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Road</w:t>
                        </w: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spacing w:before="64"/>
                          <w:ind w:right="5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195</w:t>
                        </w:r>
                      </w:p>
                    </w:tc>
                    <w:tc>
                      <w:tcPr>
                        <w:tcW w:w="1536" w:type="dxa"/>
                      </w:tcPr>
                      <w:p>
                        <w:pPr>
                          <w:pStyle w:val="TableParagraph"/>
                          <w:spacing w:before="64"/>
                          <w:ind w:left="5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608</w:t>
                        </w:r>
                      </w:p>
                    </w:tc>
                    <w:tc>
                      <w:tcPr>
                        <w:tcW w:w="2110" w:type="dxa"/>
                      </w:tcPr>
                      <w:p>
                        <w:pPr>
                          <w:pStyle w:val="TableParagraph"/>
                          <w:spacing w:before="62"/>
                          <w:ind w:left="367" w:right="3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211.79%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387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Project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Quarters</w:t>
                        </w:r>
                      </w:p>
                    </w:tc>
                    <w:tc>
                      <w:tcPr>
                        <w:tcW w:w="15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628" w:right="6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</w:t>
                        </w:r>
                      </w:p>
                    </w:tc>
                    <w:tc>
                      <w:tcPr>
                        <w:tcW w:w="15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5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</w:t>
                        </w:r>
                      </w:p>
                    </w:tc>
                    <w:tc>
                      <w:tcPr>
                        <w:tcW w:w="211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367" w:right="3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449.45%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Source:</w:t>
      </w:r>
      <w:r>
        <w:rPr>
          <w:spacing w:val="-1"/>
        </w:rPr>
        <w:t> </w:t>
      </w:r>
      <w:r>
        <w:rPr/>
        <w:t>Attribute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of Maps,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985" w:val="left" w:leader="none"/>
          <w:tab w:pos="986" w:val="left" w:leader="none"/>
        </w:tabs>
        <w:spacing w:line="240" w:lineRule="auto" w:before="197" w:after="0"/>
        <w:ind w:left="985" w:right="0" w:hanging="721"/>
        <w:jc w:val="left"/>
        <w:rPr>
          <w:b/>
          <w:sz w:val="24"/>
        </w:rPr>
      </w:pPr>
      <w:bookmarkStart w:name="_bookmark79" w:id="121"/>
      <w:bookmarkEnd w:id="121"/>
      <w:r>
        <w:rPr/>
      </w:r>
      <w:bookmarkStart w:name="_bookmark79" w:id="122"/>
      <w:bookmarkEnd w:id="122"/>
      <w:r>
        <w:rPr>
          <w:b/>
          <w:sz w:val="24"/>
        </w:rPr>
        <w:t>Su</w:t>
      </w:r>
      <w:r>
        <w:rPr>
          <w:b/>
          <w:sz w:val="24"/>
        </w:rPr>
        <w:t>mmary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findings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6"/>
        </w:numPr>
        <w:tabs>
          <w:tab w:pos="986" w:val="left" w:leader="none"/>
        </w:tabs>
        <w:spacing w:line="480" w:lineRule="auto" w:before="213" w:after="0"/>
        <w:ind w:left="985" w:right="1074" w:hanging="360"/>
        <w:jc w:val="both"/>
        <w:rPr>
          <w:sz w:val="24"/>
        </w:rPr>
      </w:pPr>
      <w:r>
        <w:rPr>
          <w:sz w:val="24"/>
        </w:rPr>
        <w:t>The study revealed that residential land use constitutes bulk of peri-urban land use</w:t>
      </w:r>
      <w:r>
        <w:rPr>
          <w:spacing w:val="1"/>
          <w:sz w:val="24"/>
        </w:rPr>
        <w:t> </w:t>
      </w:r>
      <w:r>
        <w:rPr>
          <w:sz w:val="24"/>
        </w:rPr>
        <w:t>activities. It was also discovered that 89.36% peri-urban dwellers constituted the</w:t>
      </w:r>
      <w:r>
        <w:rPr>
          <w:spacing w:val="1"/>
          <w:sz w:val="24"/>
        </w:rPr>
        <w:t> </w:t>
      </w:r>
      <w:r>
        <w:rPr>
          <w:sz w:val="24"/>
        </w:rPr>
        <w:t>bulk of residential land owners in the area. the study further discovered about 82.9%</w:t>
      </w:r>
      <w:r>
        <w:rPr>
          <w:spacing w:val="-57"/>
          <w:sz w:val="24"/>
        </w:rPr>
        <w:t> </w:t>
      </w:r>
      <w:r>
        <w:rPr>
          <w:sz w:val="24"/>
        </w:rPr>
        <w:t>the bulk residential land owners in peri-urban area of Bida constituted high income</w:t>
      </w:r>
      <w:r>
        <w:rPr>
          <w:spacing w:val="1"/>
          <w:sz w:val="24"/>
        </w:rPr>
        <w:t> </w:t>
      </w:r>
      <w:r>
        <w:rPr>
          <w:sz w:val="24"/>
        </w:rPr>
        <w:t>group who left congested urban area in seeking more open space for health, esthetic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conducive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986" w:val="left" w:leader="none"/>
        </w:tabs>
        <w:spacing w:line="480" w:lineRule="auto" w:before="0" w:after="0"/>
        <w:ind w:left="985" w:right="1073" w:hanging="360"/>
        <w:jc w:val="both"/>
        <w:rPr>
          <w:sz w:val="24"/>
        </w:rPr>
      </w:pPr>
      <w:r>
        <w:rPr>
          <w:sz w:val="24"/>
        </w:rPr>
        <w:t>The result further analyses the nature of peri-urban area and discovered that peri-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characterized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unplanned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inadequate</w:t>
      </w:r>
      <w:r>
        <w:rPr>
          <w:spacing w:val="1"/>
          <w:sz w:val="24"/>
        </w:rPr>
        <w:t> </w:t>
      </w:r>
      <w:r>
        <w:rPr>
          <w:sz w:val="24"/>
        </w:rPr>
        <w:t>service infrastructure, Unplanned and accelerated development of residential land</w:t>
      </w:r>
      <w:r>
        <w:rPr>
          <w:spacing w:val="1"/>
          <w:sz w:val="24"/>
        </w:rPr>
        <w:t> </w:t>
      </w:r>
      <w:r>
        <w:rPr>
          <w:sz w:val="24"/>
        </w:rPr>
        <w:t>uses,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accessibility,</w:t>
      </w:r>
      <w:r>
        <w:rPr>
          <w:spacing w:val="1"/>
          <w:sz w:val="24"/>
        </w:rPr>
        <w:t> </w:t>
      </w:r>
      <w:r>
        <w:rPr>
          <w:sz w:val="24"/>
        </w:rPr>
        <w:t>Decrease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lay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2"/>
          <w:numId w:val="6"/>
        </w:numPr>
        <w:tabs>
          <w:tab w:pos="986" w:val="left" w:leader="none"/>
        </w:tabs>
        <w:spacing w:line="480" w:lineRule="auto" w:before="0" w:after="0"/>
        <w:ind w:left="985" w:right="1073" w:hanging="360"/>
        <w:jc w:val="both"/>
        <w:rPr>
          <w:sz w:val="24"/>
        </w:rPr>
      </w:pPr>
      <w:r>
        <w:rPr>
          <w:sz w:val="24"/>
        </w:rPr>
        <w:t>The study identified three major drivers of peri-urban development</w:t>
      </w:r>
      <w:r>
        <w:rPr>
          <w:spacing w:val="61"/>
          <w:sz w:val="24"/>
        </w:rPr>
        <w:t> </w:t>
      </w:r>
      <w:r>
        <w:rPr>
          <w:sz w:val="24"/>
        </w:rPr>
        <w:t>to includes</w:t>
      </w:r>
      <w:r>
        <w:rPr>
          <w:spacing w:val="1"/>
          <w:sz w:val="24"/>
        </w:rPr>
        <w:t> </w:t>
      </w:r>
      <w:r>
        <w:rPr>
          <w:sz w:val="24"/>
        </w:rPr>
        <w:t>urban expansion, large scale public investment and availability of social amenities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were</w:t>
      </w:r>
      <w:r>
        <w:rPr>
          <w:spacing w:val="49"/>
          <w:sz w:val="24"/>
        </w:rPr>
        <w:t> </w:t>
      </w:r>
      <w:r>
        <w:rPr>
          <w:sz w:val="24"/>
        </w:rPr>
        <w:t>ranked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order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relative</w:t>
      </w:r>
      <w:r>
        <w:rPr>
          <w:spacing w:val="49"/>
          <w:sz w:val="24"/>
        </w:rPr>
        <w:t> </w:t>
      </w:r>
      <w:r>
        <w:rPr>
          <w:sz w:val="24"/>
        </w:rPr>
        <w:t>importance</w:t>
      </w:r>
      <w:r>
        <w:rPr>
          <w:spacing w:val="53"/>
          <w:sz w:val="24"/>
        </w:rPr>
        <w:t> </w:t>
      </w:r>
      <w:r>
        <w:rPr>
          <w:sz w:val="24"/>
        </w:rPr>
        <w:t>94%,</w:t>
      </w:r>
      <w:r>
        <w:rPr>
          <w:spacing w:val="50"/>
          <w:sz w:val="24"/>
        </w:rPr>
        <w:t> </w:t>
      </w:r>
      <w:r>
        <w:rPr>
          <w:sz w:val="24"/>
        </w:rPr>
        <w:t>93.6%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92.6%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340"/>
        </w:sectPr>
      </w:pPr>
    </w:p>
    <w:p>
      <w:pPr>
        <w:pStyle w:val="BodyText"/>
        <w:spacing w:line="480" w:lineRule="auto" w:before="70"/>
        <w:ind w:left="985" w:right="1078"/>
        <w:jc w:val="both"/>
      </w:pPr>
      <w:r>
        <w:rPr/>
        <w:t>respectively. the respondents’ opinion revealed a high level of agreement and the</w:t>
      </w:r>
      <w:r>
        <w:rPr>
          <w:spacing w:val="1"/>
        </w:rPr>
        <w:t> </w:t>
      </w:r>
      <w:r>
        <w:rPr/>
        <w:t>opinions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related.</w:t>
      </w:r>
    </w:p>
    <w:p>
      <w:pPr>
        <w:pStyle w:val="ListParagraph"/>
        <w:numPr>
          <w:ilvl w:val="2"/>
          <w:numId w:val="6"/>
        </w:numPr>
        <w:tabs>
          <w:tab w:pos="986" w:val="left" w:leader="none"/>
        </w:tabs>
        <w:spacing w:line="480" w:lineRule="auto" w:before="1" w:after="0"/>
        <w:ind w:left="985" w:right="1073" w:hanging="360"/>
        <w:jc w:val="both"/>
        <w:rPr>
          <w:sz w:val="24"/>
        </w:rPr>
      </w:pPr>
      <w:r>
        <w:rPr>
          <w:sz w:val="24"/>
        </w:rPr>
        <w:t>The study discovered that 76.145% of variability in the original twenty-two (22)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peri-urban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constituted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eight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emphasized factors such neighborhood factor, environmental and market factor,</w:t>
      </w:r>
      <w:r>
        <w:rPr>
          <w:spacing w:val="1"/>
          <w:sz w:val="24"/>
        </w:rPr>
        <w:t> </w:t>
      </w:r>
      <w:r>
        <w:rPr>
          <w:sz w:val="24"/>
        </w:rPr>
        <w:t>physical infrastructure factors, communication networks and security, urban factors,</w:t>
      </w:r>
      <w:r>
        <w:rPr>
          <w:spacing w:val="-57"/>
          <w:sz w:val="24"/>
        </w:rPr>
        <w:t> </w:t>
      </w:r>
      <w:r>
        <w:rPr>
          <w:sz w:val="24"/>
        </w:rPr>
        <w:t>migration and low labor price, community service factor and climate and planning</w:t>
      </w:r>
      <w:r>
        <w:rPr>
          <w:spacing w:val="1"/>
          <w:sz w:val="24"/>
        </w:rPr>
        <w:t> </w:t>
      </w:r>
      <w:r>
        <w:rPr>
          <w:sz w:val="24"/>
        </w:rPr>
        <w:t>factor.</w:t>
      </w:r>
    </w:p>
    <w:p>
      <w:pPr>
        <w:pStyle w:val="ListParagraph"/>
        <w:numPr>
          <w:ilvl w:val="2"/>
          <w:numId w:val="6"/>
        </w:numPr>
        <w:tabs>
          <w:tab w:pos="986" w:val="left" w:leader="none"/>
        </w:tabs>
        <w:spacing w:line="480" w:lineRule="auto" w:before="0" w:after="0"/>
        <w:ind w:left="985" w:right="107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sprawling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peri-urban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Bida.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revealed that there is an overlapping function in land use where agricultural land use</w:t>
      </w:r>
      <w:r>
        <w:rPr>
          <w:spacing w:val="-57"/>
          <w:sz w:val="24"/>
        </w:rPr>
        <w:t> </w:t>
      </w:r>
      <w:r>
        <w:rPr>
          <w:sz w:val="24"/>
        </w:rPr>
        <w:t>area continues to be substituted for residential land use. the major bulk residential</w:t>
      </w:r>
      <w:r>
        <w:rPr>
          <w:spacing w:val="1"/>
          <w:sz w:val="24"/>
        </w:rPr>
        <w:t> </w:t>
      </w:r>
      <w:r>
        <w:rPr>
          <w:sz w:val="24"/>
        </w:rPr>
        <w:t>development is concentrated along Pichi road, making the development to occur</w:t>
      </w:r>
      <w:r>
        <w:rPr>
          <w:spacing w:val="1"/>
          <w:sz w:val="24"/>
        </w:rPr>
        <w:t> </w:t>
      </w:r>
      <w:r>
        <w:rPr>
          <w:sz w:val="24"/>
        </w:rPr>
        <w:t>along</w:t>
      </w:r>
      <w:r>
        <w:rPr>
          <w:spacing w:val="-3"/>
          <w:sz w:val="24"/>
        </w:rPr>
        <w:t> </w:t>
      </w:r>
      <w:r>
        <w:rPr>
          <w:sz w:val="24"/>
        </w:rPr>
        <w:t>transportation route.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340"/>
        </w:sectPr>
      </w:pPr>
    </w:p>
    <w:p>
      <w:pPr>
        <w:spacing w:before="77"/>
        <w:ind w:left="2708" w:right="3523" w:firstLine="0"/>
        <w:jc w:val="center"/>
        <w:rPr>
          <w:b/>
          <w:sz w:val="24"/>
        </w:rPr>
      </w:pPr>
      <w:bookmarkStart w:name="_bookmark80" w:id="123"/>
      <w:bookmarkEnd w:id="123"/>
      <w:r>
        <w:rPr/>
      </w:r>
      <w:r>
        <w:rPr>
          <w:b/>
          <w:sz w:val="24"/>
        </w:rPr>
        <w:t>CHAPTER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2425" w:val="left" w:leader="none"/>
          <w:tab w:pos="2426" w:val="left" w:leader="none"/>
        </w:tabs>
        <w:spacing w:line="240" w:lineRule="auto" w:before="0" w:after="0"/>
        <w:ind w:left="2425" w:right="0" w:hanging="2161"/>
        <w:jc w:val="left"/>
        <w:rPr>
          <w:b/>
          <w:sz w:val="24"/>
        </w:rPr>
      </w:pPr>
      <w:bookmarkStart w:name="_bookmark81" w:id="124"/>
      <w:bookmarkEnd w:id="124"/>
      <w:r>
        <w:rPr/>
      </w:r>
      <w:bookmarkStart w:name="_bookmark81" w:id="125"/>
      <w:bookmarkEnd w:id="125"/>
      <w:r>
        <w:rPr>
          <w:b/>
          <w:sz w:val="24"/>
        </w:rPr>
        <w:t>CON</w:t>
      </w:r>
      <w:r>
        <w:rPr>
          <w:b/>
          <w:sz w:val="24"/>
        </w:rPr>
        <w:t>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7"/>
        </w:numPr>
        <w:tabs>
          <w:tab w:pos="985" w:val="left" w:leader="none"/>
          <w:tab w:pos="986" w:val="left" w:leader="none"/>
        </w:tabs>
        <w:spacing w:line="240" w:lineRule="auto" w:before="217" w:after="0"/>
        <w:ind w:left="985" w:right="0" w:hanging="721"/>
        <w:jc w:val="left"/>
        <w:rPr>
          <w:b/>
          <w:sz w:val="24"/>
        </w:rPr>
      </w:pPr>
      <w:bookmarkStart w:name="_bookmark82" w:id="126"/>
      <w:bookmarkEnd w:id="126"/>
      <w:r>
        <w:rPr/>
      </w:r>
      <w:bookmarkStart w:name="_bookmark82" w:id="127"/>
      <w:bookmarkEnd w:id="127"/>
      <w:r>
        <w:rPr>
          <w:b/>
          <w:sz w:val="24"/>
        </w:rPr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65" w:right="1073"/>
        <w:jc w:val="both"/>
      </w:pPr>
      <w:r>
        <w:rPr/>
        <w:t>The analysis of private estate development in Bida has been to unravel the pattern of</w:t>
      </w:r>
      <w:r>
        <w:rPr>
          <w:spacing w:val="1"/>
        </w:rPr>
        <w:t> </w:t>
      </w:r>
      <w:r>
        <w:rPr/>
        <w:t>residential development across the peri-urban</w:t>
      </w:r>
      <w:r>
        <w:rPr>
          <w:spacing w:val="1"/>
        </w:rPr>
        <w:t> </w:t>
      </w:r>
      <w:r>
        <w:rPr/>
        <w:t>area of Bida. The study understood that</w:t>
      </w:r>
      <w:r>
        <w:rPr>
          <w:spacing w:val="1"/>
        </w:rPr>
        <w:t> </w:t>
      </w:r>
      <w:r>
        <w:rPr/>
        <w:t>residential land use has an overriding function over and above agricultural land use over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sprawling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deficiency characterized by inadequate</w:t>
      </w:r>
      <w:r>
        <w:rPr>
          <w:spacing w:val="1"/>
        </w:rPr>
        <w:t> </w:t>
      </w:r>
      <w:r>
        <w:rPr/>
        <w:t>drivers of peri-urban development area of Bida 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accessibility become the order of the day. Also availability of social amenities, large scale</w:t>
      </w:r>
      <w:r>
        <w:rPr>
          <w:spacing w:val="1"/>
        </w:rPr>
        <w:t> </w:t>
      </w:r>
      <w:r>
        <w:rPr/>
        <w:t>of public investment and urban congestion in Bida urban area has been affirmed as major</w:t>
      </w:r>
      <w:r>
        <w:rPr>
          <w:spacing w:val="1"/>
        </w:rPr>
        <w:t> </w:t>
      </w:r>
      <w:r>
        <w:rPr/>
        <w:t>drivers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peri-urban development.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5" w:right="1070"/>
        <w:jc w:val="both"/>
      </w:pPr>
      <w:r>
        <w:rPr/>
        <w:t>The study further identified that urban congestion as a major factors driver of peri-urban</w:t>
      </w:r>
      <w:r>
        <w:rPr>
          <w:spacing w:val="1"/>
        </w:rPr>
        <w:t> </w:t>
      </w:r>
      <w:r>
        <w:rPr/>
        <w:t>development, this is as result of poor urban planning, not only that large scale of public</w:t>
      </w:r>
      <w:r>
        <w:rPr>
          <w:spacing w:val="1"/>
        </w:rPr>
        <w:t> </w:t>
      </w:r>
      <w:r>
        <w:rPr/>
        <w:t>investment such location of federal poly Bida is driver of peri-urban development other</w:t>
      </w:r>
      <w:r>
        <w:rPr>
          <w:spacing w:val="1"/>
        </w:rPr>
        <w:t> </w:t>
      </w:r>
      <w:r>
        <w:rPr/>
        <w:t>government investment in peri-urban is mass housing development in the peripheral are of</w:t>
      </w:r>
      <w:r>
        <w:rPr>
          <w:spacing w:val="1"/>
        </w:rPr>
        <w:t> </w:t>
      </w:r>
      <w:r>
        <w:rPr/>
        <w:t>the town. Social amenities such Development of layout plans in peri-urban and opening up</w:t>
      </w:r>
      <w:r>
        <w:rPr>
          <w:spacing w:val="1"/>
        </w:rPr>
        <w:t> </w:t>
      </w:r>
      <w:r>
        <w:rPr/>
        <w:t>new</w:t>
      </w:r>
      <w:r>
        <w:rPr>
          <w:spacing w:val="24"/>
        </w:rPr>
        <w:t> </w:t>
      </w:r>
      <w:r>
        <w:rPr/>
        <w:t>untarred</w:t>
      </w:r>
      <w:r>
        <w:rPr>
          <w:spacing w:val="28"/>
        </w:rPr>
        <w:t> </w:t>
      </w:r>
      <w:r>
        <w:rPr/>
        <w:t>road</w:t>
      </w:r>
      <w:r>
        <w:rPr>
          <w:spacing w:val="25"/>
        </w:rPr>
        <w:t> </w:t>
      </w:r>
      <w:r>
        <w:rPr/>
        <w:t>has</w:t>
      </w:r>
      <w:r>
        <w:rPr>
          <w:spacing w:val="28"/>
        </w:rPr>
        <w:t> </w:t>
      </w:r>
      <w:r>
        <w:rPr/>
        <w:t>also</w:t>
      </w:r>
      <w:r>
        <w:rPr>
          <w:spacing w:val="26"/>
        </w:rPr>
        <w:t> </w:t>
      </w:r>
      <w:r>
        <w:rPr/>
        <w:t>been</w:t>
      </w:r>
      <w:r>
        <w:rPr>
          <w:spacing w:val="25"/>
        </w:rPr>
        <w:t> </w:t>
      </w:r>
      <w:r>
        <w:rPr/>
        <w:t>responsible</w:t>
      </w:r>
      <w:r>
        <w:rPr>
          <w:spacing w:val="25"/>
        </w:rPr>
        <w:t> </w:t>
      </w:r>
      <w:r>
        <w:rPr/>
        <w:t>for</w:t>
      </w:r>
      <w:r>
        <w:rPr>
          <w:spacing w:val="27"/>
        </w:rPr>
        <w:t> </w:t>
      </w:r>
      <w:r>
        <w:rPr/>
        <w:t>peri-urban</w:t>
      </w:r>
      <w:r>
        <w:rPr>
          <w:spacing w:val="27"/>
        </w:rPr>
        <w:t> </w:t>
      </w:r>
      <w:r>
        <w:rPr/>
        <w:t>development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Bida.</w:t>
      </w:r>
      <w:r>
        <w:rPr>
          <w:spacing w:val="27"/>
        </w:rPr>
        <w:t> </w:t>
      </w:r>
      <w:r>
        <w:rPr/>
        <w:t>Finally</w:t>
      </w:r>
      <w:r>
        <w:rPr>
          <w:spacing w:val="-57"/>
        </w:rPr>
        <w:t> </w:t>
      </w:r>
      <w:r>
        <w:rPr/>
        <w:t>the implication of this study is that urban sprawl will continue to emerge unless certain</w:t>
      </w:r>
      <w:r>
        <w:rPr>
          <w:spacing w:val="1"/>
        </w:rPr>
        <w:t> </w:t>
      </w:r>
      <w:r>
        <w:rPr/>
        <w:t>factors that influence peri-urban development are addressed such factor to address includes</w:t>
      </w:r>
      <w:r>
        <w:rPr>
          <w:spacing w:val="1"/>
        </w:rPr>
        <w:t> </w:t>
      </w:r>
      <w:r>
        <w:rPr/>
        <w:t>neighborhood</w:t>
      </w:r>
      <w:r>
        <w:rPr>
          <w:spacing w:val="10"/>
        </w:rPr>
        <w:t> </w:t>
      </w:r>
      <w:r>
        <w:rPr/>
        <w:t>factor,</w:t>
      </w:r>
      <w:r>
        <w:rPr>
          <w:spacing w:val="13"/>
        </w:rPr>
        <w:t> </w:t>
      </w:r>
      <w:r>
        <w:rPr/>
        <w:t>environmental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market</w:t>
      </w:r>
      <w:r>
        <w:rPr>
          <w:spacing w:val="13"/>
        </w:rPr>
        <w:t> </w:t>
      </w:r>
      <w:r>
        <w:rPr/>
        <w:t>factor,</w:t>
      </w:r>
      <w:r>
        <w:rPr>
          <w:spacing w:val="13"/>
        </w:rPr>
        <w:t> </w:t>
      </w:r>
      <w:r>
        <w:rPr/>
        <w:t>physical</w:t>
      </w:r>
      <w:r>
        <w:rPr>
          <w:spacing w:val="11"/>
        </w:rPr>
        <w:t> </w:t>
      </w:r>
      <w:r>
        <w:rPr/>
        <w:t>infrastructure</w:t>
      </w:r>
      <w:r>
        <w:rPr>
          <w:spacing w:val="11"/>
        </w:rPr>
        <w:t> </w:t>
      </w:r>
      <w:r>
        <w:rPr/>
        <w:t>factors,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340"/>
        </w:sectPr>
      </w:pPr>
    </w:p>
    <w:p>
      <w:pPr>
        <w:pStyle w:val="BodyText"/>
        <w:spacing w:line="480" w:lineRule="auto" w:before="70"/>
        <w:ind w:left="265" w:right="1583"/>
      </w:pPr>
      <w:r>
        <w:rPr/>
        <w:t>communication</w:t>
      </w:r>
      <w:r>
        <w:rPr>
          <w:spacing w:val="16"/>
        </w:rPr>
        <w:t> </w:t>
      </w:r>
      <w:r>
        <w:rPr/>
        <w:t>networks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security,</w:t>
      </w:r>
      <w:r>
        <w:rPr>
          <w:spacing w:val="16"/>
        </w:rPr>
        <w:t> </w:t>
      </w:r>
      <w:r>
        <w:rPr/>
        <w:t>urban</w:t>
      </w:r>
      <w:r>
        <w:rPr>
          <w:spacing w:val="18"/>
        </w:rPr>
        <w:t> </w:t>
      </w:r>
      <w:r>
        <w:rPr/>
        <w:t>factors,</w:t>
      </w:r>
      <w:r>
        <w:rPr>
          <w:spacing w:val="16"/>
        </w:rPr>
        <w:t> </w:t>
      </w:r>
      <w:r>
        <w:rPr/>
        <w:t>migration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low</w:t>
      </w:r>
      <w:r>
        <w:rPr>
          <w:spacing w:val="16"/>
        </w:rPr>
        <w:t> </w:t>
      </w:r>
      <w:r>
        <w:rPr/>
        <w:t>labor</w:t>
      </w:r>
      <w:r>
        <w:rPr>
          <w:spacing w:val="15"/>
        </w:rPr>
        <w:t> </w:t>
      </w:r>
      <w:r>
        <w:rPr/>
        <w:t>price,</w:t>
      </w:r>
      <w:r>
        <w:rPr>
          <w:spacing w:val="-57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service</w:t>
      </w:r>
      <w:r>
        <w:rPr>
          <w:spacing w:val="-1"/>
        </w:rPr>
        <w:t> </w:t>
      </w:r>
      <w:r>
        <w:rPr/>
        <w:t>factor</w:t>
      </w:r>
      <w:r>
        <w:rPr>
          <w:spacing w:val="4"/>
        </w:rPr>
        <w:t> </w:t>
      </w:r>
      <w:r>
        <w:rPr/>
        <w:t>and climate</w:t>
      </w:r>
      <w:r>
        <w:rPr>
          <w:spacing w:val="-1"/>
        </w:rPr>
        <w:t> </w:t>
      </w:r>
      <w:r>
        <w:rPr/>
        <w:t>and planning</w:t>
      </w:r>
      <w:r>
        <w:rPr>
          <w:spacing w:val="-3"/>
        </w:rPr>
        <w:t> </w:t>
      </w:r>
      <w:r>
        <w:rPr/>
        <w:t>factors.</w:t>
      </w:r>
    </w:p>
    <w:p>
      <w:pPr>
        <w:pStyle w:val="ListParagraph"/>
        <w:numPr>
          <w:ilvl w:val="1"/>
          <w:numId w:val="7"/>
        </w:numPr>
        <w:tabs>
          <w:tab w:pos="985" w:val="left" w:leader="none"/>
          <w:tab w:pos="986" w:val="left" w:leader="none"/>
        </w:tabs>
        <w:spacing w:line="240" w:lineRule="auto" w:before="5" w:after="0"/>
        <w:ind w:left="985" w:right="0" w:hanging="721"/>
        <w:jc w:val="left"/>
        <w:rPr>
          <w:b/>
          <w:sz w:val="24"/>
        </w:rPr>
      </w:pPr>
      <w:bookmarkStart w:name="_bookmark83" w:id="128"/>
      <w:bookmarkEnd w:id="128"/>
      <w:r>
        <w:rPr/>
      </w:r>
      <w:bookmarkStart w:name="_bookmark83" w:id="129"/>
      <w:bookmarkEnd w:id="129"/>
      <w:r>
        <w:rPr>
          <w:b/>
          <w:sz w:val="24"/>
        </w:rPr>
        <w:t>R</w:t>
      </w:r>
      <w:r>
        <w:rPr>
          <w:b/>
          <w:sz w:val="24"/>
        </w:rPr>
        <w:t>ecommendations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213" w:after="0"/>
        <w:ind w:left="985" w:right="1078" w:hanging="360"/>
        <w:jc w:val="both"/>
        <w:rPr>
          <w:sz w:val="24"/>
        </w:rPr>
      </w:pPr>
      <w:r>
        <w:rPr>
          <w:sz w:val="24"/>
        </w:rPr>
        <w:t>Base on the analysis of the study, the growing sprawl in peri-urban area required</w:t>
      </w:r>
      <w:r>
        <w:rPr>
          <w:spacing w:val="1"/>
          <w:sz w:val="24"/>
        </w:rPr>
        <w:t> </w:t>
      </w:r>
      <w:r>
        <w:rPr>
          <w:sz w:val="24"/>
        </w:rPr>
        <w:t>urgent attention, and it is therefore recommended that building specification and</w:t>
      </w:r>
      <w:r>
        <w:rPr>
          <w:spacing w:val="1"/>
          <w:sz w:val="24"/>
        </w:rPr>
        <w:t> </w:t>
      </w:r>
      <w:r>
        <w:rPr>
          <w:sz w:val="24"/>
        </w:rPr>
        <w:t>development of</w:t>
      </w:r>
      <w:r>
        <w:rPr>
          <w:spacing w:val="-1"/>
          <w:sz w:val="24"/>
        </w:rPr>
        <w:t> </w:t>
      </w:r>
      <w:r>
        <w:rPr>
          <w:sz w:val="24"/>
        </w:rPr>
        <w:t>master plan that specified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2"/>
          <w:sz w:val="24"/>
        </w:rPr>
        <w:t> </w:t>
      </w:r>
      <w:r>
        <w:rPr>
          <w:sz w:val="24"/>
        </w:rPr>
        <w:t>land uses.</w:t>
      </w: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0" w:after="0"/>
        <w:ind w:left="985" w:right="1072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imperative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adherence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laid-down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regulations and schemes which regulate the boundaries of land uses and land covers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zoning.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planning policy for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discourage</w:t>
      </w:r>
      <w:r>
        <w:rPr>
          <w:spacing w:val="1"/>
          <w:sz w:val="24"/>
        </w:rPr>
        <w:t> </w:t>
      </w:r>
      <w:r>
        <w:rPr>
          <w:sz w:val="24"/>
        </w:rPr>
        <w:t>outward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peripheral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enacted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0" w:after="0"/>
        <w:ind w:left="985" w:right="1075" w:hanging="360"/>
        <w:jc w:val="both"/>
        <w:rPr>
          <w:sz w:val="24"/>
        </w:rPr>
      </w:pPr>
      <w:r>
        <w:rPr>
          <w:sz w:val="24"/>
        </w:rPr>
        <w:t>The study therefore recommends that government should further provide site and</w:t>
      </w:r>
      <w:r>
        <w:rPr>
          <w:spacing w:val="1"/>
          <w:sz w:val="24"/>
        </w:rPr>
        <w:t> </w:t>
      </w:r>
      <w:r>
        <w:rPr>
          <w:sz w:val="24"/>
        </w:rPr>
        <w:t>services facilities available in peri-urban area to avoid</w:t>
      </w:r>
      <w:r>
        <w:rPr>
          <w:spacing w:val="1"/>
          <w:sz w:val="24"/>
        </w:rPr>
        <w:t> </w:t>
      </w:r>
      <w:r>
        <w:rPr>
          <w:sz w:val="24"/>
        </w:rPr>
        <w:t>future sprawl in peripheral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town.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expenditure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construction,</w:t>
      </w:r>
      <w:r>
        <w:rPr>
          <w:spacing w:val="1"/>
          <w:sz w:val="24"/>
        </w:rPr>
        <w:t> </w:t>
      </w:r>
      <w:r>
        <w:rPr>
          <w:sz w:val="24"/>
        </w:rPr>
        <w:t>drainages,</w:t>
      </w:r>
      <w:r>
        <w:rPr>
          <w:spacing w:val="-1"/>
          <w:sz w:val="24"/>
        </w:rPr>
        <w:t> </w:t>
      </w:r>
      <w:r>
        <w:rPr>
          <w:sz w:val="24"/>
        </w:rPr>
        <w:t>bridges and heavy</w:t>
      </w:r>
      <w:r>
        <w:rPr>
          <w:spacing w:val="-5"/>
          <w:sz w:val="24"/>
        </w:rPr>
        <w:t> </w:t>
      </w:r>
      <w:r>
        <w:rPr>
          <w:sz w:val="24"/>
        </w:rPr>
        <w:t>industrial</w:t>
      </w:r>
      <w:r>
        <w:rPr>
          <w:spacing w:val="2"/>
          <w:sz w:val="24"/>
        </w:rPr>
        <w:t> </w:t>
      </w:r>
      <w:r>
        <w:rPr>
          <w:sz w:val="24"/>
        </w:rPr>
        <w:t>and housing</w:t>
      </w:r>
      <w:r>
        <w:rPr>
          <w:spacing w:val="57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0" w:after="0"/>
        <w:ind w:left="985" w:right="1072" w:hanging="360"/>
        <w:jc w:val="both"/>
        <w:rPr>
          <w:sz w:val="24"/>
        </w:rPr>
      </w:pPr>
      <w:r>
        <w:rPr>
          <w:sz w:val="24"/>
        </w:rPr>
        <w:t>Also Bida urban development Board should saddled with responsibility Monitoring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peri-and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because,</w:t>
      </w:r>
      <w:r>
        <w:rPr>
          <w:spacing w:val="60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property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haphazard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40" w:bottom="1200" w:left="1720" w:right="340"/>
        </w:sectPr>
      </w:pPr>
    </w:p>
    <w:p>
      <w:pPr>
        <w:spacing w:before="75"/>
        <w:ind w:left="2708" w:right="3523" w:firstLine="0"/>
        <w:jc w:val="center"/>
        <w:rPr>
          <w:b/>
          <w:sz w:val="24"/>
        </w:rPr>
      </w:pPr>
      <w:bookmarkStart w:name="_bookmark84" w:id="130"/>
      <w:bookmarkEnd w:id="130"/>
      <w:r>
        <w:rPr/>
      </w:r>
      <w:r>
        <w:rPr>
          <w:b/>
          <w:sz w:val="24"/>
        </w:rPr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985" w:right="1073" w:hanging="720"/>
        <w:jc w:val="both"/>
      </w:pPr>
      <w:r>
        <w:rPr/>
        <w:t>Adair,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Berry,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Hutchison,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Mcgreal,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‘Attracting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investment into regeneration: necessary conditions for effective funding’,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Property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Vol.</w:t>
      </w:r>
      <w:r>
        <w:rPr>
          <w:spacing w:val="2"/>
        </w:rPr>
        <w:t> </w:t>
      </w:r>
      <w:r>
        <w:rPr/>
        <w:t>24, No. 3, September, pp.221–240.</w:t>
      </w:r>
    </w:p>
    <w:p>
      <w:pPr>
        <w:pStyle w:val="BodyText"/>
      </w:pPr>
    </w:p>
    <w:p>
      <w:pPr>
        <w:pStyle w:val="BodyText"/>
        <w:spacing w:before="1"/>
        <w:ind w:left="985" w:right="1079" w:hanging="720"/>
        <w:jc w:val="both"/>
      </w:pPr>
      <w:r>
        <w:rPr/>
        <w:t>Adams, D., Disberry, A., Hutchinson, N. and Munjoma, T. (2002) ‘The impact of land</w:t>
      </w:r>
      <w:r>
        <w:rPr>
          <w:spacing w:val="1"/>
        </w:rPr>
        <w:t> </w:t>
      </w:r>
      <w:r>
        <w:rPr/>
        <w:t>management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development</w:t>
      </w:r>
      <w:r>
        <w:rPr>
          <w:spacing w:val="57"/>
        </w:rPr>
        <w:t> </w:t>
      </w:r>
      <w:r>
        <w:rPr/>
        <w:t>strategies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urban</w:t>
      </w:r>
      <w:r>
        <w:rPr>
          <w:spacing w:val="57"/>
        </w:rPr>
        <w:t> </w:t>
      </w:r>
      <w:r>
        <w:rPr/>
        <w:t>redevelopment</w:t>
      </w:r>
      <w:r>
        <w:rPr>
          <w:spacing w:val="58"/>
        </w:rPr>
        <w:t> </w:t>
      </w:r>
      <w:r>
        <w:rPr/>
        <w:t>prospects’,</w:t>
      </w:r>
      <w:r>
        <w:rPr>
          <w:spacing w:val="57"/>
        </w:rPr>
        <w:t> </w:t>
      </w:r>
      <w:r>
        <w:rPr/>
        <w:t>in</w:t>
      </w:r>
      <w:r>
        <w:rPr>
          <w:spacing w:val="-58"/>
        </w:rPr>
        <w:t> </w:t>
      </w:r>
      <w:r>
        <w:rPr/>
        <w:t>Guy, S. and Henneberry, J. (Eds): </w:t>
      </w:r>
      <w:r>
        <w:rPr>
          <w:i/>
        </w:rPr>
        <w:t>Development and Developers: Perspectives on</w:t>
      </w:r>
      <w:r>
        <w:rPr>
          <w:i/>
          <w:spacing w:val="1"/>
        </w:rPr>
        <w:t> </w:t>
      </w:r>
      <w:r>
        <w:rPr>
          <w:i/>
        </w:rPr>
        <w:t>Property</w:t>
      </w:r>
      <w:r>
        <w:rPr/>
        <w:t>,</w:t>
      </w:r>
      <w:r>
        <w:rPr>
          <w:spacing w:val="-1"/>
        </w:rPr>
        <w:t> </w:t>
      </w:r>
      <w:r>
        <w:rPr/>
        <w:t>Blackwell, Oxford.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1076" w:hanging="720"/>
        <w:jc w:val="both"/>
        <w:rPr>
          <w:sz w:val="24"/>
        </w:rPr>
      </w:pPr>
      <w:r>
        <w:rPr>
          <w:sz w:val="24"/>
        </w:rPr>
        <w:t>Adesina A, (2007) </w:t>
      </w:r>
      <w:r>
        <w:rPr>
          <w:i/>
          <w:sz w:val="24"/>
        </w:rPr>
        <w:t>Socio-Spatial Transformations and the Urban Fringe Landscape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Countries</w:t>
      </w:r>
      <w:r>
        <w:rPr>
          <w:sz w:val="24"/>
        </w:rPr>
        <w:t>, Nigeria:</w:t>
      </w:r>
      <w:r>
        <w:rPr>
          <w:spacing w:val="2"/>
          <w:sz w:val="24"/>
        </w:rPr>
        <w:t> </w:t>
      </w:r>
      <w:r>
        <w:rPr>
          <w:sz w:val="24"/>
        </w:rPr>
        <w:t>IbadanUniversity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985" w:right="1078" w:hanging="720"/>
        <w:jc w:val="both"/>
      </w:pPr>
      <w:r>
        <w:rPr/>
        <w:t>Adjekumhene Ishmael, 2002 The Impact Of Development On The Environment. 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Seminar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Ghana</w:t>
      </w:r>
      <w:r>
        <w:rPr>
          <w:spacing w:val="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surveyors on 19septenber 2002.</w:t>
      </w:r>
      <w:r>
        <w:rPr>
          <w:spacing w:val="-1"/>
        </w:rPr>
        <w:t> </w:t>
      </w:r>
      <w:r>
        <w:rPr/>
        <w:t>KNUST, Kumasi.</w:t>
      </w:r>
    </w:p>
    <w:p>
      <w:pPr>
        <w:pStyle w:val="BodyText"/>
      </w:pPr>
    </w:p>
    <w:p>
      <w:pPr>
        <w:tabs>
          <w:tab w:pos="2684" w:val="left" w:leader="none"/>
          <w:tab w:pos="4431" w:val="left" w:leader="none"/>
          <w:tab w:pos="5302" w:val="left" w:leader="none"/>
          <w:tab w:pos="7155" w:val="left" w:leader="none"/>
          <w:tab w:pos="8246" w:val="left" w:leader="none"/>
        </w:tabs>
        <w:spacing w:before="0"/>
        <w:ind w:left="985" w:right="1071" w:hanging="720"/>
        <w:jc w:val="left"/>
        <w:rPr>
          <w:sz w:val="24"/>
        </w:rPr>
      </w:pPr>
      <w:r>
        <w:rPr>
          <w:sz w:val="24"/>
        </w:rPr>
        <w:t>Allen,</w:t>
      </w:r>
      <w:r>
        <w:rPr>
          <w:spacing w:val="29"/>
          <w:sz w:val="24"/>
        </w:rPr>
        <w:t> </w:t>
      </w:r>
      <w:r>
        <w:rPr>
          <w:sz w:val="24"/>
        </w:rPr>
        <w:t>A.,</w:t>
      </w:r>
      <w:r>
        <w:rPr>
          <w:spacing w:val="30"/>
          <w:sz w:val="24"/>
        </w:rPr>
        <w:t> </w:t>
      </w:r>
      <w:r>
        <w:rPr>
          <w:sz w:val="24"/>
        </w:rPr>
        <w:t>Dávila,</w:t>
      </w:r>
      <w:r>
        <w:rPr>
          <w:spacing w:val="30"/>
          <w:sz w:val="24"/>
        </w:rPr>
        <w:t> </w:t>
      </w:r>
      <w:r>
        <w:rPr>
          <w:sz w:val="24"/>
        </w:rPr>
        <w:t>J.</w:t>
      </w:r>
      <w:r>
        <w:rPr>
          <w:spacing w:val="30"/>
          <w:sz w:val="24"/>
        </w:rPr>
        <w:t> </w:t>
      </w:r>
      <w:r>
        <w:rPr>
          <w:sz w:val="24"/>
        </w:rPr>
        <w:t>D.,</w:t>
      </w:r>
      <w:r>
        <w:rPr>
          <w:spacing w:val="29"/>
          <w:sz w:val="24"/>
        </w:rPr>
        <w:t> </w:t>
      </w:r>
      <w:r>
        <w:rPr>
          <w:sz w:val="24"/>
        </w:rPr>
        <w:t>&amp;</w:t>
      </w:r>
      <w:r>
        <w:rPr>
          <w:spacing w:val="29"/>
          <w:sz w:val="24"/>
        </w:rPr>
        <w:t> </w:t>
      </w:r>
      <w:r>
        <w:rPr>
          <w:sz w:val="24"/>
        </w:rPr>
        <w:t>Hofmann,</w:t>
      </w:r>
      <w:r>
        <w:rPr>
          <w:spacing w:val="30"/>
          <w:sz w:val="24"/>
        </w:rPr>
        <w:t> </w:t>
      </w:r>
      <w:r>
        <w:rPr>
          <w:sz w:val="24"/>
        </w:rPr>
        <w:t>P.</w:t>
      </w:r>
      <w:r>
        <w:rPr>
          <w:spacing w:val="30"/>
          <w:sz w:val="24"/>
        </w:rPr>
        <w:t> </w:t>
      </w:r>
      <w:r>
        <w:rPr>
          <w:sz w:val="24"/>
        </w:rPr>
        <w:t>(2006).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Peri-urban</w:t>
      </w:r>
      <w:r>
        <w:rPr>
          <w:spacing w:val="30"/>
          <w:sz w:val="24"/>
        </w:rPr>
        <w:t> </w:t>
      </w:r>
      <w:r>
        <w:rPr>
          <w:sz w:val="24"/>
        </w:rPr>
        <w:t>Water</w:t>
      </w:r>
      <w:r>
        <w:rPr>
          <w:spacing w:val="32"/>
          <w:sz w:val="24"/>
        </w:rPr>
        <w:t> </w:t>
      </w:r>
      <w:r>
        <w:rPr>
          <w:sz w:val="24"/>
        </w:rPr>
        <w:t>Poor:</w:t>
      </w:r>
      <w:r>
        <w:rPr>
          <w:spacing w:val="29"/>
          <w:sz w:val="24"/>
        </w:rPr>
        <w:t> </w:t>
      </w:r>
      <w:r>
        <w:rPr>
          <w:sz w:val="24"/>
        </w:rPr>
        <w:t>Citizens</w:t>
      </w:r>
      <w:r>
        <w:rPr>
          <w:spacing w:val="3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Consumers?</w:t>
        <w:tab/>
      </w:r>
      <w:r>
        <w:rPr>
          <w:i/>
          <w:sz w:val="24"/>
        </w:rPr>
        <w:t>Environment</w:t>
        <w:tab/>
        <w:t>and</w:t>
        <w:tab/>
        <w:t>Urbanization,</w:t>
        <w:tab/>
        <w:t>18</w:t>
      </w:r>
      <w:r>
        <w:rPr>
          <w:sz w:val="24"/>
        </w:rPr>
        <w:t>(2),</w:t>
        <w:tab/>
      </w:r>
      <w:r>
        <w:rPr>
          <w:spacing w:val="-1"/>
          <w:sz w:val="24"/>
        </w:rPr>
        <w:t>333-351.</w:t>
      </w:r>
    </w:p>
    <w:p>
      <w:pPr>
        <w:pStyle w:val="BodyText"/>
        <w:ind w:left="985"/>
      </w:pPr>
      <w:hyperlink r:id="rId35">
        <w:r>
          <w:rPr>
            <w:color w:val="0000FF"/>
            <w:u w:val="single" w:color="0000FF"/>
          </w:rPr>
          <w:t>http://dx.doi.org/10.1177/0956247806069608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985" w:right="1075" w:hanging="720"/>
        <w:jc w:val="both"/>
      </w:pPr>
      <w:r>
        <w:rPr/>
        <w:t>Acheampong, R. A., &amp; Anokye, P. A. (2013). Understanding Households’ Residential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Kumasi’s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 Urban Growth. </w:t>
      </w:r>
      <w:r>
        <w:rPr>
          <w:i/>
        </w:rPr>
        <w:t>Research on Humanities and Social Sciences, 3</w:t>
      </w:r>
      <w:r>
        <w:rPr/>
        <w:t>(9), 60-</w:t>
      </w:r>
      <w:r>
        <w:rPr>
          <w:spacing w:val="1"/>
        </w:rPr>
        <w:t> </w:t>
      </w:r>
      <w:r>
        <w:rPr/>
        <w:t>70.</w:t>
      </w:r>
    </w:p>
    <w:p>
      <w:pPr>
        <w:pStyle w:val="BodyText"/>
      </w:pPr>
    </w:p>
    <w:p>
      <w:pPr>
        <w:pStyle w:val="BodyText"/>
        <w:spacing w:before="1"/>
        <w:ind w:left="985" w:right="1083" w:hanging="720"/>
        <w:jc w:val="both"/>
      </w:pPr>
      <w:r>
        <w:rPr/>
        <w:t>Ayorinde, D. (2009), Controlling development at the urban fringe: A case study of Ibadan,</w:t>
      </w:r>
      <w:r>
        <w:rPr>
          <w:spacing w:val="1"/>
        </w:rPr>
        <w:t> </w:t>
      </w:r>
      <w:r>
        <w:rPr/>
        <w:t>Nigeria,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Urban Management</w:t>
      </w:r>
      <w:r>
        <w:rPr>
          <w:spacing w:val="-1"/>
        </w:rPr>
        <w:t> </w:t>
      </w:r>
      <w:r>
        <w:rPr/>
        <w:t>and Urban</w:t>
      </w:r>
      <w:r>
        <w:rPr>
          <w:spacing w:val="-1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in Africa,</w:t>
      </w:r>
      <w:r>
        <w:rPr>
          <w:spacing w:val="1"/>
        </w:rPr>
        <w:t> </w:t>
      </w:r>
      <w:r>
        <w:rPr/>
        <w:t>Vol 2(2),</w:t>
      </w:r>
      <w:r>
        <w:rPr>
          <w:spacing w:val="-1"/>
        </w:rPr>
        <w:t> </w:t>
      </w:r>
      <w:r>
        <w:rPr/>
        <w:t>22-43.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right="1082" w:hanging="720"/>
        <w:jc w:val="both"/>
      </w:pPr>
      <w:r>
        <w:rPr/>
        <w:t>Balchin, P.N.,</w:t>
      </w:r>
      <w:r>
        <w:rPr>
          <w:spacing w:val="1"/>
        </w:rPr>
        <w:t> </w:t>
      </w:r>
      <w:r>
        <w:rPr/>
        <w:t>Isaac, D.</w:t>
      </w:r>
      <w:r>
        <w:rPr>
          <w:spacing w:val="1"/>
        </w:rPr>
        <w:t> </w:t>
      </w:r>
      <w:r>
        <w:rPr/>
        <w:t>&amp; Chen, J. J. (2000) Urban Ecoomics, A Global</w:t>
      </w:r>
      <w:r>
        <w:rPr>
          <w:spacing w:val="60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States: Palgrave</w:t>
      </w:r>
      <w:r>
        <w:rPr>
          <w:spacing w:val="1"/>
        </w:rPr>
        <w:t> </w:t>
      </w:r>
      <w:r>
        <w:rPr/>
        <w:t>Macmillan.</w:t>
      </w:r>
    </w:p>
    <w:p>
      <w:pPr>
        <w:pStyle w:val="BodyText"/>
      </w:pPr>
    </w:p>
    <w:p>
      <w:pPr>
        <w:pStyle w:val="BodyText"/>
        <w:ind w:left="985" w:right="1085" w:hanging="720"/>
        <w:jc w:val="both"/>
      </w:pPr>
      <w:r>
        <w:rPr/>
        <w:t>Broni T. H,, 2002 Keynote address delivered at the Annual Seminar of the general practice</w:t>
      </w:r>
      <w:r>
        <w:rPr>
          <w:spacing w:val="1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Ghana</w:t>
      </w:r>
      <w:r>
        <w:rPr>
          <w:spacing w:val="-1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surveyors on</w:t>
      </w:r>
      <w:r>
        <w:rPr>
          <w:spacing w:val="-1"/>
        </w:rPr>
        <w:t> </w:t>
      </w:r>
      <w:r>
        <w:rPr/>
        <w:t>19septenber 2002.</w:t>
      </w:r>
      <w:r>
        <w:rPr>
          <w:spacing w:val="-1"/>
        </w:rPr>
        <w:t> </w:t>
      </w:r>
      <w:r>
        <w:rPr/>
        <w:t>KNUST,</w:t>
      </w:r>
      <w:r>
        <w:rPr>
          <w:spacing w:val="-1"/>
        </w:rPr>
        <w:t> </w:t>
      </w:r>
      <w:r>
        <w:rPr/>
        <w:t>Kumasi.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65"/>
      </w:pPr>
      <w:r>
        <w:rPr/>
        <w:t>Brook</w:t>
      </w:r>
      <w:r>
        <w:rPr>
          <w:spacing w:val="29"/>
        </w:rPr>
        <w:t> </w:t>
      </w:r>
      <w:r>
        <w:rPr/>
        <w:t>R.</w:t>
      </w:r>
      <w:r>
        <w:rPr>
          <w:spacing w:val="33"/>
        </w:rPr>
        <w:t> </w:t>
      </w:r>
      <w:r>
        <w:rPr/>
        <w:t>and</w:t>
      </w:r>
      <w:r>
        <w:rPr>
          <w:spacing w:val="29"/>
        </w:rPr>
        <w:t> </w:t>
      </w:r>
      <w:r>
        <w:rPr/>
        <w:t>Davila</w:t>
      </w:r>
      <w:r>
        <w:rPr>
          <w:spacing w:val="30"/>
        </w:rPr>
        <w:t> </w:t>
      </w:r>
      <w:r>
        <w:rPr/>
        <w:t>J.</w:t>
      </w:r>
      <w:r>
        <w:rPr>
          <w:spacing w:val="32"/>
        </w:rPr>
        <w:t> </w:t>
      </w:r>
      <w:r>
        <w:rPr/>
        <w:t>(2000)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Peri</w:t>
      </w:r>
      <w:r>
        <w:rPr>
          <w:spacing w:val="29"/>
        </w:rPr>
        <w:t> </w:t>
      </w:r>
      <w:r>
        <w:rPr/>
        <w:t>Urban</w:t>
      </w:r>
      <w:r>
        <w:rPr>
          <w:spacing w:val="35"/>
        </w:rPr>
        <w:t> </w:t>
      </w:r>
      <w:r>
        <w:rPr/>
        <w:t>Interface.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Tale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Two</w:t>
      </w:r>
      <w:r>
        <w:rPr>
          <w:spacing w:val="32"/>
        </w:rPr>
        <w:t> </w:t>
      </w:r>
      <w:r>
        <w:rPr/>
        <w:t>Cities.</w:t>
      </w:r>
      <w:r>
        <w:rPr>
          <w:spacing w:val="29"/>
        </w:rPr>
        <w:t> </w:t>
      </w:r>
      <w:r>
        <w:rPr/>
        <w:t>Gwasg.</w:t>
      </w:r>
    </w:p>
    <w:p>
      <w:pPr>
        <w:pStyle w:val="BodyText"/>
        <w:ind w:left="985"/>
      </w:pPr>
      <w:r>
        <w:rPr/>
        <w:t>Francon,</w:t>
      </w:r>
      <w:r>
        <w:rPr>
          <w:spacing w:val="-2"/>
        </w:rPr>
        <w:t> </w:t>
      </w:r>
      <w:r>
        <w:rPr/>
        <w:t>Bethesda,</w:t>
      </w:r>
      <w:r>
        <w:rPr>
          <w:spacing w:val="-2"/>
        </w:rPr>
        <w:t> </w:t>
      </w:r>
      <w:r>
        <w:rPr/>
        <w:t>Wales.</w:t>
      </w:r>
    </w:p>
    <w:p>
      <w:pPr>
        <w:pStyle w:val="BodyText"/>
      </w:pPr>
    </w:p>
    <w:p>
      <w:pPr>
        <w:spacing w:before="0"/>
        <w:ind w:left="265" w:right="0" w:firstLine="0"/>
        <w:jc w:val="left"/>
        <w:rPr>
          <w:i/>
          <w:sz w:val="24"/>
        </w:rPr>
      </w:pPr>
      <w:r>
        <w:rPr>
          <w:sz w:val="24"/>
        </w:rPr>
        <w:t>Buxton,</w:t>
      </w:r>
      <w:r>
        <w:rPr>
          <w:spacing w:val="30"/>
          <w:sz w:val="24"/>
        </w:rPr>
        <w:t> </w:t>
      </w:r>
      <w:r>
        <w:rPr>
          <w:sz w:val="24"/>
        </w:rPr>
        <w:t>M.</w:t>
      </w:r>
      <w:r>
        <w:rPr>
          <w:spacing w:val="30"/>
          <w:sz w:val="24"/>
        </w:rPr>
        <w:t> </w:t>
      </w:r>
      <w:r>
        <w:rPr>
          <w:sz w:val="24"/>
        </w:rPr>
        <w:t>(2007)</w:t>
      </w:r>
      <w:r>
        <w:rPr>
          <w:spacing w:val="3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Peri-urban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Australia: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Land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Policies,</w:t>
      </w:r>
    </w:p>
    <w:p>
      <w:pPr>
        <w:pStyle w:val="BodyText"/>
        <w:ind w:left="985"/>
      </w:pPr>
      <w:r>
        <w:rPr/>
        <w:t>Australia: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Environment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Heritage</w:t>
      </w:r>
      <w:r>
        <w:rPr>
          <w:spacing w:val="-2"/>
        </w:rPr>
        <w:t> </w:t>
      </w:r>
      <w:r>
        <w:rPr/>
        <w:t>Publishing</w:t>
      </w:r>
      <w:r>
        <w:rPr>
          <w:spacing w:val="-1"/>
        </w:rPr>
        <w:t> </w:t>
      </w:r>
      <w:r>
        <w:rPr/>
        <w:t>Unit.</w:t>
      </w:r>
    </w:p>
    <w:p>
      <w:pPr>
        <w:pStyle w:val="BodyText"/>
      </w:pPr>
    </w:p>
    <w:p>
      <w:pPr>
        <w:pStyle w:val="BodyText"/>
        <w:ind w:left="985" w:right="1075" w:hanging="720"/>
        <w:jc w:val="both"/>
      </w:pPr>
      <w:r>
        <w:rPr/>
        <w:t>Doos, M. H., “Health and Peri-urban Natural</w:t>
      </w:r>
      <w:r>
        <w:rPr>
          <w:spacing w:val="1"/>
        </w:rPr>
        <w:t> </w:t>
      </w:r>
      <w:r>
        <w:rPr/>
        <w:t>Resource Production”,</w:t>
      </w:r>
      <w:r>
        <w:rPr>
          <w:spacing w:val="1"/>
        </w:rPr>
        <w:t> </w:t>
      </w:r>
      <w:r>
        <w:rPr/>
        <w:t>Environment and</w:t>
      </w:r>
      <w:r>
        <w:rPr>
          <w:spacing w:val="1"/>
        </w:rPr>
        <w:t> </w:t>
      </w:r>
      <w:r>
        <w:rPr/>
        <w:t>Urbanization,</w:t>
      </w:r>
      <w:r>
        <w:rPr>
          <w:spacing w:val="-1"/>
        </w:rPr>
        <w:t> </w:t>
      </w:r>
      <w:r>
        <w:rPr/>
        <w:t>Vol. 10, No. 1, p. 89-106.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340"/>
        </w:sectPr>
      </w:pPr>
    </w:p>
    <w:p>
      <w:pPr>
        <w:pStyle w:val="BodyText"/>
        <w:spacing w:before="70"/>
        <w:ind w:left="985" w:right="1073" w:hanging="720"/>
        <w:jc w:val="both"/>
      </w:pPr>
      <w:r>
        <w:rPr/>
        <w:t>Ebohon,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Mbuga,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‘A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Africa’,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Property</w:t>
      </w:r>
      <w:r>
        <w:rPr>
          <w:i/>
          <w:spacing w:val="-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2"/>
        </w:rPr>
        <w:t> </w:t>
      </w:r>
      <w:r>
        <w:rPr/>
        <w:t>Vol. 20, No. 1, pp.7–22.</w:t>
      </w:r>
    </w:p>
    <w:p>
      <w:pPr>
        <w:pStyle w:val="BodyText"/>
      </w:pPr>
    </w:p>
    <w:p>
      <w:pPr>
        <w:pStyle w:val="BodyText"/>
        <w:spacing w:before="1"/>
        <w:ind w:left="265"/>
      </w:pPr>
      <w:r>
        <w:rPr/>
        <w:t>Fisher,</w:t>
      </w:r>
      <w:r>
        <w:rPr>
          <w:spacing w:val="31"/>
        </w:rPr>
        <w:t> </w:t>
      </w:r>
      <w:r>
        <w:rPr/>
        <w:t>P.</w:t>
      </w:r>
      <w:r>
        <w:rPr>
          <w:spacing w:val="31"/>
        </w:rPr>
        <w:t> </w:t>
      </w:r>
      <w:r>
        <w:rPr/>
        <w:t>(2005)</w:t>
      </w:r>
      <w:r>
        <w:rPr>
          <w:spacing w:val="33"/>
        </w:rPr>
        <w:t> </w:t>
      </w:r>
      <w:r>
        <w:rPr/>
        <w:t>‘The</w:t>
      </w:r>
      <w:r>
        <w:rPr>
          <w:spacing w:val="32"/>
        </w:rPr>
        <w:t> </w:t>
      </w:r>
      <w:r>
        <w:rPr/>
        <w:t>property</w:t>
      </w:r>
      <w:r>
        <w:rPr>
          <w:spacing w:val="27"/>
        </w:rPr>
        <w:t> </w:t>
      </w:r>
      <w:r>
        <w:rPr/>
        <w:t>development</w:t>
      </w:r>
      <w:r>
        <w:rPr>
          <w:spacing w:val="31"/>
        </w:rPr>
        <w:t> </w:t>
      </w:r>
      <w:r>
        <w:rPr/>
        <w:t>process:</w:t>
      </w:r>
      <w:r>
        <w:rPr>
          <w:spacing w:val="32"/>
        </w:rPr>
        <w:t> </w:t>
      </w:r>
      <w:r>
        <w:rPr/>
        <w:t>case</w:t>
      </w:r>
      <w:r>
        <w:rPr>
          <w:spacing w:val="31"/>
        </w:rPr>
        <w:t> </w:t>
      </w:r>
      <w:r>
        <w:rPr/>
        <w:t>studies</w:t>
      </w:r>
      <w:r>
        <w:rPr>
          <w:spacing w:val="31"/>
        </w:rPr>
        <w:t> </w:t>
      </w:r>
      <w:r>
        <w:rPr/>
        <w:t>from</w:t>
      </w:r>
      <w:r>
        <w:rPr>
          <w:spacing w:val="35"/>
        </w:rPr>
        <w:t> </w:t>
      </w:r>
      <w:r>
        <w:rPr/>
        <w:t>Grainger</w:t>
      </w:r>
      <w:r>
        <w:rPr>
          <w:spacing w:val="32"/>
        </w:rPr>
        <w:t> </w:t>
      </w:r>
      <w:r>
        <w:rPr/>
        <w:t>town’,</w:t>
      </w: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sz w:val="24"/>
        </w:rPr>
        <w:t>Property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Vol. 23,</w:t>
      </w:r>
      <w:r>
        <w:rPr>
          <w:spacing w:val="-1"/>
          <w:sz w:val="24"/>
        </w:rPr>
        <w:t> </w:t>
      </w:r>
      <w:r>
        <w:rPr>
          <w:sz w:val="24"/>
        </w:rPr>
        <w:t>No. 3, pp.158–175.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1075" w:hanging="720"/>
        <w:jc w:val="both"/>
        <w:rPr>
          <w:sz w:val="24"/>
        </w:rPr>
      </w:pPr>
      <w:r>
        <w:rPr>
          <w:sz w:val="24"/>
        </w:rPr>
        <w:t>Kazungu,R.,</w:t>
      </w:r>
      <w:r>
        <w:rPr>
          <w:spacing w:val="1"/>
          <w:sz w:val="24"/>
        </w:rPr>
        <w:t> </w:t>
      </w:r>
      <w:r>
        <w:rPr>
          <w:sz w:val="24"/>
        </w:rPr>
        <w:t>Gitau,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Gichuru, P.,</w:t>
      </w:r>
      <w:r>
        <w:rPr>
          <w:spacing w:val="1"/>
          <w:sz w:val="24"/>
        </w:rPr>
        <w:t> </w:t>
      </w:r>
      <w:r>
        <w:rPr>
          <w:sz w:val="24"/>
        </w:rPr>
        <w:t>(2011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Ongata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Rongai Peripheral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Locations</w:t>
      </w:r>
      <w:r>
        <w:rPr>
          <w:sz w:val="24"/>
        </w:rPr>
        <w:t>, Nairobi:</w:t>
      </w:r>
      <w:r>
        <w:rPr>
          <w:spacing w:val="-1"/>
          <w:sz w:val="24"/>
        </w:rPr>
        <w:t> </w:t>
      </w:r>
      <w:r>
        <w:rPr>
          <w:sz w:val="24"/>
        </w:rPr>
        <w:t>47th</w:t>
      </w:r>
      <w:r>
        <w:rPr>
          <w:spacing w:val="2"/>
          <w:sz w:val="24"/>
        </w:rPr>
        <w:t> </w:t>
      </w:r>
      <w:r>
        <w:rPr>
          <w:sz w:val="24"/>
        </w:rPr>
        <w:t>ISOCARP Congress.</w:t>
      </w:r>
    </w:p>
    <w:p>
      <w:pPr>
        <w:pStyle w:val="BodyText"/>
      </w:pPr>
    </w:p>
    <w:p>
      <w:pPr>
        <w:pStyle w:val="BodyText"/>
        <w:ind w:left="985" w:right="1076" w:hanging="720"/>
        <w:jc w:val="both"/>
      </w:pPr>
      <w:r>
        <w:rPr/>
        <w:t>Lanjouw P, Quizon J, Sparrow R (2001). Non-agricultural earnings in peri-urban areas of</w:t>
      </w:r>
      <w:r>
        <w:rPr>
          <w:spacing w:val="1"/>
        </w:rPr>
        <w:t> </w:t>
      </w:r>
      <w:r>
        <w:rPr/>
        <w:t>Tanzania: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household survey</w:t>
      </w:r>
      <w:r>
        <w:rPr>
          <w:spacing w:val="-6"/>
        </w:rPr>
        <w:t> </w:t>
      </w:r>
      <w:r>
        <w:rPr/>
        <w:t>data.</w:t>
      </w:r>
      <w:r>
        <w:rPr>
          <w:spacing w:val="1"/>
        </w:rPr>
        <w:t> </w:t>
      </w:r>
      <w:r>
        <w:rPr/>
        <w:t>Food Policy, 26: 385-403.</w:t>
      </w:r>
    </w:p>
    <w:p>
      <w:pPr>
        <w:pStyle w:val="BodyText"/>
        <w:spacing w:before="1"/>
      </w:pPr>
    </w:p>
    <w:p>
      <w:pPr>
        <w:pStyle w:val="BodyText"/>
        <w:ind w:left="985" w:right="1079" w:hanging="720"/>
        <w:jc w:val="both"/>
      </w:pPr>
      <w:r>
        <w:rPr/>
        <w:t>Maconachie</w:t>
      </w:r>
      <w:r>
        <w:rPr>
          <w:spacing w:val="1"/>
        </w:rPr>
        <w:t> </w:t>
      </w:r>
      <w:r>
        <w:rPr/>
        <w:t>RA,</w:t>
      </w:r>
      <w:r>
        <w:rPr>
          <w:spacing w:val="1"/>
        </w:rPr>
        <w:t> </w:t>
      </w:r>
      <w:r>
        <w:rPr/>
        <w:t>Binns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threat?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environmental change and food production in peri-urban Kano, Northern Nigeria.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Degrad. Dev. 17: 159-171.</w:t>
      </w:r>
    </w:p>
    <w:p>
      <w:pPr>
        <w:pStyle w:val="BodyText"/>
      </w:pPr>
    </w:p>
    <w:p>
      <w:pPr>
        <w:pStyle w:val="BodyText"/>
        <w:ind w:left="985" w:right="1083" w:hanging="720"/>
        <w:jc w:val="both"/>
      </w:pPr>
      <w:r>
        <w:rPr/>
        <w:t>Madichie</w:t>
      </w:r>
      <w:r>
        <w:rPr>
          <w:spacing w:val="1"/>
        </w:rPr>
        <w:t> </w:t>
      </w:r>
      <w:r>
        <w:rPr/>
        <w:t>M &amp; Madichie C,(2006). Changing patterns in the urbanized countryside of</w:t>
      </w:r>
      <w:r>
        <w:rPr>
          <w:spacing w:val="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Europe.</w:t>
      </w:r>
      <w:r>
        <w:rPr>
          <w:spacing w:val="2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Ecol. 15: 257-270.</w:t>
      </w:r>
    </w:p>
    <w:p>
      <w:pPr>
        <w:pStyle w:val="BodyText"/>
      </w:pPr>
    </w:p>
    <w:p>
      <w:pPr>
        <w:spacing w:before="0"/>
        <w:ind w:left="985" w:right="1074" w:hanging="720"/>
        <w:jc w:val="both"/>
        <w:rPr>
          <w:sz w:val="24"/>
        </w:rPr>
      </w:pPr>
      <w:r>
        <w:rPr>
          <w:sz w:val="24"/>
        </w:rPr>
        <w:t>Mandere, M. N., Ness, B., &amp; Anderberg, S. (2010). Peri-urban development, livelihood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household</w:t>
      </w:r>
      <w:r>
        <w:rPr>
          <w:spacing w:val="1"/>
          <w:sz w:val="24"/>
        </w:rPr>
        <w:t> </w:t>
      </w:r>
      <w:r>
        <w:rPr>
          <w:sz w:val="24"/>
        </w:rPr>
        <w:t>income: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peri-urban</w:t>
      </w:r>
      <w:r>
        <w:rPr>
          <w:spacing w:val="1"/>
          <w:sz w:val="24"/>
        </w:rPr>
        <w:t> </w:t>
      </w:r>
      <w:r>
        <w:rPr>
          <w:sz w:val="24"/>
        </w:rPr>
        <w:t>Nyahururu,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Extension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Development, 2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73-83.</w:t>
      </w:r>
    </w:p>
    <w:p>
      <w:pPr>
        <w:pStyle w:val="BodyText"/>
      </w:pPr>
    </w:p>
    <w:p>
      <w:pPr>
        <w:spacing w:before="0"/>
        <w:ind w:left="985" w:right="1074" w:hanging="720"/>
        <w:jc w:val="both"/>
        <w:rPr>
          <w:sz w:val="24"/>
        </w:rPr>
      </w:pPr>
      <w:r>
        <w:rPr>
          <w:sz w:val="24"/>
        </w:rPr>
        <w:t>Muiruri, G.W., (2001). </w:t>
      </w:r>
      <w:r>
        <w:rPr>
          <w:i/>
          <w:sz w:val="24"/>
        </w:rPr>
        <w:t>An Analysis of Real Property Development Changes in Peri- 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Kangemi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Nairobi,</w:t>
      </w:r>
      <w:r>
        <w:rPr>
          <w:spacing w:val="1"/>
          <w:sz w:val="24"/>
        </w:rPr>
        <w:t> </w:t>
      </w:r>
      <w:r>
        <w:rPr>
          <w:sz w:val="24"/>
        </w:rPr>
        <w:t>Kangemi</w:t>
      </w:r>
      <w:r>
        <w:rPr>
          <w:spacing w:val="1"/>
          <w:sz w:val="24"/>
        </w:rPr>
        <w:t> </w:t>
      </w:r>
      <w:r>
        <w:rPr>
          <w:sz w:val="24"/>
        </w:rPr>
        <w:t>area.</w:t>
      </w:r>
      <w:r>
        <w:rPr>
          <w:spacing w:val="1"/>
          <w:sz w:val="24"/>
        </w:rPr>
        <w:t> </w:t>
      </w:r>
      <w:r>
        <w:rPr>
          <w:sz w:val="24"/>
        </w:rPr>
        <w:t>Nairobi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Project.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Nairobi.</w:t>
      </w:r>
    </w:p>
    <w:p>
      <w:pPr>
        <w:pStyle w:val="BodyText"/>
      </w:pPr>
    </w:p>
    <w:p>
      <w:pPr>
        <w:spacing w:before="1"/>
        <w:ind w:left="985" w:right="1075" w:hanging="720"/>
        <w:jc w:val="both"/>
        <w:rPr>
          <w:sz w:val="24"/>
        </w:rPr>
      </w:pPr>
      <w:r>
        <w:rPr>
          <w:sz w:val="24"/>
        </w:rPr>
        <w:t>Mutisya, K. M., (2008)</w:t>
      </w:r>
      <w:r>
        <w:rPr>
          <w:i/>
          <w:sz w:val="24"/>
        </w:rPr>
        <w:t>. An Evaluation of the Sustainability of the Residential 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Rapidly Growing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Satellite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Kenya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 Case</w:t>
      </w:r>
      <w:r>
        <w:rPr>
          <w:spacing w:val="1"/>
          <w:sz w:val="24"/>
        </w:rPr>
        <w:t> </w:t>
      </w:r>
      <w:r>
        <w:rPr>
          <w:sz w:val="24"/>
        </w:rPr>
        <w:t>Study of</w:t>
      </w:r>
      <w:r>
        <w:rPr>
          <w:spacing w:val="1"/>
          <w:sz w:val="24"/>
        </w:rPr>
        <w:t> </w:t>
      </w:r>
      <w:r>
        <w:rPr>
          <w:sz w:val="24"/>
        </w:rPr>
        <w:t>Mlolongo</w:t>
      </w:r>
      <w:r>
        <w:rPr>
          <w:spacing w:val="-1"/>
          <w:sz w:val="24"/>
        </w:rPr>
        <w:t> </w:t>
      </w:r>
      <w:r>
        <w:rPr>
          <w:sz w:val="24"/>
        </w:rPr>
        <w:t>Township. Nairobi</w:t>
      </w:r>
      <w:r>
        <w:rPr>
          <w:spacing w:val="-1"/>
          <w:sz w:val="24"/>
        </w:rPr>
        <w:t> </w:t>
      </w:r>
      <w:r>
        <w:rPr>
          <w:sz w:val="24"/>
        </w:rPr>
        <w:t>Unpublished Project. University</w:t>
      </w:r>
      <w:r>
        <w:rPr>
          <w:spacing w:val="-6"/>
          <w:sz w:val="24"/>
        </w:rPr>
        <w:t> </w:t>
      </w:r>
      <w:r>
        <w:rPr>
          <w:sz w:val="24"/>
        </w:rPr>
        <w:t>of Nairobi.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right="1078" w:hanging="720"/>
        <w:jc w:val="both"/>
      </w:pPr>
      <w:r>
        <w:rPr/>
        <w:t>Nagot, F. (2008 ). ‘A residential location model in Peri-urban areas’ downloaded pdf file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552" w:lineRule="exact" w:before="56"/>
        <w:ind w:left="265" w:right="1075"/>
      </w:pPr>
      <w:r>
        <w:rPr/>
        <w:t>O’Sullivan, A, (2000) </w:t>
      </w:r>
      <w:r>
        <w:rPr>
          <w:i/>
        </w:rPr>
        <w:t>Urban Economics</w:t>
      </w:r>
      <w:r>
        <w:rPr/>
        <w:t>, United States: The McGraw Hill Companies Inc.</w:t>
      </w:r>
      <w:r>
        <w:rPr>
          <w:spacing w:val="1"/>
        </w:rPr>
        <w:t> </w:t>
      </w:r>
      <w:r>
        <w:rPr/>
        <w:t>Pasquini,</w:t>
      </w:r>
      <w:r>
        <w:rPr>
          <w:spacing w:val="8"/>
        </w:rPr>
        <w:t> </w:t>
      </w:r>
      <w:r>
        <w:rPr/>
        <w:t>M.W</w:t>
      </w:r>
      <w:r>
        <w:rPr>
          <w:spacing w:val="7"/>
        </w:rPr>
        <w:t> </w:t>
      </w:r>
      <w:r>
        <w:rPr/>
        <w:t>&amp;</w:t>
      </w:r>
      <w:r>
        <w:rPr>
          <w:spacing w:val="7"/>
        </w:rPr>
        <w:t> </w:t>
      </w:r>
      <w:r>
        <w:rPr/>
        <w:t>Maconachie,</w:t>
      </w:r>
      <w:r>
        <w:rPr>
          <w:spacing w:val="7"/>
        </w:rPr>
        <w:t> </w:t>
      </w:r>
      <w:r>
        <w:rPr/>
        <w:t>R.</w:t>
      </w:r>
      <w:r>
        <w:rPr>
          <w:spacing w:val="9"/>
        </w:rPr>
        <w:t> </w:t>
      </w:r>
      <w:r>
        <w:rPr/>
        <w:t>(2005),</w:t>
      </w:r>
      <w:r>
        <w:rPr>
          <w:spacing w:val="7"/>
        </w:rPr>
        <w:t> </w:t>
      </w:r>
      <w:r>
        <w:rPr/>
        <w:t>Peri-urban</w:t>
      </w:r>
      <w:r>
        <w:rPr>
          <w:spacing w:val="9"/>
        </w:rPr>
        <w:t> </w:t>
      </w:r>
      <w:r>
        <w:rPr/>
        <w:t>systems</w:t>
      </w:r>
      <w:r>
        <w:rPr>
          <w:spacing w:val="8"/>
        </w:rPr>
        <w:t> </w:t>
      </w:r>
      <w:r>
        <w:rPr/>
        <w:t>under</w:t>
      </w:r>
      <w:r>
        <w:rPr>
          <w:spacing w:val="7"/>
        </w:rPr>
        <w:t> </w:t>
      </w:r>
      <w:r>
        <w:rPr/>
        <w:t>stress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Jos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Kano</w:t>
      </w:r>
    </w:p>
    <w:p>
      <w:pPr>
        <w:pStyle w:val="BodyText"/>
        <w:spacing w:line="218" w:lineRule="exact"/>
        <w:ind w:left="985"/>
      </w:pPr>
      <w:r>
        <w:rPr/>
        <w:t>Nigeria?</w:t>
      </w:r>
      <w:r>
        <w:rPr>
          <w:spacing w:val="17"/>
        </w:rPr>
        <w:t> </w:t>
      </w:r>
      <w:r>
        <w:rPr/>
        <w:t>New</w:t>
      </w:r>
      <w:r>
        <w:rPr>
          <w:spacing w:val="15"/>
        </w:rPr>
        <w:t> </w:t>
      </w:r>
      <w:r>
        <w:rPr/>
        <w:t>perspectives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resource</w:t>
      </w:r>
      <w:r>
        <w:rPr>
          <w:spacing w:val="14"/>
        </w:rPr>
        <w:t> </w:t>
      </w:r>
      <w:r>
        <w:rPr/>
        <w:t>management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degradation,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Parrot,</w:t>
      </w:r>
      <w:r>
        <w:rPr>
          <w:spacing w:val="17"/>
        </w:rPr>
        <w:t> </w:t>
      </w:r>
      <w:r>
        <w:rPr/>
        <w:t>L.</w:t>
      </w:r>
    </w:p>
    <w:p>
      <w:pPr>
        <w:spacing w:before="0"/>
        <w:ind w:left="985" w:right="1413" w:firstLine="0"/>
        <w:jc w:val="left"/>
        <w:rPr>
          <w:sz w:val="24"/>
        </w:rPr>
      </w:pPr>
      <w:r>
        <w:rPr>
          <w:sz w:val="24"/>
        </w:rPr>
        <w:t>(ed)</w:t>
      </w:r>
      <w:r>
        <w:rPr>
          <w:spacing w:val="43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 Africa,</w:t>
      </w:r>
      <w:r>
        <w:rPr>
          <w:i/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Yaoude, Cameroon</w:t>
      </w:r>
    </w:p>
    <w:p>
      <w:pPr>
        <w:pStyle w:val="BodyText"/>
      </w:pPr>
    </w:p>
    <w:p>
      <w:pPr>
        <w:spacing w:before="0"/>
        <w:ind w:left="985" w:right="1078" w:hanging="720"/>
        <w:jc w:val="both"/>
        <w:rPr>
          <w:sz w:val="24"/>
        </w:rPr>
      </w:pPr>
      <w:r>
        <w:rPr>
          <w:sz w:val="24"/>
        </w:rPr>
        <w:t>Peron, P. B. &amp; Geoffriam, C. (2007) Urban Sprawl and the Loss of Peri-Urban Land in</w:t>
      </w:r>
      <w:r>
        <w:rPr>
          <w:spacing w:val="1"/>
          <w:sz w:val="24"/>
        </w:rPr>
        <w:t> </w:t>
      </w:r>
      <w:r>
        <w:rPr>
          <w:sz w:val="24"/>
        </w:rPr>
        <w:t>Kumasi,</w:t>
      </w:r>
      <w:r>
        <w:rPr>
          <w:spacing w:val="-1"/>
          <w:sz w:val="24"/>
        </w:rPr>
        <w:t> </w:t>
      </w:r>
      <w:r>
        <w:rPr>
          <w:sz w:val="24"/>
        </w:rPr>
        <w:t>Ghana.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and 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388-397</w:t>
      </w:r>
    </w:p>
    <w:p>
      <w:pPr>
        <w:pStyle w:val="BodyText"/>
      </w:pPr>
    </w:p>
    <w:p>
      <w:pPr>
        <w:spacing w:before="0"/>
        <w:ind w:left="985" w:right="1079" w:hanging="720"/>
        <w:jc w:val="both"/>
        <w:rPr>
          <w:sz w:val="24"/>
        </w:rPr>
      </w:pPr>
      <w:r>
        <w:rPr>
          <w:sz w:val="24"/>
        </w:rPr>
        <w:t>Rakodi,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(2002)</w:t>
      </w:r>
      <w:r>
        <w:rPr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Livelihoods: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People-Centred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sz w:val="24"/>
        </w:rPr>
        <w:t>,Report No 86, July</w:t>
      </w:r>
      <w:r>
        <w:rPr>
          <w:spacing w:val="-5"/>
          <w:sz w:val="24"/>
        </w:rPr>
        <w:t> </w:t>
      </w:r>
      <w:r>
        <w:rPr>
          <w:sz w:val="24"/>
        </w:rPr>
        <w:t>1993.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340"/>
        </w:sectPr>
      </w:pPr>
    </w:p>
    <w:p>
      <w:pPr>
        <w:spacing w:before="186"/>
        <w:ind w:left="265" w:right="1156" w:firstLine="0"/>
        <w:jc w:val="left"/>
        <w:rPr>
          <w:sz w:val="24"/>
        </w:rPr>
      </w:pPr>
      <w:r>
        <w:rPr>
          <w:sz w:val="24"/>
        </w:rPr>
        <w:t>Simon, D. (2008) Urban Environments: Issues on the Peri-Urban Fringe. </w:t>
      </w:r>
      <w:r>
        <w:rPr>
          <w:i/>
          <w:sz w:val="24"/>
        </w:rPr>
        <w:t>Annual Review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Resources</w:t>
      </w:r>
      <w:r>
        <w:rPr>
          <w:i/>
          <w:spacing w:val="1"/>
          <w:sz w:val="24"/>
        </w:rPr>
        <w:t> </w:t>
      </w:r>
      <w:r>
        <w:rPr>
          <w:sz w:val="24"/>
        </w:rPr>
        <w:t>33, 167-185.</w:t>
      </w:r>
    </w:p>
    <w:p>
      <w:pPr>
        <w:pStyle w:val="BodyText"/>
      </w:pPr>
    </w:p>
    <w:p>
      <w:pPr>
        <w:spacing w:before="1"/>
        <w:ind w:left="985" w:right="1072" w:hanging="720"/>
        <w:jc w:val="left"/>
        <w:rPr>
          <w:sz w:val="24"/>
        </w:rPr>
      </w:pPr>
      <w:r>
        <w:rPr>
          <w:sz w:val="24"/>
        </w:rPr>
        <w:t>Timms,</w:t>
      </w:r>
      <w:r>
        <w:rPr>
          <w:spacing w:val="19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(2006)</w:t>
      </w:r>
      <w:r>
        <w:rPr>
          <w:spacing w:val="18"/>
          <w:sz w:val="24"/>
        </w:rPr>
        <w:t> </w:t>
      </w:r>
      <w:r>
        <w:rPr>
          <w:sz w:val="24"/>
        </w:rPr>
        <w:t>Peri-Urban</w:t>
      </w:r>
      <w:r>
        <w:rPr>
          <w:spacing w:val="20"/>
          <w:sz w:val="24"/>
        </w:rPr>
        <w:t> </w:t>
      </w:r>
      <w:r>
        <w:rPr>
          <w:sz w:val="24"/>
        </w:rPr>
        <w:t>Development,</w:t>
      </w:r>
      <w:r>
        <w:rPr>
          <w:spacing w:val="19"/>
          <w:sz w:val="24"/>
        </w:rPr>
        <w:t> </w:t>
      </w:r>
      <w:r>
        <w:rPr>
          <w:sz w:val="24"/>
        </w:rPr>
        <w:t>Conference</w:t>
      </w:r>
      <w:r>
        <w:rPr>
          <w:spacing w:val="19"/>
          <w:sz w:val="24"/>
        </w:rPr>
        <w:t> </w:t>
      </w:r>
      <w:r>
        <w:rPr>
          <w:sz w:val="24"/>
        </w:rPr>
        <w:t>Presentation</w:t>
      </w:r>
      <w:r>
        <w:rPr>
          <w:spacing w:val="19"/>
          <w:sz w:val="24"/>
        </w:rPr>
        <w:t> </w:t>
      </w: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Aid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Co-operation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sz w:val="24"/>
        </w:rPr>
        <w:t>in China.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right="1583" w:hanging="720"/>
      </w:pPr>
      <w:r>
        <w:rPr/>
        <w:t>USAID</w:t>
      </w:r>
      <w:r>
        <w:rPr>
          <w:spacing w:val="49"/>
        </w:rPr>
        <w:t> </w:t>
      </w:r>
      <w:r>
        <w:rPr/>
        <w:t>(2000),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unique</w:t>
      </w:r>
      <w:r>
        <w:rPr>
          <w:spacing w:val="49"/>
        </w:rPr>
        <w:t> </w:t>
      </w:r>
      <w:r>
        <w:rPr/>
        <w:t>challenges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improving</w:t>
      </w:r>
      <w:r>
        <w:rPr>
          <w:spacing w:val="48"/>
        </w:rPr>
        <w:t> </w:t>
      </w:r>
      <w:r>
        <w:rPr/>
        <w:t>per-urban</w:t>
      </w:r>
      <w:r>
        <w:rPr>
          <w:spacing w:val="50"/>
        </w:rPr>
        <w:t> </w:t>
      </w:r>
      <w:r>
        <w:rPr/>
        <w:t>sanitation,</w:t>
      </w:r>
      <w:r>
        <w:rPr>
          <w:spacing w:val="50"/>
        </w:rPr>
        <w:t> </w:t>
      </w:r>
      <w:r>
        <w:rPr/>
        <w:t>WASH</w:t>
      </w:r>
      <w:r>
        <w:rPr>
          <w:spacing w:val="-57"/>
        </w:rPr>
        <w:t> </w:t>
      </w:r>
      <w:r>
        <w:rPr/>
        <w:t>Technical</w:t>
      </w:r>
      <w:r>
        <w:rPr>
          <w:spacing w:val="2"/>
        </w:rPr>
        <w:t> </w:t>
      </w:r>
      <w:r>
        <w:rPr/>
        <w:t>London: Earthscan.</w:t>
      </w:r>
    </w:p>
    <w:p>
      <w:pPr>
        <w:pStyle w:val="BodyText"/>
      </w:pPr>
    </w:p>
    <w:p>
      <w:pPr>
        <w:pStyle w:val="BodyText"/>
        <w:ind w:left="985" w:right="1073" w:hanging="720"/>
      </w:pPr>
      <w:r>
        <w:rPr/>
        <w:t>Vagneron</w:t>
      </w:r>
      <w:r>
        <w:rPr>
          <w:spacing w:val="51"/>
        </w:rPr>
        <w:t> </w:t>
      </w:r>
      <w:r>
        <w:rPr/>
        <w:t>I</w:t>
      </w:r>
      <w:r>
        <w:rPr>
          <w:spacing w:val="49"/>
        </w:rPr>
        <w:t> </w:t>
      </w:r>
      <w:r>
        <w:rPr/>
        <w:t>(2006).</w:t>
      </w:r>
      <w:r>
        <w:rPr>
          <w:spacing w:val="49"/>
        </w:rPr>
        <w:t> </w:t>
      </w:r>
      <w:r>
        <w:rPr/>
        <w:t>Economic</w:t>
      </w:r>
      <w:r>
        <w:rPr>
          <w:spacing w:val="49"/>
        </w:rPr>
        <w:t> </w:t>
      </w:r>
      <w:r>
        <w:rPr/>
        <w:t>appraisal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profitability</w:t>
      </w:r>
      <w:r>
        <w:rPr>
          <w:spacing w:val="42"/>
        </w:rPr>
        <w:t> </w:t>
      </w:r>
      <w:r>
        <w:rPr/>
        <w:t>and</w:t>
      </w:r>
      <w:r>
        <w:rPr>
          <w:spacing w:val="50"/>
        </w:rPr>
        <w:t> </w:t>
      </w:r>
      <w:r>
        <w:rPr/>
        <w:t>sustainability</w:t>
      </w:r>
      <w:r>
        <w:rPr>
          <w:spacing w:val="45"/>
        </w:rPr>
        <w:t> </w:t>
      </w:r>
      <w:r>
        <w:rPr/>
        <w:t>of</w:t>
      </w:r>
      <w:r>
        <w:rPr>
          <w:spacing w:val="49"/>
        </w:rPr>
        <w:t> </w:t>
      </w:r>
      <w:r>
        <w:rPr/>
        <w:t>peri-urban</w:t>
      </w:r>
      <w:r>
        <w:rPr>
          <w:spacing w:val="-57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Bangkok.</w:t>
      </w:r>
      <w:r>
        <w:rPr>
          <w:spacing w:val="2"/>
        </w:rPr>
        <w:t> </w:t>
      </w:r>
      <w:r>
        <w:rPr/>
        <w:t>Ecol. Econ. 61: 516-529.</w:t>
      </w:r>
    </w:p>
    <w:p>
      <w:pPr>
        <w:pStyle w:val="BodyText"/>
        <w:spacing w:before="1"/>
      </w:pPr>
    </w:p>
    <w:p>
      <w:pPr>
        <w:spacing w:before="0"/>
        <w:ind w:left="985" w:right="1069" w:hanging="720"/>
        <w:jc w:val="left"/>
        <w:rPr>
          <w:sz w:val="24"/>
        </w:rPr>
      </w:pPr>
      <w:r>
        <w:rPr>
          <w:sz w:val="24"/>
        </w:rPr>
        <w:t>Webster,</w:t>
      </w:r>
      <w:r>
        <w:rPr>
          <w:spacing w:val="23"/>
          <w:sz w:val="24"/>
        </w:rPr>
        <w:t> </w:t>
      </w:r>
      <w:r>
        <w:rPr>
          <w:sz w:val="24"/>
        </w:rPr>
        <w:t>D.</w:t>
      </w:r>
      <w:r>
        <w:rPr>
          <w:spacing w:val="23"/>
          <w:sz w:val="24"/>
        </w:rPr>
        <w:t> </w:t>
      </w:r>
      <w:r>
        <w:rPr>
          <w:sz w:val="24"/>
        </w:rPr>
        <w:t>(2002)</w:t>
      </w:r>
      <w:r>
        <w:rPr>
          <w:spacing w:val="2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Edge: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Shaping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Peri-Urban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Asia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Stanford:</w:t>
      </w:r>
      <w:r>
        <w:rPr>
          <w:spacing w:val="-57"/>
          <w:sz w:val="24"/>
        </w:rPr>
        <w:t> </w:t>
      </w:r>
      <w:r>
        <w:rPr>
          <w:sz w:val="24"/>
        </w:rPr>
        <w:t>Stanford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40"/>
        </w:sectPr>
      </w:pPr>
    </w:p>
    <w:p>
      <w:pPr>
        <w:spacing w:before="75"/>
        <w:ind w:left="2710" w:right="3523" w:firstLine="0"/>
        <w:jc w:val="center"/>
        <w:rPr>
          <w:b/>
          <w:sz w:val="24"/>
        </w:rPr>
      </w:pPr>
      <w:bookmarkStart w:name="_bookmark85" w:id="131"/>
      <w:bookmarkEnd w:id="131"/>
      <w:r>
        <w:rPr/>
      </w:r>
      <w:r>
        <w:rPr>
          <w:b/>
          <w:sz w:val="24"/>
        </w:rPr>
        <w:t>APPENDIX</w:t>
      </w:r>
    </w:p>
    <w:p>
      <w:pPr>
        <w:pStyle w:val="BodyText"/>
        <w:rPr>
          <w:b/>
          <w:sz w:val="26"/>
        </w:rPr>
      </w:pPr>
    </w:p>
    <w:p>
      <w:pPr>
        <w:spacing w:before="219"/>
        <w:ind w:left="3558" w:right="3523" w:firstLine="0"/>
        <w:jc w:val="center"/>
        <w:rPr>
          <w:b/>
          <w:sz w:val="21"/>
        </w:rPr>
      </w:pPr>
      <w:r>
        <w:rPr>
          <w:b/>
          <w:sz w:val="21"/>
        </w:rPr>
        <w:t>APPENDIX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I</w: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 w:after="39"/>
        <w:ind w:left="3554" w:right="3523" w:firstLine="0"/>
        <w:jc w:val="center"/>
        <w:rPr>
          <w:b/>
          <w:sz w:val="14"/>
        </w:rPr>
      </w:pPr>
      <w:r>
        <w:rPr>
          <w:b/>
          <w:sz w:val="21"/>
        </w:rPr>
        <w:t>Rotated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Component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Matrix</w:t>
      </w:r>
      <w:r>
        <w:rPr>
          <w:b/>
          <w:position w:val="7"/>
          <w:sz w:val="14"/>
        </w:rPr>
        <w:t>a</w:t>
      </w:r>
    </w:p>
    <w:tbl>
      <w:tblPr>
        <w:tblW w:w="0" w:type="auto"/>
        <w:jc w:val="left"/>
        <w:tblInd w:w="2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622"/>
        <w:gridCol w:w="658"/>
        <w:gridCol w:w="965"/>
        <w:gridCol w:w="809"/>
        <w:gridCol w:w="1047"/>
        <w:gridCol w:w="1046"/>
        <w:gridCol w:w="1046"/>
        <w:gridCol w:w="1046"/>
      </w:tblGrid>
      <w:tr>
        <w:trPr>
          <w:trHeight w:val="262" w:hRule="atLeast"/>
        </w:trPr>
        <w:tc>
          <w:tcPr>
            <w:tcW w:w="253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39" w:type="dxa"/>
            <w:gridSpan w:val="8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4" w:lineRule="exact"/>
              <w:ind w:left="3111" w:right="3074"/>
              <w:jc w:val="center"/>
              <w:rPr>
                <w:sz w:val="21"/>
              </w:rPr>
            </w:pPr>
            <w:r>
              <w:rPr>
                <w:sz w:val="21"/>
              </w:rPr>
              <w:t>Component</w:t>
            </w:r>
          </w:p>
        </w:tc>
      </w:tr>
      <w:tr>
        <w:trPr>
          <w:trHeight w:val="283" w:hRule="atLeast"/>
        </w:trPr>
        <w:tc>
          <w:tcPr>
            <w:tcW w:w="2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1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1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3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3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4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0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5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6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7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7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3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8</w:t>
            </w:r>
          </w:p>
        </w:tc>
      </w:tr>
      <w:tr>
        <w:trPr>
          <w:trHeight w:val="9714" w:hRule="atLeast"/>
        </w:trPr>
        <w:tc>
          <w:tcPr>
            <w:tcW w:w="2533" w:type="dxa"/>
          </w:tcPr>
          <w:p>
            <w:pPr>
              <w:pStyle w:val="TableParagraph"/>
              <w:spacing w:line="276" w:lineRule="auto"/>
              <w:ind w:left="75" w:right="964"/>
              <w:rPr>
                <w:sz w:val="21"/>
              </w:rPr>
            </w:pPr>
            <w:r>
              <w:rPr>
                <w:sz w:val="21"/>
              </w:rPr>
              <w:t>state of the roads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infrastructure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Drainage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service</w:t>
            </w:r>
          </w:p>
          <w:p>
            <w:pPr>
              <w:pStyle w:val="TableParagraph"/>
              <w:spacing w:line="276" w:lineRule="auto"/>
              <w:ind w:left="75" w:right="60"/>
              <w:rPr>
                <w:sz w:val="21"/>
              </w:rPr>
            </w:pPr>
            <w:r>
              <w:rPr>
                <w:sz w:val="21"/>
              </w:rPr>
              <w:t>waste disposal management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peri-urban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area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Condition of electricity and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transmission networks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Condition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telecommunication network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in peri-urban area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Availability of Social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Amenities</w:t>
            </w:r>
          </w:p>
          <w:p>
            <w:pPr>
              <w:pStyle w:val="TableParagraph"/>
              <w:spacing w:line="276" w:lineRule="auto"/>
              <w:ind w:left="75" w:right="285"/>
              <w:rPr>
                <w:sz w:val="21"/>
              </w:rPr>
            </w:pPr>
            <w:r>
              <w:rPr>
                <w:sz w:val="21"/>
              </w:rPr>
              <w:t>Easy Access to land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Large-scale of public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investment in Peri-Urban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Relatively Inexpensive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Labor</w:t>
            </w:r>
          </w:p>
          <w:p>
            <w:pPr>
              <w:pStyle w:val="TableParagraph"/>
              <w:spacing w:line="276" w:lineRule="auto"/>
              <w:ind w:left="75" w:right="1353"/>
              <w:rPr>
                <w:sz w:val="21"/>
              </w:rPr>
            </w:pPr>
            <w:r>
              <w:rPr>
                <w:sz w:val="21"/>
              </w:rPr>
              <w:t>Migration</w:t>
            </w:r>
            <w:r>
              <w:rPr>
                <w:spacing w:val="1"/>
                <w:sz w:val="21"/>
              </w:rPr>
              <w:t> </w:t>
            </w:r>
            <w:r>
              <w:rPr>
                <w:spacing w:val="-1"/>
                <w:sz w:val="21"/>
              </w:rPr>
              <w:t>Urban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crime</w:t>
            </w:r>
          </w:p>
          <w:p>
            <w:pPr>
              <w:pStyle w:val="TableParagraph"/>
              <w:spacing w:line="276" w:lineRule="auto"/>
              <w:ind w:left="75" w:right="48"/>
              <w:rPr>
                <w:sz w:val="21"/>
              </w:rPr>
            </w:pPr>
            <w:r>
              <w:rPr>
                <w:sz w:val="21"/>
              </w:rPr>
              <w:t>Poor planning of urban area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High urban rent</w:t>
            </w:r>
          </w:p>
          <w:p>
            <w:pPr>
              <w:pStyle w:val="TableParagraph"/>
              <w:spacing w:line="276" w:lineRule="auto"/>
              <w:ind w:left="75" w:right="153"/>
              <w:rPr>
                <w:sz w:val="21"/>
              </w:rPr>
            </w:pPr>
            <w:r>
              <w:rPr>
                <w:sz w:val="21"/>
              </w:rPr>
              <w:t>Urban congestion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Deteriorating livelihood in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urban area</w:t>
            </w:r>
          </w:p>
          <w:p>
            <w:pPr>
              <w:pStyle w:val="TableParagraph"/>
              <w:spacing w:line="276" w:lineRule="auto"/>
              <w:ind w:left="75" w:right="474"/>
              <w:rPr>
                <w:sz w:val="21"/>
              </w:rPr>
            </w:pPr>
            <w:r>
              <w:rPr>
                <w:sz w:val="21"/>
              </w:rPr>
              <w:t>poor climate change in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urban area</w:t>
            </w:r>
          </w:p>
          <w:p>
            <w:pPr>
              <w:pStyle w:val="TableParagraph"/>
              <w:spacing w:line="273" w:lineRule="auto"/>
              <w:ind w:left="75" w:right="352"/>
              <w:rPr>
                <w:sz w:val="21"/>
              </w:rPr>
            </w:pPr>
            <w:r>
              <w:rPr>
                <w:sz w:val="21"/>
              </w:rPr>
              <w:t>low cost development in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peri-urban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area</w:t>
            </w:r>
          </w:p>
          <w:p>
            <w:pPr>
              <w:pStyle w:val="TableParagraph"/>
              <w:spacing w:line="276" w:lineRule="auto"/>
              <w:ind w:left="75" w:right="600"/>
              <w:rPr>
                <w:sz w:val="21"/>
              </w:rPr>
            </w:pPr>
            <w:r>
              <w:rPr>
                <w:sz w:val="21"/>
              </w:rPr>
              <w:t>low market price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agricultural products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water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supply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services</w:t>
            </w:r>
          </w:p>
          <w:p>
            <w:pPr>
              <w:pStyle w:val="TableParagraph"/>
              <w:spacing w:line="276" w:lineRule="auto"/>
              <w:ind w:left="75" w:right="101"/>
              <w:rPr>
                <w:sz w:val="21"/>
              </w:rPr>
            </w:pPr>
            <w:r>
              <w:rPr>
                <w:sz w:val="21"/>
              </w:rPr>
              <w:t>availability of green spaces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healthy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life</w:t>
            </w:r>
          </w:p>
          <w:p>
            <w:pPr>
              <w:pStyle w:val="TableParagraph"/>
              <w:ind w:left="75"/>
              <w:rPr>
                <w:sz w:val="21"/>
              </w:rPr>
            </w:pPr>
            <w:r>
              <w:rPr>
                <w:sz w:val="21"/>
              </w:rPr>
              <w:t>Security</w:t>
            </w:r>
          </w:p>
          <w:p>
            <w:pPr>
              <w:pStyle w:val="TableParagraph"/>
              <w:spacing w:before="32"/>
              <w:ind w:left="75"/>
              <w:rPr>
                <w:sz w:val="21"/>
              </w:rPr>
            </w:pPr>
            <w:r>
              <w:rPr>
                <w:sz w:val="21"/>
              </w:rPr>
              <w:t>Pollution</w:t>
            </w:r>
          </w:p>
        </w:tc>
        <w:tc>
          <w:tcPr>
            <w:tcW w:w="62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34"/>
              <w:ind w:left="181"/>
              <w:rPr>
                <w:b/>
                <w:sz w:val="21"/>
              </w:rPr>
            </w:pPr>
            <w:r>
              <w:rPr>
                <w:b/>
                <w:sz w:val="21"/>
              </w:rPr>
              <w:t>.611</w:t>
            </w:r>
          </w:p>
          <w:p>
            <w:pPr>
              <w:pStyle w:val="TableParagraph"/>
              <w:spacing w:before="171"/>
              <w:ind w:left="181"/>
              <w:rPr>
                <w:sz w:val="21"/>
              </w:rPr>
            </w:pPr>
            <w:r>
              <w:rPr>
                <w:sz w:val="21"/>
              </w:rPr>
              <w:t>.096</w:t>
            </w:r>
          </w:p>
          <w:p>
            <w:pPr>
              <w:pStyle w:val="TableParagraph"/>
              <w:spacing w:before="174"/>
              <w:ind w:left="181"/>
              <w:rPr>
                <w:sz w:val="21"/>
              </w:rPr>
            </w:pPr>
            <w:r>
              <w:rPr>
                <w:sz w:val="21"/>
              </w:rPr>
              <w:t>.193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181"/>
              <w:rPr>
                <w:b/>
                <w:sz w:val="21"/>
              </w:rPr>
            </w:pPr>
            <w:r>
              <w:rPr>
                <w:b/>
                <w:sz w:val="21"/>
              </w:rPr>
              <w:t>.874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ind w:left="181"/>
              <w:rPr>
                <w:sz w:val="21"/>
              </w:rPr>
            </w:pPr>
            <w:r>
              <w:rPr>
                <w:sz w:val="21"/>
              </w:rPr>
              <w:t>.141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81"/>
              <w:rPr>
                <w:sz w:val="21"/>
              </w:rPr>
            </w:pPr>
            <w:r>
              <w:rPr>
                <w:sz w:val="21"/>
              </w:rPr>
              <w:t>.158</w:t>
            </w:r>
          </w:p>
          <w:p>
            <w:pPr>
              <w:pStyle w:val="TableParagraph"/>
              <w:spacing w:before="176"/>
              <w:ind w:left="181"/>
              <w:rPr>
                <w:sz w:val="21"/>
              </w:rPr>
            </w:pPr>
            <w:r>
              <w:rPr>
                <w:sz w:val="21"/>
              </w:rPr>
              <w:t>.121</w:t>
            </w:r>
          </w:p>
          <w:p>
            <w:pPr>
              <w:pStyle w:val="TableParagraph"/>
              <w:spacing w:before="174"/>
              <w:ind w:left="181"/>
              <w:rPr>
                <w:sz w:val="21"/>
              </w:rPr>
            </w:pPr>
            <w:r>
              <w:rPr>
                <w:sz w:val="21"/>
              </w:rPr>
              <w:t>.078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11"/>
              <w:rPr>
                <w:sz w:val="21"/>
              </w:rPr>
            </w:pPr>
            <w:r>
              <w:rPr>
                <w:sz w:val="21"/>
              </w:rPr>
              <w:t>-.005</w:t>
            </w:r>
          </w:p>
          <w:p>
            <w:pPr>
              <w:pStyle w:val="TableParagraph"/>
              <w:spacing w:before="174"/>
              <w:ind w:left="181"/>
              <w:rPr>
                <w:sz w:val="21"/>
              </w:rPr>
            </w:pPr>
            <w:r>
              <w:rPr>
                <w:sz w:val="21"/>
              </w:rPr>
              <w:t>.010</w:t>
            </w:r>
          </w:p>
          <w:p>
            <w:pPr>
              <w:pStyle w:val="TableParagraph"/>
              <w:spacing w:before="37"/>
              <w:ind w:left="111"/>
              <w:rPr>
                <w:sz w:val="21"/>
              </w:rPr>
            </w:pPr>
            <w:r>
              <w:rPr>
                <w:sz w:val="21"/>
              </w:rPr>
              <w:t>-.092</w:t>
            </w:r>
          </w:p>
          <w:p>
            <w:pPr>
              <w:pStyle w:val="TableParagraph"/>
              <w:spacing w:before="37"/>
              <w:ind w:left="111"/>
              <w:rPr>
                <w:sz w:val="21"/>
              </w:rPr>
            </w:pPr>
            <w:r>
              <w:rPr>
                <w:sz w:val="21"/>
              </w:rPr>
              <w:t>-.037</w:t>
            </w:r>
          </w:p>
          <w:p>
            <w:pPr>
              <w:pStyle w:val="TableParagraph"/>
              <w:spacing w:before="37"/>
              <w:ind w:left="181"/>
              <w:rPr>
                <w:sz w:val="21"/>
              </w:rPr>
            </w:pPr>
            <w:r>
              <w:rPr>
                <w:sz w:val="21"/>
              </w:rPr>
              <w:t>.060</w:t>
            </w:r>
          </w:p>
          <w:p>
            <w:pPr>
              <w:pStyle w:val="TableParagraph"/>
              <w:spacing w:before="34"/>
              <w:ind w:left="111"/>
              <w:rPr>
                <w:sz w:val="21"/>
              </w:rPr>
            </w:pPr>
            <w:r>
              <w:rPr>
                <w:sz w:val="21"/>
              </w:rPr>
              <w:t>-.035</w:t>
            </w:r>
          </w:p>
          <w:p>
            <w:pPr>
              <w:pStyle w:val="TableParagraph"/>
              <w:spacing w:before="176"/>
              <w:ind w:left="111"/>
              <w:rPr>
                <w:sz w:val="21"/>
              </w:rPr>
            </w:pPr>
            <w:r>
              <w:rPr>
                <w:sz w:val="21"/>
              </w:rPr>
              <w:t>-.050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81"/>
              <w:rPr>
                <w:sz w:val="21"/>
              </w:rPr>
            </w:pPr>
            <w:r>
              <w:rPr>
                <w:sz w:val="21"/>
              </w:rPr>
              <w:t>.063</w:t>
            </w: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81"/>
              <w:rPr>
                <w:b/>
                <w:sz w:val="21"/>
              </w:rPr>
            </w:pPr>
            <w:r>
              <w:rPr>
                <w:b/>
                <w:sz w:val="21"/>
              </w:rPr>
              <w:t>.610</w:t>
            </w: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sz w:val="21"/>
              </w:rPr>
            </w:pPr>
            <w:r>
              <w:rPr>
                <w:sz w:val="21"/>
              </w:rPr>
              <w:t>.114</w:t>
            </w:r>
          </w:p>
          <w:p>
            <w:pPr>
              <w:pStyle w:val="TableParagraph"/>
              <w:spacing w:before="176"/>
              <w:ind w:left="181"/>
              <w:rPr>
                <w:sz w:val="21"/>
              </w:rPr>
            </w:pPr>
            <w:r>
              <w:rPr>
                <w:sz w:val="21"/>
              </w:rPr>
              <w:t>.193</w:t>
            </w:r>
          </w:p>
          <w:p>
            <w:pPr>
              <w:pStyle w:val="TableParagraph"/>
              <w:spacing w:before="179"/>
              <w:ind w:left="181"/>
              <w:rPr>
                <w:b/>
                <w:sz w:val="21"/>
              </w:rPr>
            </w:pPr>
            <w:r>
              <w:rPr>
                <w:b/>
                <w:sz w:val="21"/>
              </w:rPr>
              <w:t>.883</w:t>
            </w:r>
          </w:p>
          <w:p>
            <w:pPr>
              <w:pStyle w:val="TableParagraph"/>
              <w:spacing w:before="171"/>
              <w:ind w:left="181"/>
              <w:rPr>
                <w:sz w:val="21"/>
              </w:rPr>
            </w:pPr>
            <w:r>
              <w:rPr>
                <w:sz w:val="21"/>
              </w:rPr>
              <w:t>.186</w:t>
            </w:r>
          </w:p>
          <w:p>
            <w:pPr>
              <w:pStyle w:val="TableParagraph"/>
              <w:spacing w:before="35"/>
              <w:ind w:left="181"/>
              <w:rPr>
                <w:sz w:val="21"/>
              </w:rPr>
            </w:pPr>
            <w:r>
              <w:rPr>
                <w:sz w:val="21"/>
              </w:rPr>
              <w:t>.043</w:t>
            </w:r>
          </w:p>
        </w:tc>
        <w:tc>
          <w:tcPr>
            <w:tcW w:w="6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229"/>
              <w:rPr>
                <w:sz w:val="21"/>
              </w:rPr>
            </w:pPr>
            <w:r>
              <w:rPr>
                <w:sz w:val="21"/>
              </w:rPr>
              <w:t>.022</w:t>
            </w:r>
          </w:p>
          <w:p>
            <w:pPr>
              <w:pStyle w:val="TableParagraph"/>
              <w:spacing w:before="181"/>
              <w:ind w:left="229"/>
              <w:rPr>
                <w:b/>
                <w:sz w:val="21"/>
              </w:rPr>
            </w:pPr>
            <w:r>
              <w:rPr>
                <w:b/>
                <w:sz w:val="21"/>
              </w:rPr>
              <w:t>.946</w:t>
            </w:r>
          </w:p>
          <w:p>
            <w:pPr>
              <w:pStyle w:val="TableParagraph"/>
              <w:spacing w:before="169"/>
              <w:ind w:left="229"/>
              <w:rPr>
                <w:sz w:val="21"/>
              </w:rPr>
            </w:pPr>
            <w:r>
              <w:rPr>
                <w:sz w:val="21"/>
              </w:rPr>
              <w:t>.135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.145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.138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.263</w:t>
            </w:r>
          </w:p>
          <w:p>
            <w:pPr>
              <w:pStyle w:val="TableParagraph"/>
              <w:spacing w:before="176"/>
              <w:ind w:left="229"/>
              <w:rPr>
                <w:sz w:val="21"/>
              </w:rPr>
            </w:pPr>
            <w:r>
              <w:rPr>
                <w:sz w:val="21"/>
              </w:rPr>
              <w:t>.024</w:t>
            </w:r>
          </w:p>
          <w:p>
            <w:pPr>
              <w:pStyle w:val="TableParagraph"/>
              <w:spacing w:before="174"/>
              <w:ind w:left="229"/>
              <w:rPr>
                <w:sz w:val="21"/>
              </w:rPr>
            </w:pPr>
            <w:r>
              <w:rPr>
                <w:sz w:val="21"/>
              </w:rPr>
              <w:t>.034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sz w:val="21"/>
              </w:rPr>
              <w:t>-.091</w:t>
            </w:r>
          </w:p>
          <w:p>
            <w:pPr>
              <w:pStyle w:val="TableParagraph"/>
              <w:spacing w:before="175"/>
              <w:ind w:left="159"/>
              <w:rPr>
                <w:sz w:val="21"/>
              </w:rPr>
            </w:pPr>
            <w:r>
              <w:rPr>
                <w:sz w:val="21"/>
              </w:rPr>
              <w:t>-.004</w:t>
            </w:r>
          </w:p>
          <w:p>
            <w:pPr>
              <w:pStyle w:val="TableParagraph"/>
              <w:spacing w:before="36"/>
              <w:ind w:left="159"/>
              <w:rPr>
                <w:sz w:val="21"/>
              </w:rPr>
            </w:pPr>
            <w:r>
              <w:rPr>
                <w:sz w:val="21"/>
              </w:rPr>
              <w:t>-.062</w:t>
            </w:r>
          </w:p>
          <w:p>
            <w:pPr>
              <w:pStyle w:val="TableParagraph"/>
              <w:spacing w:before="37"/>
              <w:ind w:left="229"/>
              <w:rPr>
                <w:sz w:val="21"/>
              </w:rPr>
            </w:pPr>
            <w:r>
              <w:rPr>
                <w:sz w:val="21"/>
              </w:rPr>
              <w:t>.095</w:t>
            </w:r>
          </w:p>
          <w:p>
            <w:pPr>
              <w:pStyle w:val="TableParagraph"/>
              <w:spacing w:before="37"/>
              <w:ind w:left="229"/>
              <w:rPr>
                <w:sz w:val="21"/>
              </w:rPr>
            </w:pPr>
            <w:r>
              <w:rPr>
                <w:sz w:val="21"/>
              </w:rPr>
              <w:t>.025</w:t>
            </w:r>
          </w:p>
          <w:p>
            <w:pPr>
              <w:pStyle w:val="TableParagraph"/>
              <w:spacing w:before="35"/>
              <w:ind w:left="159"/>
              <w:rPr>
                <w:sz w:val="21"/>
              </w:rPr>
            </w:pPr>
            <w:r>
              <w:rPr>
                <w:sz w:val="21"/>
              </w:rPr>
              <w:t>-.024</w:t>
            </w:r>
          </w:p>
          <w:p>
            <w:pPr>
              <w:pStyle w:val="TableParagraph"/>
              <w:spacing w:before="176"/>
              <w:ind w:left="159"/>
              <w:rPr>
                <w:sz w:val="21"/>
              </w:rPr>
            </w:pPr>
            <w:r>
              <w:rPr>
                <w:sz w:val="21"/>
              </w:rPr>
              <w:t>-.108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sz w:val="21"/>
              </w:rPr>
              <w:t>-.094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.037</w:t>
            </w: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229"/>
              <w:rPr>
                <w:b/>
                <w:sz w:val="21"/>
              </w:rPr>
            </w:pPr>
            <w:r>
              <w:rPr>
                <w:b/>
                <w:sz w:val="21"/>
              </w:rPr>
              <w:t>.939</w:t>
            </w:r>
          </w:p>
          <w:p>
            <w:pPr>
              <w:pStyle w:val="TableParagraph"/>
              <w:spacing w:before="171"/>
              <w:ind w:left="229"/>
              <w:rPr>
                <w:sz w:val="21"/>
              </w:rPr>
            </w:pPr>
            <w:r>
              <w:rPr>
                <w:sz w:val="21"/>
              </w:rPr>
              <w:t>.135</w:t>
            </w:r>
          </w:p>
          <w:p>
            <w:pPr>
              <w:pStyle w:val="TableParagraph"/>
              <w:spacing w:before="174"/>
              <w:ind w:left="229"/>
              <w:rPr>
                <w:sz w:val="21"/>
              </w:rPr>
            </w:pPr>
            <w:r>
              <w:rPr>
                <w:sz w:val="21"/>
              </w:rPr>
              <w:t>.150</w:t>
            </w:r>
          </w:p>
          <w:p>
            <w:pPr>
              <w:pStyle w:val="TableParagraph"/>
              <w:spacing w:before="176"/>
              <w:ind w:left="229"/>
              <w:rPr>
                <w:sz w:val="21"/>
              </w:rPr>
            </w:pPr>
            <w:r>
              <w:rPr>
                <w:sz w:val="21"/>
              </w:rPr>
              <w:t>.164</w:t>
            </w:r>
          </w:p>
          <w:p>
            <w:pPr>
              <w:pStyle w:val="TableParagraph"/>
              <w:spacing w:before="40"/>
              <w:ind w:left="229"/>
              <w:rPr>
                <w:b/>
                <w:sz w:val="21"/>
              </w:rPr>
            </w:pPr>
            <w:r>
              <w:rPr>
                <w:b/>
                <w:sz w:val="21"/>
              </w:rPr>
              <w:t>.608</w:t>
            </w:r>
          </w:p>
        </w:tc>
        <w:tc>
          <w:tcPr>
            <w:tcW w:w="9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533"/>
              <w:rPr>
                <w:sz w:val="21"/>
              </w:rPr>
            </w:pPr>
            <w:r>
              <w:rPr>
                <w:sz w:val="21"/>
              </w:rPr>
              <w:t>.327</w:t>
            </w:r>
          </w:p>
          <w:p>
            <w:pPr>
              <w:pStyle w:val="TableParagraph"/>
              <w:spacing w:before="176"/>
              <w:ind w:left="533"/>
              <w:rPr>
                <w:sz w:val="21"/>
              </w:rPr>
            </w:pPr>
            <w:r>
              <w:rPr>
                <w:sz w:val="21"/>
              </w:rPr>
              <w:t>.121</w:t>
            </w:r>
          </w:p>
          <w:p>
            <w:pPr>
              <w:pStyle w:val="TableParagraph"/>
              <w:spacing w:before="174"/>
              <w:ind w:left="533"/>
              <w:rPr>
                <w:sz w:val="21"/>
              </w:rPr>
            </w:pPr>
            <w:r>
              <w:rPr>
                <w:sz w:val="21"/>
              </w:rPr>
              <w:t>.231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33"/>
              <w:rPr>
                <w:sz w:val="21"/>
              </w:rPr>
            </w:pPr>
            <w:r>
              <w:rPr>
                <w:sz w:val="21"/>
              </w:rPr>
              <w:t>.099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533"/>
              <w:rPr>
                <w:sz w:val="21"/>
              </w:rPr>
            </w:pPr>
            <w:r>
              <w:rPr>
                <w:sz w:val="21"/>
              </w:rPr>
              <w:t>.085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33"/>
              <w:rPr>
                <w:b/>
                <w:sz w:val="21"/>
              </w:rPr>
            </w:pPr>
            <w:r>
              <w:rPr>
                <w:b/>
                <w:sz w:val="21"/>
              </w:rPr>
              <w:t>.652</w:t>
            </w:r>
          </w:p>
          <w:p>
            <w:pPr>
              <w:pStyle w:val="TableParagraph"/>
              <w:spacing w:before="176"/>
              <w:ind w:left="533"/>
              <w:rPr>
                <w:b/>
                <w:sz w:val="21"/>
              </w:rPr>
            </w:pPr>
            <w:r>
              <w:rPr>
                <w:b/>
                <w:sz w:val="21"/>
              </w:rPr>
              <w:t>.876</w:t>
            </w:r>
          </w:p>
          <w:p>
            <w:pPr>
              <w:pStyle w:val="TableParagraph"/>
              <w:spacing w:before="173"/>
              <w:ind w:left="533"/>
              <w:rPr>
                <w:b/>
                <w:sz w:val="21"/>
              </w:rPr>
            </w:pPr>
            <w:r>
              <w:rPr>
                <w:b/>
                <w:sz w:val="21"/>
              </w:rPr>
              <w:t>.842</w:t>
            </w: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533"/>
              <w:rPr>
                <w:sz w:val="21"/>
              </w:rPr>
            </w:pPr>
            <w:r>
              <w:rPr>
                <w:sz w:val="21"/>
              </w:rPr>
              <w:t>.066</w:t>
            </w:r>
          </w:p>
          <w:p>
            <w:pPr>
              <w:pStyle w:val="TableParagraph"/>
              <w:spacing w:before="175"/>
              <w:ind w:left="464"/>
              <w:rPr>
                <w:sz w:val="21"/>
              </w:rPr>
            </w:pPr>
            <w:r>
              <w:rPr>
                <w:sz w:val="21"/>
              </w:rPr>
              <w:t>-.065</w:t>
            </w:r>
          </w:p>
          <w:p>
            <w:pPr>
              <w:pStyle w:val="TableParagraph"/>
              <w:spacing w:before="36"/>
              <w:ind w:left="533"/>
              <w:rPr>
                <w:sz w:val="21"/>
              </w:rPr>
            </w:pPr>
            <w:r>
              <w:rPr>
                <w:sz w:val="21"/>
              </w:rPr>
              <w:t>.016</w:t>
            </w:r>
          </w:p>
          <w:p>
            <w:pPr>
              <w:pStyle w:val="TableParagraph"/>
              <w:spacing w:before="37"/>
              <w:ind w:left="464"/>
              <w:rPr>
                <w:sz w:val="21"/>
              </w:rPr>
            </w:pPr>
            <w:r>
              <w:rPr>
                <w:sz w:val="21"/>
              </w:rPr>
              <w:t>-.026</w:t>
            </w:r>
          </w:p>
          <w:p>
            <w:pPr>
              <w:pStyle w:val="TableParagraph"/>
              <w:spacing w:before="37"/>
              <w:ind w:left="464"/>
              <w:rPr>
                <w:sz w:val="21"/>
              </w:rPr>
            </w:pPr>
            <w:r>
              <w:rPr>
                <w:sz w:val="21"/>
              </w:rPr>
              <w:t>-.149</w:t>
            </w:r>
          </w:p>
          <w:p>
            <w:pPr>
              <w:pStyle w:val="TableParagraph"/>
              <w:spacing w:before="35"/>
              <w:ind w:left="464"/>
              <w:rPr>
                <w:sz w:val="21"/>
              </w:rPr>
            </w:pPr>
            <w:r>
              <w:rPr>
                <w:sz w:val="21"/>
              </w:rPr>
              <w:t>-.080</w:t>
            </w:r>
          </w:p>
          <w:p>
            <w:pPr>
              <w:pStyle w:val="TableParagraph"/>
              <w:spacing w:before="176"/>
              <w:ind w:left="533"/>
              <w:rPr>
                <w:sz w:val="21"/>
              </w:rPr>
            </w:pPr>
            <w:r>
              <w:rPr>
                <w:sz w:val="21"/>
              </w:rPr>
              <w:t>.165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>-.009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33"/>
              <w:rPr>
                <w:sz w:val="21"/>
              </w:rPr>
            </w:pPr>
            <w:r>
              <w:rPr>
                <w:sz w:val="21"/>
              </w:rPr>
              <w:t>.339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533"/>
              <w:rPr>
                <w:sz w:val="21"/>
              </w:rPr>
            </w:pPr>
            <w:r>
              <w:rPr>
                <w:sz w:val="21"/>
              </w:rPr>
              <w:t>.089</w:t>
            </w:r>
          </w:p>
          <w:p>
            <w:pPr>
              <w:pStyle w:val="TableParagraph"/>
              <w:spacing w:before="176"/>
              <w:ind w:left="533"/>
              <w:rPr>
                <w:sz w:val="21"/>
              </w:rPr>
            </w:pPr>
            <w:r>
              <w:rPr>
                <w:sz w:val="21"/>
              </w:rPr>
              <w:t>.231</w:t>
            </w:r>
          </w:p>
          <w:p>
            <w:pPr>
              <w:pStyle w:val="TableParagraph"/>
              <w:spacing w:before="174"/>
              <w:ind w:left="533"/>
              <w:rPr>
                <w:sz w:val="21"/>
              </w:rPr>
            </w:pPr>
            <w:r>
              <w:rPr>
                <w:sz w:val="21"/>
              </w:rPr>
              <w:t>.087</w:t>
            </w:r>
          </w:p>
          <w:p>
            <w:pPr>
              <w:pStyle w:val="TableParagraph"/>
              <w:spacing w:before="176"/>
              <w:ind w:left="533"/>
              <w:rPr>
                <w:sz w:val="21"/>
              </w:rPr>
            </w:pPr>
            <w:r>
              <w:rPr>
                <w:sz w:val="21"/>
              </w:rPr>
              <w:t>.028</w:t>
            </w:r>
          </w:p>
          <w:p>
            <w:pPr>
              <w:pStyle w:val="TableParagraph"/>
              <w:spacing w:before="35"/>
              <w:ind w:left="533"/>
              <w:rPr>
                <w:sz w:val="21"/>
              </w:rPr>
            </w:pPr>
            <w:r>
              <w:rPr>
                <w:sz w:val="21"/>
              </w:rPr>
              <w:t>.053</w:t>
            </w:r>
          </w:p>
        </w:tc>
        <w:tc>
          <w:tcPr>
            <w:tcW w:w="8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380"/>
              <w:rPr>
                <w:sz w:val="21"/>
              </w:rPr>
            </w:pPr>
            <w:r>
              <w:rPr>
                <w:sz w:val="21"/>
              </w:rPr>
              <w:t>.511</w:t>
            </w:r>
          </w:p>
          <w:p>
            <w:pPr>
              <w:pStyle w:val="TableParagraph"/>
              <w:spacing w:before="176"/>
              <w:ind w:left="380"/>
              <w:rPr>
                <w:sz w:val="21"/>
              </w:rPr>
            </w:pPr>
            <w:r>
              <w:rPr>
                <w:sz w:val="21"/>
              </w:rPr>
              <w:t>.064</w:t>
            </w:r>
          </w:p>
          <w:p>
            <w:pPr>
              <w:pStyle w:val="TableParagraph"/>
              <w:spacing w:before="174"/>
              <w:ind w:left="380"/>
              <w:rPr>
                <w:sz w:val="21"/>
              </w:rPr>
            </w:pPr>
            <w:r>
              <w:rPr>
                <w:sz w:val="21"/>
              </w:rPr>
              <w:t>.144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.116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380"/>
              <w:rPr>
                <w:b/>
                <w:sz w:val="21"/>
              </w:rPr>
            </w:pPr>
            <w:r>
              <w:rPr>
                <w:b/>
                <w:sz w:val="21"/>
              </w:rPr>
              <w:t>.902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4"/>
              <w:ind w:left="380"/>
              <w:rPr>
                <w:sz w:val="21"/>
              </w:rPr>
            </w:pPr>
            <w:r>
              <w:rPr>
                <w:sz w:val="21"/>
              </w:rPr>
              <w:t>.065</w:t>
            </w:r>
          </w:p>
          <w:p>
            <w:pPr>
              <w:pStyle w:val="TableParagraph"/>
              <w:spacing w:before="176"/>
              <w:ind w:left="380"/>
              <w:rPr>
                <w:sz w:val="21"/>
              </w:rPr>
            </w:pPr>
            <w:r>
              <w:rPr>
                <w:sz w:val="21"/>
              </w:rPr>
              <w:t>.046</w:t>
            </w:r>
          </w:p>
          <w:p>
            <w:pPr>
              <w:pStyle w:val="TableParagraph"/>
              <w:spacing w:before="174"/>
              <w:ind w:left="380"/>
              <w:rPr>
                <w:sz w:val="21"/>
              </w:rPr>
            </w:pPr>
            <w:r>
              <w:rPr>
                <w:sz w:val="21"/>
              </w:rPr>
              <w:t>.097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.018</w:t>
            </w:r>
          </w:p>
          <w:p>
            <w:pPr>
              <w:pStyle w:val="TableParagraph"/>
              <w:spacing w:before="174"/>
              <w:ind w:left="310"/>
              <w:rPr>
                <w:sz w:val="21"/>
              </w:rPr>
            </w:pPr>
            <w:r>
              <w:rPr>
                <w:sz w:val="21"/>
              </w:rPr>
              <w:t>-.086</w:t>
            </w:r>
          </w:p>
          <w:p>
            <w:pPr>
              <w:pStyle w:val="TableParagraph"/>
              <w:spacing w:before="37"/>
              <w:ind w:left="310"/>
              <w:rPr>
                <w:sz w:val="21"/>
              </w:rPr>
            </w:pPr>
            <w:r>
              <w:rPr>
                <w:sz w:val="21"/>
              </w:rPr>
              <w:t>-.004</w:t>
            </w:r>
          </w:p>
          <w:p>
            <w:pPr>
              <w:pStyle w:val="TableParagraph"/>
              <w:spacing w:before="37"/>
              <w:ind w:left="310"/>
              <w:rPr>
                <w:sz w:val="21"/>
              </w:rPr>
            </w:pPr>
            <w:r>
              <w:rPr>
                <w:sz w:val="21"/>
              </w:rPr>
              <w:t>-.141</w:t>
            </w:r>
          </w:p>
          <w:p>
            <w:pPr>
              <w:pStyle w:val="TableParagraph"/>
              <w:spacing w:before="37"/>
              <w:ind w:left="310"/>
              <w:rPr>
                <w:sz w:val="21"/>
              </w:rPr>
            </w:pPr>
            <w:r>
              <w:rPr>
                <w:sz w:val="21"/>
              </w:rPr>
              <w:t>-.094</w:t>
            </w:r>
          </w:p>
          <w:p>
            <w:pPr>
              <w:pStyle w:val="TableParagraph"/>
              <w:spacing w:before="34"/>
              <w:ind w:left="380"/>
              <w:rPr>
                <w:sz w:val="21"/>
              </w:rPr>
            </w:pPr>
            <w:r>
              <w:rPr>
                <w:sz w:val="21"/>
              </w:rPr>
              <w:t>.032</w:t>
            </w:r>
          </w:p>
          <w:p>
            <w:pPr>
              <w:pStyle w:val="TableParagraph"/>
              <w:spacing w:before="176"/>
              <w:ind w:left="310"/>
              <w:rPr>
                <w:sz w:val="21"/>
              </w:rPr>
            </w:pPr>
            <w:r>
              <w:rPr>
                <w:sz w:val="21"/>
              </w:rPr>
              <w:t>-.012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.010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.508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.084</w:t>
            </w:r>
          </w:p>
          <w:p>
            <w:pPr>
              <w:pStyle w:val="TableParagraph"/>
              <w:spacing w:before="176"/>
              <w:ind w:left="380"/>
              <w:rPr>
                <w:sz w:val="21"/>
              </w:rPr>
            </w:pPr>
            <w:r>
              <w:rPr>
                <w:sz w:val="21"/>
              </w:rPr>
              <w:t>.144</w:t>
            </w:r>
          </w:p>
          <w:p>
            <w:pPr>
              <w:pStyle w:val="TableParagraph"/>
              <w:spacing w:before="174"/>
              <w:ind w:left="380"/>
              <w:rPr>
                <w:sz w:val="21"/>
              </w:rPr>
            </w:pPr>
            <w:r>
              <w:rPr>
                <w:sz w:val="21"/>
              </w:rPr>
              <w:t>.113</w:t>
            </w:r>
          </w:p>
          <w:p>
            <w:pPr>
              <w:pStyle w:val="TableParagraph"/>
              <w:spacing w:before="181"/>
              <w:ind w:left="380"/>
              <w:rPr>
                <w:b/>
                <w:sz w:val="21"/>
              </w:rPr>
            </w:pPr>
            <w:r>
              <w:rPr>
                <w:b/>
                <w:sz w:val="21"/>
              </w:rPr>
              <w:t>.901</w:t>
            </w:r>
          </w:p>
          <w:p>
            <w:pPr>
              <w:pStyle w:val="TableParagraph"/>
              <w:spacing w:before="29"/>
              <w:ind w:left="380"/>
              <w:rPr>
                <w:sz w:val="21"/>
              </w:rPr>
            </w:pPr>
            <w:r>
              <w:rPr>
                <w:sz w:val="21"/>
              </w:rPr>
              <w:t>.103</w:t>
            </w:r>
          </w:p>
        </w:tc>
        <w:tc>
          <w:tcPr>
            <w:tcW w:w="10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550"/>
              <w:rPr>
                <w:sz w:val="21"/>
              </w:rPr>
            </w:pPr>
            <w:r>
              <w:rPr>
                <w:sz w:val="21"/>
              </w:rPr>
              <w:t>-.094</w:t>
            </w:r>
          </w:p>
          <w:p>
            <w:pPr>
              <w:pStyle w:val="TableParagraph"/>
              <w:spacing w:before="176"/>
              <w:ind w:left="550"/>
              <w:rPr>
                <w:sz w:val="21"/>
              </w:rPr>
            </w:pPr>
            <w:r>
              <w:rPr>
                <w:sz w:val="21"/>
              </w:rPr>
              <w:t>-.041</w:t>
            </w:r>
          </w:p>
          <w:p>
            <w:pPr>
              <w:pStyle w:val="TableParagraph"/>
              <w:spacing w:before="174"/>
              <w:ind w:left="550"/>
              <w:rPr>
                <w:sz w:val="21"/>
              </w:rPr>
            </w:pPr>
            <w:r>
              <w:rPr>
                <w:sz w:val="21"/>
              </w:rPr>
              <w:t>-.008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620"/>
              <w:rPr>
                <w:sz w:val="21"/>
              </w:rPr>
            </w:pPr>
            <w:r>
              <w:rPr>
                <w:sz w:val="21"/>
              </w:rPr>
              <w:t>.021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550"/>
              <w:rPr>
                <w:sz w:val="21"/>
              </w:rPr>
            </w:pPr>
            <w:r>
              <w:rPr>
                <w:sz w:val="21"/>
              </w:rPr>
              <w:t>-.009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550"/>
              <w:rPr>
                <w:sz w:val="21"/>
              </w:rPr>
            </w:pPr>
            <w:r>
              <w:rPr>
                <w:sz w:val="21"/>
              </w:rPr>
              <w:t>-.002</w:t>
            </w:r>
          </w:p>
          <w:p>
            <w:pPr>
              <w:pStyle w:val="TableParagraph"/>
              <w:spacing w:before="176"/>
              <w:ind w:left="550"/>
              <w:rPr>
                <w:sz w:val="21"/>
              </w:rPr>
            </w:pPr>
            <w:r>
              <w:rPr>
                <w:sz w:val="21"/>
              </w:rPr>
              <w:t>-.028</w:t>
            </w:r>
          </w:p>
          <w:p>
            <w:pPr>
              <w:pStyle w:val="TableParagraph"/>
              <w:spacing w:before="174"/>
              <w:ind w:left="550"/>
              <w:rPr>
                <w:sz w:val="21"/>
              </w:rPr>
            </w:pPr>
            <w:r>
              <w:rPr>
                <w:sz w:val="21"/>
              </w:rPr>
              <w:t>-.030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620"/>
              <w:rPr>
                <w:sz w:val="21"/>
              </w:rPr>
            </w:pPr>
            <w:r>
              <w:rPr>
                <w:sz w:val="21"/>
              </w:rPr>
              <w:t>.016</w:t>
            </w:r>
          </w:p>
          <w:p>
            <w:pPr>
              <w:pStyle w:val="TableParagraph"/>
              <w:spacing w:before="175"/>
              <w:ind w:left="620"/>
              <w:rPr>
                <w:sz w:val="21"/>
              </w:rPr>
            </w:pPr>
            <w:r>
              <w:rPr>
                <w:sz w:val="21"/>
              </w:rPr>
              <w:t>.198</w:t>
            </w:r>
          </w:p>
          <w:p>
            <w:pPr>
              <w:pStyle w:val="TableParagraph"/>
              <w:spacing w:before="36"/>
              <w:ind w:left="550"/>
              <w:rPr>
                <w:sz w:val="21"/>
              </w:rPr>
            </w:pPr>
            <w:r>
              <w:rPr>
                <w:sz w:val="21"/>
              </w:rPr>
              <w:t>-.001</w:t>
            </w:r>
          </w:p>
          <w:p>
            <w:pPr>
              <w:pStyle w:val="TableParagraph"/>
              <w:spacing w:before="37"/>
              <w:ind w:left="620"/>
              <w:rPr>
                <w:sz w:val="21"/>
              </w:rPr>
            </w:pPr>
            <w:r>
              <w:rPr>
                <w:sz w:val="21"/>
              </w:rPr>
              <w:t>.007</w:t>
            </w:r>
          </w:p>
          <w:p>
            <w:pPr>
              <w:pStyle w:val="TableParagraph"/>
              <w:spacing w:before="42"/>
              <w:ind w:left="620"/>
              <w:rPr>
                <w:b/>
                <w:sz w:val="21"/>
              </w:rPr>
            </w:pPr>
            <w:r>
              <w:rPr>
                <w:b/>
                <w:sz w:val="21"/>
              </w:rPr>
              <w:t>.773</w:t>
            </w:r>
          </w:p>
          <w:p>
            <w:pPr>
              <w:pStyle w:val="TableParagraph"/>
              <w:spacing w:before="35"/>
              <w:ind w:left="620"/>
              <w:rPr>
                <w:b/>
                <w:sz w:val="21"/>
              </w:rPr>
            </w:pPr>
            <w:r>
              <w:rPr>
                <w:b/>
                <w:sz w:val="21"/>
              </w:rPr>
              <w:t>.850</w:t>
            </w:r>
          </w:p>
          <w:p>
            <w:pPr>
              <w:pStyle w:val="TableParagraph"/>
              <w:spacing w:before="176"/>
              <w:ind w:left="620"/>
              <w:rPr>
                <w:b/>
                <w:sz w:val="21"/>
              </w:rPr>
            </w:pPr>
            <w:r>
              <w:rPr>
                <w:b/>
                <w:sz w:val="21"/>
              </w:rPr>
              <w:t>.792</w:t>
            </w: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620"/>
              <w:rPr>
                <w:sz w:val="21"/>
              </w:rPr>
            </w:pPr>
            <w:r>
              <w:rPr>
                <w:sz w:val="21"/>
              </w:rPr>
              <w:t>.231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50"/>
              <w:rPr>
                <w:sz w:val="21"/>
              </w:rPr>
            </w:pPr>
            <w:r>
              <w:rPr>
                <w:sz w:val="21"/>
              </w:rPr>
              <w:t>-.091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550"/>
              <w:rPr>
                <w:sz w:val="21"/>
              </w:rPr>
            </w:pPr>
            <w:r>
              <w:rPr>
                <w:sz w:val="21"/>
              </w:rPr>
              <w:t>-.041</w:t>
            </w:r>
          </w:p>
          <w:p>
            <w:pPr>
              <w:pStyle w:val="TableParagraph"/>
              <w:spacing w:before="176"/>
              <w:ind w:left="550"/>
              <w:rPr>
                <w:sz w:val="21"/>
              </w:rPr>
            </w:pPr>
            <w:r>
              <w:rPr>
                <w:sz w:val="21"/>
              </w:rPr>
              <w:t>-.008</w:t>
            </w:r>
          </w:p>
          <w:p>
            <w:pPr>
              <w:pStyle w:val="TableParagraph"/>
              <w:spacing w:before="174"/>
              <w:ind w:left="620"/>
              <w:rPr>
                <w:sz w:val="21"/>
              </w:rPr>
            </w:pPr>
            <w:r>
              <w:rPr>
                <w:sz w:val="21"/>
              </w:rPr>
              <w:t>.022</w:t>
            </w:r>
          </w:p>
          <w:p>
            <w:pPr>
              <w:pStyle w:val="TableParagraph"/>
              <w:spacing w:before="176"/>
              <w:ind w:left="550"/>
              <w:rPr>
                <w:sz w:val="21"/>
              </w:rPr>
            </w:pPr>
            <w:r>
              <w:rPr>
                <w:sz w:val="21"/>
              </w:rPr>
              <w:t>-.015</w:t>
            </w:r>
          </w:p>
          <w:p>
            <w:pPr>
              <w:pStyle w:val="TableParagraph"/>
              <w:spacing w:before="34"/>
              <w:ind w:left="550"/>
              <w:rPr>
                <w:sz w:val="21"/>
              </w:rPr>
            </w:pPr>
            <w:r>
              <w:rPr>
                <w:sz w:val="21"/>
              </w:rPr>
              <w:t>-.024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547"/>
              <w:rPr>
                <w:sz w:val="21"/>
              </w:rPr>
            </w:pPr>
            <w:r>
              <w:rPr>
                <w:sz w:val="21"/>
              </w:rPr>
              <w:t>-.149</w:t>
            </w:r>
          </w:p>
          <w:p>
            <w:pPr>
              <w:pStyle w:val="TableParagraph"/>
              <w:spacing w:before="176"/>
              <w:ind w:left="617"/>
              <w:rPr>
                <w:sz w:val="21"/>
              </w:rPr>
            </w:pPr>
            <w:r>
              <w:rPr>
                <w:sz w:val="21"/>
              </w:rPr>
              <w:t>.060</w:t>
            </w:r>
          </w:p>
          <w:p>
            <w:pPr>
              <w:pStyle w:val="TableParagraph"/>
              <w:spacing w:before="179"/>
              <w:ind w:left="617"/>
              <w:rPr>
                <w:b/>
                <w:sz w:val="21"/>
              </w:rPr>
            </w:pPr>
            <w:r>
              <w:rPr>
                <w:b/>
                <w:sz w:val="21"/>
              </w:rPr>
              <w:t>.892</w:t>
            </w: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.293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.170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.009</w:t>
            </w:r>
          </w:p>
          <w:p>
            <w:pPr>
              <w:pStyle w:val="TableParagraph"/>
              <w:spacing w:before="176"/>
              <w:ind w:left="617"/>
              <w:rPr>
                <w:sz w:val="21"/>
              </w:rPr>
            </w:pPr>
            <w:r>
              <w:rPr>
                <w:sz w:val="21"/>
              </w:rPr>
              <w:t>.230</w:t>
            </w:r>
          </w:p>
          <w:p>
            <w:pPr>
              <w:pStyle w:val="TableParagraph"/>
              <w:spacing w:before="174"/>
              <w:ind w:left="617"/>
              <w:rPr>
                <w:sz w:val="21"/>
              </w:rPr>
            </w:pPr>
            <w:r>
              <w:rPr>
                <w:sz w:val="21"/>
              </w:rPr>
              <w:t>.221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547"/>
              <w:rPr>
                <w:sz w:val="21"/>
              </w:rPr>
            </w:pPr>
            <w:r>
              <w:rPr>
                <w:sz w:val="21"/>
              </w:rPr>
              <w:t>-.057</w:t>
            </w:r>
          </w:p>
          <w:p>
            <w:pPr>
              <w:pStyle w:val="TableParagraph"/>
              <w:spacing w:before="175"/>
              <w:ind w:left="547"/>
              <w:rPr>
                <w:sz w:val="21"/>
              </w:rPr>
            </w:pPr>
            <w:r>
              <w:rPr>
                <w:sz w:val="21"/>
              </w:rPr>
              <w:t>-.041</w:t>
            </w:r>
          </w:p>
          <w:p>
            <w:pPr>
              <w:pStyle w:val="TableParagraph"/>
              <w:spacing w:before="36"/>
              <w:ind w:left="547"/>
              <w:rPr>
                <w:sz w:val="21"/>
              </w:rPr>
            </w:pPr>
            <w:r>
              <w:rPr>
                <w:sz w:val="21"/>
              </w:rPr>
              <w:t>-.001</w:t>
            </w:r>
          </w:p>
          <w:p>
            <w:pPr>
              <w:pStyle w:val="TableParagraph"/>
              <w:spacing w:before="37"/>
              <w:ind w:left="617"/>
              <w:rPr>
                <w:sz w:val="21"/>
              </w:rPr>
            </w:pPr>
            <w:r>
              <w:rPr>
                <w:sz w:val="21"/>
              </w:rPr>
              <w:t>.002</w:t>
            </w:r>
          </w:p>
          <w:p>
            <w:pPr>
              <w:pStyle w:val="TableParagraph"/>
              <w:spacing w:before="37"/>
              <w:ind w:left="547"/>
              <w:rPr>
                <w:sz w:val="21"/>
              </w:rPr>
            </w:pPr>
            <w:r>
              <w:rPr>
                <w:sz w:val="21"/>
              </w:rPr>
              <w:t>-.022</w:t>
            </w:r>
          </w:p>
          <w:p>
            <w:pPr>
              <w:pStyle w:val="TableParagraph"/>
              <w:spacing w:before="35"/>
              <w:ind w:left="547"/>
              <w:rPr>
                <w:sz w:val="21"/>
              </w:rPr>
            </w:pPr>
            <w:r>
              <w:rPr>
                <w:sz w:val="21"/>
              </w:rPr>
              <w:t>-.032</w:t>
            </w:r>
          </w:p>
          <w:p>
            <w:pPr>
              <w:pStyle w:val="TableParagraph"/>
              <w:spacing w:before="176"/>
              <w:ind w:left="617"/>
              <w:rPr>
                <w:sz w:val="21"/>
              </w:rPr>
            </w:pPr>
            <w:r>
              <w:rPr>
                <w:sz w:val="21"/>
              </w:rPr>
              <w:t>.042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.025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47"/>
              <w:rPr>
                <w:sz w:val="21"/>
              </w:rPr>
            </w:pPr>
            <w:r>
              <w:rPr>
                <w:sz w:val="21"/>
              </w:rPr>
              <w:t>-.141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.073</w:t>
            </w:r>
          </w:p>
          <w:p>
            <w:pPr>
              <w:pStyle w:val="TableParagraph"/>
              <w:spacing w:before="181"/>
              <w:ind w:left="617"/>
              <w:rPr>
                <w:b/>
                <w:sz w:val="21"/>
              </w:rPr>
            </w:pPr>
            <w:r>
              <w:rPr>
                <w:b/>
                <w:sz w:val="21"/>
              </w:rPr>
              <w:t>.892</w:t>
            </w:r>
          </w:p>
          <w:p>
            <w:pPr>
              <w:pStyle w:val="TableParagraph"/>
              <w:spacing w:before="169"/>
              <w:ind w:left="617"/>
              <w:rPr>
                <w:sz w:val="21"/>
              </w:rPr>
            </w:pPr>
            <w:r>
              <w:rPr>
                <w:sz w:val="21"/>
              </w:rPr>
              <w:t>.292</w:t>
            </w:r>
          </w:p>
          <w:p>
            <w:pPr>
              <w:pStyle w:val="TableParagraph"/>
              <w:spacing w:before="176"/>
              <w:ind w:left="617"/>
              <w:rPr>
                <w:sz w:val="21"/>
              </w:rPr>
            </w:pPr>
            <w:r>
              <w:rPr>
                <w:sz w:val="21"/>
              </w:rPr>
              <w:t>.188</w:t>
            </w:r>
          </w:p>
          <w:p>
            <w:pPr>
              <w:pStyle w:val="TableParagraph"/>
              <w:spacing w:before="35"/>
              <w:ind w:left="617"/>
              <w:rPr>
                <w:sz w:val="21"/>
              </w:rPr>
            </w:pPr>
            <w:r>
              <w:rPr>
                <w:sz w:val="21"/>
              </w:rPr>
              <w:t>.091</w:t>
            </w:r>
          </w:p>
        </w:tc>
        <w:tc>
          <w:tcPr>
            <w:tcW w:w="10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left="548"/>
              <w:rPr>
                <w:sz w:val="21"/>
              </w:rPr>
            </w:pPr>
            <w:r>
              <w:rPr>
                <w:sz w:val="21"/>
              </w:rPr>
              <w:t>-.132</w:t>
            </w:r>
          </w:p>
          <w:p>
            <w:pPr>
              <w:pStyle w:val="TableParagraph"/>
              <w:spacing w:before="176"/>
              <w:ind w:left="548"/>
              <w:rPr>
                <w:sz w:val="21"/>
              </w:rPr>
            </w:pPr>
            <w:r>
              <w:rPr>
                <w:sz w:val="21"/>
              </w:rPr>
              <w:t>-.014</w:t>
            </w:r>
          </w:p>
          <w:p>
            <w:pPr>
              <w:pStyle w:val="TableParagraph"/>
              <w:spacing w:before="174"/>
              <w:ind w:left="548"/>
              <w:rPr>
                <w:sz w:val="21"/>
              </w:rPr>
            </w:pPr>
            <w:r>
              <w:rPr>
                <w:sz w:val="21"/>
              </w:rPr>
              <w:t>-.066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.045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548"/>
              <w:rPr>
                <w:sz w:val="21"/>
              </w:rPr>
            </w:pPr>
            <w:r>
              <w:rPr>
                <w:sz w:val="21"/>
              </w:rPr>
              <w:t>-.010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548"/>
              <w:rPr>
                <w:sz w:val="21"/>
              </w:rPr>
            </w:pPr>
            <w:r>
              <w:rPr>
                <w:sz w:val="21"/>
              </w:rPr>
              <w:t>-.077</w:t>
            </w:r>
          </w:p>
          <w:p>
            <w:pPr>
              <w:pStyle w:val="TableParagraph"/>
              <w:spacing w:before="176"/>
              <w:ind w:left="617"/>
              <w:rPr>
                <w:sz w:val="21"/>
              </w:rPr>
            </w:pPr>
            <w:r>
              <w:rPr>
                <w:sz w:val="21"/>
              </w:rPr>
              <w:t>.037</w:t>
            </w:r>
          </w:p>
          <w:p>
            <w:pPr>
              <w:pStyle w:val="TableParagraph"/>
              <w:spacing w:before="174"/>
              <w:ind w:left="617"/>
              <w:rPr>
                <w:sz w:val="21"/>
              </w:rPr>
            </w:pPr>
            <w:r>
              <w:rPr>
                <w:sz w:val="21"/>
              </w:rPr>
              <w:t>.056</w:t>
            </w: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617"/>
              <w:rPr>
                <w:b/>
                <w:sz w:val="21"/>
              </w:rPr>
            </w:pPr>
            <w:r>
              <w:rPr>
                <w:b/>
                <w:sz w:val="21"/>
              </w:rPr>
              <w:t>.790</w:t>
            </w:r>
          </w:p>
          <w:p>
            <w:pPr>
              <w:pStyle w:val="TableParagraph"/>
              <w:spacing w:before="174"/>
              <w:ind w:left="617"/>
              <w:rPr>
                <w:b/>
                <w:sz w:val="21"/>
              </w:rPr>
            </w:pPr>
            <w:r>
              <w:rPr>
                <w:b/>
                <w:sz w:val="21"/>
              </w:rPr>
              <w:t>.858</w:t>
            </w:r>
          </w:p>
          <w:p>
            <w:pPr>
              <w:pStyle w:val="TableParagraph"/>
              <w:spacing w:before="32"/>
              <w:ind w:left="617"/>
              <w:rPr>
                <w:sz w:val="21"/>
              </w:rPr>
            </w:pPr>
            <w:r>
              <w:rPr>
                <w:sz w:val="21"/>
              </w:rPr>
              <w:t>.461</w:t>
            </w:r>
          </w:p>
          <w:p>
            <w:pPr>
              <w:pStyle w:val="TableParagraph"/>
              <w:spacing w:before="37"/>
              <w:ind w:left="548"/>
              <w:rPr>
                <w:sz w:val="21"/>
              </w:rPr>
            </w:pPr>
            <w:r>
              <w:rPr>
                <w:sz w:val="21"/>
              </w:rPr>
              <w:t>-.095</w:t>
            </w:r>
          </w:p>
          <w:p>
            <w:pPr>
              <w:pStyle w:val="TableParagraph"/>
              <w:spacing w:before="37"/>
              <w:ind w:left="617"/>
              <w:rPr>
                <w:sz w:val="21"/>
              </w:rPr>
            </w:pPr>
            <w:r>
              <w:rPr>
                <w:sz w:val="21"/>
              </w:rPr>
              <w:t>.267</w:t>
            </w:r>
          </w:p>
          <w:p>
            <w:pPr>
              <w:pStyle w:val="TableParagraph"/>
              <w:spacing w:before="35"/>
              <w:ind w:left="548"/>
              <w:rPr>
                <w:sz w:val="21"/>
              </w:rPr>
            </w:pPr>
            <w:r>
              <w:rPr>
                <w:sz w:val="21"/>
              </w:rPr>
              <w:t>-.063</w:t>
            </w:r>
          </w:p>
          <w:p>
            <w:pPr>
              <w:pStyle w:val="TableParagraph"/>
              <w:spacing w:before="176"/>
              <w:ind w:left="617"/>
              <w:rPr>
                <w:sz w:val="21"/>
              </w:rPr>
            </w:pPr>
            <w:r>
              <w:rPr>
                <w:sz w:val="21"/>
              </w:rPr>
              <w:t>.071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17"/>
              <w:rPr>
                <w:sz w:val="21"/>
              </w:rPr>
            </w:pPr>
            <w:r>
              <w:rPr>
                <w:sz w:val="21"/>
              </w:rPr>
              <w:t>.104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48"/>
              <w:rPr>
                <w:sz w:val="21"/>
              </w:rPr>
            </w:pPr>
            <w:r>
              <w:rPr>
                <w:sz w:val="21"/>
              </w:rPr>
              <w:t>-.135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548"/>
              <w:rPr>
                <w:sz w:val="21"/>
              </w:rPr>
            </w:pPr>
            <w:r>
              <w:rPr>
                <w:sz w:val="21"/>
              </w:rPr>
              <w:t>-.028</w:t>
            </w:r>
          </w:p>
          <w:p>
            <w:pPr>
              <w:pStyle w:val="TableParagraph"/>
              <w:spacing w:before="176"/>
              <w:ind w:left="548"/>
              <w:rPr>
                <w:sz w:val="21"/>
              </w:rPr>
            </w:pPr>
            <w:r>
              <w:rPr>
                <w:sz w:val="21"/>
              </w:rPr>
              <w:t>-.066</w:t>
            </w:r>
          </w:p>
          <w:p>
            <w:pPr>
              <w:pStyle w:val="TableParagraph"/>
              <w:spacing w:before="174"/>
              <w:ind w:left="617"/>
              <w:rPr>
                <w:sz w:val="21"/>
              </w:rPr>
            </w:pPr>
            <w:r>
              <w:rPr>
                <w:sz w:val="21"/>
              </w:rPr>
              <w:t>.046</w:t>
            </w:r>
          </w:p>
          <w:p>
            <w:pPr>
              <w:pStyle w:val="TableParagraph"/>
              <w:spacing w:before="176"/>
              <w:ind w:left="548"/>
              <w:rPr>
                <w:sz w:val="21"/>
              </w:rPr>
            </w:pPr>
            <w:r>
              <w:rPr>
                <w:sz w:val="21"/>
              </w:rPr>
              <w:t>-.015</w:t>
            </w:r>
          </w:p>
          <w:p>
            <w:pPr>
              <w:pStyle w:val="TableParagraph"/>
              <w:spacing w:before="35"/>
              <w:ind w:left="548"/>
              <w:rPr>
                <w:sz w:val="21"/>
              </w:rPr>
            </w:pPr>
            <w:r>
              <w:rPr>
                <w:sz w:val="21"/>
              </w:rPr>
              <w:t>-.059</w:t>
            </w:r>
          </w:p>
        </w:tc>
        <w:tc>
          <w:tcPr>
            <w:tcW w:w="104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29"/>
              <w:ind w:left="537"/>
              <w:rPr>
                <w:sz w:val="21"/>
              </w:rPr>
            </w:pPr>
            <w:r>
              <w:rPr>
                <w:sz w:val="21"/>
              </w:rPr>
              <w:t>-.047</w:t>
            </w:r>
          </w:p>
          <w:p>
            <w:pPr>
              <w:pStyle w:val="TableParagraph"/>
              <w:spacing w:before="176"/>
              <w:ind w:left="537"/>
              <w:rPr>
                <w:sz w:val="21"/>
              </w:rPr>
            </w:pPr>
            <w:r>
              <w:rPr>
                <w:sz w:val="21"/>
              </w:rPr>
              <w:t>-.014</w:t>
            </w:r>
          </w:p>
          <w:p>
            <w:pPr>
              <w:pStyle w:val="TableParagraph"/>
              <w:spacing w:before="174"/>
              <w:ind w:left="606"/>
              <w:rPr>
                <w:sz w:val="21"/>
              </w:rPr>
            </w:pPr>
            <w:r>
              <w:rPr>
                <w:sz w:val="21"/>
              </w:rPr>
              <w:t>.018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37"/>
              <w:rPr>
                <w:sz w:val="21"/>
              </w:rPr>
            </w:pPr>
            <w:r>
              <w:rPr>
                <w:sz w:val="21"/>
              </w:rPr>
              <w:t>-.006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537"/>
              <w:rPr>
                <w:sz w:val="21"/>
              </w:rPr>
            </w:pPr>
            <w:r>
              <w:rPr>
                <w:sz w:val="21"/>
              </w:rPr>
              <w:t>-.087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06"/>
              <w:rPr>
                <w:sz w:val="21"/>
              </w:rPr>
            </w:pPr>
            <w:r>
              <w:rPr>
                <w:sz w:val="21"/>
              </w:rPr>
              <w:t>.033</w:t>
            </w:r>
          </w:p>
          <w:p>
            <w:pPr>
              <w:pStyle w:val="TableParagraph"/>
              <w:spacing w:before="176"/>
              <w:ind w:left="537"/>
              <w:rPr>
                <w:sz w:val="21"/>
              </w:rPr>
            </w:pPr>
            <w:r>
              <w:rPr>
                <w:sz w:val="21"/>
              </w:rPr>
              <w:t>-.027</w:t>
            </w:r>
          </w:p>
          <w:p>
            <w:pPr>
              <w:pStyle w:val="TableParagraph"/>
              <w:spacing w:before="174"/>
              <w:ind w:left="537"/>
              <w:rPr>
                <w:sz w:val="21"/>
              </w:rPr>
            </w:pPr>
            <w:r>
              <w:rPr>
                <w:sz w:val="21"/>
              </w:rPr>
              <w:t>-.035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606"/>
              <w:rPr>
                <w:sz w:val="21"/>
              </w:rPr>
            </w:pPr>
            <w:r>
              <w:rPr>
                <w:sz w:val="21"/>
              </w:rPr>
              <w:t>.179</w:t>
            </w:r>
          </w:p>
          <w:p>
            <w:pPr>
              <w:pStyle w:val="TableParagraph"/>
              <w:spacing w:before="175"/>
              <w:ind w:left="537"/>
              <w:rPr>
                <w:sz w:val="21"/>
              </w:rPr>
            </w:pPr>
            <w:r>
              <w:rPr>
                <w:sz w:val="21"/>
              </w:rPr>
              <w:t>-.044</w:t>
            </w:r>
          </w:p>
          <w:p>
            <w:pPr>
              <w:pStyle w:val="TableParagraph"/>
              <w:spacing w:before="41"/>
              <w:ind w:left="606"/>
              <w:rPr>
                <w:b/>
                <w:sz w:val="21"/>
              </w:rPr>
            </w:pPr>
            <w:r>
              <w:rPr>
                <w:b/>
                <w:sz w:val="21"/>
              </w:rPr>
              <w:t>.658</w:t>
            </w:r>
          </w:p>
          <w:p>
            <w:pPr>
              <w:pStyle w:val="TableParagraph"/>
              <w:spacing w:before="37"/>
              <w:ind w:left="606"/>
              <w:rPr>
                <w:b/>
                <w:sz w:val="21"/>
              </w:rPr>
            </w:pPr>
            <w:r>
              <w:rPr>
                <w:b/>
                <w:sz w:val="21"/>
              </w:rPr>
              <w:t>.641</w:t>
            </w:r>
          </w:p>
          <w:p>
            <w:pPr>
              <w:pStyle w:val="TableParagraph"/>
              <w:spacing w:before="32"/>
              <w:ind w:left="537"/>
              <w:rPr>
                <w:sz w:val="21"/>
              </w:rPr>
            </w:pPr>
            <w:r>
              <w:rPr>
                <w:sz w:val="21"/>
              </w:rPr>
              <w:t>-.068</w:t>
            </w:r>
          </w:p>
          <w:p>
            <w:pPr>
              <w:pStyle w:val="TableParagraph"/>
              <w:spacing w:before="35"/>
              <w:ind w:left="606"/>
              <w:rPr>
                <w:sz w:val="21"/>
              </w:rPr>
            </w:pPr>
            <w:r>
              <w:rPr>
                <w:sz w:val="21"/>
              </w:rPr>
              <w:t>.114</w:t>
            </w:r>
          </w:p>
          <w:p>
            <w:pPr>
              <w:pStyle w:val="TableParagraph"/>
              <w:spacing w:before="176"/>
              <w:ind w:left="606"/>
              <w:rPr>
                <w:sz w:val="21"/>
              </w:rPr>
            </w:pPr>
            <w:r>
              <w:rPr>
                <w:sz w:val="21"/>
              </w:rPr>
              <w:t>.189</w:t>
            </w: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606"/>
              <w:rPr>
                <w:b/>
                <w:sz w:val="21"/>
              </w:rPr>
            </w:pPr>
            <w:r>
              <w:rPr>
                <w:b/>
                <w:sz w:val="21"/>
              </w:rPr>
              <w:t>.686</w:t>
            </w: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537"/>
              <w:rPr>
                <w:sz w:val="21"/>
              </w:rPr>
            </w:pPr>
            <w:r>
              <w:rPr>
                <w:sz w:val="21"/>
              </w:rPr>
              <w:t>-.051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537"/>
              <w:rPr>
                <w:sz w:val="21"/>
              </w:rPr>
            </w:pPr>
            <w:r>
              <w:rPr>
                <w:sz w:val="21"/>
              </w:rPr>
              <w:t>-.013</w:t>
            </w:r>
          </w:p>
          <w:p>
            <w:pPr>
              <w:pStyle w:val="TableParagraph"/>
              <w:spacing w:before="176"/>
              <w:ind w:left="606"/>
              <w:rPr>
                <w:sz w:val="21"/>
              </w:rPr>
            </w:pPr>
            <w:r>
              <w:rPr>
                <w:sz w:val="21"/>
              </w:rPr>
              <w:t>.018</w:t>
            </w:r>
          </w:p>
          <w:p>
            <w:pPr>
              <w:pStyle w:val="TableParagraph"/>
              <w:spacing w:before="174"/>
              <w:ind w:left="537"/>
              <w:rPr>
                <w:sz w:val="21"/>
              </w:rPr>
            </w:pPr>
            <w:r>
              <w:rPr>
                <w:sz w:val="21"/>
              </w:rPr>
              <w:t>-.004</w:t>
            </w:r>
          </w:p>
          <w:p>
            <w:pPr>
              <w:pStyle w:val="TableParagraph"/>
              <w:spacing w:before="176"/>
              <w:ind w:left="537"/>
              <w:rPr>
                <w:sz w:val="21"/>
              </w:rPr>
            </w:pPr>
            <w:r>
              <w:rPr>
                <w:sz w:val="21"/>
              </w:rPr>
              <w:t>-.078</w:t>
            </w:r>
          </w:p>
          <w:p>
            <w:pPr>
              <w:pStyle w:val="TableParagraph"/>
              <w:spacing w:before="35"/>
              <w:ind w:left="606"/>
              <w:rPr>
                <w:sz w:val="21"/>
              </w:rPr>
            </w:pPr>
            <w:r>
              <w:rPr>
                <w:sz w:val="21"/>
              </w:rPr>
              <w:t>.000</w:t>
            </w:r>
          </w:p>
        </w:tc>
      </w:tr>
    </w:tbl>
    <w:p>
      <w:pPr>
        <w:spacing w:line="276" w:lineRule="auto" w:before="0"/>
        <w:ind w:left="363" w:right="4966" w:hanging="53"/>
        <w:jc w:val="left"/>
        <w:rPr>
          <w:sz w:val="21"/>
        </w:rPr>
      </w:pPr>
      <w:r>
        <w:rPr>
          <w:sz w:val="21"/>
        </w:rPr>
        <w:t>Extraction Method: Principal Component Analysis.</w:t>
      </w:r>
      <w:r>
        <w:rPr>
          <w:spacing w:val="1"/>
          <w:sz w:val="21"/>
        </w:rPr>
        <w:t> </w:t>
      </w:r>
      <w:r>
        <w:rPr>
          <w:sz w:val="21"/>
        </w:rPr>
        <w:t>Rotation</w:t>
      </w:r>
      <w:r>
        <w:rPr>
          <w:spacing w:val="-4"/>
          <w:sz w:val="21"/>
        </w:rPr>
        <w:t> </w:t>
      </w:r>
      <w:r>
        <w:rPr>
          <w:sz w:val="21"/>
        </w:rPr>
        <w:t>Method:</w:t>
      </w:r>
      <w:r>
        <w:rPr>
          <w:spacing w:val="-4"/>
          <w:sz w:val="21"/>
        </w:rPr>
        <w:t> </w:t>
      </w:r>
      <w:r>
        <w:rPr>
          <w:sz w:val="21"/>
        </w:rPr>
        <w:t>Varimax</w:t>
      </w:r>
      <w:r>
        <w:rPr>
          <w:spacing w:val="-4"/>
          <w:sz w:val="21"/>
        </w:rPr>
        <w:t> </w:t>
      </w:r>
      <w:r>
        <w:rPr>
          <w:sz w:val="21"/>
        </w:rPr>
        <w:t>with</w:t>
      </w:r>
      <w:r>
        <w:rPr>
          <w:spacing w:val="-1"/>
          <w:sz w:val="21"/>
        </w:rPr>
        <w:t> </w:t>
      </w:r>
      <w:r>
        <w:rPr>
          <w:sz w:val="21"/>
        </w:rPr>
        <w:t>Kaiser</w:t>
      </w:r>
      <w:r>
        <w:rPr>
          <w:spacing w:val="-4"/>
          <w:sz w:val="21"/>
        </w:rPr>
        <w:t> </w:t>
      </w:r>
      <w:r>
        <w:rPr>
          <w:sz w:val="21"/>
        </w:rPr>
        <w:t>Normalization.</w:t>
      </w:r>
    </w:p>
    <w:p>
      <w:pPr>
        <w:spacing w:line="240" w:lineRule="exact" w:before="0"/>
        <w:ind w:left="310" w:right="0" w:firstLine="0"/>
        <w:jc w:val="left"/>
        <w:rPr>
          <w:sz w:val="21"/>
        </w:rPr>
      </w:pPr>
      <w:r>
        <w:rPr>
          <w:sz w:val="21"/>
        </w:rPr>
        <w:t>a.</w:t>
      </w:r>
      <w:r>
        <w:rPr>
          <w:spacing w:val="-2"/>
          <w:sz w:val="21"/>
        </w:rPr>
        <w:t> </w:t>
      </w:r>
      <w:r>
        <w:rPr>
          <w:sz w:val="21"/>
        </w:rPr>
        <w:t>Rotation</w:t>
      </w:r>
      <w:r>
        <w:rPr>
          <w:spacing w:val="-1"/>
          <w:sz w:val="21"/>
        </w:rPr>
        <w:t> </w:t>
      </w:r>
      <w:r>
        <w:rPr>
          <w:sz w:val="21"/>
        </w:rPr>
        <w:t>converged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8</w:t>
      </w:r>
      <w:r>
        <w:rPr>
          <w:spacing w:val="-1"/>
          <w:sz w:val="21"/>
        </w:rPr>
        <w:t> </w:t>
      </w:r>
      <w:r>
        <w:rPr>
          <w:sz w:val="21"/>
        </w:rPr>
        <w:t>iterations.</w:t>
      </w:r>
    </w:p>
    <w:p>
      <w:pPr>
        <w:spacing w:after="0" w:line="240" w:lineRule="exact"/>
        <w:jc w:val="left"/>
        <w:rPr>
          <w:sz w:val="21"/>
        </w:rPr>
        <w:sectPr>
          <w:pgSz w:w="12240" w:h="15840"/>
          <w:pgMar w:header="0" w:footer="1015" w:top="1340" w:bottom="1200" w:left="17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489839" cy="4953000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83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9"/>
        </w:rPr>
      </w:pPr>
    </w:p>
    <w:p>
      <w:pPr>
        <w:spacing w:before="90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Satellite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Quarters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2007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2512" cy="4953000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12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Satellite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Quarters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420" w:bottom="1200" w:left="1720" w:right="3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72225" cy="5248275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2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2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Satellite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Pichi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440" w:bottom="1200" w:left="1720" w:right="340"/>
        </w:sectPr>
      </w:pPr>
    </w:p>
    <w:p>
      <w:pPr>
        <w:pStyle w:val="BodyText"/>
        <w:spacing w:before="3"/>
        <w:rPr>
          <w:b/>
          <w:sz w:val="3"/>
        </w:r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4381" cy="5257800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38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5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Satellite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Pichi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40"/>
        </w:sectPr>
      </w:pPr>
    </w:p>
    <w:p>
      <w:pPr>
        <w:pStyle w:val="BodyText"/>
        <w:spacing w:before="3"/>
        <w:rPr>
          <w:b/>
          <w:sz w:val="3"/>
        </w:r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5988" cy="5334000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988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7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Satellite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Sachi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1720" w:right="3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565541" cy="5334000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541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2"/>
        <w:ind w:left="265" w:right="0" w:firstLine="0"/>
        <w:jc w:val="left"/>
        <w:rPr>
          <w:b/>
          <w:sz w:val="24"/>
        </w:rPr>
      </w:pPr>
      <w:r>
        <w:rPr>
          <w:b/>
          <w:sz w:val="24"/>
        </w:rPr>
        <w:t>Satellite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Sachi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sectPr>
      <w:pgSz w:w="12240" w:h="15840"/>
      <w:pgMar w:header="0" w:footer="1015" w:top="1420" w:bottom="1200" w:left="172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869995pt;margin-top:730.255981pt;width:18.650pt;height:13.05pt;mso-position-horizontal-relative:page;mso-position-vertical-relative:page;z-index:-17771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89996pt;margin-top:730.255981pt;width:17.3pt;height:13.05pt;mso-position-horizontal-relative:page;mso-position-vertical-relative:page;z-index:-17770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89996pt;margin-top:730.255981pt;width:17.3pt;height:13.05pt;mso-position-horizontal-relative:page;mso-position-vertical-relative:page;z-index:-17769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5"/>
      <w:numFmt w:val="decimal"/>
      <w:lvlText w:val="%1"/>
      <w:lvlJc w:val="left"/>
      <w:pPr>
        <w:ind w:left="2425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25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314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4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3085" w:hanging="2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85" w:hanging="28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445" w:hanging="31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45" w:hanging="3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805" w:hanging="35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05" w:hanging="35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05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0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5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3" w:hanging="66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8"/>
      <w:ind w:left="805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8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en.wikipedia.org/wiki/Nupe_Kingdom" TargetMode="External"/><Relationship Id="rId8" Type="http://schemas.openxmlformats.org/officeDocument/2006/relationships/hyperlink" Target="http://en.wikipedia.org/wiki/Yahaya_Abubakar" TargetMode="External"/><Relationship Id="rId9" Type="http://schemas.openxmlformats.org/officeDocument/2006/relationships/hyperlink" Target="http://en.wikipedia.org/wiki/Katcha%2C_Nigeria" TargetMode="External"/><Relationship Id="rId10" Type="http://schemas.openxmlformats.org/officeDocument/2006/relationships/hyperlink" Target="http://en.wikipedia.org/wiki/Lapai" TargetMode="External"/><Relationship Id="rId11" Type="http://schemas.openxmlformats.org/officeDocument/2006/relationships/hyperlink" Target="http://en.wikipedia.org/wiki/Mokwa" TargetMode="External"/><Relationship Id="rId12" Type="http://schemas.openxmlformats.org/officeDocument/2006/relationships/hyperlink" Target="http://en.wikipedia.org/wiki/Agaie" TargetMode="External"/><Relationship Id="rId13" Type="http://schemas.openxmlformats.org/officeDocument/2006/relationships/hyperlink" Target="http://en.wikipedia.org/wiki/Pategi" TargetMode="External"/><Relationship Id="rId14" Type="http://schemas.openxmlformats.org/officeDocument/2006/relationships/hyperlink" Target="http://en.wikipedia.org/w/index.php?title=Kutigi&amp;action=edit&amp;redlink=1" TargetMode="External"/><Relationship Id="rId15" Type="http://schemas.openxmlformats.org/officeDocument/2006/relationships/hyperlink" Target="http://en.wikipedia.org/w/index.php?title=Etsu_Nupe&amp;action=edit&amp;redlink=1" TargetMode="Externa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3.jpe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image" Target="media/image11.pn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hyperlink" Target="http://dx.doi.org/10.1177/0956247806069608" TargetMode="External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</dc:creator>
  <dcterms:created xsi:type="dcterms:W3CDTF">2023-11-01T15:46:54Z</dcterms:created>
  <dcterms:modified xsi:type="dcterms:W3CDTF">2023-11-01T15:46:54Z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2023-11-01T00:00:00Z</vt:filetime>
  </property>
</Properties>
</file>